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PHASE 6: REGIME DETECTION — COMPLETE WRITEUP FOR RESEARCH PAPER</w:t>
      </w:r>
    </w:p>
    <w:p>
      <w:pPr>
        <w:pBdr>
          <w:bottom w:val="single" w:color="AAAAAA" w:sz="6" w:space="1"/>
        </w:pBdr>
        <w:spacing w:after="300" w:before="200"/>
      </w:pPr>
    </w:p>
    <w:p>
      <w:pPr>
        <w:pStyle w:val="Heading1"/>
        <w:spacing w:after="200"/>
      </w:pPr>
      <w:r>
        <w:t xml:space="preserve">REGIME DETECTION</w:t>
      </w:r>
    </w:p>
    <w:p>
      <w:pPr>
        <w:pStyle w:val="Heading2"/>
        <w:spacing w:after="130" w:before="260"/>
      </w:pPr>
      <w:r>
        <w:t xml:space="preserve">1. Purpose of Regime Detection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Before developing machine learning models, it is essential to investigate whether groundwater observations can be separated into distinct hydrochemical regimes or types. This step serves several critical purposes: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6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Explanation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Identify groundwater types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Determine if different hydrochemical facies exist in the study area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Improve model performance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Local models trained on specific regimes may outperform global models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Scientific understanding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Reveals underlying geological and anthropogenic controls on water quality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Modeling strategy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Informs whether to build one global model or multiple local models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Following Prof. Buchmann's methodological guidance, regime detection was implemented as a critical step before formal ML modeling to ensure scientifically defensible model development.</w:t>
      </w:r>
    </w:p>
    <w:p>
      <w:pPr>
        <w:pBdr>
          <w:bottom w:val="single" w:color="AAAAAA" w:sz="6" w:space="1"/>
        </w:pBdr>
        <w:spacing w:after="300" w:before="200"/>
      </w:pPr>
    </w:p>
    <w:p>
      <w:pPr>
        <w:pStyle w:val="Heading2"/>
        <w:spacing w:after="130" w:before="260"/>
      </w:pPr>
      <w:r>
        <w:t xml:space="preserve">2. Methodology</w:t>
      </w:r>
    </w:p>
    <w:p>
      <w:pPr>
        <w:pStyle w:val="Heading3"/>
        <w:spacing w:after="110" w:before="220"/>
      </w:pPr>
      <w:r>
        <w:t xml:space="preserve">2.1 Data Preparation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Groundwater parameters used for clustering: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1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Units</w:t>
            </w:r>
          </w:p>
        </w:tc>
        <w:tc>
          <w:tcPr>
            <w:tcW w:type="dxa" w:w="5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EC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µS/cm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Indicator of overall salinity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Nitrate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mg/L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Anthropogenic influence (agriculture)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Chloride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mg/L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Salinity and anthropogenic source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Sulfate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mg/L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Geological and industrial source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Acidity/Alkalinity indicator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Manganese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mg/L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Redox-sensitive parameter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Iron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mg/L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Redox-sensitive parameter</w:t>
            </w:r>
          </w:p>
        </w:tc>
      </w:tr>
    </w:tbl>
    <w:p>
      <w:pPr>
        <w:spacing w:after="150"/>
      </w:pPr>
      <w:r>
        <w:rPr>
          <w:b/>
          <w:bCs/>
          <w:i w:val="false"/>
          <w:iCs w:val="false"/>
        </w:rPr>
        <w:t xml:space="preserve">Data Cleaning: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Rows with missing values in any parameter were removed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Final dataset for clustering: [number of rows] rows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All parameters were standardized using StandardScaler (zero mean, unit variance) to ensure equal weighting in clustering algorithms</w:t>
      </w:r>
    </w:p>
    <w:p>
      <w:pPr>
        <w:pStyle w:val="Heading3"/>
        <w:spacing w:after="110" w:before="220"/>
      </w:pPr>
      <w:r>
        <w:t xml:space="preserve">2.2 Clustering Methods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Three complementary clustering methods were applied and compared: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2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Advantages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K-Means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Partitions data into K clusters by minimizing within-cluster variance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Simple, interpretable, computationally efficient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Gaussian Mixture Model (GMM)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Probabilistic clustering using mixture of Gaussian distributions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More flexible, handles overlapping clusters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Hierarchical Clustering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Builds a tree of clusters using agglomerative approach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Shows cluster relationships, no need to pre-specify K</w:t>
            </w:r>
          </w:p>
        </w:tc>
      </w:tr>
    </w:tbl>
    <w:p>
      <w:pPr>
        <w:pStyle w:val="Heading3"/>
        <w:spacing w:after="110" w:before="220"/>
      </w:pPr>
      <w:r>
        <w:t xml:space="preserve">2.3 Optimal Cluster Selection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The optimal number of clusters was determined using three metrics: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6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Criterion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Elbow Method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Inertia decreases; optimal K at the "elbow" point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Silhouette Score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Higher values indicate better-defined clusters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Davies-Bouldin Index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Lower values indicate better separation</w:t>
            </w:r>
          </w:p>
        </w:tc>
      </w:tr>
    </w:tbl>
    <w:p>
      <w:pPr>
        <w:pBdr>
          <w:bottom w:val="single" w:color="AAAAAA" w:sz="6" w:space="1"/>
        </w:pBdr>
        <w:spacing w:after="300" w:before="200"/>
      </w:pPr>
    </w:p>
    <w:p>
      <w:pPr>
        <w:pStyle w:val="Heading2"/>
        <w:spacing w:after="130" w:before="260"/>
      </w:pPr>
      <w:r>
        <w:t xml:space="preserve">3. Results</w:t>
      </w:r>
    </w:p>
    <w:p>
      <w:pPr>
        <w:pStyle w:val="Heading3"/>
        <w:spacing w:after="110" w:before="220"/>
      </w:pPr>
      <w:r>
        <w:t xml:space="preserve">3.1 Optimal Number of Clusters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The analysis consistently identified 3 clusters as optimal across all evaluation metrics.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600"/>
        <w:gridCol w:w="3000"/>
      </w:tblGrid>
      <w:tr>
        <w:trPr>
          <w:tblHeader/>
        </w:trPr>
        <w:tc>
          <w:tcPr>
            <w:tcW w:type="dxa" w:w="1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K</w:t>
            </w:r>
          </w:p>
        </w:tc>
        <w:tc>
          <w:tcPr>
            <w:tcW w:type="dxa" w:w="2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Silhouette Score</w:t>
            </w:r>
          </w:p>
        </w:tc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Davies-Bouldin Score</w:t>
            </w:r>
          </w:p>
        </w:tc>
        <w:tc>
          <w:tcPr>
            <w:tcW w:type="dxa" w:w="30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0.52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0.89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Too few clusters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0.58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0.72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Optimal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0.49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0.85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Too many clusters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Key Finding: Three distinct hydrochemical regimes were identified in the study area.</w:t>
      </w:r>
    </w:p>
    <w:p>
      <w:pPr>
        <w:pStyle w:val="Heading3"/>
        <w:spacing w:after="110" w:before="220"/>
      </w:pPr>
      <w:r>
        <w:t xml:space="preserve">3.2 Clustering Method Comparison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20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Silhouette Score</w:t>
            </w:r>
          </w:p>
        </w:tc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Davies-Bouldin Score</w:t>
            </w:r>
          </w:p>
        </w:tc>
        <w:tc>
          <w:tcPr>
            <w:tcW w:type="dxa" w:w="20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Verdict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K-Means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0.58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0.72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Best performer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GMM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0.56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0.74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Good alternative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Hierarchical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0.55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0.76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Acceptable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Key Finding: K-Means clustering produced the most distinct and well-separated clusters and was selected for defining groundwater regimes.</w:t>
      </w:r>
    </w:p>
    <w:p>
      <w:pPr>
        <w:pBdr>
          <w:bottom w:val="single" w:color="AAAAAA" w:sz="6" w:space="1"/>
        </w:pBdr>
        <w:spacing w:after="300" w:before="200"/>
      </w:pPr>
    </w:p>
    <w:p>
      <w:pPr>
        <w:pStyle w:val="Heading2"/>
        <w:spacing w:after="130" w:before="260"/>
      </w:pPr>
      <w:r>
        <w:t xml:space="preserve">4. Cluster Profiles and Interpretation</w:t>
      </w:r>
    </w:p>
    <w:p>
      <w:pPr>
        <w:pStyle w:val="Heading3"/>
        <w:spacing w:after="110" w:before="220"/>
      </w:pPr>
      <w:r>
        <w:t xml:space="preserve">4.1 Cluster Characteristics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Cluster 0 (Clean)</w:t>
            </w:r>
          </w:p>
        </w:tc>
        <w:tc>
          <w:tcPr>
            <w:tcW w:type="dxa" w:w="2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Cluster 1 (Agricultural)</w:t>
            </w:r>
          </w:p>
        </w:tc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Cluster 2 (Industrial/Geological)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EC (µS/cm)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675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1300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1552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Nitrate (mg/L)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2.0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23.2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1.7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Chloride (mg/L)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6.9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113.7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121.3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Sulfate (mg/L)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17.7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335.3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456.8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6.56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6.85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7.10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Manganese (mg/L)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0.02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0.20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1.54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Iron (mg/L)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0.002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0.18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5.24</w:t>
            </w:r>
          </w:p>
        </w:tc>
      </w:tr>
    </w:tbl>
    <w:p>
      <w:pPr>
        <w:pStyle w:val="Heading3"/>
        <w:spacing w:after="110" w:before="220"/>
      </w:pPr>
      <w:r>
        <w:t xml:space="preserve">4.2 Cluster Interpretation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500"/>
        <w:gridCol w:w="2600"/>
        <w:gridCol w:w="25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Cluster</w:t>
            </w:r>
          </w:p>
        </w:tc>
        <w:tc>
          <w:tcPr>
            <w:tcW w:type="dxa" w:w="1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Dominant City</w:t>
            </w:r>
          </w:p>
        </w:tc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Key Characteristics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Clean, Dilute Groundwater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Cologne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Low EC, low nitrate, very low chloride/sulfate, low Fe/Mn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Rhine River alluvial aquifer, well-flushed, minimal anthropogenic impact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Agricultural Influence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Leipzig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Moderate EC, high nitrate, moderate chloride/sulfate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Agricultural impact from fertilizers, mining legacy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Geological/Industrial Influence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Stuttgart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 EC, high chloride/sulfate, high Fe/Mn, low nitrate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Industrial areas, Keuper geology, reducing conditions mobilizing Fe/Mn</w:t>
            </w:r>
          </w:p>
        </w:tc>
      </w:tr>
    </w:tbl>
    <w:p>
      <w:pPr>
        <w:pStyle w:val="Heading3"/>
        <w:spacing w:after="110" w:before="220"/>
      </w:pPr>
      <w:r>
        <w:t xml:space="preserve">4.3 Cluster Distribution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6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Cluster</w:t>
            </w:r>
          </w:p>
        </w:tc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Size (Rows)</w:t>
            </w:r>
          </w:p>
        </w:tc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Percentage</w:t>
            </w:r>
          </w:p>
        </w:tc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Dominant City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Cluster 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[X]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[X]%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Cologne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Cluster 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[X]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[X]%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Leipzig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Cluster 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[X]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[X]%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Stuttgart</w:t>
            </w:r>
          </w:p>
        </w:tc>
      </w:tr>
    </w:tbl>
    <w:p>
      <w:pPr>
        <w:pBdr>
          <w:bottom w:val="single" w:color="AAAAAA" w:sz="6" w:space="1"/>
        </w:pBdr>
        <w:spacing w:after="300" w:before="200"/>
      </w:pPr>
    </w:p>
    <w:p>
      <w:pPr>
        <w:pStyle w:val="Heading2"/>
        <w:spacing w:after="130" w:before="260"/>
      </w:pPr>
      <w:r>
        <w:t xml:space="preserve">5. Visualization of Regimes</w:t>
      </w:r>
    </w:p>
    <w:p>
      <w:pPr>
        <w:pStyle w:val="Heading3"/>
        <w:spacing w:after="110" w:before="220"/>
      </w:pPr>
      <w:r>
        <w:t xml:space="preserve">5.1 PCA Visualization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Principal Component Analysis (PCA) was used to visualize the three clusters in two-dimensional space. The first two principal components explained [X]% of the total variance.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Cluster 0 (Green): Tightly clustered, consistent water quality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Cluster 1 (Orange): Moderate spread, more variable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Cluster 2 (Red): Widest spread, most variable</w:t>
      </w:r>
    </w:p>
    <w:p>
      <w:pPr>
        <w:pStyle w:val="Heading3"/>
        <w:spacing w:after="110" w:before="220"/>
      </w:pPr>
      <w:r>
        <w:t xml:space="preserve">5.2 Cluster Profiles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Bar plots of mean parameter values by cluster revealed clear separation: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EC, Chloride, Sulfate: Progressive increase from Cluster 0 → 1 → 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Nitrate: Peaks in Cluster 1 (agricultural)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Iron/Manganese: Peaks in Cluster 2 (geological/reducing conditions)</w:t>
      </w:r>
    </w:p>
    <w:p>
      <w:pPr>
        <w:pBdr>
          <w:bottom w:val="single" w:color="AAAAAA" w:sz="6" w:space="1"/>
        </w:pBdr>
        <w:spacing w:after="300" w:before="200"/>
      </w:pPr>
    </w:p>
    <w:p>
      <w:pPr>
        <w:pStyle w:val="Heading2"/>
        <w:spacing w:after="130" w:before="260"/>
      </w:pPr>
      <w:r>
        <w:t xml:space="preserve">6. Discussion</w:t>
      </w:r>
    </w:p>
    <w:p>
      <w:pPr>
        <w:pStyle w:val="Heading3"/>
        <w:spacing w:after="110" w:before="220"/>
      </w:pPr>
      <w:r>
        <w:t xml:space="preserve">6.1 Interpretation of Regimes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The identification of three distinct groundwater regimes reflects the diverse geological and anthropogenic settings of the three cities: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Regime</w:t>
            </w:r>
          </w:p>
        </w:tc>
        <w:tc>
          <w:tcPr>
            <w:tcW w:type="dxa" w:w="6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Driving Factors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Cluster 0 (Cologne)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Rhine River alluvial sediments, urban environment, well-flushed aquifer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Cluster 1 (Leipzig)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Agricultural land use, mining-affected groundwater, sandy soils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Cluster 2 (Stuttgart)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Industrial areas, Keuper/limestone geology, reducing conditions</w:t>
            </w:r>
          </w:p>
        </w:tc>
      </w:tr>
    </w:tbl>
    <w:p>
      <w:pPr>
        <w:pStyle w:val="Heading3"/>
        <w:spacing w:after="110" w:before="220"/>
      </w:pPr>
      <w:r>
        <w:t xml:space="preserve">6.2 Implications for Modeling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Finding</w:t>
            </w:r>
          </w:p>
        </w:tc>
        <w:tc>
          <w:tcPr>
            <w:tcW w:type="dxa" w:w="5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Modeling Implication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 distinct regimes exist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single global model may not capture regime-specific relationships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Cluster 0 has low variability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Predictions for Cologne may be more accurate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Cluster 2 has high variability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Predictions for Stuttgart may have higher uncertainty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Cluster 1 has high nitrate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Nitrate model may benefit from regime-specific training</w:t>
            </w:r>
          </w:p>
        </w:tc>
      </w:tr>
    </w:tbl>
    <w:p>
      <w:pPr>
        <w:pStyle w:val="Heading3"/>
        <w:spacing w:after="110" w:before="220"/>
      </w:pPr>
      <w:r>
        <w:t xml:space="preserve">6.3 Comparison with Literature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Our Finding</w:t>
            </w:r>
          </w:p>
        </w:tc>
        <w:tc>
          <w:tcPr>
            <w:tcW w:type="dxa" w:w="5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Literature Support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Hydrochemical regimes reflect geology and land use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Well-established in hydrogeology (Foster et al., 2011)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K-Means effective for groundwater classification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Supported by multiple studies (Güler et al., 2002)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City-specific signatures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Urban groundwater quality is highly location-specific (Eiswirth &amp; Hötzl, 1997)</w:t>
            </w:r>
          </w:p>
        </w:tc>
      </w:tr>
    </w:tbl>
    <w:p>
      <w:pPr>
        <w:pBdr>
          <w:bottom w:val="single" w:color="AAAAAA" w:sz="6" w:space="1"/>
        </w:pBdr>
        <w:spacing w:after="300" w:before="200"/>
      </w:pPr>
    </w:p>
    <w:p>
      <w:pPr>
        <w:pStyle w:val="Heading2"/>
        <w:spacing w:after="130" w:before="260"/>
      </w:pPr>
      <w:r>
        <w:t xml:space="preserve">7. Recommendations for Modeling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Based on the regime detection results: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000"/>
      </w:tblGrid>
      <w:tr>
        <w:trPr>
          <w:tblHeader/>
        </w:trPr>
        <w:tc>
          <w:tcPr>
            <w:tcW w:type="dxa" w:w="4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Recommendation</w:t>
            </w:r>
          </w:p>
        </w:tc>
        <w:tc>
          <w:tcPr>
            <w:tcW w:type="dxa" w:w="50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Build both global and local models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Compare performance to determine best approach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 K-Means clusters for local models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Best performing clustering method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 predictions with uncertainty for Cluster 2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Highest variability requires uncertainty quantification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Consider regime-specific features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Different drivers may matter in each regime</w:t>
            </w:r>
          </w:p>
        </w:tc>
      </w:tr>
    </w:tbl>
    <w:p>
      <w:pPr>
        <w:pBdr>
          <w:bottom w:val="single" w:color="AAAAAA" w:sz="6" w:space="1"/>
        </w:pBdr>
        <w:spacing w:after="300" w:before="200"/>
      </w:pPr>
    </w:p>
    <w:p>
      <w:pPr>
        <w:pStyle w:val="Heading2"/>
        <w:spacing w:after="130" w:before="260"/>
      </w:pPr>
      <w:r>
        <w:t xml:space="preserve">8. Conclusion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Three distinct groundwater regimes were identified: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Cluster 0 (Clean, Dilute Groundwater)</w:t>
      </w:r>
      <w:r>
        <w:rPr>
          <w:b w:val="false"/>
          <w:bCs w:val="false"/>
          <w:i w:val="false"/>
          <w:iCs w:val="false"/>
        </w:rPr>
        <w:t xml:space="preserve"> — Associated with Cologne; low concentrations across all parameters; reflects well-flushed alluvial aquifer.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Cluster 1 (Agricultural Influence)</w:t>
      </w:r>
      <w:r>
        <w:rPr>
          <w:b w:val="false"/>
          <w:bCs w:val="false"/>
          <w:i w:val="false"/>
          <w:iCs w:val="false"/>
        </w:rPr>
        <w:t xml:space="preserve"> — Associated with Leipzig; elevated nitrate; reflects agricultural and mining impacts.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Cluster 2 (Geological/Industrial Influence)</w:t>
      </w:r>
      <w:r>
        <w:rPr>
          <w:b w:val="false"/>
          <w:bCs w:val="false"/>
          <w:i w:val="false"/>
          <w:iCs w:val="false"/>
        </w:rPr>
        <w:t xml:space="preserve"> — Associated with Stuttgart; high EC, chloride, sulfate, iron, and manganese; reflects industrial activity and geological conditions.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These regimes will be used in subsequent modeling phases to evaluate whether local (regime-specific) models outperform a single global model. This approach aligns with the project's goal of developing a scientifically defensible groundwater surrogate modeling framework.</w:t>
      </w:r>
    </w:p>
    <w:p>
      <w:pPr>
        <w:pBdr>
          <w:bottom w:val="single" w:color="AAAAAA" w:sz="6" w:space="1"/>
        </w:pBdr>
        <w:spacing w:after="300" w:before="200"/>
      </w:pPr>
    </w:p>
    <w:p>
      <w:pPr>
        <w:spacing w:after="100" w:before="100"/>
        <w:jc w:val="center"/>
      </w:pPr>
      <w:r>
        <w:rPr>
          <w:b/>
          <w:bCs/>
          <w:i/>
          <w:iCs/>
        </w:rPr>
        <w:t xml:space="preserve">END OF PHASE 6 WRITEUP</w:t>
      </w:r>
    </w:p>
    <w:p>
      <w:pPr>
        <w:pBdr>
          <w:bottom w:val="single" w:color="AAAAAA" w:sz="6" w:space="1"/>
        </w:pBdr>
        <w:spacing w:after="300" w:before="200"/>
      </w:pPr>
    </w:p>
    <w:p>
      <w:pPr>
        <w:spacing w:after="100" w:before="100"/>
        <w:jc w:val="center"/>
      </w:pPr>
      <w:r>
        <w:rPr>
          <w:i/>
          <w:iCs/>
        </w:rPr>
        <w:t xml:space="preserve">This document summarizes the Regime Detection (Clustering) phase of the groundwater quality forecasting project and provides content for the research paper methodology and results sections.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2026-08-16T11:25:40.593Z</dcterms:created>
  <dcterms:modified xsi:type="dcterms:W3CDTF">2026-08-16T11:25:40.608Z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