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0"/>
        </w:rPr>
        <w:t>OOP Catastrophic Expenditure and Impoverishment Workflow</w:t>
      </w:r>
    </w:p>
    <w:p>
      <w:pPr>
        <w:spacing w:after="280"/>
      </w:pPr>
      <w:r>
        <w:rPr>
          <w:color w:val="5A5A5A"/>
          <w:sz w:val="22"/>
        </w:rPr>
        <w:t>NLSS IV 2022/23 method note for boss-facing submission</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9360"/>
      </w:tblGrid>
      <w:tr>
        <w:tc>
          <w:tcPr>
            <w:tcW w:type="dxa" w:w="9360"/>
            <w:shd w:fill="E8EEF5"/>
            <w:tcMar>
              <w:top w:w="120" w:type="dxa"/>
              <w:start w:w="160" w:type="dxa"/>
              <w:bottom w:w="120" w:type="dxa"/>
              <w:end w:w="160" w:type="dxa"/>
            </w:tcMar>
          </w:tcPr>
          <w:p>
            <w:pPr>
              <w:spacing w:after="0"/>
            </w:pPr>
            <w:r>
              <w:rPr>
                <w:b/>
                <w:color w:val="1F4D78"/>
                <w:sz w:val="22"/>
              </w:rPr>
              <w:t xml:space="preserve">Bottom line: </w:t>
            </w:r>
            <w:r>
              <w:t>poverty still increases after OOP. In NLSS IV, however, official pcep already excludes health expenses, so official poverty is interpreted as the post-OOP poverty rate. The pre-OOP rate must be reconstructed by adding OOP back to pcep.</w:t>
            </w:r>
          </w:p>
        </w:tc>
      </w:tr>
    </w:tbl>
    <w:p>
      <w:pPr>
        <w:pStyle w:val="Heading1"/>
      </w:pPr>
      <w:r>
        <w:t>Purpose and Scope</w:t>
      </w:r>
    </w:p>
    <w:p>
      <w:r>
        <w:t>This note explains the workflow used to estimate catastrophic health expenditure and health-payment-associated impoverishment using NLSS IV 2022/23. For this submission, the term OOP refers to Section 8(B) communicable disease or injury out-of-pocket spending reported in the past 30 days. Section 8(A) non-communicable disease spending is not included in this OOP measure.</w:t>
      </w:r>
    </w:p>
    <w:p>
      <w:r>
        <w:t>The focus on Section 8(B) follows the current study decision: regular medicine and planned care for chronic conditions may reflect a different spending process, while Section 8(B) captures recent acute communicable disease or injury-related health payments.</w:t>
      </w:r>
    </w:p>
    <w:p>
      <w:pPr>
        <w:pStyle w:val="ListBullet"/>
        <w:spacing w:after="80" w:line="276" w:lineRule="auto"/>
      </w:pPr>
      <w:r>
        <w:t>The share-based CHE measure compares OOP with household resources before the payment.</w:t>
      </w:r>
    </w:p>
    <w:p>
      <w:pPr>
        <w:pStyle w:val="ListBullet"/>
        <w:spacing w:after="80" w:line="276" w:lineRule="auto"/>
      </w:pPr>
      <w:r>
        <w:t>The impoverishment measure compares poverty status before and after OOP.</w:t>
      </w:r>
    </w:p>
    <w:p>
      <w:pPr>
        <w:pStyle w:val="ListBullet"/>
        <w:spacing w:after="80" w:line="276" w:lineRule="auto"/>
      </w:pPr>
      <w:r>
        <w:t>The official NLSS IV welfare aggregate excludes health expenses, so the before/after accounting must be adjusted accordingly.</w:t>
      </w:r>
    </w:p>
    <w:p>
      <w:pPr>
        <w:pStyle w:val="Heading1"/>
      </w:pPr>
      <w:r>
        <w:t>Data Workflow</w:t>
      </w:r>
    </w:p>
    <w:p>
      <w:r>
        <w:t>The boss-facing do-file in the submission folder intentionally uses only the minimum required official files. It does not depend on the cleaned project dataset or on intermediate saved files.</w:t>
      </w:r>
    </w:p>
    <w:p>
      <w:pPr>
        <w:pStyle w:val="ListNumber"/>
        <w:spacing w:after="80" w:line="276" w:lineRule="auto"/>
      </w:pPr>
      <w:r>
        <w:t>Read S08.dta and sum q08_14_i to the household level. This is the monthly OOP amount for Section 8(B).</w:t>
      </w:r>
    </w:p>
    <w:p>
      <w:pPr>
        <w:pStyle w:val="ListNumber"/>
        <w:spacing w:after="80" w:line="276" w:lineRule="auto"/>
      </w:pPr>
      <w:r>
        <w:t>Read poverty.dta, which contains pcep, pcep_food, pcep_nonfood, paasche, pline, household weights, and individual weights.</w:t>
      </w:r>
    </w:p>
    <w:p>
      <w:pPr>
        <w:pStyle w:val="ListNumber"/>
        <w:spacing w:after="80" w:line="276" w:lineRule="auto"/>
      </w:pPr>
      <w:r>
        <w:t>Read total_consumption.dta, which contains official annual household consumption. This is divided by 12 for the monthly CHE denominator.</w:t>
      </w:r>
    </w:p>
    <w:p>
      <w:pPr>
        <w:pStyle w:val="ListNumber"/>
        <w:spacing w:after="80" w:line="276" w:lineRule="auto"/>
      </w:pPr>
      <w:r>
        <w:t>Merge the three inputs by psu_number and hh_number.</w:t>
      </w:r>
    </w:p>
    <w:p>
      <w:pPr>
        <w:pStyle w:val="ListNumber"/>
        <w:spacing w:after="80" w:line="276" w:lineRule="auto"/>
      </w:pPr>
      <w:r>
        <w:t>Calculate CHE, pre- and post-OOP poverty, poverty gaps, and the number of people pushed below the poverty line.</w:t>
      </w:r>
    </w:p>
    <w:p>
      <w:pPr>
        <w:pStyle w:val="Heading1"/>
      </w:pPr>
      <w:r>
        <w:t>Core Formulas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c>
          <w:tcPr>
            <w:tcW w:type="dxa" w:w="2232"/>
            <w:shd w:fill="F2F4F7"/>
            <w:tcMar>
              <w:top w:w="80" w:type="dxa"/>
              <w:start w:w="120" w:type="dxa"/>
              <w:bottom w:w="80" w:type="dxa"/>
              <w:end w:w="120" w:type="dxa"/>
            </w:tcMar>
            <w:vAlign w:val="center"/>
          </w:tcPr>
          <w:p>
            <w:pPr>
              <w:spacing w:after="0" w:line="264" w:lineRule="auto"/>
            </w:pPr>
            <w:r/>
            <w:r>
              <w:rPr>
                <w:rFonts w:ascii="Calibri" w:hAnsi="Calibri"/>
                <w:b/>
                <w:sz w:val="20"/>
              </w:rPr>
              <w:t>Concept</w:t>
            </w:r>
          </w:p>
        </w:tc>
        <w:tc>
          <w:tcPr>
            <w:tcW w:type="dxa" w:w="4032"/>
            <w:shd w:fill="F2F4F7"/>
            <w:tcMar>
              <w:top w:w="80" w:type="dxa"/>
              <w:start w:w="120" w:type="dxa"/>
              <w:bottom w:w="80" w:type="dxa"/>
              <w:end w:w="120" w:type="dxa"/>
            </w:tcMar>
            <w:vAlign w:val="center"/>
          </w:tcPr>
          <w:p>
            <w:pPr>
              <w:spacing w:after="0" w:line="264" w:lineRule="auto"/>
            </w:pPr>
            <w:r/>
            <w:r>
              <w:rPr>
                <w:rFonts w:ascii="Calibri" w:hAnsi="Calibri"/>
                <w:b/>
                <w:sz w:val="20"/>
              </w:rPr>
              <w:t>Formula</w:t>
            </w:r>
          </w:p>
        </w:tc>
        <w:tc>
          <w:tcPr>
            <w:tcW w:type="dxa" w:w="2880"/>
            <w:shd w:fill="F2F4F7"/>
            <w:tcMar>
              <w:top w:w="80" w:type="dxa"/>
              <w:start w:w="120" w:type="dxa"/>
              <w:bottom w:w="80" w:type="dxa"/>
              <w:end w:w="120" w:type="dxa"/>
            </w:tcMar>
            <w:vAlign w:val="center"/>
          </w:tcPr>
          <w:p>
            <w:pPr>
              <w:spacing w:after="0" w:line="264" w:lineRule="auto"/>
            </w:pPr>
            <w:r/>
            <w:r>
              <w:rPr>
                <w:rFonts w:ascii="Calibri" w:hAnsi="Calibri"/>
                <w:b/>
                <w:sz w:val="20"/>
              </w:rPr>
              <w:t>Interpretation</w:t>
            </w:r>
          </w:p>
        </w:tc>
      </w:tr>
      <w:tr>
        <w:tc>
          <w:tcPr>
            <w:tcW w:type="dxa" w:w="3120"/>
            <w:tcMar>
              <w:top w:w="80" w:type="dxa"/>
              <w:start w:w="120" w:type="dxa"/>
              <w:bottom w:w="80" w:type="dxa"/>
              <w:end w:w="120" w:type="dxa"/>
            </w:tcMar>
            <w:vAlign w:val="center"/>
          </w:tcPr>
          <w:p>
            <w:pPr>
              <w:spacing w:after="0" w:line="264" w:lineRule="auto"/>
            </w:pPr>
            <w:r/>
            <w:r>
              <w:rPr>
                <w:rFonts w:ascii="Calibri" w:hAnsi="Calibri"/>
                <w:b/>
                <w:sz w:val="20"/>
              </w:rPr>
              <w:t>OOP</w:t>
            </w:r>
          </w:p>
        </w:tc>
        <w:tc>
          <w:tcPr>
            <w:tcW w:type="dxa" w:w="3120"/>
            <w:tcMar>
              <w:top w:w="80" w:type="dxa"/>
              <w:start w:w="120" w:type="dxa"/>
              <w:bottom w:w="80" w:type="dxa"/>
              <w:end w:w="120" w:type="dxa"/>
            </w:tcMar>
            <w:vAlign w:val="center"/>
          </w:tcPr>
          <w:p>
            <w:pPr>
              <w:spacing w:after="0" w:line="264" w:lineRule="auto"/>
            </w:pPr>
            <w:r/>
            <w:r>
              <w:rPr>
                <w:rFonts w:ascii="Calibri" w:hAnsi="Calibri"/>
                <w:b w:val="0"/>
                <w:sz w:val="20"/>
              </w:rPr>
              <w:t>sum(q08_14_i) by household</w:t>
            </w:r>
          </w:p>
        </w:tc>
        <w:tc>
          <w:tcPr>
            <w:tcW w:type="dxa" w:w="3120"/>
            <w:tcMar>
              <w:top w:w="80" w:type="dxa"/>
              <w:start w:w="120" w:type="dxa"/>
              <w:bottom w:w="80" w:type="dxa"/>
              <w:end w:w="120" w:type="dxa"/>
            </w:tcMar>
            <w:vAlign w:val="center"/>
          </w:tcPr>
          <w:p>
            <w:pPr>
              <w:spacing w:after="0" w:line="264" w:lineRule="auto"/>
            </w:pPr>
            <w:r/>
            <w:r>
              <w:rPr>
                <w:rFonts w:ascii="Calibri" w:hAnsi="Calibri"/>
                <w:b w:val="0"/>
                <w:sz w:val="20"/>
              </w:rPr>
              <w:t>Section 8(B) spending in the past 30 days.</w:t>
            </w:r>
          </w:p>
        </w:tc>
      </w:tr>
      <w:tr>
        <w:tc>
          <w:tcPr>
            <w:tcW w:type="dxa" w:w="3120"/>
            <w:tcMar>
              <w:top w:w="80" w:type="dxa"/>
              <w:start w:w="120" w:type="dxa"/>
              <w:bottom w:w="80" w:type="dxa"/>
              <w:end w:w="120" w:type="dxa"/>
            </w:tcMar>
            <w:vAlign w:val="center"/>
          </w:tcPr>
          <w:p>
            <w:pPr>
              <w:spacing w:after="0" w:line="264" w:lineRule="auto"/>
            </w:pPr>
            <w:r/>
            <w:r>
              <w:rPr>
                <w:rFonts w:ascii="Calibri" w:hAnsi="Calibri"/>
                <w:b/>
                <w:sz w:val="20"/>
              </w:rPr>
              <w:t>CHE total denominator</w:t>
            </w:r>
          </w:p>
        </w:tc>
        <w:tc>
          <w:tcPr>
            <w:tcW w:type="dxa" w:w="3120"/>
            <w:tcMar>
              <w:top w:w="80" w:type="dxa"/>
              <w:start w:w="120" w:type="dxa"/>
              <w:bottom w:w="80" w:type="dxa"/>
              <w:end w:w="120" w:type="dxa"/>
            </w:tcMar>
            <w:vAlign w:val="center"/>
          </w:tcPr>
          <w:p>
            <w:pPr>
              <w:spacing w:after="0" w:line="264" w:lineRule="auto"/>
            </w:pPr>
            <w:r/>
            <w:r>
              <w:rPr>
                <w:rFonts w:ascii="Calibri" w:hAnsi="Calibri"/>
                <w:b w:val="0"/>
                <w:sz w:val="20"/>
              </w:rPr>
              <w:t>monthly consumption excluding health + OOP</w:t>
            </w:r>
          </w:p>
        </w:tc>
        <w:tc>
          <w:tcPr>
            <w:tcW w:type="dxa" w:w="3120"/>
            <w:tcMar>
              <w:top w:w="80" w:type="dxa"/>
              <w:start w:w="120" w:type="dxa"/>
              <w:bottom w:w="80" w:type="dxa"/>
              <w:end w:w="120" w:type="dxa"/>
            </w:tcMar>
            <w:vAlign w:val="center"/>
          </w:tcPr>
          <w:p>
            <w:pPr>
              <w:spacing w:after="0" w:line="264" w:lineRule="auto"/>
            </w:pPr>
            <w:r/>
            <w:r>
              <w:rPr>
                <w:rFonts w:ascii="Calibri" w:hAnsi="Calibri"/>
                <w:b w:val="0"/>
                <w:sz w:val="20"/>
              </w:rPr>
              <w:t>Reconstructs pre-payment resources because health spending is excluded from NLSS welfare consumption.</w:t>
            </w:r>
          </w:p>
        </w:tc>
      </w:tr>
      <w:tr>
        <w:tc>
          <w:tcPr>
            <w:tcW w:type="dxa" w:w="3120"/>
            <w:tcMar>
              <w:top w:w="80" w:type="dxa"/>
              <w:start w:w="120" w:type="dxa"/>
              <w:bottom w:w="80" w:type="dxa"/>
              <w:end w:w="120" w:type="dxa"/>
            </w:tcMar>
            <w:vAlign w:val="center"/>
          </w:tcPr>
          <w:p>
            <w:pPr>
              <w:spacing w:after="0" w:line="264" w:lineRule="auto"/>
            </w:pPr>
            <w:r/>
            <w:r>
              <w:rPr>
                <w:rFonts w:ascii="Calibri" w:hAnsi="Calibri"/>
                <w:b/>
                <w:sz w:val="20"/>
              </w:rPr>
              <w:t>CHE indicator</w:t>
            </w:r>
          </w:p>
        </w:tc>
        <w:tc>
          <w:tcPr>
            <w:tcW w:type="dxa" w:w="3120"/>
            <w:tcMar>
              <w:top w:w="80" w:type="dxa"/>
              <w:start w:w="120" w:type="dxa"/>
              <w:bottom w:w="80" w:type="dxa"/>
              <w:end w:w="120" w:type="dxa"/>
            </w:tcMar>
            <w:vAlign w:val="center"/>
          </w:tcPr>
          <w:p>
            <w:pPr>
              <w:spacing w:after="0" w:line="264" w:lineRule="auto"/>
            </w:pPr>
            <w:r/>
            <w:r>
              <w:rPr>
                <w:rFonts w:ascii="Calibri" w:hAnsi="Calibri"/>
                <w:b w:val="0"/>
                <w:sz w:val="20"/>
              </w:rPr>
              <w:t>OOP / (consumption + OOP) &gt; threshold</w:t>
            </w:r>
          </w:p>
        </w:tc>
        <w:tc>
          <w:tcPr>
            <w:tcW w:type="dxa" w:w="3120"/>
            <w:tcMar>
              <w:top w:w="80" w:type="dxa"/>
              <w:start w:w="120" w:type="dxa"/>
              <w:bottom w:w="80" w:type="dxa"/>
              <w:end w:w="120" w:type="dxa"/>
            </w:tcMar>
            <w:vAlign w:val="center"/>
          </w:tcPr>
          <w:p>
            <w:pPr>
              <w:spacing w:after="0" w:line="264" w:lineRule="auto"/>
            </w:pPr>
            <w:r/>
            <w:r>
              <w:rPr>
                <w:rFonts w:ascii="Calibri" w:hAnsi="Calibri"/>
                <w:b w:val="0"/>
                <w:sz w:val="20"/>
              </w:rPr>
              <w:t>Primary budget-share measure, usually 10%, 20%, or 25%.</w:t>
            </w:r>
          </w:p>
        </w:tc>
      </w:tr>
      <w:tr>
        <w:tc>
          <w:tcPr>
            <w:tcW w:type="dxa" w:w="3120"/>
            <w:tcMar>
              <w:top w:w="80" w:type="dxa"/>
              <w:start w:w="120" w:type="dxa"/>
              <w:bottom w:w="80" w:type="dxa"/>
              <w:end w:w="120" w:type="dxa"/>
            </w:tcMar>
            <w:vAlign w:val="center"/>
          </w:tcPr>
          <w:p>
            <w:pPr>
              <w:spacing w:after="0" w:line="264" w:lineRule="auto"/>
            </w:pPr>
            <w:r/>
            <w:r>
              <w:rPr>
                <w:rFonts w:ascii="Calibri" w:hAnsi="Calibri"/>
                <w:b/>
                <w:sz w:val="20"/>
              </w:rPr>
              <w:t>Nonfood CHE</w:t>
            </w:r>
          </w:p>
        </w:tc>
        <w:tc>
          <w:tcPr>
            <w:tcW w:type="dxa" w:w="3120"/>
            <w:tcMar>
              <w:top w:w="80" w:type="dxa"/>
              <w:start w:w="120" w:type="dxa"/>
              <w:bottom w:w="80" w:type="dxa"/>
              <w:end w:w="120" w:type="dxa"/>
            </w:tcMar>
            <w:vAlign w:val="center"/>
          </w:tcPr>
          <w:p>
            <w:pPr>
              <w:spacing w:after="0" w:line="264" w:lineRule="auto"/>
            </w:pPr>
            <w:r/>
            <w:r>
              <w:rPr>
                <w:rFonts w:ascii="Calibri" w:hAnsi="Calibri"/>
                <w:b w:val="0"/>
                <w:sz w:val="20"/>
              </w:rPr>
              <w:t>real OOP / (monthly nonfood consumption + real OOP)</w:t>
            </w:r>
          </w:p>
        </w:tc>
        <w:tc>
          <w:tcPr>
            <w:tcW w:type="dxa" w:w="3120"/>
            <w:tcMar>
              <w:top w:w="80" w:type="dxa"/>
              <w:start w:w="120" w:type="dxa"/>
              <w:bottom w:w="80" w:type="dxa"/>
              <w:end w:w="120" w:type="dxa"/>
            </w:tcMar>
            <w:vAlign w:val="center"/>
          </w:tcPr>
          <w:p>
            <w:pPr>
              <w:spacing w:after="0" w:line="264" w:lineRule="auto"/>
            </w:pPr>
            <w:r/>
            <w:r>
              <w:rPr>
                <w:rFonts w:ascii="Calibri" w:hAnsi="Calibri"/>
                <w:b w:val="0"/>
                <w:sz w:val="20"/>
              </w:rPr>
              <w:t>A capacity-style sensitivity based on nonfood resources.</w:t>
            </w:r>
          </w:p>
        </w:tc>
      </w:tr>
      <w:tr>
        <w:tc>
          <w:tcPr>
            <w:tcW w:type="dxa" w:w="3120"/>
            <w:tcMar>
              <w:top w:w="80" w:type="dxa"/>
              <w:start w:w="120" w:type="dxa"/>
              <w:bottom w:w="80" w:type="dxa"/>
              <w:end w:w="120" w:type="dxa"/>
            </w:tcMar>
            <w:vAlign w:val="center"/>
          </w:tcPr>
          <w:p>
            <w:pPr>
              <w:spacing w:after="0" w:line="264" w:lineRule="auto"/>
            </w:pPr>
            <w:r/>
            <w:r>
              <w:rPr>
                <w:rFonts w:ascii="Calibri" w:hAnsi="Calibri"/>
                <w:b/>
                <w:sz w:val="20"/>
              </w:rPr>
              <w:t>Pre-OOP welfare</w:t>
            </w:r>
          </w:p>
        </w:tc>
        <w:tc>
          <w:tcPr>
            <w:tcW w:type="dxa" w:w="3120"/>
            <w:tcMar>
              <w:top w:w="80" w:type="dxa"/>
              <w:start w:w="120" w:type="dxa"/>
              <w:bottom w:w="80" w:type="dxa"/>
              <w:end w:w="120" w:type="dxa"/>
            </w:tcMar>
            <w:vAlign w:val="center"/>
          </w:tcPr>
          <w:p>
            <w:pPr>
              <w:spacing w:after="0" w:line="264" w:lineRule="auto"/>
            </w:pPr>
            <w:r/>
            <w:r>
              <w:rPr>
                <w:rFonts w:ascii="Calibri" w:hAnsi="Calibri"/>
                <w:b w:val="0"/>
                <w:sz w:val="20"/>
              </w:rPr>
              <w:t>pcep + annual real per-capita OOP</w:t>
            </w:r>
          </w:p>
        </w:tc>
        <w:tc>
          <w:tcPr>
            <w:tcW w:type="dxa" w:w="3120"/>
            <w:tcMar>
              <w:top w:w="80" w:type="dxa"/>
              <w:start w:w="120" w:type="dxa"/>
              <w:bottom w:w="80" w:type="dxa"/>
              <w:end w:w="120" w:type="dxa"/>
            </w:tcMar>
            <w:vAlign w:val="center"/>
          </w:tcPr>
          <w:p>
            <w:pPr>
              <w:spacing w:after="0" w:line="264" w:lineRule="auto"/>
            </w:pPr>
            <w:r/>
            <w:r>
              <w:rPr>
                <w:rFonts w:ascii="Calibri" w:hAnsi="Calibri"/>
                <w:b w:val="0"/>
                <w:sz w:val="20"/>
              </w:rPr>
              <w:t>Counterfactual welfare before the health payment.</w:t>
            </w:r>
          </w:p>
        </w:tc>
      </w:tr>
      <w:tr>
        <w:tc>
          <w:tcPr>
            <w:tcW w:type="dxa" w:w="3120"/>
            <w:tcMar>
              <w:top w:w="80" w:type="dxa"/>
              <w:start w:w="120" w:type="dxa"/>
              <w:bottom w:w="80" w:type="dxa"/>
              <w:end w:w="120" w:type="dxa"/>
            </w:tcMar>
            <w:vAlign w:val="center"/>
          </w:tcPr>
          <w:p>
            <w:pPr>
              <w:spacing w:after="0" w:line="264" w:lineRule="auto"/>
            </w:pPr>
            <w:r/>
            <w:r>
              <w:rPr>
                <w:rFonts w:ascii="Calibri" w:hAnsi="Calibri"/>
                <w:b/>
                <w:sz w:val="20"/>
              </w:rPr>
              <w:t>Post-OOP welfare</w:t>
            </w:r>
          </w:p>
        </w:tc>
        <w:tc>
          <w:tcPr>
            <w:tcW w:type="dxa" w:w="3120"/>
            <w:tcMar>
              <w:top w:w="80" w:type="dxa"/>
              <w:start w:w="120" w:type="dxa"/>
              <w:bottom w:w="80" w:type="dxa"/>
              <w:end w:w="120" w:type="dxa"/>
            </w:tcMar>
            <w:vAlign w:val="center"/>
          </w:tcPr>
          <w:p>
            <w:pPr>
              <w:spacing w:after="0" w:line="264" w:lineRule="auto"/>
            </w:pPr>
            <w:r/>
            <w:r>
              <w:rPr>
                <w:rFonts w:ascii="Calibri" w:hAnsi="Calibri"/>
                <w:b w:val="0"/>
                <w:sz w:val="20"/>
              </w:rPr>
              <w:t>pcep</w:t>
            </w:r>
          </w:p>
        </w:tc>
        <w:tc>
          <w:tcPr>
            <w:tcW w:type="dxa" w:w="3120"/>
            <w:tcMar>
              <w:top w:w="80" w:type="dxa"/>
              <w:start w:w="120" w:type="dxa"/>
              <w:bottom w:w="80" w:type="dxa"/>
              <w:end w:w="120" w:type="dxa"/>
            </w:tcMar>
            <w:vAlign w:val="center"/>
          </w:tcPr>
          <w:p>
            <w:pPr>
              <w:spacing w:after="0" w:line="264" w:lineRule="auto"/>
            </w:pPr>
            <w:r/>
            <w:r>
              <w:rPr>
                <w:rFonts w:ascii="Calibri" w:hAnsi="Calibri"/>
                <w:b w:val="0"/>
                <w:sz w:val="20"/>
              </w:rPr>
              <w:t>Official NLSS welfare after excluding health expenses.</w:t>
            </w:r>
          </w:p>
        </w:tc>
      </w:tr>
      <w:tr>
        <w:tc>
          <w:tcPr>
            <w:tcW w:type="dxa" w:w="3120"/>
            <w:tcMar>
              <w:top w:w="80" w:type="dxa"/>
              <w:start w:w="120" w:type="dxa"/>
              <w:bottom w:w="80" w:type="dxa"/>
              <w:end w:w="120" w:type="dxa"/>
            </w:tcMar>
            <w:vAlign w:val="center"/>
          </w:tcPr>
          <w:p>
            <w:pPr>
              <w:spacing w:after="0" w:line="264" w:lineRule="auto"/>
            </w:pPr>
            <w:r/>
            <w:r>
              <w:rPr>
                <w:rFonts w:ascii="Calibri" w:hAnsi="Calibri"/>
                <w:b/>
                <w:sz w:val="20"/>
              </w:rPr>
              <w:t>Impoverishment</w:t>
            </w:r>
          </w:p>
        </w:tc>
        <w:tc>
          <w:tcPr>
            <w:tcW w:type="dxa" w:w="3120"/>
            <w:tcMar>
              <w:top w:w="80" w:type="dxa"/>
              <w:start w:w="120" w:type="dxa"/>
              <w:bottom w:w="80" w:type="dxa"/>
              <w:end w:w="120" w:type="dxa"/>
            </w:tcMar>
            <w:vAlign w:val="center"/>
          </w:tcPr>
          <w:p>
            <w:pPr>
              <w:spacing w:after="0" w:line="264" w:lineRule="auto"/>
            </w:pPr>
            <w:r/>
            <w:r>
              <w:rPr>
                <w:rFonts w:ascii="Calibri" w:hAnsi="Calibri"/>
                <w:b w:val="0"/>
                <w:sz w:val="20"/>
              </w:rPr>
              <w:t>pre-OOP welfare &gt;= poverty line and post-OOP welfare &lt; poverty line</w:t>
            </w:r>
          </w:p>
        </w:tc>
        <w:tc>
          <w:tcPr>
            <w:tcW w:type="dxa" w:w="3120"/>
            <w:tcMar>
              <w:top w:w="80" w:type="dxa"/>
              <w:start w:w="120" w:type="dxa"/>
              <w:bottom w:w="80" w:type="dxa"/>
              <w:end w:w="120" w:type="dxa"/>
            </w:tcMar>
            <w:vAlign w:val="center"/>
          </w:tcPr>
          <w:p>
            <w:pPr>
              <w:spacing w:after="0" w:line="264" w:lineRule="auto"/>
            </w:pPr>
            <w:r/>
            <w:r>
              <w:rPr>
                <w:rFonts w:ascii="Calibri" w:hAnsi="Calibri"/>
                <w:b w:val="0"/>
                <w:sz w:val="20"/>
              </w:rPr>
              <w:t>Counts people pushed below the poverty line by OOP.</w:t>
            </w:r>
          </w:p>
        </w:tc>
      </w:tr>
    </w:tbl>
    <w:p>
      <w:pPr>
        <w:pStyle w:val="Heading1"/>
      </w:pPr>
      <w:r>
        <w:t>Why the CHE Denominator Adds OOP</w:t>
      </w:r>
    </w:p>
    <w:p>
      <w:r>
        <w:t>The standard wording says catastrophic spending is OOP exceeding a fraction of pre-payment income or consumption. If the consumption variable includes health spending, then that total can be used directly as the pre-payment denominator. NLSS IV is different because the welfare aggregate excludes health expenses. Therefore, observed consumption is already non-health consumption after health expenses have been kept out.</w:t>
      </w:r>
    </w:p>
    <w:p>
      <w:r>
        <w:t>For this reason, the pre-payment budget is reconstructed as consumption excluding health plus OOP. The primary CHE ratio is therefore OOP divided by consumption plus OOP. The alternative ratio, OOP divided by consumption excluding health without adding OOP back, is retained only as a sensitivity because it treats the post-payment non-health budget as if it were the pre-payment resource base.</w:t>
      </w:r>
    </w:p>
    <w:p>
      <w:pPr>
        <w:pStyle w:val="Heading1"/>
      </w:pPr>
      <w:r>
        <w:t>How Impoverishment Is Counted</w:t>
      </w:r>
    </w:p>
    <w:p>
      <w:r>
        <w:t>The Health Equity book and related papers define impoverishment by comparing poverty using resources gross and net of health payments. In the usual case, x is total consumption including health spending and T is OOP, so post-payment welfare is x - T. The poverty impact is the difference between poverty after payment and poverty before payment.</w:t>
      </w:r>
    </w:p>
    <w:p>
      <w:r>
        <w:t>In NLSS IV, the official welfare variable pcep excludes health expenses. This changes the accounting but not the idea. Since pcep is already the welfare measure after health spending is excluded, the pre-payment welfare measure must be reconstructed by adding OOP back.</w:t>
      </w:r>
    </w:p>
    <w:p>
      <w:pPr>
        <w:pStyle w:val="ListBullet"/>
        <w:spacing w:after="80" w:line="276" w:lineRule="auto"/>
      </w:pPr>
      <w:r>
        <w:t>Pre-OOP poverty: pcep plus annual real per-capita OOP is below the poverty line.</w:t>
      </w:r>
    </w:p>
    <w:p>
      <w:pPr>
        <w:pStyle w:val="ListBullet"/>
        <w:spacing w:after="80" w:line="276" w:lineRule="auto"/>
      </w:pPr>
      <w:r>
        <w:t>Post-OOP poverty: official pcep is below the poverty line.</w:t>
      </w:r>
    </w:p>
    <w:p>
      <w:pPr>
        <w:pStyle w:val="ListBullet"/>
        <w:spacing w:after="80" w:line="276" w:lineRule="auto"/>
      </w:pPr>
      <w:r>
        <w:t>Pushed below poverty line: pre-OOP welfare is at or above the poverty line, but post-OOP welfare is below it.</w:t>
      </w:r>
    </w:p>
    <w:p>
      <w:pPr>
        <w:pStyle w:val="ListBullet"/>
        <w:spacing w:after="80" w:line="276" w:lineRule="auto"/>
      </w:pPr>
      <w:r>
        <w:t>People already poor before OOP are not newly pushed into poverty, but their poverty gap can deepen after OOP.</w:t>
      </w:r>
    </w:p>
    <w:p>
      <w:r>
        <w:t>Using the current main analysis, pre-OOP poverty is 18.80% and post-OOP poverty is 20.27%. The increase is 1.47 percentage points, representing about 421,000 people pushed below the poverty line. Thus the expected direction holds: poverty increases after OOP. The important point is that the official 20.27% poverty rate is the post-OOP rate under this interpretation.</w:t>
      </w:r>
    </w:p>
    <w:p>
      <w:pPr>
        <w:pStyle w:val="Heading1"/>
      </w:pPr>
      <w:r>
        <w:t>Evidence Supporting the Interpretation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c>
          <w:tcPr>
            <w:tcW w:type="dxa" w:w="2232"/>
            <w:shd w:fill="F2F4F7"/>
            <w:tcMar>
              <w:top w:w="80" w:type="dxa"/>
              <w:start w:w="120" w:type="dxa"/>
              <w:bottom w:w="80" w:type="dxa"/>
              <w:end w:w="120" w:type="dxa"/>
            </w:tcMar>
          </w:tcPr>
          <w:p>
            <w:pPr>
              <w:spacing w:after="0" w:line="264" w:lineRule="auto"/>
            </w:pPr>
            <w:r/>
            <w:r>
              <w:rPr>
                <w:rFonts w:ascii="Calibri" w:hAnsi="Calibri"/>
                <w:b/>
                <w:sz w:val="20"/>
              </w:rPr>
              <w:t>Source</w:t>
            </w:r>
          </w:p>
        </w:tc>
        <w:tc>
          <w:tcPr>
            <w:tcW w:type="dxa" w:w="4392"/>
            <w:shd w:fill="F2F4F7"/>
            <w:tcMar>
              <w:top w:w="80" w:type="dxa"/>
              <w:start w:w="120" w:type="dxa"/>
              <w:bottom w:w="80" w:type="dxa"/>
              <w:end w:w="120" w:type="dxa"/>
            </w:tcMar>
          </w:tcPr>
          <w:p>
            <w:pPr>
              <w:spacing w:after="0" w:line="264" w:lineRule="auto"/>
            </w:pPr>
            <w:r/>
            <w:r>
              <w:rPr>
                <w:rFonts w:ascii="Calibri" w:hAnsi="Calibri"/>
                <w:b/>
                <w:sz w:val="20"/>
              </w:rPr>
              <w:t>Relevant point</w:t>
            </w:r>
          </w:p>
        </w:tc>
        <w:tc>
          <w:tcPr>
            <w:tcW w:type="dxa" w:w="2736"/>
            <w:shd w:fill="F2F4F7"/>
            <w:tcMar>
              <w:top w:w="80" w:type="dxa"/>
              <w:start w:w="120" w:type="dxa"/>
              <w:bottom w:w="80" w:type="dxa"/>
              <w:end w:w="120" w:type="dxa"/>
            </w:tcMar>
          </w:tcPr>
          <w:p>
            <w:pPr>
              <w:spacing w:after="0" w:line="264" w:lineRule="auto"/>
            </w:pPr>
            <w:r/>
            <w:r>
              <w:rPr>
                <w:rFonts w:ascii="Calibri" w:hAnsi="Calibri"/>
                <w:b/>
                <w:sz w:val="20"/>
              </w:rPr>
              <w:t>Implication for this analysis</w:t>
            </w:r>
          </w:p>
        </w:tc>
      </w:tr>
      <w:tr>
        <w:tc>
          <w:tcPr>
            <w:tcW w:type="dxa" w:w="3120"/>
            <w:tcMar>
              <w:top w:w="80" w:type="dxa"/>
              <w:start w:w="120" w:type="dxa"/>
              <w:bottom w:w="80" w:type="dxa"/>
              <w:end w:w="120" w:type="dxa"/>
            </w:tcMar>
            <w:vAlign w:val="center"/>
          </w:tcPr>
          <w:p>
            <w:pPr>
              <w:spacing w:after="0" w:line="264" w:lineRule="auto"/>
            </w:pPr>
            <w:r/>
            <w:r>
              <w:rPr>
                <w:rFonts w:ascii="Calibri" w:hAnsi="Calibri"/>
                <w:b/>
                <w:sz w:val="20"/>
              </w:rPr>
              <w:t>NLSS IV Methodological Note</w:t>
            </w:r>
          </w:p>
        </w:tc>
        <w:tc>
          <w:tcPr>
            <w:tcW w:type="dxa" w:w="3120"/>
            <w:tcMar>
              <w:top w:w="80" w:type="dxa"/>
              <w:start w:w="120" w:type="dxa"/>
              <w:bottom w:w="80" w:type="dxa"/>
              <w:end w:w="120" w:type="dxa"/>
            </w:tcMar>
            <w:vAlign w:val="center"/>
          </w:tcPr>
          <w:p>
            <w:pPr>
              <w:spacing w:after="0" w:line="264" w:lineRule="auto"/>
            </w:pPr>
            <w:r/>
            <w:r>
              <w:rPr>
                <w:rFonts w:ascii="Calibri" w:hAnsi="Calibri"/>
                <w:b w:val="0"/>
                <w:sz w:val="20"/>
              </w:rPr>
              <w:t>Health expenses are listed among items excluded from the non-food non-durable aggregate. The real welfare aggregate is then used for poverty assessment.</w:t>
            </w:r>
          </w:p>
        </w:tc>
        <w:tc>
          <w:tcPr>
            <w:tcW w:type="dxa" w:w="3120"/>
            <w:tcMar>
              <w:top w:w="80" w:type="dxa"/>
              <w:start w:w="120" w:type="dxa"/>
              <w:bottom w:w="80" w:type="dxa"/>
              <w:end w:w="120" w:type="dxa"/>
            </w:tcMar>
            <w:vAlign w:val="center"/>
          </w:tcPr>
          <w:p>
            <w:pPr>
              <w:spacing w:after="0" w:line="264" w:lineRule="auto"/>
            </w:pPr>
            <w:r/>
            <w:r>
              <w:rPr>
                <w:rFonts w:ascii="Calibri" w:hAnsi="Calibri"/>
                <w:b w:val="0"/>
                <w:sz w:val="20"/>
              </w:rPr>
              <w:t>pcep should be treated as welfare excluding health expenses.</w:t>
            </w:r>
          </w:p>
        </w:tc>
      </w:tr>
      <w:tr>
        <w:tc>
          <w:tcPr>
            <w:tcW w:type="dxa" w:w="3120"/>
            <w:tcMar>
              <w:top w:w="80" w:type="dxa"/>
              <w:start w:w="120" w:type="dxa"/>
              <w:bottom w:w="80" w:type="dxa"/>
              <w:end w:w="120" w:type="dxa"/>
            </w:tcMar>
            <w:vAlign w:val="center"/>
          </w:tcPr>
          <w:p>
            <w:pPr>
              <w:spacing w:after="0" w:line="264" w:lineRule="auto"/>
            </w:pPr>
            <w:r/>
            <w:r>
              <w:rPr>
                <w:rFonts w:ascii="Calibri" w:hAnsi="Calibri"/>
                <w:b/>
                <w:sz w:val="20"/>
              </w:rPr>
              <w:t>Health Equity book, Chapter 19</w:t>
            </w:r>
          </w:p>
        </w:tc>
        <w:tc>
          <w:tcPr>
            <w:tcW w:type="dxa" w:w="3120"/>
            <w:tcMar>
              <w:top w:w="80" w:type="dxa"/>
              <w:start w:w="120" w:type="dxa"/>
              <w:bottom w:w="80" w:type="dxa"/>
              <w:end w:w="120" w:type="dxa"/>
            </w:tcMar>
            <w:vAlign w:val="center"/>
          </w:tcPr>
          <w:p>
            <w:pPr>
              <w:spacing w:after="0" w:line="264" w:lineRule="auto"/>
            </w:pPr>
            <w:r/>
            <w:r>
              <w:rPr>
                <w:rFonts w:ascii="Calibri" w:hAnsi="Calibri"/>
                <w:b w:val="0"/>
                <w:sz w:val="20"/>
              </w:rPr>
              <w:t>Impoverishment is measured by comparing poverty with household resources gross and net of OOP payments.</w:t>
            </w:r>
          </w:p>
        </w:tc>
        <w:tc>
          <w:tcPr>
            <w:tcW w:type="dxa" w:w="3120"/>
            <w:tcMar>
              <w:top w:w="80" w:type="dxa"/>
              <w:start w:w="120" w:type="dxa"/>
              <w:bottom w:w="80" w:type="dxa"/>
              <w:end w:w="120" w:type="dxa"/>
            </w:tcMar>
            <w:vAlign w:val="center"/>
          </w:tcPr>
          <w:p>
            <w:pPr>
              <w:spacing w:after="0" w:line="264" w:lineRule="auto"/>
            </w:pPr>
            <w:r/>
            <w:r>
              <w:rPr>
                <w:rFonts w:ascii="Calibri" w:hAnsi="Calibri"/>
                <w:b w:val="0"/>
                <w:sz w:val="20"/>
              </w:rPr>
              <w:t>Use a before/after poverty comparison, not a CHE-style threshold ratio.</w:t>
            </w:r>
          </w:p>
        </w:tc>
      </w:tr>
      <w:tr>
        <w:tc>
          <w:tcPr>
            <w:tcW w:type="dxa" w:w="3120"/>
            <w:tcMar>
              <w:top w:w="80" w:type="dxa"/>
              <w:start w:w="120" w:type="dxa"/>
              <w:bottom w:w="80" w:type="dxa"/>
              <w:end w:w="120" w:type="dxa"/>
            </w:tcMar>
            <w:vAlign w:val="center"/>
          </w:tcPr>
          <w:p>
            <w:pPr>
              <w:spacing w:after="0" w:line="264" w:lineRule="auto"/>
            </w:pPr>
            <w:r/>
            <w:r>
              <w:rPr>
                <w:rFonts w:ascii="Calibri" w:hAnsi="Calibri"/>
                <w:b/>
                <w:sz w:val="20"/>
              </w:rPr>
              <w:t>AHE19.do companion file</w:t>
            </w:r>
          </w:p>
        </w:tc>
        <w:tc>
          <w:tcPr>
            <w:tcW w:type="dxa" w:w="3120"/>
            <w:tcMar>
              <w:top w:w="80" w:type="dxa"/>
              <w:start w:w="120" w:type="dxa"/>
              <w:bottom w:w="80" w:type="dxa"/>
              <w:end w:w="120" w:type="dxa"/>
            </w:tcMar>
            <w:vAlign w:val="center"/>
          </w:tcPr>
          <w:p>
            <w:pPr>
              <w:spacing w:after="0" w:line="264" w:lineRule="auto"/>
            </w:pPr>
            <w:r/>
            <w:r>
              <w:rPr>
                <w:rFonts w:ascii="Calibri" w:hAnsi="Calibri"/>
                <w:b w:val="0"/>
                <w:sz w:val="20"/>
              </w:rPr>
              <w:t>The chapter code creates gross poverty using x, then net_x = x - pcoop, then compares poverty indicators.</w:t>
            </w:r>
          </w:p>
        </w:tc>
        <w:tc>
          <w:tcPr>
            <w:tcW w:type="dxa" w:w="3120"/>
            <w:tcMar>
              <w:top w:w="80" w:type="dxa"/>
              <w:start w:w="120" w:type="dxa"/>
              <w:bottom w:w="80" w:type="dxa"/>
              <w:end w:w="120" w:type="dxa"/>
            </w:tcMar>
            <w:vAlign w:val="center"/>
          </w:tcPr>
          <w:p>
            <w:pPr>
              <w:spacing w:after="0" w:line="264" w:lineRule="auto"/>
            </w:pPr>
            <w:r/>
            <w:r>
              <w:rPr>
                <w:rFonts w:ascii="Calibri" w:hAnsi="Calibri"/>
                <w:b w:val="0"/>
                <w:sz w:val="20"/>
              </w:rPr>
              <w:t>If x includes health, subtract OOP. If x excludes health, add OOP back to recover pre-payment welfare.</w:t>
            </w:r>
          </w:p>
        </w:tc>
      </w:tr>
      <w:tr>
        <w:tc>
          <w:tcPr>
            <w:tcW w:type="dxa" w:w="3120"/>
            <w:tcMar>
              <w:top w:w="80" w:type="dxa"/>
              <w:start w:w="120" w:type="dxa"/>
              <w:bottom w:w="80" w:type="dxa"/>
              <w:end w:w="120" w:type="dxa"/>
            </w:tcMar>
            <w:vAlign w:val="center"/>
          </w:tcPr>
          <w:p>
            <w:pPr>
              <w:spacing w:after="0" w:line="264" w:lineRule="auto"/>
            </w:pPr>
            <w:r/>
            <w:r>
              <w:rPr>
                <w:rFonts w:ascii="Calibri" w:hAnsi="Calibri"/>
                <w:b/>
                <w:sz w:val="20"/>
              </w:rPr>
              <w:t>WHO/World Bank SDG 3.8.2</w:t>
            </w:r>
          </w:p>
        </w:tc>
        <w:tc>
          <w:tcPr>
            <w:tcW w:type="dxa" w:w="3120"/>
            <w:tcMar>
              <w:top w:w="80" w:type="dxa"/>
              <w:start w:w="120" w:type="dxa"/>
              <w:bottom w:w="80" w:type="dxa"/>
              <w:end w:w="120" w:type="dxa"/>
            </w:tcMar>
            <w:vAlign w:val="center"/>
          </w:tcPr>
          <w:p>
            <w:pPr>
              <w:spacing w:after="0" w:line="264" w:lineRule="auto"/>
            </w:pPr>
            <w:r/>
            <w:r>
              <w:rPr>
                <w:rFonts w:ascii="Calibri" w:hAnsi="Calibri"/>
                <w:b w:val="0"/>
                <w:sz w:val="20"/>
              </w:rPr>
              <w:t>CHE is OOP as a share of total household consumption or income at 10% and 25% thresholds.</w:t>
            </w:r>
          </w:p>
        </w:tc>
        <w:tc>
          <w:tcPr>
            <w:tcW w:type="dxa" w:w="3120"/>
            <w:tcMar>
              <w:top w:w="80" w:type="dxa"/>
              <w:start w:w="120" w:type="dxa"/>
              <w:bottom w:w="80" w:type="dxa"/>
              <w:end w:w="120" w:type="dxa"/>
            </w:tcMar>
            <w:vAlign w:val="center"/>
          </w:tcPr>
          <w:p>
            <w:pPr>
              <w:spacing w:after="0" w:line="264" w:lineRule="auto"/>
            </w:pPr>
            <w:r/>
            <w:r>
              <w:rPr>
                <w:rFonts w:ascii="Calibri" w:hAnsi="Calibri"/>
                <w:b w:val="0"/>
                <w:sz w:val="20"/>
              </w:rPr>
              <w:t>The denominator should represent the household budget, which in NLSS IV requires adding OOP back.</w:t>
            </w:r>
          </w:p>
        </w:tc>
      </w:tr>
      <w:tr>
        <w:tc>
          <w:tcPr>
            <w:tcW w:type="dxa" w:w="3120"/>
            <w:tcMar>
              <w:top w:w="80" w:type="dxa"/>
              <w:start w:w="120" w:type="dxa"/>
              <w:bottom w:w="80" w:type="dxa"/>
              <w:end w:w="120" w:type="dxa"/>
            </w:tcMar>
            <w:vAlign w:val="center"/>
          </w:tcPr>
          <w:p>
            <w:pPr>
              <w:spacing w:after="0" w:line="264" w:lineRule="auto"/>
            </w:pPr>
            <w:r/>
            <w:r>
              <w:rPr>
                <w:rFonts w:ascii="Calibri" w:hAnsi="Calibri"/>
                <w:b/>
                <w:sz w:val="20"/>
              </w:rPr>
              <w:t>Nepal NLSS-III and related studies</w:t>
            </w:r>
          </w:p>
        </w:tc>
        <w:tc>
          <w:tcPr>
            <w:tcW w:type="dxa" w:w="3120"/>
            <w:tcMar>
              <w:top w:w="80" w:type="dxa"/>
              <w:start w:w="120" w:type="dxa"/>
              <w:bottom w:w="80" w:type="dxa"/>
              <w:end w:w="120" w:type="dxa"/>
            </w:tcMar>
            <w:vAlign w:val="center"/>
          </w:tcPr>
          <w:p>
            <w:pPr>
              <w:spacing w:after="0" w:line="264" w:lineRule="auto"/>
            </w:pPr>
            <w:r/>
            <w:r>
              <w:rPr>
                <w:rFonts w:ascii="Calibri" w:hAnsi="Calibri"/>
                <w:b w:val="0"/>
                <w:sz w:val="20"/>
              </w:rPr>
              <w:t>Prior studies report poverty before and after accounting for OOP health payments.</w:t>
            </w:r>
          </w:p>
        </w:tc>
        <w:tc>
          <w:tcPr>
            <w:tcW w:type="dxa" w:w="3120"/>
            <w:tcMar>
              <w:top w:w="80" w:type="dxa"/>
              <w:start w:w="120" w:type="dxa"/>
              <w:bottom w:w="80" w:type="dxa"/>
              <w:end w:w="120" w:type="dxa"/>
            </w:tcMar>
            <w:vAlign w:val="center"/>
          </w:tcPr>
          <w:p>
            <w:pPr>
              <w:spacing w:after="0" w:line="264" w:lineRule="auto"/>
            </w:pPr>
            <w:r/>
            <w:r>
              <w:rPr>
                <w:rFonts w:ascii="Calibri" w:hAnsi="Calibri"/>
                <w:b w:val="0"/>
                <w:sz w:val="20"/>
              </w:rPr>
              <w:t>Our result should be presented as pre-OOP poverty rising to post-OOP poverty.</w:t>
            </w:r>
          </w:p>
        </w:tc>
      </w:tr>
    </w:tbl>
    <w:p>
      <w:pPr>
        <w:pStyle w:val="Heading1"/>
      </w:pPr>
      <w:r>
        <w:t>About the Alternative Approach</w:t>
      </w:r>
    </w:p>
    <w:p>
      <w:r>
        <w:t>A separate review folder can be used for the alternative visual approach that subtracts OOP directly from pcep. That approach produces the intuitive pattern 20.27% to a higher post-payment poverty rate. However, it is not the main method if pcep already excludes health spending. Subtracting OOP from pcep would remove health expenses from a welfare measure that has already excluded them.</w:t>
      </w:r>
    </w:p>
    <w:p>
      <w:r>
        <w:t>The alternative is still useful as a sensitivity or communication exercise, especially to show how a direct-subtraction Pen Parade behaves. It should be clearly labeled as a sensitivity and should not be mixed with the main manuscript method unless the study team deliberately changes the welfare interpretation.</w:t>
      </w:r>
    </w:p>
    <w:p>
      <w:pPr>
        <w:pStyle w:val="Heading1"/>
      </w:pPr>
      <w:r>
        <w:t>Submission Files</w:t>
      </w:r>
    </w:p>
    <w:p>
      <w:pPr>
        <w:pStyle w:val="ListBullet"/>
        <w:spacing w:after="80" w:line="276" w:lineRule="auto"/>
      </w:pPr>
      <w:r>
        <w:t>submission/oop_che_impoverishment_submission.do: clean one-file Stata analysis for supervisor review.</w:t>
      </w:r>
    </w:p>
    <w:p>
      <w:pPr>
        <w:pStyle w:val="ListBullet"/>
        <w:spacing w:after="80" w:line="276" w:lineRule="auto"/>
      </w:pPr>
      <w:r>
        <w:t>submission/oop_submission_results.csv: produced when the Stata do-file is run.</w:t>
      </w:r>
    </w:p>
    <w:p>
      <w:pPr>
        <w:pStyle w:val="ListBullet"/>
        <w:spacing w:after="80" w:line="276" w:lineRule="auto"/>
      </w:pPr>
      <w:r>
        <w:t>submission/oop_workflow_method_note.docx: this workflow and method explanation.</w:t>
      </w:r>
    </w:p>
    <w:p>
      <w:pPr>
        <w:pStyle w:val="Heading1"/>
      </w:pPr>
      <w:r>
        <w:t>References and Source Trail</w:t>
      </w:r>
    </w:p>
    <w:p>
      <w:pPr>
        <w:spacing w:after="80"/>
        <w:ind w:left="360" w:hanging="360"/>
      </w:pPr>
      <w:r>
        <w:rPr>
          <w:sz w:val="20"/>
        </w:rPr>
        <w:t>NLSS IV Methodological Note, local file: 5_documentation/Methodological Note.pdf, especially pages 26 and 52-56.</w:t>
      </w:r>
    </w:p>
    <w:p>
      <w:pPr>
        <w:spacing w:after="80"/>
        <w:ind w:left="360" w:hanging="360"/>
      </w:pPr>
      <w:r>
        <w:rPr>
          <w:sz w:val="20"/>
        </w:rPr>
        <w:t>O'Donnell, O., van Doorslaer, E., Wagstaff, A., and Lindelow, M. Analyzing Health Equity Using Household Survey Data. Chapter 19: Health Care Payments and Poverty. Local file: 5_documentation/Equity analysis book and ppt dofiles/Health Equity FINAL book 2008.pdf.</w:t>
      </w:r>
    </w:p>
    <w:p>
      <w:pPr>
        <w:spacing w:after="80"/>
        <w:ind w:left="360" w:hanging="360"/>
      </w:pPr>
      <w:r>
        <w:rPr>
          <w:sz w:val="20"/>
        </w:rPr>
        <w:t>Chapter 19 companion code: 5_documentation/Equity analysis book and ppt dofiles/AHE19.do.</w:t>
      </w:r>
    </w:p>
    <w:p>
      <w:pPr>
        <w:spacing w:after="80"/>
        <w:ind w:left="360" w:hanging="360"/>
      </w:pPr>
      <w:r>
        <w:rPr>
          <w:sz w:val="20"/>
        </w:rPr>
        <w:t>Wagstaff, A. and van Doorslaer, E. 2003. Catastrophe and impoverishment in paying for health care. Health Economics. DOI: https://doi.org/10.1002/hec.776.</w:t>
      </w:r>
    </w:p>
    <w:p>
      <w:pPr>
        <w:spacing w:after="80"/>
        <w:ind w:left="360" w:hanging="360"/>
      </w:pPr>
      <w:r>
        <w:rPr>
          <w:sz w:val="20"/>
        </w:rPr>
        <w:t>van Doorslaer, E. et al. 2006. Effect of payments for health care on poverty estimates in 11 countries in Asia. The Lancet. DOI: https://doi.org/10.1016/S0140-6736(06)69560-3.</w:t>
      </w:r>
    </w:p>
    <w:p>
      <w:pPr>
        <w:spacing w:after="80"/>
        <w:ind w:left="360" w:hanging="360"/>
      </w:pPr>
      <w:r>
        <w:rPr>
          <w:sz w:val="20"/>
        </w:rPr>
        <w:t>WHO/World Bank SDG 3.8.2 metadata: https://worldbank.github.io/sdg-metadata/metadata/en/3-8-2/.</w:t>
      </w:r>
    </w:p>
    <w:p>
      <w:pPr>
        <w:spacing w:after="80"/>
        <w:ind w:left="360" w:hanging="360"/>
      </w:pPr>
      <w:r>
        <w:rPr>
          <w:sz w:val="20"/>
        </w:rPr>
        <w:t>Thapa, A. K. 2017. An Assessment of Household's Out of Pocket Healthcare Payment and Impoverishment in Nepal: Evidence from Nepal Living Standard Survey III. DOI: https://doi.org/10.3126/jdse.v3i1.27956.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Prepared for supervisor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8"/>
      </w:rPr>
      <w:t>NLSS IV OOP financial protection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