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6C019D" w:rsidP="0E6C019D" w:rsidRDefault="0E6C019D" w14:paraId="07656915" w14:textId="37CE596F">
      <w:pPr>
        <w:pStyle w:val="Normal"/>
        <w:spacing w:after="0" w:afterAutospacing="off" w:line="240" w:lineRule="auto"/>
        <w:ind w:left="1440" w:firstLine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6C019D" w:rsidR="0E6C01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BUSA 424: Business Analytics Modeling</w:t>
      </w:r>
    </w:p>
    <w:p w:rsidR="0E6C019D" w:rsidP="0E6C019D" w:rsidRDefault="0E6C019D" w14:paraId="6F72D9CE" w14:textId="39D2B0D8">
      <w:pPr>
        <w:pStyle w:val="Normal"/>
        <w:spacing w:after="0" w:afterAutospacing="off" w:line="240" w:lineRule="auto"/>
        <w:ind w:left="2880" w:firstLine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6C019D" w:rsidR="0E6C01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HW1 </w:t>
      </w:r>
    </w:p>
    <w:p w:rsidR="0E6C019D" w:rsidP="0E6C019D" w:rsidRDefault="0E6C019D" w14:paraId="47BB7199" w14:textId="5D4F6302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E6C019D" w:rsidP="0E6C019D" w:rsidRDefault="0E6C019D" w14:paraId="2754FC4B" w14:textId="1DE21979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E6C019D" w:rsidR="0E6C01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Name: Ashish Acharya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E6C019D" w:rsidR="0E6C01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Date: 09/03/2023</w:t>
      </w:r>
    </w:p>
    <w:p w:rsidR="0E6C019D" w:rsidP="0E6C019D" w:rsidRDefault="0E6C019D" w14:paraId="42CBEE1A" w14:textId="11E184BA">
      <w:pPr>
        <w:pStyle w:val="Normal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E6C019D" w:rsidP="0E6C019D" w:rsidRDefault="0E6C019D" w14:paraId="054512EB" w14:textId="546CBE60">
      <w:pPr>
        <w:pStyle w:val="Normal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E6C019D" w:rsidR="0E6C01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Introduction:</w:t>
      </w:r>
    </w:p>
    <w:p w:rsidR="0E6C019D" w:rsidP="0E6C019D" w:rsidRDefault="0E6C019D" w14:paraId="6C5A9DB0" w14:textId="4DEB2498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report delves into the sales volume and market share trends of BMW Group within the United States over the five-year period spanning from 2018 to 2022. The data 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provided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serves as a valuable resource for gaining insights into the company's performance during this specific 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timeframe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E6C019D" w:rsidP="0E6C019D" w:rsidRDefault="0E6C019D" w14:paraId="5B9EEA6A" w14:textId="69EA1018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6C019D" w:rsidR="0E6C01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BMW Group's Sales Volume and Market Share Analysis (2018-2022)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E6C019D" w:rsidTr="0E6C019D" w14:paraId="65921931">
        <w:trPr>
          <w:trHeight w:val="300"/>
        </w:trPr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0E6C019D" w:rsidP="0E6C019D" w:rsidRDefault="0E6C019D" w14:paraId="431C53DD" w14:textId="4AC9BD7D">
            <w:pPr>
              <w:pStyle w:val="Normal"/>
              <w:spacing w:before="0" w:beforeAutospacing="off" w:after="0" w:afterAutospacing="off" w:line="480" w:lineRule="auto"/>
              <w:ind w:lef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Year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0E6C019D" w:rsidP="0E6C019D" w:rsidRDefault="0E6C019D" w14:paraId="02291856" w14:textId="30689227">
            <w:pPr>
              <w:pStyle w:val="Normal"/>
              <w:spacing w:before="0" w:beforeAutospacing="off" w:after="0" w:afterAutospacing="off" w:line="480" w:lineRule="auto"/>
              <w:ind w:lef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Sales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0E6C019D" w:rsidP="0E6C019D" w:rsidRDefault="0E6C019D" w14:paraId="47DF926E" w14:textId="3642CFDC">
            <w:pPr>
              <w:pStyle w:val="Normal"/>
              <w:spacing w:before="0" w:beforeAutospacing="off" w:after="0" w:afterAutospacing="off" w:line="480" w:lineRule="auto"/>
              <w:ind w:lef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YOY Change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0E6C019D" w:rsidP="0E6C019D" w:rsidRDefault="0E6C019D" w14:paraId="0B584571" w14:textId="5F28B06D">
            <w:pPr>
              <w:pStyle w:val="Normal"/>
              <w:spacing w:before="0" w:beforeAutospacing="off" w:after="0" w:afterAutospacing="off" w:line="480" w:lineRule="auto"/>
              <w:ind w:lef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US Marketshare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E6C019D" w:rsidP="0E6C019D" w:rsidRDefault="0E6C019D" w14:paraId="7FE41706" w14:textId="54D8076C">
            <w:pPr>
              <w:pStyle w:val="Normal"/>
              <w:spacing w:before="0" w:beforeAutospacing="off" w:after="0" w:afterAutospacing="off" w:line="480" w:lineRule="auto"/>
              <w:ind w:lef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Marketshare Change</w:t>
            </w:r>
          </w:p>
        </w:tc>
      </w:tr>
      <w:tr w:rsidR="0E6C019D" w:rsidTr="0E6C019D" w14:paraId="73FF93E0">
        <w:trPr>
          <w:trHeight w:val="300"/>
        </w:trPr>
        <w:tc>
          <w:tcPr>
            <w:tcW w:w="187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E6C019D" w:rsidP="0E6C019D" w:rsidRDefault="0E6C019D" w14:paraId="730FAF5B" w14:textId="3B4248E0">
            <w:pPr>
              <w:pStyle w:val="Normal"/>
              <w:spacing w:before="0" w:beforeAutospacing="off" w:after="0" w:afterAutospacing="off" w:line="48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2018</w:t>
            </w:r>
          </w:p>
        </w:tc>
        <w:tc>
          <w:tcPr>
            <w:tcW w:w="187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E6C019D" w:rsidP="0E6C019D" w:rsidRDefault="0E6C019D" w14:paraId="001089D4" w14:textId="253E98D6">
            <w:pPr>
              <w:pStyle w:val="Normal"/>
              <w:spacing w:before="0" w:beforeAutospacing="off" w:after="0" w:afterAutospacing="off" w:line="48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354,698</w:t>
            </w:r>
          </w:p>
        </w:tc>
        <w:tc>
          <w:tcPr>
            <w:tcW w:w="187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E6C019D" w:rsidP="0E6C019D" w:rsidRDefault="0E6C019D" w14:paraId="6DA7C086" w14:textId="62631125">
            <w:pPr>
              <w:pStyle w:val="Normal"/>
              <w:spacing w:before="0" w:beforeAutospacing="off" w:after="0" w:afterAutospacing="off" w:line="48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0.54%</w:t>
            </w:r>
          </w:p>
        </w:tc>
        <w:tc>
          <w:tcPr>
            <w:tcW w:w="187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E6C019D" w:rsidP="0E6C019D" w:rsidRDefault="0E6C019D" w14:paraId="57A0F740" w14:textId="6B819346">
            <w:pPr>
              <w:pStyle w:val="Normal"/>
              <w:spacing w:before="0" w:beforeAutospacing="off" w:after="0" w:afterAutospacing="off" w:line="48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2.04%</w:t>
            </w:r>
          </w:p>
        </w:tc>
        <w:tc>
          <w:tcPr>
            <w:tcW w:w="187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0E6C019D" w:rsidP="0E6C019D" w:rsidRDefault="0E6C019D" w14:paraId="46995561" w14:textId="744D97B2">
            <w:pPr>
              <w:pStyle w:val="Normal"/>
              <w:spacing w:before="0" w:beforeAutospacing="off" w:after="0" w:afterAutospacing="off" w:line="48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-0.03%</w:t>
            </w:r>
          </w:p>
        </w:tc>
      </w:tr>
      <w:tr w:rsidR="0E6C019D" w:rsidTr="0E6C019D" w14:paraId="0307C120">
        <w:trPr>
          <w:trHeight w:val="300"/>
        </w:trPr>
        <w:tc>
          <w:tcPr>
            <w:tcW w:w="187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E6C019D" w:rsidP="0E6C019D" w:rsidRDefault="0E6C019D" w14:paraId="22DDD86E" w14:textId="4AFD4ACF">
            <w:pPr>
              <w:pStyle w:val="Normal"/>
              <w:spacing w:before="0" w:beforeAutospacing="off" w:after="0" w:afterAutospacing="off" w:line="48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2019</w:t>
            </w:r>
          </w:p>
        </w:tc>
        <w:tc>
          <w:tcPr>
            <w:tcW w:w="187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E6C019D" w:rsidP="0E6C019D" w:rsidRDefault="0E6C019D" w14:paraId="4B5562B5" w14:textId="0236C95E">
            <w:pPr>
              <w:pStyle w:val="Normal"/>
              <w:spacing w:before="0" w:beforeAutospacing="off" w:after="0" w:afterAutospacing="off" w:line="48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360,990</w:t>
            </w:r>
          </w:p>
        </w:tc>
        <w:tc>
          <w:tcPr>
            <w:tcW w:w="187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E6C019D" w:rsidP="0E6C019D" w:rsidRDefault="0E6C019D" w14:paraId="0573F221" w14:textId="2FD4848D">
            <w:pPr>
              <w:pStyle w:val="Normal"/>
              <w:spacing w:before="0" w:beforeAutospacing="off" w:after="0" w:afterAutospacing="off" w:line="48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1.77%</w:t>
            </w:r>
          </w:p>
        </w:tc>
        <w:tc>
          <w:tcPr>
            <w:tcW w:w="187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E6C019D" w:rsidP="0E6C019D" w:rsidRDefault="0E6C019D" w14:paraId="19434094" w14:textId="1FB0B59B">
            <w:pPr>
              <w:pStyle w:val="Normal"/>
              <w:spacing w:before="0" w:beforeAutospacing="off" w:after="0" w:afterAutospacing="off" w:line="48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2.12%</w:t>
            </w:r>
          </w:p>
        </w:tc>
        <w:tc>
          <w:tcPr>
            <w:tcW w:w="187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0E6C019D" w:rsidP="0E6C019D" w:rsidRDefault="0E6C019D" w14:paraId="523F800D" w14:textId="55ABC5D0">
            <w:pPr>
              <w:pStyle w:val="Normal"/>
              <w:spacing w:before="0" w:beforeAutospacing="off" w:after="0" w:afterAutospacing="off" w:line="48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3.58%</w:t>
            </w:r>
          </w:p>
        </w:tc>
      </w:tr>
      <w:tr w:rsidR="0E6C019D" w:rsidTr="0E6C019D" w14:paraId="47185188">
        <w:trPr>
          <w:trHeight w:val="300"/>
        </w:trPr>
        <w:tc>
          <w:tcPr>
            <w:tcW w:w="187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E6C019D" w:rsidP="0E6C019D" w:rsidRDefault="0E6C019D" w14:paraId="31075B56" w14:textId="2E425FD3">
            <w:pPr>
              <w:pStyle w:val="Normal"/>
              <w:spacing w:before="0" w:beforeAutospacing="off" w:after="0" w:afterAutospacing="off" w:line="48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2020</w:t>
            </w:r>
          </w:p>
        </w:tc>
        <w:tc>
          <w:tcPr>
            <w:tcW w:w="187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E6C019D" w:rsidP="0E6C019D" w:rsidRDefault="0E6C019D" w14:paraId="5C6183F2" w14:textId="1C3EB8F5">
            <w:pPr>
              <w:pStyle w:val="Normal"/>
              <w:spacing w:before="0" w:beforeAutospacing="off" w:after="0" w:afterAutospacing="off" w:line="48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308,344</w:t>
            </w:r>
          </w:p>
        </w:tc>
        <w:tc>
          <w:tcPr>
            <w:tcW w:w="187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E6C019D" w:rsidP="0E6C019D" w:rsidRDefault="0E6C019D" w14:paraId="1E0FEEC6" w14:textId="7A475C31">
            <w:pPr>
              <w:pStyle w:val="Normal"/>
              <w:spacing w:before="0" w:beforeAutospacing="off" w:after="0" w:afterAutospacing="off" w:line="48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-14.58%</w:t>
            </w:r>
          </w:p>
        </w:tc>
        <w:tc>
          <w:tcPr>
            <w:tcW w:w="187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E6C019D" w:rsidP="0E6C019D" w:rsidRDefault="0E6C019D" w14:paraId="381243F4" w14:textId="27A0D1EC">
            <w:pPr>
              <w:pStyle w:val="Normal"/>
              <w:spacing w:before="0" w:beforeAutospacing="off" w:after="0" w:afterAutospacing="off" w:line="48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2.10%</w:t>
            </w:r>
          </w:p>
        </w:tc>
        <w:tc>
          <w:tcPr>
            <w:tcW w:w="187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0E6C019D" w:rsidP="0E6C019D" w:rsidRDefault="0E6C019D" w14:paraId="10D833EA" w14:textId="2327552D">
            <w:pPr>
              <w:pStyle w:val="Normal"/>
              <w:spacing w:before="0" w:beforeAutospacing="off" w:after="0" w:afterAutospacing="off" w:line="48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-0.99%</w:t>
            </w:r>
          </w:p>
        </w:tc>
      </w:tr>
      <w:tr w:rsidR="0E6C019D" w:rsidTr="0E6C019D" w14:paraId="0F1C9CB7">
        <w:trPr>
          <w:trHeight w:val="300"/>
        </w:trPr>
        <w:tc>
          <w:tcPr>
            <w:tcW w:w="187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E6C019D" w:rsidP="0E6C019D" w:rsidRDefault="0E6C019D" w14:paraId="74F1C83A" w14:textId="70C4AE2F">
            <w:pPr>
              <w:pStyle w:val="Normal"/>
              <w:spacing w:before="0" w:beforeAutospacing="off" w:after="0" w:afterAutospacing="off" w:line="48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2021</w:t>
            </w:r>
          </w:p>
        </w:tc>
        <w:tc>
          <w:tcPr>
            <w:tcW w:w="187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E6C019D" w:rsidP="0E6C019D" w:rsidRDefault="0E6C019D" w14:paraId="3591E6C0" w14:textId="1D506B6B">
            <w:pPr>
              <w:pStyle w:val="Normal"/>
              <w:spacing w:before="0" w:beforeAutospacing="off" w:after="0" w:afterAutospacing="off" w:line="48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371,862</w:t>
            </w:r>
          </w:p>
        </w:tc>
        <w:tc>
          <w:tcPr>
            <w:tcW w:w="187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E6C019D" w:rsidP="0E6C019D" w:rsidRDefault="0E6C019D" w14:paraId="259516A2" w14:textId="107EBE17">
            <w:pPr>
              <w:pStyle w:val="Normal"/>
              <w:spacing w:before="0" w:beforeAutospacing="off" w:after="0" w:afterAutospacing="off" w:line="48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20.60%</w:t>
            </w:r>
          </w:p>
        </w:tc>
        <w:tc>
          <w:tcPr>
            <w:tcW w:w="187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E6C019D" w:rsidP="0E6C019D" w:rsidRDefault="0E6C019D" w14:paraId="2CCB4566" w14:textId="7720CCF5">
            <w:pPr>
              <w:pStyle w:val="Normal"/>
              <w:spacing w:before="0" w:beforeAutospacing="off" w:after="0" w:afterAutospacing="off" w:line="48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2.49%</w:t>
            </w:r>
          </w:p>
        </w:tc>
        <w:tc>
          <w:tcPr>
            <w:tcW w:w="187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0E6C019D" w:rsidP="0E6C019D" w:rsidRDefault="0E6C019D" w14:paraId="6BE4FBEB" w14:textId="6FC14F04">
            <w:pPr>
              <w:pStyle w:val="Normal"/>
              <w:spacing w:before="0" w:beforeAutospacing="off" w:after="0" w:afterAutospacing="off" w:line="48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15.71%</w:t>
            </w:r>
          </w:p>
        </w:tc>
      </w:tr>
      <w:tr w:rsidR="0E6C019D" w:rsidTr="0E6C019D" w14:paraId="41C56742">
        <w:trPr>
          <w:trHeight w:val="300"/>
        </w:trPr>
        <w:tc>
          <w:tcPr>
            <w:tcW w:w="187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E6C019D" w:rsidP="0E6C019D" w:rsidRDefault="0E6C019D" w14:paraId="68C3BFD8" w14:textId="50ABEE3F">
            <w:pPr>
              <w:pStyle w:val="Normal"/>
              <w:spacing w:before="0" w:beforeAutospacing="off" w:after="0" w:afterAutospacing="off" w:line="48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2022</w:t>
            </w:r>
          </w:p>
        </w:tc>
        <w:tc>
          <w:tcPr>
            <w:tcW w:w="187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E6C019D" w:rsidP="0E6C019D" w:rsidRDefault="0E6C019D" w14:paraId="422063E6" w14:textId="53B14F33">
            <w:pPr>
              <w:pStyle w:val="Normal"/>
              <w:spacing w:before="0" w:beforeAutospacing="off" w:after="0" w:afterAutospacing="off" w:line="48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361,043</w:t>
            </w:r>
          </w:p>
        </w:tc>
        <w:tc>
          <w:tcPr>
            <w:tcW w:w="187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E6C019D" w:rsidP="0E6C019D" w:rsidRDefault="0E6C019D" w14:paraId="35C7728E" w14:textId="61561679">
            <w:pPr>
              <w:pStyle w:val="Normal"/>
              <w:spacing w:before="0" w:beforeAutospacing="off" w:after="0" w:afterAutospacing="off" w:line="48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-2.91%</w:t>
            </w:r>
          </w:p>
        </w:tc>
        <w:tc>
          <w:tcPr>
            <w:tcW w:w="187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E6C019D" w:rsidP="0E6C019D" w:rsidRDefault="0E6C019D" w14:paraId="434AF44E" w14:textId="486300CD">
            <w:pPr>
              <w:pStyle w:val="Normal"/>
              <w:spacing w:before="0" w:beforeAutospacing="off" w:after="0" w:afterAutospacing="off" w:line="48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2.64%</w:t>
            </w:r>
          </w:p>
        </w:tc>
        <w:tc>
          <w:tcPr>
            <w:tcW w:w="187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0E6C019D" w:rsidP="0E6C019D" w:rsidRDefault="0E6C019D" w14:paraId="4FB2E63F" w14:textId="5CABAB6C">
            <w:pPr>
              <w:pStyle w:val="Normal"/>
              <w:spacing w:before="0" w:beforeAutospacing="off" w:after="0" w:afterAutospacing="off" w:line="48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E6C019D" w:rsidR="0E6C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5.72%</w:t>
            </w:r>
          </w:p>
        </w:tc>
      </w:tr>
    </w:tbl>
    <w:p w:rsidR="0E6C019D" w:rsidP="0E6C019D" w:rsidRDefault="0E6C019D" w14:paraId="62D79B59" w14:textId="070C34B7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E6C019D" w:rsidR="0E6C019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Source: </w:t>
      </w:r>
      <w:hyperlink r:id="R44a5f799cc7e4199">
        <w:r w:rsidRPr="0E6C019D" w:rsidR="0E6C019D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lang w:val="en-US"/>
          </w:rPr>
          <w:t>https://www.goodcarbadcar.net/bmw-group-us-sales-figures/</w:t>
        </w:r>
      </w:hyperlink>
    </w:p>
    <w:p w:rsidR="0E6C019D" w:rsidP="0E6C019D" w:rsidRDefault="0E6C019D" w14:paraId="48F2F872" w14:textId="7CAEBA44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6C019D" w:rsidR="0E6C01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Sales Volume Analysis:</w:t>
      </w:r>
    </w:p>
    <w:p w:rsidR="0E6C019D" w:rsidP="0E6C019D" w:rsidRDefault="0E6C019D" w14:paraId="4975BF0D" w14:textId="10F9C0BD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6C019D" w:rsidR="0E6C01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Consistent Growth and Recovery: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BMW Group's sales volume experienced fluctuations across the 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five-year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span. Following a minor upturn of 0.54% in 2018, the company achieved a 1.77% year-over-year growth in 2019, indicative of positive momentum. Nevertheless, the year 2020 bore witness to a substantial sales contraction of -14.58%, primarily attributable to the global economic challenges posed by the COVID-19 pandemic. Of 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particular note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the robust resurgence in 2021, featuring an impressive 20.60% year-over-year sales upswing. In 2022, the sales volume 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encountered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slight decline of -2.91%, reflecting a degree of market 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variability.</w:t>
      </w:r>
    </w:p>
    <w:p w:rsidR="0E6C019D" w:rsidP="0E6C019D" w:rsidRDefault="0E6C019D" w14:paraId="5C02DC65" w14:textId="09B94ABD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6C019D" w:rsidR="0E6C01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Market Share Analysis:</w:t>
      </w:r>
    </w:p>
    <w:p w:rsidR="0E6C019D" w:rsidP="0E6C019D" w:rsidRDefault="0E6C019D" w14:paraId="17345ACD" w14:textId="466A829B">
      <w:pPr>
        <w:pStyle w:val="Normal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6C019D" w:rsidR="0E6C01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Market Share Stability and Expansion: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BMW Group's market share within the United States remained 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relatively steady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from 2018 to 2020, marked by only minor fluctuations. The year 2021, however, 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witnessed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significant surge in market share, registering a remarkable 15.71% increase and reaching 2.49%. This resurgence effectively underscores the company's adept recovery from pandemic-induced challenges and its reinforced market presence. This positive trajectory was sustained in 2022, with a market share of 2.64%, signifying a 5.72% increase.</w:t>
      </w:r>
    </w:p>
    <w:p w:rsidR="0E6C019D" w:rsidP="0E6C019D" w:rsidRDefault="0E6C019D" w14:paraId="38620D87" w14:textId="41D02238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6C019D" w:rsidR="0E6C01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Analysis of Key Influencers:</w:t>
      </w:r>
    </w:p>
    <w:p w:rsidR="0E6C019D" w:rsidP="0E6C019D" w:rsidRDefault="0E6C019D" w14:paraId="7C242283" w14:textId="23E0B351">
      <w:pPr>
        <w:pStyle w:val="Normal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6C019D" w:rsidR="0E6C01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Pandemic Impacts in 2020: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pronounced sales dip in 2020 was 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substantially driven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the influence of the COVID-19 pandemic, which disrupted both economic activities and consumer behaviors. The automotive industry experienced supply chain complications and decreased consumer demand during this tumultuous period.</w:t>
      </w:r>
    </w:p>
    <w:p w:rsidR="0E6C019D" w:rsidP="0E6C019D" w:rsidRDefault="0E6C019D" w14:paraId="25BC8661" w14:textId="453ADECD">
      <w:pPr>
        <w:pStyle w:val="Normal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6C019D" w:rsidR="0E6C01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Vigorous Recovery: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BMW Group's ability to stage a vigorous recovery in 2021 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effective strategies employed in adapting to the ever-changing market landscape. Factors such as heightened consumer confidence, pent-up demand, and innovative product offerings 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likely contributed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this renaissance.</w:t>
      </w:r>
    </w:p>
    <w:p w:rsidR="0E6C019D" w:rsidP="0E6C019D" w:rsidRDefault="0E6C019D" w14:paraId="500605D9" w14:textId="060FFA92">
      <w:pPr>
        <w:pStyle w:val="Normal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6C019D" w:rsidR="0E6C01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Market Share Expansion: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consistent expansion of BMW Group's market share in 2021 and 2022 underscores the company's proficient efforts in regaining and extending its foothold within the market. Competitive strategies and a dedicated focus on aligning with consumer preferences played a pivotal role in driving this growth.</w:t>
      </w:r>
    </w:p>
    <w:p w:rsidR="0E6C019D" w:rsidP="0E6C019D" w:rsidRDefault="0E6C019D" w14:paraId="6B543DA9" w14:textId="6B2B8DE1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6C019D" w:rsidR="0E6C01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Conclusion:</w:t>
      </w:r>
    </w:p>
    <w:p w:rsidR="0E6C019D" w:rsidP="0E6C019D" w:rsidRDefault="0E6C019D" w14:paraId="2E57448A" w14:textId="70F5F03B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BMW Group's demonstrated resilience and adaptability in the face of market challenges during the five-year period spanning 2018 to 2022. While navigating through fluctuations in sales volume, the company 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exhibited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notable growth and staged an impressive recovery in 2021. The unswerving and expanding market share during this period underscores BMW Group's competitive standing within the US automotive market.</w:t>
      </w:r>
    </w:p>
    <w:p w:rsidR="0E6C019D" w:rsidP="0E6C019D" w:rsidRDefault="0E6C019D" w14:paraId="2E4A22C8" w14:textId="2F95B5BD">
      <w:pPr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summarize, BMW Group's 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capacity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adeptly navigate shifting market dynamics and recapture market share underscores its strategic 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proficiency</w:t>
      </w:r>
      <w:r w:rsidRPr="0E6C019D" w:rsidR="0E6C0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Continued vigilance in monitoring market trends and staying aligned with evolving consumer preferences will remain imperative for sustaining growth and asserting market leadership in the future.</w:t>
      </w:r>
    </w:p>
    <w:p w:rsidR="0E6C019D" w:rsidP="0E6C019D" w:rsidRDefault="0E6C019D" w14:paraId="4A2079B3" w14:textId="2E92E301">
      <w:p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>
        <w:br/>
      </w:r>
    </w:p>
    <w:p w:rsidR="0E6C019D" w:rsidP="0E6C019D" w:rsidRDefault="0E6C019D" w14:paraId="101753AA" w14:textId="55D05758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388b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daa5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70dc7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af683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797dd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1173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c0d4b2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af50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F6193F"/>
    <w:rsid w:val="0E6C019D"/>
    <w:rsid w:val="6CF6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193F"/>
  <w15:chartTrackingRefBased/>
  <w15:docId w15:val="{F9F430E7-9A55-49E1-AAF7-3794409E8D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oodcarbadcar.net/bmw-group-us-sales-figures/" TargetMode="External" Id="R44a5f799cc7e4199" /><Relationship Type="http://schemas.openxmlformats.org/officeDocument/2006/relationships/numbering" Target="numbering.xml" Id="R1109f30e29374e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2023-09-04T04:00:39.4043434Z</dcterms:created>
  <dcterms:modified xsi:type="dcterms:W3CDTF">2023-09-04T04:29:18.1855778Z</dcterms:modified>
  <dc:creator>Ashish Acharya</dc:creator>
  <lastModifiedBy>Ashish Acharya</lastModifiedBy>
</coreProperties>
</file>