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b/>
          <w:sz w:val="62"/>
        </w:rPr>
        <w:t>PULSE-DB-001</w:t>
      </w:r>
    </w:p>
    <w:p>
      <w:pPr>
        <w:jc w:val="center"/>
      </w:pPr>
      <w:r>
        <w:rPr>
          <w:b/>
          <w:sz w:val="29"/>
        </w:rPr>
        <w:t>Physical Database Architecture, Schema Design, Domain Ownership, Indexing, Partitioning, Migration &amp; Data Integrity Specification</w:t>
      </w:r>
    </w:p>
    <w:p>
      <w:pPr>
        <w:jc w:val="center"/>
      </w:pPr>
      <w:r>
        <w:rPr>
          <w:b/>
        </w:rPr>
        <w:t>Pulse Health Platform — Engineering Execution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2"/>
              </w:rPr>
              <w:t>Document Control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2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Parent specifications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PULSE-DATA-001; ENG-001; ARCH-001; CLIN-001; IAM-001; SEC-001; PRIV-001; NFR-001; QA-001; OPS-001; MIG-001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Version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1.0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Status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Physical Data Engineering Baseline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Primary database model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PostgreSQL-class relational database for authoritative transactional state; exact supported engine/version is deployment-controlled.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Audience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Backend/Data Engineers, DBAs, Platform/SRE, Security, QA, Integration Engineers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Core rule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The database must enforce—not merely document—critical identity, ownership, state, immutability, tenancy and ledger invariants wherever technically appropriate.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pPr>
        <w:pStyle w:val="ListBullet"/>
      </w:pPr>
      <w:r>
        <w:t>Translate canonical healthcare data into implementable physical persistence rules.</w:t>
      </w:r>
    </w:p>
    <w:p>
      <w:pPr>
        <w:pStyle w:val="ListBullet"/>
      </w:pPr>
      <w:r>
        <w:t>Prevent a shared database from becoming an uncontrolled integration surface.</w:t>
      </w:r>
    </w:p>
    <w:p>
      <w:pPr>
        <w:pStyle w:val="ListBullet"/>
      </w:pPr>
      <w:r>
        <w:t>Define performance, integrity, migration and operational controls.</w:t>
      </w:r>
    </w:p>
    <w:p>
      <w:pPr>
        <w:pStyle w:val="Heading1"/>
      </w:pPr>
      <w:r>
        <w:t>2. Database Principles</w:t>
      </w:r>
    </w:p>
    <w:p>
      <w:pPr>
        <w:pStyle w:val="ListBullet"/>
      </w:pPr>
      <w:r>
        <w:t>One authoritative owner per domain.</w:t>
      </w:r>
    </w:p>
    <w:p>
      <w:pPr>
        <w:pStyle w:val="ListBullet"/>
      </w:pPr>
      <w:r>
        <w:t>Relational structure for core clinical semantics.</w:t>
      </w:r>
    </w:p>
    <w:p>
      <w:pPr>
        <w:pStyle w:val="ListBullet"/>
      </w:pPr>
      <w:r>
        <w:t>Explicit constraints.</w:t>
      </w:r>
    </w:p>
    <w:p>
      <w:pPr>
        <w:pStyle w:val="ListBullet"/>
      </w:pPr>
      <w:r>
        <w:t>Immutable history where required.</w:t>
      </w:r>
    </w:p>
    <w:p>
      <w:pPr>
        <w:pStyle w:val="ListBullet"/>
      </w:pPr>
      <w:r>
        <w:t>Opaque identifiers.</w:t>
      </w:r>
    </w:p>
    <w:p>
      <w:pPr>
        <w:pStyle w:val="ListBullet"/>
      </w:pPr>
      <w:r>
        <w:t>Tenant/facility context.</w:t>
      </w:r>
    </w:p>
    <w:p>
      <w:pPr>
        <w:pStyle w:val="ListBullet"/>
      </w:pPr>
      <w:r>
        <w:t>UTC instants plus clinical effective time.</w:t>
      </w:r>
    </w:p>
    <w:p>
      <w:pPr>
        <w:pStyle w:val="ListBullet"/>
      </w:pPr>
      <w:r>
        <w:t>No hard-delete signed/ledger/audit facts.</w:t>
      </w:r>
    </w:p>
    <w:p>
      <w:pPr>
        <w:pStyle w:val="ListBullet"/>
      </w:pPr>
      <w:r>
        <w:t>Measured indexing.</w:t>
      </w:r>
    </w:p>
    <w:p>
      <w:pPr>
        <w:pStyle w:val="ListBullet"/>
      </w:pPr>
      <w:r>
        <w:t>Backward-compatible migrations.</w:t>
      </w:r>
    </w:p>
    <w:p>
      <w:pPr>
        <w:pStyle w:val="Heading1"/>
      </w:pPr>
      <w:r>
        <w:t>3. Database Topology</w:t>
      </w:r>
    </w:p>
    <w:p>
      <w:pPr>
        <w:pStyle w:val="ListBullet"/>
      </w:pPr>
      <w:r>
        <w:t>Primary transactional PostgreSQL-class cluster.</w:t>
      </w:r>
    </w:p>
    <w:p>
      <w:pPr>
        <w:pStyle w:val="ListBullet"/>
      </w:pPr>
      <w:r>
        <w:t>High-availability replica/failover according to deployment.</w:t>
      </w:r>
    </w:p>
    <w:p>
      <w:pPr>
        <w:pStyle w:val="ListBullet"/>
      </w:pPr>
      <w:r>
        <w:t>Read replica for heavy reporting where justified.</w:t>
      </w:r>
    </w:p>
    <w:p>
      <w:pPr>
        <w:pStyle w:val="ListBullet"/>
      </w:pPr>
      <w:r>
        <w:t>Connection pool/proxy.</w:t>
      </w:r>
    </w:p>
    <w:p>
      <w:pPr>
        <w:pStyle w:val="ListBullet"/>
      </w:pPr>
      <w:r>
        <w:t>Encrypted backup/PITR.</w:t>
      </w:r>
    </w:p>
    <w:p>
      <w:pPr>
        <w:pStyle w:val="ListBullet"/>
      </w:pPr>
      <w:r>
        <w:t>Optional facility-edge database follows compatible schema subset.</w:t>
      </w:r>
    </w:p>
    <w:p>
      <w:pPr>
        <w:pStyle w:val="Heading1"/>
      </w:pPr>
      <w:r>
        <w:t>4. Logical Schema Strategy</w:t>
      </w:r>
    </w:p>
    <w:p>
      <w:pPr>
        <w:pStyle w:val="ListBullet"/>
      </w:pPr>
      <w:r>
        <w:t>Use database schemas or equivalent ownership boundaries to make domains visible.</w:t>
      </w:r>
    </w:p>
    <w:p>
      <w:pPr>
        <w:pStyle w:val="ListBullet"/>
      </w:pPr>
      <w:r>
        <w:t>Examples: iam, org, patient, encounter, clinical, lab, imaging, medication, inventory, referral, revenue, consent, workflow, documents, audit, integration.</w:t>
      </w:r>
    </w:p>
    <w:p>
      <w:pPr>
        <w:pStyle w:val="ListBullet"/>
      </w:pPr>
      <w:r>
        <w:t>Schema boundary does not replace application authorization.</w:t>
      </w:r>
    </w:p>
    <w:p>
      <w:pPr>
        <w:pStyle w:val="Heading1"/>
      </w:pPr>
      <w:r>
        <w:t>5. Ownership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Schema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Authoritative examples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Primary writer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iam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accounts, memberships, roles, privileges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IAM module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org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organizations, facilities, departments, locations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Organization module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patient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patients, identifiers, contacts, merge history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Patient Identity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encounter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encounters, admissions, transfers, beds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Encounter/ADT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clinical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notes, conditions, allergies, observations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Clinical Documentation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lab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orders/specimens/results/reports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Laboratory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imaging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imaging workflow/report metadata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Imaging Workflow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medication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requests, verification, dispense, administration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Medication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inventory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items, lots, movements, procurement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Inventory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referral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cases, packages, decisions, handover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Referral Exchange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revenue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charges, invoices, payments, claims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Revenue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consent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consents, disclosure decisions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Consent/Privacy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audit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audit/provenance append records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Audit service</w:t>
            </w:r>
          </w:p>
        </w:tc>
      </w:tr>
    </w:tbl>
    <w:p>
      <w:pPr>
        <w:pStyle w:val="Heading1"/>
      </w:pPr>
      <w:r>
        <w:t>6. Cross-Schema Access</w:t>
      </w:r>
    </w:p>
    <w:p>
      <w:pPr>
        <w:pStyle w:val="ListBullet"/>
      </w:pPr>
      <w:r>
        <w:t>Foreign keys may support integrity when deployment boundary permits.</w:t>
      </w:r>
    </w:p>
    <w:p>
      <w:pPr>
        <w:pStyle w:val="ListBullet"/>
      </w:pPr>
      <w:r>
        <w:t>Direct cross-schema write by non-owner is prohibited at application level.</w:t>
      </w:r>
    </w:p>
    <w:p>
      <w:pPr>
        <w:pStyle w:val="ListBullet"/>
      </w:pPr>
      <w:r>
        <w:t>Database roles may reinforce ownership.</w:t>
      </w:r>
    </w:p>
    <w:p>
      <w:pPr>
        <w:pStyle w:val="ListBullet"/>
      </w:pPr>
      <w:r>
        <w:t>Read projections/views may combine domains without granting write authority.</w:t>
      </w:r>
    </w:p>
    <w:p>
      <w:pPr>
        <w:pStyle w:val="Heading1"/>
      </w:pPr>
      <w:r>
        <w:t>7. Identifier Standard</w:t>
      </w:r>
    </w:p>
    <w:p>
      <w:pPr>
        <w:pStyle w:val="ListBullet"/>
      </w:pPr>
      <w:r>
        <w:t>Primary keys opaque UUID/UUID-like IDs.</w:t>
      </w:r>
    </w:p>
    <w:p>
      <w:pPr>
        <w:pStyle w:val="ListBullet"/>
      </w:pPr>
      <w:r>
        <w:t>Business IDs in identifier tables/columns with system/namespace.</w:t>
      </w:r>
    </w:p>
    <w:p>
      <w:pPr>
        <w:pStyle w:val="ListBullet"/>
      </w:pPr>
      <w:r>
        <w:t>Never use name/phone as key.</w:t>
      </w:r>
    </w:p>
    <w:p>
      <w:pPr>
        <w:pStyle w:val="ListBullet"/>
      </w:pPr>
      <w:r>
        <w:t>Legacy IDs preserved as identifiers.</w:t>
      </w:r>
    </w:p>
    <w:p>
      <w:pPr>
        <w:pStyle w:val="ListBullet"/>
      </w:pPr>
      <w:r>
        <w:t>External FHIR/DICOM/accession identifiers retain namespace.</w:t>
      </w:r>
    </w:p>
    <w:p>
      <w:pPr>
        <w:pStyle w:val="Heading1"/>
      </w:pPr>
      <w:r>
        <w:t>8. Primary Key Pattern</w:t>
      </w:r>
    </w:p>
    <w:p>
      <w:pPr>
        <w:pStyle w:val="ListBullet"/>
      </w:pPr>
      <w:r>
        <w:t>id primary key.</w:t>
      </w:r>
    </w:p>
    <w:p>
      <w:pPr>
        <w:pStyle w:val="ListBullet"/>
      </w:pPr>
      <w:r>
        <w:t>No semantic meaning.</w:t>
      </w:r>
    </w:p>
    <w:p>
      <w:pPr>
        <w:pStyle w:val="ListBullet"/>
      </w:pPr>
      <w:r>
        <w:t>Generated application/DB according to standard.</w:t>
      </w:r>
    </w:p>
    <w:p>
      <w:pPr>
        <w:pStyle w:val="ListBullet"/>
      </w:pPr>
      <w:r>
        <w:t>Stable across updates.</w:t>
      </w:r>
    </w:p>
    <w:p>
      <w:pPr>
        <w:pStyle w:val="ListBullet"/>
      </w:pPr>
      <w:r>
        <w:t>Do not reuse deleted IDs.</w:t>
      </w:r>
    </w:p>
    <w:p>
      <w:pPr>
        <w:pStyle w:val="ListBullet"/>
      </w:pPr>
      <w:r>
        <w:t>Child/ledger IDs independently addressable.</w:t>
      </w:r>
    </w:p>
    <w:p>
      <w:pPr>
        <w:pStyle w:val="Heading1"/>
      </w:pPr>
      <w:r>
        <w:t>9. Tenant Model</w:t>
      </w:r>
    </w:p>
    <w:p>
      <w:pPr>
        <w:pStyle w:val="ListBullet"/>
      </w:pPr>
      <w:r>
        <w:t>tenant_id/organization boundary explicitly represented.</w:t>
      </w:r>
    </w:p>
    <w:p>
      <w:pPr>
        <w:pStyle w:val="ListBullet"/>
      </w:pPr>
      <w:r>
        <w:t>Trusted application context determines tenant.</w:t>
      </w:r>
    </w:p>
    <w:p>
      <w:pPr>
        <w:pStyle w:val="ListBullet"/>
      </w:pPr>
      <w:r>
        <w:t>Tenant ID included in uniqueness/indexes where uniqueness is tenant-scoped.</w:t>
      </w:r>
    </w:p>
    <w:p>
      <w:pPr>
        <w:pStyle w:val="ListBullet"/>
      </w:pPr>
      <w:r>
        <w:t>Cross-tenant referral uses explicit exchange records, not omitted tenant predicate.</w:t>
      </w:r>
    </w:p>
    <w:p>
      <w:pPr>
        <w:pStyle w:val="Heading1"/>
      </w:pPr>
      <w:r>
        <w:t>10. Facility Model</w:t>
      </w:r>
    </w:p>
    <w:p>
      <w:pPr>
        <w:pStyle w:val="ListBullet"/>
      </w:pPr>
      <w:r>
        <w:t>facility_id distinct from tenant.</w:t>
      </w:r>
    </w:p>
    <w:p>
      <w:pPr>
        <w:pStyle w:val="ListBullet"/>
      </w:pPr>
      <w:r>
        <w:t>Many clinical facts carry facility/service context.</w:t>
      </w:r>
    </w:p>
    <w:p>
      <w:pPr>
        <w:pStyle w:val="ListBullet"/>
      </w:pPr>
      <w:r>
        <w:t>Privileges may be facility-specific.</w:t>
      </w:r>
    </w:p>
    <w:p>
      <w:pPr>
        <w:pStyle w:val="ListBullet"/>
      </w:pPr>
      <w:r>
        <w:t>Cross-facility data access does not imply cross-tenant write.</w:t>
      </w:r>
    </w:p>
    <w:p>
      <w:pPr>
        <w:pStyle w:val="Heading1"/>
      </w:pPr>
      <w:r>
        <w:t>11. Patient Core</w:t>
      </w:r>
    </w:p>
    <w:p>
      <w:pPr>
        <w:pStyle w:val="ListBullet"/>
      </w:pPr>
      <w:r>
        <w:t>patient table contains stable person-level record.</w:t>
      </w:r>
    </w:p>
    <w:p>
      <w:pPr>
        <w:pStyle w:val="ListBullet"/>
      </w:pPr>
      <w:r>
        <w:t>Identifiers normalized in patient_identifier.</w:t>
      </w:r>
    </w:p>
    <w:p>
      <w:pPr>
        <w:pStyle w:val="ListBullet"/>
      </w:pPr>
      <w:r>
        <w:t>Contacts/addresses separate where multiplicity/history matters.</w:t>
      </w:r>
    </w:p>
    <w:p>
      <w:pPr>
        <w:pStyle w:val="ListBullet"/>
      </w:pPr>
      <w:r>
        <w:t>Merge/link history separate.</w:t>
      </w:r>
    </w:p>
    <w:p>
      <w:pPr>
        <w:pStyle w:val="ListBullet"/>
      </w:pPr>
      <w:r>
        <w:t>No patient row replacement during merge.</w:t>
      </w:r>
    </w:p>
    <w:p>
      <w:pPr>
        <w:pStyle w:val="Heading1"/>
      </w:pPr>
      <w:r>
        <w:t>12. Patient Identifier Constraints</w:t>
      </w:r>
    </w:p>
    <w:p>
      <w:pPr>
        <w:pStyle w:val="ListBullet"/>
      </w:pPr>
      <w:r>
        <w:t>identifier_system + identifier_value + assigning_authority/facility uniqueness according to namespace.</w:t>
      </w:r>
    </w:p>
    <w:p>
      <w:pPr>
        <w:pStyle w:val="ListBullet"/>
      </w:pPr>
      <w:r>
        <w:t>Normalized search representation separate from displayed original where needed.</w:t>
      </w:r>
    </w:p>
    <w:p>
      <w:pPr>
        <w:pStyle w:val="ListBullet"/>
      </w:pPr>
      <w:r>
        <w:t>Retired identifiers retained with status/effective dates.</w:t>
      </w:r>
    </w:p>
    <w:p>
      <w:pPr>
        <w:pStyle w:val="Heading1"/>
      </w:pPr>
      <w:r>
        <w:t>13. Patient Merge</w:t>
      </w:r>
    </w:p>
    <w:p>
      <w:pPr>
        <w:pStyle w:val="ListBullet"/>
      </w:pPr>
      <w:r>
        <w:t>Surviving patient reference.</w:t>
      </w:r>
    </w:p>
    <w:p>
      <w:pPr>
        <w:pStyle w:val="ListBullet"/>
      </w:pPr>
      <w:r>
        <w:t>Retired/merged patient reference.</w:t>
      </w:r>
    </w:p>
    <w:p>
      <w:pPr>
        <w:pStyle w:val="ListBullet"/>
      </w:pPr>
      <w:r>
        <w:t>Decision metadata.</w:t>
      </w:r>
    </w:p>
    <w:p>
      <w:pPr>
        <w:pStyle w:val="ListBullet"/>
      </w:pPr>
      <w:r>
        <w:t>Actor/time/reason.</w:t>
      </w:r>
    </w:p>
    <w:p>
      <w:pPr>
        <w:pStyle w:val="ListBullet"/>
      </w:pPr>
      <w:r>
        <w:t>Dependent records relinked only through controlled procedure.</w:t>
      </w:r>
    </w:p>
    <w:p>
      <w:pPr>
        <w:pStyle w:val="ListBullet"/>
      </w:pPr>
      <w:r>
        <w:t>Merge history immutable.</w:t>
      </w:r>
    </w:p>
    <w:p>
      <w:pPr>
        <w:pStyle w:val="ListBullet"/>
      </w:pPr>
      <w:r>
        <w:t>Unmerge/correction supported by governed operation where feasible.</w:t>
      </w:r>
    </w:p>
    <w:p>
      <w:pPr>
        <w:pStyle w:val="Heading1"/>
      </w:pPr>
      <w:r>
        <w:t>14. Encounter Core</w:t>
      </w:r>
    </w:p>
    <w:p>
      <w:pPr>
        <w:pStyle w:val="ListBullet"/>
      </w:pPr>
      <w:r>
        <w:t>patient_id mandatory except explicitly supported exceptional staging.</w:t>
      </w:r>
    </w:p>
    <w:p>
      <w:pPr>
        <w:pStyle w:val="ListBullet"/>
      </w:pPr>
      <w:r>
        <w:t>encounter type/status.</w:t>
      </w:r>
    </w:p>
    <w:p>
      <w:pPr>
        <w:pStyle w:val="ListBullet"/>
      </w:pPr>
      <w:r>
        <w:t>facility/service/location.</w:t>
      </w:r>
    </w:p>
    <w:p>
      <w:pPr>
        <w:pStyle w:val="ListBullet"/>
      </w:pPr>
      <w:r>
        <w:t>period start/end.</w:t>
      </w:r>
    </w:p>
    <w:p>
      <w:pPr>
        <w:pStyle w:val="ListBullet"/>
      </w:pPr>
      <w:r>
        <w:t>responsible context.</w:t>
      </w:r>
    </w:p>
    <w:p>
      <w:pPr>
        <w:pStyle w:val="ListBullet"/>
      </w:pPr>
      <w:r>
        <w:t>External/source identifiers.</w:t>
      </w:r>
    </w:p>
    <w:p>
      <w:pPr>
        <w:pStyle w:val="ListBullet"/>
      </w:pPr>
      <w:r>
        <w:t>Encounter patient association cannot be casually changed after clinical data exists.</w:t>
      </w:r>
    </w:p>
    <w:p>
      <w:pPr>
        <w:pStyle w:val="Heading1"/>
      </w:pPr>
      <w:r>
        <w:t>15. ADT Persistence</w:t>
      </w:r>
    </w:p>
    <w:p>
      <w:pPr>
        <w:pStyle w:val="ListBullet"/>
      </w:pPr>
      <w:r>
        <w:t>Admission, transfer and discharge transitions retained as events/history.</w:t>
      </w:r>
    </w:p>
    <w:p>
      <w:pPr>
        <w:pStyle w:val="ListBullet"/>
      </w:pPr>
      <w:r>
        <w:t>Current location may be projection.</w:t>
      </w:r>
    </w:p>
    <w:p>
      <w:pPr>
        <w:pStyle w:val="ListBullet"/>
      </w:pPr>
      <w:r>
        <w:t>Bed reservation separate from admission.</w:t>
      </w:r>
    </w:p>
    <w:p>
      <w:pPr>
        <w:pStyle w:val="ListBullet"/>
      </w:pPr>
      <w:r>
        <w:t>Transfer history not overwritten by current bed.</w:t>
      </w:r>
    </w:p>
    <w:p>
      <w:pPr>
        <w:pStyle w:val="Heading1"/>
      </w:pPr>
      <w:r>
        <w:t>16. Clinical Note Model</w:t>
      </w:r>
    </w:p>
    <w:p>
      <w:pPr>
        <w:pStyle w:val="ListBullet"/>
      </w:pPr>
      <w:r>
        <w:t>note header + versions/content.</w:t>
      </w:r>
    </w:p>
    <w:p>
      <w:pPr>
        <w:pStyle w:val="ListBullet"/>
      </w:pPr>
      <w:r>
        <w:t>draft mutable under concurrency rules.</w:t>
      </w:r>
    </w:p>
    <w:p>
      <w:pPr>
        <w:pStyle w:val="ListBullet"/>
      </w:pPr>
      <w:r>
        <w:t>signed version immutable.</w:t>
      </w:r>
    </w:p>
    <w:p>
      <w:pPr>
        <w:pStyle w:val="ListBullet"/>
      </w:pPr>
      <w:r>
        <w:t>addendum/correction linked.</w:t>
      </w:r>
    </w:p>
    <w:p>
      <w:pPr>
        <w:pStyle w:val="ListBullet"/>
      </w:pPr>
      <w:r>
        <w:t>author/signatory/effective/recorded timestamps.</w:t>
      </w:r>
    </w:p>
    <w:p>
      <w:pPr>
        <w:pStyle w:val="ListBullet"/>
      </w:pPr>
      <w:r>
        <w:t>Document rendering may be derived.</w:t>
      </w:r>
    </w:p>
    <w:p>
      <w:pPr>
        <w:pStyle w:val="Heading1"/>
      </w:pPr>
      <w:r>
        <w:t>17. Conditions/Problems</w:t>
      </w:r>
    </w:p>
    <w:p>
      <w:pPr>
        <w:pStyle w:val="ListBullet"/>
      </w:pPr>
      <w:r>
        <w:t>Code/system/display/version.</w:t>
      </w:r>
    </w:p>
    <w:p>
      <w:pPr>
        <w:pStyle w:val="ListBullet"/>
      </w:pPr>
      <w:r>
        <w:t>clinical status.</w:t>
      </w:r>
    </w:p>
    <w:p>
      <w:pPr>
        <w:pStyle w:val="ListBullet"/>
      </w:pPr>
      <w:r>
        <w:t>verification status.</w:t>
      </w:r>
    </w:p>
    <w:p>
      <w:pPr>
        <w:pStyle w:val="ListBullet"/>
      </w:pPr>
      <w:r>
        <w:t>onset/abatement.</w:t>
      </w:r>
    </w:p>
    <w:p>
      <w:pPr>
        <w:pStyle w:val="ListBullet"/>
      </w:pPr>
      <w:r>
        <w:t>recorded date.</w:t>
      </w:r>
    </w:p>
    <w:p>
      <w:pPr>
        <w:pStyle w:val="ListBullet"/>
      </w:pPr>
      <w:r>
        <w:t>author/source.</w:t>
      </w:r>
    </w:p>
    <w:p>
      <w:pPr>
        <w:pStyle w:val="ListBullet"/>
      </w:pPr>
      <w:r>
        <w:t>Do not represent suspected vs confirmed with one generic active flag.</w:t>
      </w:r>
    </w:p>
    <w:p>
      <w:pPr>
        <w:pStyle w:val="Heading1"/>
      </w:pPr>
      <w:r>
        <w:t>18. Allergy Model</w:t>
      </w:r>
    </w:p>
    <w:p>
      <w:pPr>
        <w:pStyle w:val="ListBullet"/>
      </w:pPr>
      <w:r>
        <w:t>Substance/code.</w:t>
      </w:r>
    </w:p>
    <w:p>
      <w:pPr>
        <w:pStyle w:val="ListBullet"/>
      </w:pPr>
      <w:r>
        <w:t>clinical/verification status.</w:t>
      </w:r>
    </w:p>
    <w:p>
      <w:pPr>
        <w:pStyle w:val="ListBullet"/>
      </w:pPr>
      <w:r>
        <w:t>criticality.</w:t>
      </w:r>
    </w:p>
    <w:p>
      <w:pPr>
        <w:pStyle w:val="ListBullet"/>
      </w:pPr>
      <w:r>
        <w:t>reaction child rows.</w:t>
      </w:r>
    </w:p>
    <w:p>
      <w:pPr>
        <w:pStyle w:val="ListBullet"/>
      </w:pPr>
      <w:r>
        <w:t>onset.</w:t>
      </w:r>
    </w:p>
    <w:p>
      <w:pPr>
        <w:pStyle w:val="ListBullet"/>
      </w:pPr>
      <w:r>
        <w:t>source.</w:t>
      </w:r>
    </w:p>
    <w:p>
      <w:pPr>
        <w:pStyle w:val="ListBullet"/>
      </w:pPr>
      <w:r>
        <w:t>Explicit no-known-allergy assertion distinct from absence of rows.</w:t>
      </w:r>
    </w:p>
    <w:p>
      <w:pPr>
        <w:pStyle w:val="Heading1"/>
      </w:pPr>
      <w:r>
        <w:t>19. Observation Model</w:t>
      </w:r>
    </w:p>
    <w:p>
      <w:pPr>
        <w:pStyle w:val="ListBullet"/>
      </w:pPr>
      <w:r>
        <w:t>Observation definition/code.</w:t>
      </w:r>
    </w:p>
    <w:p>
      <w:pPr>
        <w:pStyle w:val="ListBullet"/>
      </w:pPr>
      <w:r>
        <w:t>subject/patient.</w:t>
      </w:r>
    </w:p>
    <w:p>
      <w:pPr>
        <w:pStyle w:val="ListBullet"/>
      </w:pPr>
      <w:r>
        <w:t>encounter.</w:t>
      </w:r>
    </w:p>
    <w:p>
      <w:pPr>
        <w:pStyle w:val="ListBullet"/>
      </w:pPr>
      <w:r>
        <w:t>effective time.</w:t>
      </w:r>
    </w:p>
    <w:p>
      <w:pPr>
        <w:pStyle w:val="ListBullet"/>
      </w:pPr>
      <w:r>
        <w:t>issued/recorded time.</w:t>
      </w:r>
    </w:p>
    <w:p>
      <w:pPr>
        <w:pStyle w:val="ListBullet"/>
      </w:pPr>
      <w:r>
        <w:t>value typed representation.</w:t>
      </w:r>
    </w:p>
    <w:p>
      <w:pPr>
        <w:pStyle w:val="ListBullet"/>
      </w:pPr>
      <w:r>
        <w:t>unit/code.</w:t>
      </w:r>
    </w:p>
    <w:p>
      <w:pPr>
        <w:pStyle w:val="ListBullet"/>
      </w:pPr>
      <w:r>
        <w:t>interpretation.</w:t>
      </w:r>
    </w:p>
    <w:p>
      <w:pPr>
        <w:pStyle w:val="ListBullet"/>
      </w:pPr>
      <w:r>
        <w:t>status.</w:t>
      </w:r>
    </w:p>
    <w:p>
      <w:pPr>
        <w:pStyle w:val="ListBullet"/>
      </w:pPr>
      <w:r>
        <w:t>source/provenance.</w:t>
      </w:r>
    </w:p>
    <w:p>
      <w:pPr>
        <w:pStyle w:val="Heading1"/>
      </w:pPr>
      <w:r>
        <w:t>20. Typed Observation Values</w:t>
      </w:r>
    </w:p>
    <w:p>
      <w:pPr>
        <w:pStyle w:val="ListBullet"/>
      </w:pPr>
      <w:r>
        <w:t>Prefer typed columns/child representation for quantity, coded, string, boolean, date/time, range, ratio where required.</w:t>
      </w:r>
    </w:p>
    <w:p>
      <w:pPr>
        <w:pStyle w:val="ListBullet"/>
      </w:pPr>
      <w:r>
        <w:t>Enforce one applicable value representation.</w:t>
      </w:r>
    </w:p>
    <w:p>
      <w:pPr>
        <w:pStyle w:val="ListBullet"/>
      </w:pPr>
      <w:r>
        <w:t>Avoid JSON-only values for core lab/vital data.</w:t>
      </w:r>
    </w:p>
    <w:p>
      <w:pPr>
        <w:pStyle w:val="Heading1"/>
      </w:pPr>
      <w:r>
        <w:t>21. Laboratory Order Model</w:t>
      </w:r>
    </w:p>
    <w:p>
      <w:pPr>
        <w:pStyle w:val="ListBullet"/>
      </w:pPr>
      <w:r>
        <w:t>Service request/order header.</w:t>
      </w:r>
    </w:p>
    <w:p>
      <w:pPr>
        <w:pStyle w:val="ListBullet"/>
      </w:pPr>
      <w:r>
        <w:t>Order items.</w:t>
      </w:r>
    </w:p>
    <w:p>
      <w:pPr>
        <w:pStyle w:val="ListBullet"/>
      </w:pPr>
      <w:r>
        <w:t>patient/encounter.</w:t>
      </w:r>
    </w:p>
    <w:p>
      <w:pPr>
        <w:pStyle w:val="ListBullet"/>
      </w:pPr>
      <w:r>
        <w:t>requester.</w:t>
      </w:r>
    </w:p>
    <w:p>
      <w:pPr>
        <w:pStyle w:val="ListBullet"/>
      </w:pPr>
      <w:r>
        <w:t>priority.</w:t>
      </w:r>
    </w:p>
    <w:p>
      <w:pPr>
        <w:pStyle w:val="ListBullet"/>
      </w:pPr>
      <w:r>
        <w:t>status.</w:t>
      </w:r>
    </w:p>
    <w:p>
      <w:pPr>
        <w:pStyle w:val="ListBullet"/>
      </w:pPr>
      <w:r>
        <w:t>specimen requirements.</w:t>
      </w:r>
    </w:p>
    <w:p>
      <w:pPr>
        <w:pStyle w:val="ListBullet"/>
      </w:pPr>
      <w:r>
        <w:t>timestamps.</w:t>
      </w:r>
    </w:p>
    <w:p>
      <w:pPr>
        <w:pStyle w:val="ListBullet"/>
      </w:pPr>
      <w:r>
        <w:t>billing link by reference only.</w:t>
      </w:r>
    </w:p>
    <w:p>
      <w:pPr>
        <w:pStyle w:val="Heading1"/>
      </w:pPr>
      <w:r>
        <w:t>22. Specimen Model</w:t>
      </w:r>
    </w:p>
    <w:p>
      <w:pPr>
        <w:pStyle w:val="ListBullet"/>
      </w:pPr>
      <w:r>
        <w:t>Specimen ID/barcode/accession.</w:t>
      </w:r>
    </w:p>
    <w:p>
      <w:pPr>
        <w:pStyle w:val="ListBullet"/>
      </w:pPr>
      <w:r>
        <w:t>patient/order.</w:t>
      </w:r>
    </w:p>
    <w:p>
      <w:pPr>
        <w:pStyle w:val="ListBullet"/>
      </w:pPr>
      <w:r>
        <w:t>type.</w:t>
      </w:r>
    </w:p>
    <w:p>
      <w:pPr>
        <w:pStyle w:val="ListBullet"/>
      </w:pPr>
      <w:r>
        <w:t>collection time.</w:t>
      </w:r>
    </w:p>
    <w:p>
      <w:pPr>
        <w:pStyle w:val="ListBullet"/>
      </w:pPr>
      <w:r>
        <w:t>collector.</w:t>
      </w:r>
    </w:p>
    <w:p>
      <w:pPr>
        <w:pStyle w:val="ListBullet"/>
      </w:pPr>
      <w:r>
        <w:t>container.</w:t>
      </w:r>
    </w:p>
    <w:p>
      <w:pPr>
        <w:pStyle w:val="ListBullet"/>
      </w:pPr>
      <w:r>
        <w:t>received time.</w:t>
      </w:r>
    </w:p>
    <w:p>
      <w:pPr>
        <w:pStyle w:val="ListBullet"/>
      </w:pPr>
      <w:r>
        <w:t>status.</w:t>
      </w:r>
    </w:p>
    <w:p>
      <w:pPr>
        <w:pStyle w:val="ListBullet"/>
      </w:pPr>
      <w:r>
        <w:t>rejection reason.</w:t>
      </w:r>
    </w:p>
    <w:p>
      <w:pPr>
        <w:pStyle w:val="ListBullet"/>
      </w:pPr>
      <w:r>
        <w:t>parent/aliquot lineage.</w:t>
      </w:r>
    </w:p>
    <w:p>
      <w:pPr>
        <w:pStyle w:val="Heading1"/>
      </w:pPr>
      <w:r>
        <w:t>23. Lab Result Model</w:t>
      </w:r>
    </w:p>
    <w:p>
      <w:pPr>
        <w:pStyle w:val="ListBullet"/>
      </w:pPr>
      <w:r>
        <w:t>Result row tied to order/specimen/report.</w:t>
      </w:r>
    </w:p>
    <w:p>
      <w:pPr>
        <w:pStyle w:val="ListBullet"/>
      </w:pPr>
      <w:r>
        <w:t>Analyte code.</w:t>
      </w:r>
    </w:p>
    <w:p>
      <w:pPr>
        <w:pStyle w:val="ListBullet"/>
      </w:pPr>
      <w:r>
        <w:t>typed value.</w:t>
      </w:r>
    </w:p>
    <w:p>
      <w:pPr>
        <w:pStyle w:val="ListBullet"/>
      </w:pPr>
      <w:r>
        <w:t>unit.</w:t>
      </w:r>
    </w:p>
    <w:p>
      <w:pPr>
        <w:pStyle w:val="ListBullet"/>
      </w:pPr>
      <w:r>
        <w:t>reference interval reference/snapshot.</w:t>
      </w:r>
    </w:p>
    <w:p>
      <w:pPr>
        <w:pStyle w:val="ListBullet"/>
      </w:pPr>
      <w:r>
        <w:t>flags.</w:t>
      </w:r>
    </w:p>
    <w:p>
      <w:pPr>
        <w:pStyle w:val="ListBullet"/>
      </w:pPr>
      <w:r>
        <w:t>status.</w:t>
      </w:r>
    </w:p>
    <w:p>
      <w:pPr>
        <w:pStyle w:val="ListBullet"/>
      </w:pPr>
      <w:r>
        <w:t>method/device/source.</w:t>
      </w:r>
    </w:p>
    <w:p>
      <w:pPr>
        <w:pStyle w:val="ListBullet"/>
      </w:pPr>
      <w:r>
        <w:t>preliminary/final/corrected history.</w:t>
      </w:r>
    </w:p>
    <w:p>
      <w:pPr>
        <w:pStyle w:val="Heading1"/>
      </w:pPr>
      <w:r>
        <w:t>24. Diagnostic Report Model</w:t>
      </w:r>
    </w:p>
    <w:p>
      <w:pPr>
        <w:pStyle w:val="ListBullet"/>
      </w:pPr>
      <w:r>
        <w:t>Report version/status.</w:t>
      </w:r>
    </w:p>
    <w:p>
      <w:pPr>
        <w:pStyle w:val="ListBullet"/>
      </w:pPr>
      <w:r>
        <w:t>result references.</w:t>
      </w:r>
    </w:p>
    <w:p>
      <w:pPr>
        <w:pStyle w:val="ListBullet"/>
      </w:pPr>
      <w:r>
        <w:t>author/validator.</w:t>
      </w:r>
    </w:p>
    <w:p>
      <w:pPr>
        <w:pStyle w:val="ListBullet"/>
      </w:pPr>
      <w:r>
        <w:t>issued time.</w:t>
      </w:r>
    </w:p>
    <w:p>
      <w:pPr>
        <w:pStyle w:val="ListBullet"/>
      </w:pPr>
      <w:r>
        <w:t>conclusion.</w:t>
      </w:r>
    </w:p>
    <w:p>
      <w:pPr>
        <w:pStyle w:val="ListBullet"/>
      </w:pPr>
      <w:r>
        <w:t>document representation.</w:t>
      </w:r>
    </w:p>
    <w:p>
      <w:pPr>
        <w:pStyle w:val="ListBullet"/>
      </w:pPr>
      <w:r>
        <w:t>correction links.</w:t>
      </w:r>
    </w:p>
    <w:p>
      <w:pPr>
        <w:pStyle w:val="ListBullet"/>
      </w:pPr>
      <w:r>
        <w:t>Final report immutable; corrected report creates new revision.</w:t>
      </w:r>
    </w:p>
    <w:p>
      <w:pPr>
        <w:pStyle w:val="Heading1"/>
      </w:pPr>
      <w:r>
        <w:t>25. Imaging Model</w:t>
      </w:r>
    </w:p>
    <w:p>
      <w:pPr>
        <w:pStyle w:val="ListBullet"/>
      </w:pPr>
      <w:r>
        <w:t>Order/worklist/report metadata.</w:t>
      </w:r>
    </w:p>
    <w:p>
      <w:pPr>
        <w:pStyle w:val="ListBullet"/>
      </w:pPr>
      <w:r>
        <w:t>Accession.</w:t>
      </w:r>
    </w:p>
    <w:p>
      <w:pPr>
        <w:pStyle w:val="ListBullet"/>
      </w:pPr>
      <w:r>
        <w:t>StudyInstanceUID.</w:t>
      </w:r>
    </w:p>
    <w:p>
      <w:pPr>
        <w:pStyle w:val="ListBullet"/>
      </w:pPr>
      <w:r>
        <w:t>PACS endpoint/reference.</w:t>
      </w:r>
    </w:p>
    <w:p>
      <w:pPr>
        <w:pStyle w:val="ListBullet"/>
      </w:pPr>
      <w:r>
        <w:t>Procedure/body site/laterality.</w:t>
      </w:r>
    </w:p>
    <w:p>
      <w:pPr>
        <w:pStyle w:val="ListBullet"/>
      </w:pPr>
      <w:r>
        <w:t>Report versions.</w:t>
      </w:r>
    </w:p>
    <w:p>
      <w:pPr>
        <w:pStyle w:val="ListBullet"/>
      </w:pPr>
      <w:r>
        <w:t>No diagnostic pixel blobs in ordinary transactional tables.</w:t>
      </w:r>
    </w:p>
    <w:p>
      <w:pPr>
        <w:pStyle w:val="Heading1"/>
      </w:pPr>
      <w:r>
        <w:t>26. Medication Definition</w:t>
      </w:r>
    </w:p>
    <w:p>
      <w:pPr>
        <w:pStyle w:val="ListBullet"/>
      </w:pPr>
      <w:r>
        <w:t>Normalized medication/product/form/strength/route-related reference data.</w:t>
      </w:r>
    </w:p>
    <w:p>
      <w:pPr>
        <w:pStyle w:val="ListBullet"/>
      </w:pPr>
      <w:r>
        <w:t>Local formulary entry versioned/effective.</w:t>
      </w:r>
    </w:p>
    <w:p>
      <w:pPr>
        <w:pStyle w:val="ListBullet"/>
      </w:pPr>
      <w:r>
        <w:t>Clinical orders reference stable definitions plus prescribed snapshot where necessary.</w:t>
      </w:r>
    </w:p>
    <w:p>
      <w:pPr>
        <w:pStyle w:val="Heading1"/>
      </w:pPr>
      <w:r>
        <w:t>27. Medication Request</w:t>
      </w:r>
    </w:p>
    <w:p>
      <w:pPr>
        <w:pStyle w:val="ListBullet"/>
      </w:pPr>
      <w:r>
        <w:t>Patient/encounter.</w:t>
      </w:r>
    </w:p>
    <w:p>
      <w:pPr>
        <w:pStyle w:val="ListBullet"/>
      </w:pPr>
      <w:r>
        <w:t>Medication.</w:t>
      </w:r>
    </w:p>
    <w:p>
      <w:pPr>
        <w:pStyle w:val="ListBullet"/>
      </w:pPr>
      <w:r>
        <w:t>dose/instructions.</w:t>
      </w:r>
    </w:p>
    <w:p>
      <w:pPr>
        <w:pStyle w:val="ListBullet"/>
      </w:pPr>
      <w:r>
        <w:t>route.</w:t>
      </w:r>
    </w:p>
    <w:p>
      <w:pPr>
        <w:pStyle w:val="ListBullet"/>
      </w:pPr>
      <w:r>
        <w:t>frequency/schedule.</w:t>
      </w:r>
    </w:p>
    <w:p>
      <w:pPr>
        <w:pStyle w:val="ListBullet"/>
      </w:pPr>
      <w:r>
        <w:t>PRN indication.</w:t>
      </w:r>
    </w:p>
    <w:p>
      <w:pPr>
        <w:pStyle w:val="ListBullet"/>
      </w:pPr>
      <w:r>
        <w:t>start/end.</w:t>
      </w:r>
    </w:p>
    <w:p>
      <w:pPr>
        <w:pStyle w:val="ListBullet"/>
      </w:pPr>
      <w:r>
        <w:t>prescriber.</w:t>
      </w:r>
    </w:p>
    <w:p>
      <w:pPr>
        <w:pStyle w:val="ListBullet"/>
      </w:pPr>
      <w:r>
        <w:t>status.</w:t>
      </w:r>
    </w:p>
    <w:p>
      <w:pPr>
        <w:pStyle w:val="ListBullet"/>
      </w:pPr>
      <w:r>
        <w:t>version.</w:t>
      </w:r>
    </w:p>
    <w:p>
      <w:pPr>
        <w:pStyle w:val="ListBullet"/>
      </w:pPr>
      <w:r>
        <w:t>No inventory decrement implied.</w:t>
      </w:r>
    </w:p>
    <w:p>
      <w:pPr>
        <w:pStyle w:val="Heading1"/>
      </w:pPr>
      <w:r>
        <w:t>28. Medication Verification</w:t>
      </w:r>
    </w:p>
    <w:p>
      <w:pPr>
        <w:pStyle w:val="ListBullet"/>
      </w:pPr>
      <w:r>
        <w:t>Pharmacist review separate entity/event.</w:t>
      </w:r>
    </w:p>
    <w:p>
      <w:pPr>
        <w:pStyle w:val="ListBullet"/>
      </w:pPr>
      <w:r>
        <w:t>Decision.</w:t>
      </w:r>
    </w:p>
    <w:p>
      <w:pPr>
        <w:pStyle w:val="ListBullet"/>
      </w:pPr>
      <w:r>
        <w:t>intervention.</w:t>
      </w:r>
    </w:p>
    <w:p>
      <w:pPr>
        <w:pStyle w:val="ListBullet"/>
      </w:pPr>
      <w:r>
        <w:t>actor/time.</w:t>
      </w:r>
    </w:p>
    <w:p>
      <w:pPr>
        <w:pStyle w:val="ListBullet"/>
      </w:pPr>
      <w:r>
        <w:t>Order version reviewed.</w:t>
      </w:r>
    </w:p>
    <w:p>
      <w:pPr>
        <w:pStyle w:val="ListBullet"/>
      </w:pPr>
      <w:r>
        <w:t>Subsequent order change can invalidate/re-require verification.</w:t>
      </w:r>
    </w:p>
    <w:p>
      <w:pPr>
        <w:pStyle w:val="Heading1"/>
      </w:pPr>
      <w:r>
        <w:t>29. Dispense</w:t>
      </w:r>
    </w:p>
    <w:p>
      <w:pPr>
        <w:pStyle w:val="ListBullet"/>
      </w:pPr>
      <w:r>
        <w:t>Medication request reference.</w:t>
      </w:r>
    </w:p>
    <w:p>
      <w:pPr>
        <w:pStyle w:val="ListBullet"/>
      </w:pPr>
      <w:r>
        <w:t>product.</w:t>
      </w:r>
    </w:p>
    <w:p>
      <w:pPr>
        <w:pStyle w:val="ListBullet"/>
      </w:pPr>
      <w:r>
        <w:t>quantity.</w:t>
      </w:r>
    </w:p>
    <w:p>
      <w:pPr>
        <w:pStyle w:val="ListBullet"/>
      </w:pPr>
      <w:r>
        <w:t>lot/batch where known.</w:t>
      </w:r>
    </w:p>
    <w:p>
      <w:pPr>
        <w:pStyle w:val="ListBullet"/>
      </w:pPr>
      <w:r>
        <w:t>pharmacy/location.</w:t>
      </w:r>
    </w:p>
    <w:p>
      <w:pPr>
        <w:pStyle w:val="ListBullet"/>
      </w:pPr>
      <w:r>
        <w:t>dispenser.</w:t>
      </w:r>
    </w:p>
    <w:p>
      <w:pPr>
        <w:pStyle w:val="ListBullet"/>
      </w:pPr>
      <w:r>
        <w:t>time.</w:t>
      </w:r>
    </w:p>
    <w:p>
      <w:pPr>
        <w:pStyle w:val="ListBullet"/>
      </w:pPr>
      <w:r>
        <w:t>substitution.</w:t>
      </w:r>
    </w:p>
    <w:p>
      <w:pPr>
        <w:pStyle w:val="ListBullet"/>
      </w:pPr>
      <w:r>
        <w:t>Dispense does not populate administration.</w:t>
      </w:r>
    </w:p>
    <w:p>
      <w:pPr>
        <w:pStyle w:val="Heading1"/>
      </w:pPr>
      <w:r>
        <w:t>30. Medication Administration</w:t>
      </w:r>
    </w:p>
    <w:p>
      <w:pPr>
        <w:pStyle w:val="ListBullet"/>
      </w:pPr>
      <w:r>
        <w:t>Order/schedule reference.</w:t>
      </w:r>
    </w:p>
    <w:p>
      <w:pPr>
        <w:pStyle w:val="ListBullet"/>
      </w:pPr>
      <w:r>
        <w:t>patient/encounter.</w:t>
      </w:r>
    </w:p>
    <w:p>
      <w:pPr>
        <w:pStyle w:val="ListBullet"/>
      </w:pPr>
      <w:r>
        <w:t>scheduled time.</w:t>
      </w:r>
    </w:p>
    <w:p>
      <w:pPr>
        <w:pStyle w:val="ListBullet"/>
      </w:pPr>
      <w:r>
        <w:t>actual time.</w:t>
      </w:r>
    </w:p>
    <w:p>
      <w:pPr>
        <w:pStyle w:val="ListBullet"/>
      </w:pPr>
      <w:r>
        <w:t>dose/route/site.</w:t>
      </w:r>
    </w:p>
    <w:p>
      <w:pPr>
        <w:pStyle w:val="ListBullet"/>
      </w:pPr>
      <w:r>
        <w:t>administrator.</w:t>
      </w:r>
    </w:p>
    <w:p>
      <w:pPr>
        <w:pStyle w:val="ListBullet"/>
      </w:pPr>
      <w:r>
        <w:t>status/not-given reason.</w:t>
      </w:r>
    </w:p>
    <w:p>
      <w:pPr>
        <w:pStyle w:val="ListBullet"/>
      </w:pPr>
      <w:r>
        <w:t>barcode verification metadata.</w:t>
      </w:r>
    </w:p>
    <w:p>
      <w:pPr>
        <w:pStyle w:val="ListBullet"/>
      </w:pPr>
      <w:r>
        <w:t>Immutable event/correction pattern.</w:t>
      </w:r>
    </w:p>
    <w:p>
      <w:pPr>
        <w:pStyle w:val="Heading1"/>
      </w:pPr>
      <w:r>
        <w:t>31. Inventory Item</w:t>
      </w:r>
    </w:p>
    <w:p>
      <w:pPr>
        <w:pStyle w:val="ListBullet"/>
      </w:pPr>
      <w:r>
        <w:t>Item master separate from medication clinical definition but linkable.</w:t>
      </w:r>
    </w:p>
    <w:p>
      <w:pPr>
        <w:pStyle w:val="ListBullet"/>
      </w:pPr>
      <w:r>
        <w:t>SKU/local code.</w:t>
      </w:r>
    </w:p>
    <w:p>
      <w:pPr>
        <w:pStyle w:val="ListBullet"/>
      </w:pPr>
      <w:r>
        <w:t>UOM.</w:t>
      </w:r>
    </w:p>
    <w:p>
      <w:pPr>
        <w:pStyle w:val="ListBullet"/>
      </w:pPr>
      <w:r>
        <w:t>category.</w:t>
      </w:r>
    </w:p>
    <w:p>
      <w:pPr>
        <w:pStyle w:val="ListBullet"/>
      </w:pPr>
      <w:r>
        <w:t>tracking rules.</w:t>
      </w:r>
    </w:p>
    <w:p>
      <w:pPr>
        <w:pStyle w:val="ListBullet"/>
      </w:pPr>
      <w:r>
        <w:t>Active/effective dates.</w:t>
      </w:r>
    </w:p>
    <w:p>
      <w:pPr>
        <w:pStyle w:val="ListBullet"/>
      </w:pPr>
      <w:r>
        <w:t>Do not use item description as identity.</w:t>
      </w:r>
    </w:p>
    <w:p>
      <w:pPr>
        <w:pStyle w:val="Heading1"/>
      </w:pPr>
      <w:r>
        <w:t>32. Inventory Lot</w:t>
      </w:r>
    </w:p>
    <w:p>
      <w:pPr>
        <w:pStyle w:val="ListBullet"/>
      </w:pPr>
      <w:r>
        <w:t>Item.</w:t>
      </w:r>
    </w:p>
    <w:p>
      <w:pPr>
        <w:pStyle w:val="ListBullet"/>
      </w:pPr>
      <w:r>
        <w:t>lot/batch.</w:t>
      </w:r>
    </w:p>
    <w:p>
      <w:pPr>
        <w:pStyle w:val="ListBullet"/>
      </w:pPr>
      <w:r>
        <w:t>expiry.</w:t>
      </w:r>
    </w:p>
    <w:p>
      <w:pPr>
        <w:pStyle w:val="ListBullet"/>
      </w:pPr>
      <w:r>
        <w:t>serial if applicable.</w:t>
      </w:r>
    </w:p>
    <w:p>
      <w:pPr>
        <w:pStyle w:val="ListBullet"/>
      </w:pPr>
      <w:r>
        <w:t>location context.</w:t>
      </w:r>
    </w:p>
    <w:p>
      <w:pPr>
        <w:pStyle w:val="ListBullet"/>
      </w:pPr>
      <w:r>
        <w:t>Supplier/manufacturer metadata where required.</w:t>
      </w:r>
    </w:p>
    <w:p>
      <w:pPr>
        <w:pStyle w:val="ListBullet"/>
      </w:pPr>
      <w:r>
        <w:t>Quantity is derived from movement ledger, not editable lot field as authority.</w:t>
      </w:r>
    </w:p>
    <w:p>
      <w:pPr>
        <w:pStyle w:val="Heading1"/>
      </w:pPr>
      <w:r>
        <w:t>33. Inventory Movement Ledger</w:t>
      </w:r>
    </w:p>
    <w:p>
      <w:pPr>
        <w:pStyle w:val="ListBullet"/>
      </w:pPr>
      <w:r>
        <w:t>Append-only movement.</w:t>
      </w:r>
    </w:p>
    <w:p>
      <w:pPr>
        <w:pStyle w:val="ListBullet"/>
      </w:pPr>
      <w:r>
        <w:t>item/lot/location from/to.</w:t>
      </w:r>
    </w:p>
    <w:p>
      <w:pPr>
        <w:pStyle w:val="ListBullet"/>
      </w:pPr>
      <w:r>
        <w:t>quantity/unit.</w:t>
      </w:r>
    </w:p>
    <w:p>
      <w:pPr>
        <w:pStyle w:val="ListBullet"/>
      </w:pPr>
      <w:r>
        <w:t>movement type.</w:t>
      </w:r>
    </w:p>
    <w:p>
      <w:pPr>
        <w:pStyle w:val="ListBullet"/>
      </w:pPr>
      <w:r>
        <w:t>source transaction.</w:t>
      </w:r>
    </w:p>
    <w:p>
      <w:pPr>
        <w:pStyle w:val="ListBullet"/>
      </w:pPr>
      <w:r>
        <w:t>actor/time.</w:t>
      </w:r>
    </w:p>
    <w:p>
      <w:pPr>
        <w:pStyle w:val="ListBullet"/>
      </w:pPr>
      <w:r>
        <w:t>correction/reversal reference.</w:t>
      </w:r>
    </w:p>
    <w:p>
      <w:pPr>
        <w:pStyle w:val="ListBullet"/>
      </w:pPr>
      <w:r>
        <w:t>Balance = sum of valid ledger movements.</w:t>
      </w:r>
    </w:p>
    <w:p>
      <w:pPr>
        <w:pStyle w:val="Heading1"/>
      </w:pPr>
      <w:r>
        <w:t>34. Procurement</w:t>
      </w:r>
    </w:p>
    <w:p>
      <w:pPr>
        <w:pStyle w:val="ListBullet"/>
      </w:pPr>
      <w:r>
        <w:t>Supplier.</w:t>
      </w:r>
    </w:p>
    <w:p>
      <w:pPr>
        <w:pStyle w:val="ListBullet"/>
      </w:pPr>
      <w:r>
        <w:t>requisition.</w:t>
      </w:r>
    </w:p>
    <w:p>
      <w:pPr>
        <w:pStyle w:val="ListBullet"/>
      </w:pPr>
      <w:r>
        <w:t>purchase order/header-lines.</w:t>
      </w:r>
    </w:p>
    <w:p>
      <w:pPr>
        <w:pStyle w:val="ListBullet"/>
      </w:pPr>
      <w:r>
        <w:t>goods receipt.</w:t>
      </w:r>
    </w:p>
    <w:p>
      <w:pPr>
        <w:pStyle w:val="ListBullet"/>
      </w:pPr>
      <w:r>
        <w:t>invoice reference.</w:t>
      </w:r>
    </w:p>
    <w:p>
      <w:pPr>
        <w:pStyle w:val="ListBullet"/>
      </w:pPr>
      <w:r>
        <w:t>Status histories.</w:t>
      </w:r>
    </w:p>
    <w:p>
      <w:pPr>
        <w:pStyle w:val="ListBullet"/>
      </w:pPr>
      <w:r>
        <w:t>Partial receipt represented explicitly.</w:t>
      </w:r>
    </w:p>
    <w:p>
      <w:pPr>
        <w:pStyle w:val="Heading1"/>
      </w:pPr>
      <w:r>
        <w:t>35. Referral Case</w:t>
      </w:r>
    </w:p>
    <w:p>
      <w:pPr>
        <w:pStyle w:val="ListBullet"/>
      </w:pPr>
      <w:r>
        <w:t>Sending/receiving org/facility.</w:t>
      </w:r>
    </w:p>
    <w:p>
      <w:pPr>
        <w:pStyle w:val="ListBullet"/>
      </w:pPr>
      <w:r>
        <w:t>patient identity correlation.</w:t>
      </w:r>
    </w:p>
    <w:p>
      <w:pPr>
        <w:pStyle w:val="ListBullet"/>
      </w:pPr>
      <w:r>
        <w:t>reason/urgency.</w:t>
      </w:r>
    </w:p>
    <w:p>
      <w:pPr>
        <w:pStyle w:val="ListBullet"/>
      </w:pPr>
      <w:r>
        <w:t>state.</w:t>
      </w:r>
    </w:p>
    <w:p>
      <w:pPr>
        <w:pStyle w:val="ListBullet"/>
      </w:pPr>
      <w:r>
        <w:t>responsibility.</w:t>
      </w:r>
    </w:p>
    <w:p>
      <w:pPr>
        <w:pStyle w:val="ListBullet"/>
      </w:pPr>
      <w:r>
        <w:t>created/submitted/received/accepted/arrived/care-assumed timestamps separately.</w:t>
      </w:r>
    </w:p>
    <w:p>
      <w:pPr>
        <w:pStyle w:val="Heading1"/>
      </w:pPr>
      <w:r>
        <w:t>36. Referral Package</w:t>
      </w:r>
    </w:p>
    <w:p>
      <w:pPr>
        <w:pStyle w:val="ListBullet"/>
      </w:pPr>
      <w:r>
        <w:t>Package/version.</w:t>
      </w:r>
    </w:p>
    <w:p>
      <w:pPr>
        <w:pStyle w:val="ListBullet"/>
      </w:pPr>
      <w:r>
        <w:t>manifest.</w:t>
      </w:r>
    </w:p>
    <w:p>
      <w:pPr>
        <w:pStyle w:val="ListBullet"/>
      </w:pPr>
      <w:r>
        <w:t>document/clinical references.</w:t>
      </w:r>
    </w:p>
    <w:p>
      <w:pPr>
        <w:pStyle w:val="ListBullet"/>
      </w:pPr>
      <w:r>
        <w:t>disclosure basis/consent.</w:t>
      </w:r>
    </w:p>
    <w:p>
      <w:pPr>
        <w:pStyle w:val="ListBullet"/>
      </w:pPr>
      <w:r>
        <w:t>sender.</w:t>
      </w:r>
    </w:p>
    <w:p>
      <w:pPr>
        <w:pStyle w:val="ListBullet"/>
      </w:pPr>
      <w:r>
        <w:t>hash/integrity.</w:t>
      </w:r>
    </w:p>
    <w:p>
      <w:pPr>
        <w:pStyle w:val="ListBullet"/>
      </w:pPr>
      <w:r>
        <w:t>Exact disclosed contents reconstructable.</w:t>
      </w:r>
    </w:p>
    <w:p>
      <w:pPr>
        <w:pStyle w:val="Heading1"/>
      </w:pPr>
      <w:r>
        <w:t>37. Revenue Charge</w:t>
      </w:r>
    </w:p>
    <w:p>
      <w:pPr>
        <w:pStyle w:val="ListBullet"/>
      </w:pPr>
      <w:r>
        <w:t>Charge fact references service/clinical source.</w:t>
      </w:r>
    </w:p>
    <w:p>
      <w:pPr>
        <w:pStyle w:val="ListBullet"/>
      </w:pPr>
      <w:r>
        <w:t>Amount/tariff snapshot.</w:t>
      </w:r>
    </w:p>
    <w:p>
      <w:pPr>
        <w:pStyle w:val="ListBullet"/>
      </w:pPr>
      <w:r>
        <w:t>Patient/account.</w:t>
      </w:r>
    </w:p>
    <w:p>
      <w:pPr>
        <w:pStyle w:val="ListBullet"/>
      </w:pPr>
      <w:r>
        <w:t>Payer context.</w:t>
      </w:r>
    </w:p>
    <w:p>
      <w:pPr>
        <w:pStyle w:val="ListBullet"/>
      </w:pPr>
      <w:r>
        <w:t>Status.</w:t>
      </w:r>
    </w:p>
    <w:p>
      <w:pPr>
        <w:pStyle w:val="ListBullet"/>
      </w:pPr>
      <w:r>
        <w:t>Clinical event remains authoritative outside revenue schema.</w:t>
      </w:r>
    </w:p>
    <w:p>
      <w:pPr>
        <w:pStyle w:val="Heading1"/>
      </w:pPr>
      <w:r>
        <w:t>38. Invoice</w:t>
      </w:r>
    </w:p>
    <w:p>
      <w:pPr>
        <w:pStyle w:val="ListBullet"/>
      </w:pPr>
      <w:r>
        <w:t>Invoice header/lines.</w:t>
      </w:r>
    </w:p>
    <w:p>
      <w:pPr>
        <w:pStyle w:val="ListBullet"/>
      </w:pPr>
      <w:r>
        <w:t>Posted state.</w:t>
      </w:r>
    </w:p>
    <w:p>
      <w:pPr>
        <w:pStyle w:val="ListBullet"/>
      </w:pPr>
      <w:r>
        <w:t>Totals derived/validated.</w:t>
      </w:r>
    </w:p>
    <w:p>
      <w:pPr>
        <w:pStyle w:val="ListBullet"/>
      </w:pPr>
      <w:r>
        <w:t>Adjustments/reversals.</w:t>
      </w:r>
    </w:p>
    <w:p>
      <w:pPr>
        <w:pStyle w:val="ListBullet"/>
      </w:pPr>
      <w:r>
        <w:t>No destructive rewrite of posted financial history.</w:t>
      </w:r>
    </w:p>
    <w:p>
      <w:pPr>
        <w:pStyle w:val="Heading1"/>
      </w:pPr>
      <w:r>
        <w:t>39. Payment</w:t>
      </w:r>
    </w:p>
    <w:p>
      <w:pPr>
        <w:pStyle w:val="ListBullet"/>
      </w:pPr>
      <w:r>
        <w:t>Payment transaction.</w:t>
      </w:r>
    </w:p>
    <w:p>
      <w:pPr>
        <w:pStyle w:val="ListBullet"/>
      </w:pPr>
      <w:r>
        <w:t>Method.</w:t>
      </w:r>
    </w:p>
    <w:p>
      <w:pPr>
        <w:pStyle w:val="ListBullet"/>
      </w:pPr>
      <w:r>
        <w:t>Amount/currency.</w:t>
      </w:r>
    </w:p>
    <w:p>
      <w:pPr>
        <w:pStyle w:val="ListBullet"/>
      </w:pPr>
      <w:r>
        <w:t>gateway/reference.</w:t>
      </w:r>
    </w:p>
    <w:p>
      <w:pPr>
        <w:pStyle w:val="ListBullet"/>
      </w:pPr>
      <w:r>
        <w:t>receipt.</w:t>
      </w:r>
    </w:p>
    <w:p>
      <w:pPr>
        <w:pStyle w:val="ListBullet"/>
      </w:pPr>
      <w:r>
        <w:t>status.</w:t>
      </w:r>
    </w:p>
    <w:p>
      <w:pPr>
        <w:pStyle w:val="ListBullet"/>
      </w:pPr>
      <w:r>
        <w:t>Idempotency key.</w:t>
      </w:r>
    </w:p>
    <w:p>
      <w:pPr>
        <w:pStyle w:val="ListBullet"/>
      </w:pPr>
      <w:r>
        <w:t>Reversal/refund separate.</w:t>
      </w:r>
    </w:p>
    <w:p>
      <w:pPr>
        <w:pStyle w:val="Heading1"/>
      </w:pPr>
      <w:r>
        <w:t>40. Claim</w:t>
      </w:r>
    </w:p>
    <w:p>
      <w:pPr>
        <w:pStyle w:val="ListBullet"/>
      </w:pPr>
      <w:r>
        <w:t>Coverage/payer.</w:t>
      </w:r>
    </w:p>
    <w:p>
      <w:pPr>
        <w:pStyle w:val="ListBullet"/>
      </w:pPr>
      <w:r>
        <w:t>Claim/header-lines.</w:t>
      </w:r>
    </w:p>
    <w:p>
      <w:pPr>
        <w:pStyle w:val="ListBullet"/>
      </w:pPr>
      <w:r>
        <w:t>submitted versions.</w:t>
      </w:r>
    </w:p>
    <w:p>
      <w:pPr>
        <w:pStyle w:val="ListBullet"/>
      </w:pPr>
      <w:r>
        <w:t>status history.</w:t>
      </w:r>
    </w:p>
    <w:p>
      <w:pPr>
        <w:pStyle w:val="ListBullet"/>
      </w:pPr>
      <w:r>
        <w:t>response/denial.</w:t>
      </w:r>
    </w:p>
    <w:p>
      <w:pPr>
        <w:pStyle w:val="ListBullet"/>
      </w:pPr>
      <w:r>
        <w:t>remittance.</w:t>
      </w:r>
    </w:p>
    <w:p>
      <w:pPr>
        <w:pStyle w:val="ListBullet"/>
      </w:pPr>
      <w:r>
        <w:t>Clinical source references retained.</w:t>
      </w:r>
    </w:p>
    <w:p>
      <w:pPr>
        <w:pStyle w:val="Heading1"/>
      </w:pPr>
      <w:r>
        <w:t>41. Consent</w:t>
      </w:r>
    </w:p>
    <w:p>
      <w:pPr>
        <w:pStyle w:val="ListBullet"/>
      </w:pPr>
      <w:r>
        <w:t>Patient/representative.</w:t>
      </w:r>
    </w:p>
    <w:p>
      <w:pPr>
        <w:pStyle w:val="ListBullet"/>
      </w:pPr>
      <w:r>
        <w:t>purpose.</w:t>
      </w:r>
    </w:p>
    <w:p>
      <w:pPr>
        <w:pStyle w:val="ListBullet"/>
      </w:pPr>
      <w:r>
        <w:t>scope.</w:t>
      </w:r>
    </w:p>
    <w:p>
      <w:pPr>
        <w:pStyle w:val="ListBullet"/>
      </w:pPr>
      <w:r>
        <w:t>recipient/context.</w:t>
      </w:r>
    </w:p>
    <w:p>
      <w:pPr>
        <w:pStyle w:val="ListBullet"/>
      </w:pPr>
      <w:r>
        <w:t>status.</w:t>
      </w:r>
    </w:p>
    <w:p>
      <w:pPr>
        <w:pStyle w:val="ListBullet"/>
      </w:pPr>
      <w:r>
        <w:t>effective/expiry/revocation.</w:t>
      </w:r>
    </w:p>
    <w:p>
      <w:pPr>
        <w:pStyle w:val="ListBullet"/>
      </w:pPr>
      <w:r>
        <w:t>version.</w:t>
      </w:r>
    </w:p>
    <w:p>
      <w:pPr>
        <w:pStyle w:val="ListBullet"/>
      </w:pPr>
      <w:r>
        <w:t>Evidence/document.</w:t>
      </w:r>
    </w:p>
    <w:p>
      <w:pPr>
        <w:pStyle w:val="ListBullet"/>
      </w:pPr>
      <w:r>
        <w:t>Consent does not encode application privilege.</w:t>
      </w:r>
    </w:p>
    <w:p>
      <w:pPr>
        <w:pStyle w:val="Heading1"/>
      </w:pPr>
      <w:r>
        <w:t>42. Audit Table</w:t>
      </w:r>
    </w:p>
    <w:p>
      <w:pPr>
        <w:pStyle w:val="ListBullet"/>
      </w:pPr>
      <w:r>
        <w:t>Append-only.</w:t>
      </w:r>
    </w:p>
    <w:p>
      <w:pPr>
        <w:pStyle w:val="ListBullet"/>
      </w:pPr>
      <w:r>
        <w:t>actor/service.</w:t>
      </w:r>
    </w:p>
    <w:p>
      <w:pPr>
        <w:pStyle w:val="ListBullet"/>
      </w:pPr>
      <w:r>
        <w:t>action.</w:t>
      </w:r>
    </w:p>
    <w:p>
      <w:pPr>
        <w:pStyle w:val="ListBullet"/>
      </w:pPr>
      <w:r>
        <w:t>resource type/id.</w:t>
      </w:r>
    </w:p>
    <w:p>
      <w:pPr>
        <w:pStyle w:val="ListBullet"/>
      </w:pPr>
      <w:r>
        <w:t>patient/facility/tenant context where permitted.</w:t>
      </w:r>
    </w:p>
    <w:p>
      <w:pPr>
        <w:pStyle w:val="ListBullet"/>
      </w:pPr>
      <w:r>
        <w:t>purpose.</w:t>
      </w:r>
    </w:p>
    <w:p>
      <w:pPr>
        <w:pStyle w:val="ListBullet"/>
      </w:pPr>
      <w:r>
        <w:t>timestamp.</w:t>
      </w:r>
    </w:p>
    <w:p>
      <w:pPr>
        <w:pStyle w:val="ListBullet"/>
      </w:pPr>
      <w:r>
        <w:t>outcome.</w:t>
      </w:r>
    </w:p>
    <w:p>
      <w:pPr>
        <w:pStyle w:val="ListBullet"/>
      </w:pPr>
      <w:r>
        <w:t>correlation.</w:t>
      </w:r>
    </w:p>
    <w:p>
      <w:pPr>
        <w:pStyle w:val="ListBullet"/>
      </w:pPr>
      <w:r>
        <w:t>break-glass.</w:t>
      </w:r>
    </w:p>
    <w:p>
      <w:pPr>
        <w:pStyle w:val="ListBullet"/>
      </w:pPr>
      <w:r>
        <w:t>Avoid storing unnecessary content payload.</w:t>
      </w:r>
    </w:p>
    <w:p>
      <w:pPr>
        <w:pStyle w:val="Heading1"/>
      </w:pPr>
      <w:r>
        <w:t>43. Provenance</w:t>
      </w:r>
    </w:p>
    <w:p>
      <w:pPr>
        <w:pStyle w:val="ListBullet"/>
      </w:pPr>
      <w:r>
        <w:t>Who/what created/derived/imported a clinical fact.</w:t>
      </w:r>
    </w:p>
    <w:p>
      <w:pPr>
        <w:pStyle w:val="ListBullet"/>
      </w:pPr>
      <w:r>
        <w:t>Source system.</w:t>
      </w:r>
    </w:p>
    <w:p>
      <w:pPr>
        <w:pStyle w:val="ListBullet"/>
      </w:pPr>
      <w:r>
        <w:t>Original identifier.</w:t>
      </w:r>
    </w:p>
    <w:p>
      <w:pPr>
        <w:pStyle w:val="ListBullet"/>
      </w:pPr>
      <w:r>
        <w:t>Transformation/migration batch.</w:t>
      </w:r>
    </w:p>
    <w:p>
      <w:pPr>
        <w:pStyle w:val="ListBullet"/>
      </w:pPr>
      <w:r>
        <w:t>Device/model where applicable.</w:t>
      </w:r>
    </w:p>
    <w:p>
      <w:pPr>
        <w:pStyle w:val="ListBullet"/>
      </w:pPr>
      <w:r>
        <w:t>Separate from generic security audit.</w:t>
      </w:r>
    </w:p>
    <w:p>
      <w:pPr>
        <w:pStyle w:val="Heading1"/>
      </w:pPr>
      <w:r>
        <w:t>44. Document Metadata</w:t>
      </w:r>
    </w:p>
    <w:p>
      <w:pPr>
        <w:pStyle w:val="ListBullet"/>
      </w:pPr>
      <w:r>
        <w:t>Patient/encounter/domain reference.</w:t>
      </w:r>
    </w:p>
    <w:p>
      <w:pPr>
        <w:pStyle w:val="ListBullet"/>
      </w:pPr>
      <w:r>
        <w:t>type.</w:t>
      </w:r>
    </w:p>
    <w:p>
      <w:pPr>
        <w:pStyle w:val="ListBullet"/>
      </w:pPr>
      <w:r>
        <w:t>author.</w:t>
      </w:r>
    </w:p>
    <w:p>
      <w:pPr>
        <w:pStyle w:val="ListBullet"/>
      </w:pPr>
      <w:r>
        <w:t>date.</w:t>
      </w:r>
    </w:p>
    <w:p>
      <w:pPr>
        <w:pStyle w:val="ListBullet"/>
      </w:pPr>
      <w:r>
        <w:t>object key.</w:t>
      </w:r>
    </w:p>
    <w:p>
      <w:pPr>
        <w:pStyle w:val="ListBullet"/>
      </w:pPr>
      <w:r>
        <w:t>hash.</w:t>
      </w:r>
    </w:p>
    <w:p>
      <w:pPr>
        <w:pStyle w:val="ListBullet"/>
      </w:pPr>
      <w:r>
        <w:t>MIME.</w:t>
      </w:r>
    </w:p>
    <w:p>
      <w:pPr>
        <w:pStyle w:val="ListBullet"/>
      </w:pPr>
      <w:r>
        <w:t>size.</w:t>
      </w:r>
    </w:p>
    <w:p>
      <w:pPr>
        <w:pStyle w:val="ListBullet"/>
      </w:pPr>
      <w:r>
        <w:t>status.</w:t>
      </w:r>
    </w:p>
    <w:p>
      <w:pPr>
        <w:pStyle w:val="ListBullet"/>
      </w:pPr>
      <w:r>
        <w:t>source.</w:t>
      </w:r>
    </w:p>
    <w:p>
      <w:pPr>
        <w:pStyle w:val="ListBullet"/>
      </w:pPr>
      <w:r>
        <w:t>No unrestricted object URL stored.</w:t>
      </w:r>
    </w:p>
    <w:p>
      <w:pPr>
        <w:pStyle w:val="Heading1"/>
      </w:pPr>
      <w:r>
        <w:t>45. Workflow Task</w:t>
      </w:r>
    </w:p>
    <w:p>
      <w:pPr>
        <w:pStyle w:val="ListBullet"/>
      </w:pPr>
      <w:r>
        <w:t>Task type.</w:t>
      </w:r>
    </w:p>
    <w:p>
      <w:pPr>
        <w:pStyle w:val="ListBullet"/>
      </w:pPr>
      <w:r>
        <w:t>subject/resource.</w:t>
      </w:r>
    </w:p>
    <w:p>
      <w:pPr>
        <w:pStyle w:val="ListBullet"/>
      </w:pPr>
      <w:r>
        <w:t>owner/queue.</w:t>
      </w:r>
    </w:p>
    <w:p>
      <w:pPr>
        <w:pStyle w:val="ListBullet"/>
      </w:pPr>
      <w:r>
        <w:t>status.</w:t>
      </w:r>
    </w:p>
    <w:p>
      <w:pPr>
        <w:pStyle w:val="ListBullet"/>
      </w:pPr>
      <w:r>
        <w:t>priority.</w:t>
      </w:r>
    </w:p>
    <w:p>
      <w:pPr>
        <w:pStyle w:val="ListBullet"/>
      </w:pPr>
      <w:r>
        <w:t>due time.</w:t>
      </w:r>
    </w:p>
    <w:p>
      <w:pPr>
        <w:pStyle w:val="ListBullet"/>
      </w:pPr>
      <w:r>
        <w:t>business state reference.</w:t>
      </w:r>
    </w:p>
    <w:p>
      <w:pPr>
        <w:pStyle w:val="ListBullet"/>
      </w:pPr>
      <w:r>
        <w:t>Completion evidence.</w:t>
      </w:r>
    </w:p>
    <w:p>
      <w:pPr>
        <w:pStyle w:val="ListBullet"/>
      </w:pPr>
      <w:r>
        <w:t>Task does not replace authoritative clinical state.</w:t>
      </w:r>
    </w:p>
    <w:p>
      <w:pPr>
        <w:pStyle w:val="Heading1"/>
      </w:pPr>
      <w:r>
        <w:t>46. Notification Persistence</w:t>
      </w:r>
    </w:p>
    <w:p>
      <w:pPr>
        <w:pStyle w:val="ListBullet"/>
      </w:pPr>
      <w:r>
        <w:t>Notification intent.</w:t>
      </w:r>
    </w:p>
    <w:p>
      <w:pPr>
        <w:pStyle w:val="ListBullet"/>
      </w:pPr>
      <w:r>
        <w:t>recipient/channel.</w:t>
      </w:r>
    </w:p>
    <w:p>
      <w:pPr>
        <w:pStyle w:val="ListBullet"/>
      </w:pPr>
      <w:r>
        <w:t>template/version.</w:t>
      </w:r>
    </w:p>
    <w:p>
      <w:pPr>
        <w:pStyle w:val="ListBullet"/>
      </w:pPr>
      <w:r>
        <w:t>delivery attempts.</w:t>
      </w:r>
    </w:p>
    <w:p>
      <w:pPr>
        <w:pStyle w:val="ListBullet"/>
      </w:pPr>
      <w:r>
        <w:t>provider ID.</w:t>
      </w:r>
    </w:p>
    <w:p>
      <w:pPr>
        <w:pStyle w:val="ListBullet"/>
      </w:pPr>
      <w:r>
        <w:t>status.</w:t>
      </w:r>
    </w:p>
    <w:p>
      <w:pPr>
        <w:pStyle w:val="ListBullet"/>
      </w:pPr>
      <w:r>
        <w:t>Acknowledgement separate when clinically meaningful.</w:t>
      </w:r>
    </w:p>
    <w:p>
      <w:pPr>
        <w:pStyle w:val="ListBullet"/>
      </w:pPr>
      <w:r>
        <w:t>Do not store unnecessary PHI in message body.</w:t>
      </w:r>
    </w:p>
    <w:p>
      <w:pPr>
        <w:pStyle w:val="Heading1"/>
      </w:pPr>
      <w:r>
        <w:t>47. Outbox Table</w:t>
      </w:r>
    </w:p>
    <w:p>
      <w:pPr>
        <w:pStyle w:val="ListBullet"/>
      </w:pPr>
      <w:r>
        <w:t>event_id unique.</w:t>
      </w:r>
    </w:p>
    <w:p>
      <w:pPr>
        <w:pStyle w:val="ListBullet"/>
      </w:pPr>
      <w:r>
        <w:t>aggregate/domain.</w:t>
      </w:r>
    </w:p>
    <w:p>
      <w:pPr>
        <w:pStyle w:val="ListBullet"/>
      </w:pPr>
      <w:r>
        <w:t>event_type/version.</w:t>
      </w:r>
    </w:p>
    <w:p>
      <w:pPr>
        <w:pStyle w:val="ListBullet"/>
      </w:pPr>
      <w:r>
        <w:t>payload.</w:t>
      </w:r>
    </w:p>
    <w:p>
      <w:pPr>
        <w:pStyle w:val="ListBullet"/>
      </w:pPr>
      <w:r>
        <w:t>created_at.</w:t>
      </w:r>
    </w:p>
    <w:p>
      <w:pPr>
        <w:pStyle w:val="ListBullet"/>
      </w:pPr>
      <w:r>
        <w:t>published_at/attempts.</w:t>
      </w:r>
    </w:p>
    <w:p>
      <w:pPr>
        <w:pStyle w:val="ListBullet"/>
      </w:pPr>
      <w:r>
        <w:t>tenant/facility context.</w:t>
      </w:r>
    </w:p>
    <w:p>
      <w:pPr>
        <w:pStyle w:val="ListBullet"/>
      </w:pPr>
      <w:r>
        <w:t>Index unpublished records.</w:t>
      </w:r>
    </w:p>
    <w:p>
      <w:pPr>
        <w:pStyle w:val="ListBullet"/>
      </w:pPr>
      <w:r>
        <w:t>Cleanup/archive policy.</w:t>
      </w:r>
    </w:p>
    <w:p>
      <w:pPr>
        <w:pStyle w:val="Heading1"/>
      </w:pPr>
      <w:r>
        <w:t>48. Inbox/Idempotency</w:t>
      </w:r>
    </w:p>
    <w:p>
      <w:pPr>
        <w:pStyle w:val="ListBullet"/>
      </w:pPr>
      <w:r>
        <w:t>Consumer message ID uniqueness.</w:t>
      </w:r>
    </w:p>
    <w:p>
      <w:pPr>
        <w:pStyle w:val="ListBullet"/>
      </w:pPr>
      <w:r>
        <w:t>Handler/outcome.</w:t>
      </w:r>
    </w:p>
    <w:p>
      <w:pPr>
        <w:pStyle w:val="ListBullet"/>
      </w:pPr>
      <w:r>
        <w:t>processed timestamp.</w:t>
      </w:r>
    </w:p>
    <w:p>
      <w:pPr>
        <w:pStyle w:val="ListBullet"/>
      </w:pPr>
      <w:r>
        <w:t>Retention.</w:t>
      </w:r>
    </w:p>
    <w:p>
      <w:pPr>
        <w:pStyle w:val="ListBullet"/>
      </w:pPr>
      <w:r>
        <w:t>Command idempotency key + request fingerprint + result reference for critical APIs.</w:t>
      </w:r>
    </w:p>
    <w:p>
      <w:pPr>
        <w:pStyle w:val="Heading1"/>
      </w:pPr>
      <w:r>
        <w:t>49. Temporal Columns</w:t>
      </w:r>
    </w:p>
    <w:p>
      <w:pPr>
        <w:pStyle w:val="ListBullet"/>
      </w:pPr>
      <w:r>
        <w:t>created_at is technical creation.</w:t>
      </w:r>
    </w:p>
    <w:p>
      <w:pPr>
        <w:pStyle w:val="ListBullet"/>
      </w:pPr>
      <w:r>
        <w:t>recorded_at is clinical recording.</w:t>
      </w:r>
    </w:p>
    <w:p>
      <w:pPr>
        <w:pStyle w:val="ListBullet"/>
      </w:pPr>
      <w:r>
        <w:t>effective_at/period is when fact applies.</w:t>
      </w:r>
    </w:p>
    <w:p>
      <w:pPr>
        <w:pStyle w:val="ListBullet"/>
      </w:pPr>
      <w:r>
        <w:t>signed_at.</w:t>
      </w:r>
    </w:p>
    <w:p>
      <w:pPr>
        <w:pStyle w:val="ListBullet"/>
      </w:pPr>
      <w:r>
        <w:t>issued_at.</w:t>
      </w:r>
    </w:p>
    <w:p>
      <w:pPr>
        <w:pStyle w:val="ListBullet"/>
      </w:pPr>
      <w:r>
        <w:t>received_at.</w:t>
      </w:r>
    </w:p>
    <w:p>
      <w:pPr>
        <w:pStyle w:val="ListBullet"/>
      </w:pPr>
      <w:r>
        <w:t>Do not substitute one timestamp for all semantics.</w:t>
      </w:r>
    </w:p>
    <w:p>
      <w:pPr>
        <w:pStyle w:val="Heading1"/>
      </w:pPr>
      <w:r>
        <w:t>50. Time Zone</w:t>
      </w:r>
    </w:p>
    <w:p>
      <w:pPr>
        <w:pStyle w:val="ListBullet"/>
      </w:pPr>
      <w:r>
        <w:t>Persist instants in timezone-aware type/UTC normalization.</w:t>
      </w:r>
    </w:p>
    <w:p>
      <w:pPr>
        <w:pStyle w:val="ListBullet"/>
      </w:pPr>
      <w:r>
        <w:t>Facility timezone stored/configured.</w:t>
      </w:r>
    </w:p>
    <w:p>
      <w:pPr>
        <w:pStyle w:val="ListBullet"/>
      </w:pPr>
      <w:r>
        <w:t>Date-only fields remain date.</w:t>
      </w:r>
    </w:p>
    <w:p>
      <w:pPr>
        <w:pStyle w:val="ListBullet"/>
      </w:pPr>
      <w:r>
        <w:t>Local scheduled times include timezone context.</w:t>
      </w:r>
    </w:p>
    <w:p>
      <w:pPr>
        <w:pStyle w:val="ListBullet"/>
      </w:pPr>
      <w:r>
        <w:t>Source timezone uncertainty preserved on migration.</w:t>
      </w:r>
    </w:p>
    <w:p>
      <w:pPr>
        <w:pStyle w:val="Heading1"/>
      </w:pPr>
      <w:r>
        <w:t>51. Soft Delete</w:t>
      </w:r>
    </w:p>
    <w:p>
      <w:pPr>
        <w:pStyle w:val="ListBullet"/>
      </w:pPr>
      <w:r>
        <w:t>Not universal.</w:t>
      </w:r>
    </w:p>
    <w:p>
      <w:pPr>
        <w:pStyle w:val="ListBullet"/>
      </w:pPr>
      <w:r>
        <w:t>Reference/config data may use inactive/effective dates.</w:t>
      </w:r>
    </w:p>
    <w:p>
      <w:pPr>
        <w:pStyle w:val="ListBullet"/>
      </w:pPr>
      <w:r>
        <w:t>Signed clinical/ledger/audit facts are not soft-deleted as routine.</w:t>
      </w:r>
    </w:p>
    <w:p>
      <w:pPr>
        <w:pStyle w:val="ListBullet"/>
      </w:pPr>
      <w:r>
        <w:t>Patient privacy/retention actions follow governed lifecycle rather than generic deleted_at.</w:t>
      </w:r>
    </w:p>
    <w:p>
      <w:pPr>
        <w:pStyle w:val="Heading1"/>
      </w:pPr>
      <w:r>
        <w:t>52. Immutability Enforcement</w:t>
      </w:r>
    </w:p>
    <w:p>
      <w:pPr>
        <w:pStyle w:val="ListBullet"/>
      </w:pPr>
      <w:r>
        <w:t>Application policies plus DB privileges/triggers/constraints where appropriate.</w:t>
      </w:r>
    </w:p>
    <w:p>
      <w:pPr>
        <w:pStyle w:val="ListBullet"/>
      </w:pPr>
      <w:r>
        <w:t>Signed/final/posted/ledger records corrected by append/reversal.</w:t>
      </w:r>
    </w:p>
    <w:p>
      <w:pPr>
        <w:pStyle w:val="ListBullet"/>
      </w:pPr>
      <w:r>
        <w:t>DBA emergency repair follows audited governed process.</w:t>
      </w:r>
    </w:p>
    <w:p>
      <w:pPr>
        <w:pStyle w:val="Heading1"/>
      </w:pPr>
      <w:r>
        <w:t>53. Optimistic Concurrency</w:t>
      </w:r>
    </w:p>
    <w:p>
      <w:pPr>
        <w:pStyle w:val="ListBullet"/>
      </w:pPr>
      <w:r>
        <w:t>version integer or updated token for editable aggregate.</w:t>
      </w:r>
    </w:p>
    <w:p>
      <w:pPr>
        <w:pStyle w:val="ListBullet"/>
      </w:pPr>
      <w:r>
        <w:t>UPDATE ... WHERE id AND version.</w:t>
      </w:r>
    </w:p>
    <w:p>
      <w:pPr>
        <w:pStyle w:val="ListBullet"/>
      </w:pPr>
      <w:r>
        <w:t>Zero rows = conflict.</w:t>
      </w:r>
    </w:p>
    <w:p>
      <w:pPr>
        <w:pStyle w:val="ListBullet"/>
      </w:pPr>
      <w:r>
        <w:t>API exposes version/ETag where appropriate.</w:t>
      </w:r>
    </w:p>
    <w:p>
      <w:pPr>
        <w:pStyle w:val="ListBullet"/>
      </w:pPr>
      <w:r>
        <w:t>Never silently overwrite clinician edits.</w:t>
      </w:r>
    </w:p>
    <w:p>
      <w:pPr>
        <w:pStyle w:val="Heading1"/>
      </w:pPr>
      <w:r>
        <w:t>54. Pessimistic Locking</w:t>
      </w:r>
    </w:p>
    <w:p>
      <w:pPr>
        <w:pStyle w:val="ListBullet"/>
      </w:pPr>
      <w:r>
        <w:t>Use narrowly for scarce resources/critical serialization.</w:t>
      </w:r>
    </w:p>
    <w:p>
      <w:pPr>
        <w:pStyle w:val="ListBullet"/>
      </w:pPr>
      <w:r>
        <w:t>Keep transactions short.</w:t>
      </w:r>
    </w:p>
    <w:p>
      <w:pPr>
        <w:pStyle w:val="ListBullet"/>
      </w:pPr>
      <w:r>
        <w:t>Deadlock retry controlled.</w:t>
      </w:r>
    </w:p>
    <w:p>
      <w:pPr>
        <w:pStyle w:val="ListBullet"/>
      </w:pPr>
      <w:r>
        <w:t>Examples may include stock allocation or bed assignment depending design.</w:t>
      </w:r>
    </w:p>
    <w:p>
      <w:pPr>
        <w:pStyle w:val="ListBullet"/>
      </w:pPr>
      <w:r>
        <w:t>Do not lock across external calls.</w:t>
      </w:r>
    </w:p>
    <w:p>
      <w:pPr>
        <w:pStyle w:val="Heading1"/>
      </w:pPr>
      <w:r>
        <w:t>55. Uniqueness Constraints</w:t>
      </w:r>
    </w:p>
    <w:p>
      <w:pPr>
        <w:pStyle w:val="ListBullet"/>
      </w:pPr>
      <w:r>
        <w:t>Enforce domain identity at DB level where semantics stable.</w:t>
      </w:r>
    </w:p>
    <w:p>
      <w:pPr>
        <w:pStyle w:val="ListBullet"/>
      </w:pPr>
      <w:r>
        <w:t>Tenant/facility included as required.</w:t>
      </w:r>
    </w:p>
    <w:p>
      <w:pPr>
        <w:pStyle w:val="ListBullet"/>
      </w:pPr>
      <w:r>
        <w:t>Partial unique indexes for active records when appropriate.</w:t>
      </w:r>
    </w:p>
    <w:p>
      <w:pPr>
        <w:pStyle w:val="ListBullet"/>
      </w:pPr>
      <w:r>
        <w:t>Avoid app-only uniqueness for safety-critical identifiers.</w:t>
      </w:r>
    </w:p>
    <w:p>
      <w:pPr>
        <w:pStyle w:val="Heading1"/>
      </w:pPr>
      <w:r>
        <w:t>56. Check Constraints</w:t>
      </w:r>
    </w:p>
    <w:p>
      <w:pPr>
        <w:pStyle w:val="ListBullet"/>
      </w:pPr>
      <w:r>
        <w:t>Nonnegative quantities where domain requires.</w:t>
      </w:r>
    </w:p>
    <w:p>
      <w:pPr>
        <w:pStyle w:val="ListBullet"/>
      </w:pPr>
      <w:r>
        <w:t>Valid temporal relationships.</w:t>
      </w:r>
    </w:p>
    <w:p>
      <w:pPr>
        <w:pStyle w:val="ListBullet"/>
      </w:pPr>
      <w:r>
        <w:t>Mutually exclusive typed value columns.</w:t>
      </w:r>
    </w:p>
    <w:p>
      <w:pPr>
        <w:pStyle w:val="ListBullet"/>
      </w:pPr>
      <w:r>
        <w:t>Currency/code formats where stable.</w:t>
      </w:r>
    </w:p>
    <w:p>
      <w:pPr>
        <w:pStyle w:val="ListBullet"/>
      </w:pPr>
      <w:r>
        <w:t>Do not duplicate rapidly changing business policy in brittle checks.</w:t>
      </w:r>
    </w:p>
    <w:p>
      <w:pPr>
        <w:pStyle w:val="Heading1"/>
      </w:pPr>
      <w:r>
        <w:t>57. Foreign Keys</w:t>
      </w:r>
    </w:p>
    <w:p>
      <w:pPr>
        <w:pStyle w:val="ListBullet"/>
      </w:pPr>
      <w:r>
        <w:t>Use for authoritative internal relationships where lifecycle compatible.</w:t>
      </w:r>
    </w:p>
    <w:p>
      <w:pPr>
        <w:pStyle w:val="ListBullet"/>
      </w:pPr>
      <w:r>
        <w:t>Define restrict/cascade intentionally.</w:t>
      </w:r>
    </w:p>
    <w:p>
      <w:pPr>
        <w:pStyle w:val="ListBullet"/>
      </w:pPr>
      <w:r>
        <w:t>Avoid cascade delete of clinical history.</w:t>
      </w:r>
    </w:p>
    <w:p>
      <w:pPr>
        <w:pStyle w:val="ListBullet"/>
      </w:pPr>
      <w:r>
        <w:t>External identifiers not FK to remote systems.</w:t>
      </w:r>
    </w:p>
    <w:p>
      <w:pPr>
        <w:pStyle w:val="Heading1"/>
      </w:pPr>
      <w:r>
        <w:t>58. Delete Policy</w:t>
      </w:r>
    </w:p>
    <w:p>
      <w:pPr>
        <w:pStyle w:val="ListBullet"/>
      </w:pPr>
      <w:r>
        <w:t>Default restrict for clinical history.</w:t>
      </w:r>
    </w:p>
    <w:p>
      <w:pPr>
        <w:pStyle w:val="ListBullet"/>
      </w:pPr>
      <w:r>
        <w:t>Cascade acceptable for truly dependent transient rows/drafts where no independent meaning.</w:t>
      </w:r>
    </w:p>
    <w:p>
      <w:pPr>
        <w:pStyle w:val="ListBullet"/>
      </w:pPr>
      <w:r>
        <w:t>Never cascade patient deletion through clinical record.</w:t>
      </w:r>
    </w:p>
    <w:p>
      <w:pPr>
        <w:pStyle w:val="ListBullet"/>
      </w:pPr>
      <w:r>
        <w:t>Deletion paths tested.</w:t>
      </w:r>
    </w:p>
    <w:p>
      <w:pPr>
        <w:pStyle w:val="Heading1"/>
      </w:pPr>
      <w:r>
        <w:t>59. JSONB Boundary</w:t>
      </w:r>
    </w:p>
    <w:p>
      <w:pPr>
        <w:pStyle w:val="ListBullet"/>
      </w:pPr>
      <w:r>
        <w:t>Appropriate for extension metadata, source payload archive, low-query flexible config, FHIR raw snapshots where justified.</w:t>
      </w:r>
    </w:p>
    <w:p>
      <w:pPr>
        <w:pStyle w:val="ListBullet"/>
      </w:pPr>
      <w:r>
        <w:t>Not substitute for patient identifiers, status, dates, medication dose, lab values, money, stock movements or authorization fields.</w:t>
      </w:r>
    </w:p>
    <w:p>
      <w:pPr>
        <w:pStyle w:val="Heading1"/>
      </w:pPr>
      <w:r>
        <w:t>60. Arrays Boundary</w:t>
      </w:r>
    </w:p>
    <w:p>
      <w:pPr>
        <w:pStyle w:val="ListBullet"/>
      </w:pPr>
      <w:r>
        <w:t>Use relational child tables for independently queried/referenced clinical elements.</w:t>
      </w:r>
    </w:p>
    <w:p>
      <w:pPr>
        <w:pStyle w:val="ListBullet"/>
      </w:pPr>
      <w:r>
        <w:t>Arrays acceptable for small technical metadata when semantics permit.</w:t>
      </w:r>
    </w:p>
    <w:p>
      <w:pPr>
        <w:pStyle w:val="ListBullet"/>
      </w:pPr>
      <w:r>
        <w:t>Do not store roles/privileges as opaque comma-separated text.</w:t>
      </w:r>
    </w:p>
    <w:p>
      <w:pPr>
        <w:pStyle w:val="Heading1"/>
      </w:pPr>
      <w:r>
        <w:t>61. Encryption</w:t>
      </w:r>
    </w:p>
    <w:p>
      <w:pPr>
        <w:pStyle w:val="ListBullet"/>
      </w:pPr>
      <w:r>
        <w:t>Storage/volume encryption.</w:t>
      </w:r>
    </w:p>
    <w:p>
      <w:pPr>
        <w:pStyle w:val="ListBullet"/>
      </w:pPr>
      <w:r>
        <w:t>TLS.</w:t>
      </w:r>
    </w:p>
    <w:p>
      <w:pPr>
        <w:pStyle w:val="ListBullet"/>
      </w:pPr>
      <w:r>
        <w:t>Application-level field encryption/tokenization only for justified sensitive fields with search/operational implications designed.</w:t>
      </w:r>
    </w:p>
    <w:p>
      <w:pPr>
        <w:pStyle w:val="ListBullet"/>
      </w:pPr>
      <w:r>
        <w:t>Keys outside DB.</w:t>
      </w:r>
    </w:p>
    <w:p>
      <w:pPr>
        <w:pStyle w:val="ListBullet"/>
      </w:pPr>
      <w:r>
        <w:t>No homemade cryptography.</w:t>
      </w:r>
    </w:p>
    <w:p>
      <w:pPr>
        <w:pStyle w:val="Heading1"/>
      </w:pPr>
      <w:r>
        <w:t>62. Row-Level Security</w:t>
      </w:r>
    </w:p>
    <w:p>
      <w:pPr>
        <w:pStyle w:val="ListBullet"/>
      </w:pPr>
      <w:r>
        <w:t>May provide defense-in-depth for tenant isolation where operationally supportable.</w:t>
      </w:r>
    </w:p>
    <w:p>
      <w:pPr>
        <w:pStyle w:val="ListBullet"/>
      </w:pPr>
      <w:r>
        <w:t>Must be tested for migrations/jobs/admin/reporting.</w:t>
      </w:r>
    </w:p>
    <w:p>
      <w:pPr>
        <w:pStyle w:val="ListBullet"/>
      </w:pPr>
      <w:r>
        <w:t>Does not replace application contextual authorization.</w:t>
      </w:r>
    </w:p>
    <w:p>
      <w:pPr>
        <w:pStyle w:val="ListBullet"/>
      </w:pPr>
      <w:r>
        <w:t>Bypass roles tightly controlled.</w:t>
      </w:r>
    </w:p>
    <w:p>
      <w:pPr>
        <w:pStyle w:val="Heading1"/>
      </w:pPr>
      <w:r>
        <w:t>63. Database Roles</w:t>
      </w:r>
    </w:p>
    <w:p>
      <w:pPr>
        <w:pStyle w:val="ListBullet"/>
      </w:pPr>
      <w:r>
        <w:t>Migration owner.</w:t>
      </w:r>
    </w:p>
    <w:p>
      <w:pPr>
        <w:pStyle w:val="ListBullet"/>
      </w:pPr>
      <w:r>
        <w:t>Application runtime per service/domain as feasible.</w:t>
      </w:r>
    </w:p>
    <w:p>
      <w:pPr>
        <w:pStyle w:val="ListBullet"/>
      </w:pPr>
      <w:r>
        <w:t>Read/reporting.</w:t>
      </w:r>
    </w:p>
    <w:p>
      <w:pPr>
        <w:pStyle w:val="ListBullet"/>
      </w:pPr>
      <w:r>
        <w:t>Backup.</w:t>
      </w:r>
    </w:p>
    <w:p>
      <w:pPr>
        <w:pStyle w:val="ListBullet"/>
      </w:pPr>
      <w:r>
        <w:t>DBA privileged.</w:t>
      </w:r>
    </w:p>
    <w:p>
      <w:pPr>
        <w:pStyle w:val="ListBullet"/>
      </w:pPr>
      <w:r>
        <w:t>No shared superuser runtime.</w:t>
      </w:r>
    </w:p>
    <w:p>
      <w:pPr>
        <w:pStyle w:val="ListBullet"/>
      </w:pPr>
      <w:r>
        <w:t>Least privilege and rotation.</w:t>
      </w:r>
    </w:p>
    <w:p>
      <w:pPr>
        <w:pStyle w:val="Heading1"/>
      </w:pPr>
      <w:r>
        <w:t>64. Connection Pooling</w:t>
      </w:r>
    </w:p>
    <w:p>
      <w:pPr>
        <w:pStyle w:val="ListBullet"/>
      </w:pPr>
      <w:r>
        <w:t>Bound pool sizes.</w:t>
      </w:r>
    </w:p>
    <w:p>
      <w:pPr>
        <w:pStyle w:val="ListBullet"/>
      </w:pPr>
      <w:r>
        <w:t>Per-service budget.</w:t>
      </w:r>
    </w:p>
    <w:p>
      <w:pPr>
        <w:pStyle w:val="ListBullet"/>
      </w:pPr>
      <w:r>
        <w:t>Timeouts.</w:t>
      </w:r>
    </w:p>
    <w:p>
      <w:pPr>
        <w:pStyle w:val="ListBullet"/>
      </w:pPr>
      <w:r>
        <w:t>Transaction pooling compatibility reviewed.</w:t>
      </w:r>
    </w:p>
    <w:p>
      <w:pPr>
        <w:pStyle w:val="ListBullet"/>
      </w:pPr>
      <w:r>
        <w:t>Monitor wait/saturation.</w:t>
      </w:r>
    </w:p>
    <w:p>
      <w:pPr>
        <w:pStyle w:val="ListBullet"/>
      </w:pPr>
      <w:r>
        <w:t>Autoscaling cannot multiply connections beyond DB capacity.</w:t>
      </w:r>
    </w:p>
    <w:p>
      <w:pPr>
        <w:pStyle w:val="Heading1"/>
      </w:pPr>
      <w:r>
        <w:t>65. Indexing Principles</w:t>
      </w:r>
    </w:p>
    <w:p>
      <w:pPr>
        <w:pStyle w:val="ListBullet"/>
      </w:pPr>
      <w:r>
        <w:t>Index actual access paths.</w:t>
      </w:r>
    </w:p>
    <w:p>
      <w:pPr>
        <w:pStyle w:val="ListBullet"/>
      </w:pPr>
      <w:r>
        <w:t>Primary/unique/FK indexes as needed.</w:t>
      </w:r>
    </w:p>
    <w:p>
      <w:pPr>
        <w:pStyle w:val="ListBullet"/>
      </w:pPr>
      <w:r>
        <w:t>Composite order matches predicates/sort.</w:t>
      </w:r>
    </w:p>
    <w:p>
      <w:pPr>
        <w:pStyle w:val="ListBullet"/>
      </w:pPr>
      <w:r>
        <w:t>Avoid redundant indexes.</w:t>
      </w:r>
    </w:p>
    <w:p>
      <w:pPr>
        <w:pStyle w:val="ListBullet"/>
      </w:pPr>
      <w:r>
        <w:t>Measure write cost.</w:t>
      </w:r>
    </w:p>
    <w:p>
      <w:pPr>
        <w:pStyle w:val="ListBullet"/>
      </w:pPr>
      <w:r>
        <w:t>Sensitive indexes still protected data.</w:t>
      </w:r>
    </w:p>
    <w:p>
      <w:pPr>
        <w:pStyle w:val="Heading1"/>
      </w:pPr>
      <w:r>
        <w:t>66. Patient Search Indexes</w:t>
      </w:r>
    </w:p>
    <w:p>
      <w:pPr>
        <w:pStyle w:val="ListBullet"/>
      </w:pPr>
      <w:r>
        <w:t>Normalized identifier exact lookup.</w:t>
      </w:r>
    </w:p>
    <w:p>
      <w:pPr>
        <w:pStyle w:val="ListBullet"/>
      </w:pPr>
      <w:r>
        <w:t>Name search carefully designed.</w:t>
      </w:r>
    </w:p>
    <w:p>
      <w:pPr>
        <w:pStyle w:val="ListBullet"/>
      </w:pPr>
      <w:r>
        <w:t>DOB/phone supplemental.</w:t>
      </w:r>
    </w:p>
    <w:p>
      <w:pPr>
        <w:pStyle w:val="ListBullet"/>
      </w:pPr>
      <w:r>
        <w:t>Facility/tenant scope.</w:t>
      </w:r>
    </w:p>
    <w:p>
      <w:pPr>
        <w:pStyle w:val="ListBullet"/>
      </w:pPr>
      <w:r>
        <w:t>Fuzzy search may use specialized index but cannot become identity proof.</w:t>
      </w:r>
    </w:p>
    <w:p>
      <w:pPr>
        <w:pStyle w:val="Heading1"/>
      </w:pPr>
      <w:r>
        <w:t>67. Encounter Indexes</w:t>
      </w:r>
    </w:p>
    <w:p>
      <w:pPr>
        <w:pStyle w:val="ListBullet"/>
      </w:pPr>
      <w:r>
        <w:t>patient_id + start/effective time.</w:t>
      </w:r>
    </w:p>
    <w:p>
      <w:pPr>
        <w:pStyle w:val="ListBullet"/>
      </w:pPr>
      <w:r>
        <w:t>facility/status.</w:t>
      </w:r>
    </w:p>
    <w:p>
      <w:pPr>
        <w:pStyle w:val="ListBullet"/>
      </w:pPr>
      <w:r>
        <w:t>active admission/location.</w:t>
      </w:r>
    </w:p>
    <w:p>
      <w:pPr>
        <w:pStyle w:val="ListBullet"/>
      </w:pPr>
      <w:r>
        <w:t>External encounter identifier.</w:t>
      </w:r>
    </w:p>
    <w:p>
      <w:pPr>
        <w:pStyle w:val="ListBullet"/>
      </w:pPr>
      <w:r>
        <w:t>Worklist queries measured.</w:t>
      </w:r>
    </w:p>
    <w:p>
      <w:pPr>
        <w:pStyle w:val="Heading1"/>
      </w:pPr>
      <w:r>
        <w:t>68. Clinical Timeline Indexes</w:t>
      </w:r>
    </w:p>
    <w:p>
      <w:pPr>
        <w:pStyle w:val="ListBullet"/>
      </w:pPr>
      <w:r>
        <w:t>patient + effective/recorded time.</w:t>
      </w:r>
    </w:p>
    <w:p>
      <w:pPr>
        <w:pStyle w:val="ListBullet"/>
      </w:pPr>
      <w:r>
        <w:t>Domain/type/status.</w:t>
      </w:r>
    </w:p>
    <w:p>
      <w:pPr>
        <w:pStyle w:val="ListBullet"/>
      </w:pPr>
      <w:r>
        <w:t>Avoid one giant polymorphic clinical table solely to simplify timeline; build projection if needed.</w:t>
      </w:r>
    </w:p>
    <w:p>
      <w:pPr>
        <w:pStyle w:val="Heading1"/>
      </w:pPr>
      <w:r>
        <w:t>69. Lab Indexes</w:t>
      </w:r>
    </w:p>
    <w:p>
      <w:pPr>
        <w:pStyle w:val="ListBullet"/>
      </w:pPr>
      <w:r>
        <w:t>order/status.</w:t>
      </w:r>
    </w:p>
    <w:p>
      <w:pPr>
        <w:pStyle w:val="ListBullet"/>
      </w:pPr>
      <w:r>
        <w:t>specimen barcode/accession.</w:t>
      </w:r>
    </w:p>
    <w:p>
      <w:pPr>
        <w:pStyle w:val="ListBullet"/>
      </w:pPr>
      <w:r>
        <w:t>patient/time.</w:t>
      </w:r>
    </w:p>
    <w:p>
      <w:pPr>
        <w:pStyle w:val="ListBullet"/>
      </w:pPr>
      <w:r>
        <w:t>report/status.</w:t>
      </w:r>
    </w:p>
    <w:p>
      <w:pPr>
        <w:pStyle w:val="ListBullet"/>
      </w:pPr>
      <w:r>
        <w:t>unvalidated worklist.</w:t>
      </w:r>
    </w:p>
    <w:p>
      <w:pPr>
        <w:pStyle w:val="ListBullet"/>
      </w:pPr>
      <w:r>
        <w:t>Critical result acknowledgement queries.</w:t>
      </w:r>
    </w:p>
    <w:p>
      <w:pPr>
        <w:pStyle w:val="ListBullet"/>
      </w:pPr>
      <w:r>
        <w:t>Analyzer/source identifiers.</w:t>
      </w:r>
    </w:p>
    <w:p>
      <w:pPr>
        <w:pStyle w:val="Heading1"/>
      </w:pPr>
      <w:r>
        <w:t>70. Medication Indexes</w:t>
      </w:r>
    </w:p>
    <w:p>
      <w:pPr>
        <w:pStyle w:val="ListBullet"/>
      </w:pPr>
      <w:r>
        <w:t>patient/encounter/status.</w:t>
      </w:r>
    </w:p>
    <w:p>
      <w:pPr>
        <w:pStyle w:val="ListBullet"/>
      </w:pPr>
      <w:r>
        <w:t>active order.</w:t>
      </w:r>
    </w:p>
    <w:p>
      <w:pPr>
        <w:pStyle w:val="ListBullet"/>
      </w:pPr>
      <w:r>
        <w:t>scheduled administrations by ward/time.</w:t>
      </w:r>
    </w:p>
    <w:p>
      <w:pPr>
        <w:pStyle w:val="ListBullet"/>
      </w:pPr>
      <w:r>
        <w:t>dispense worklist.</w:t>
      </w:r>
    </w:p>
    <w:p>
      <w:pPr>
        <w:pStyle w:val="ListBullet"/>
      </w:pPr>
      <w:r>
        <w:t>Medication/product.</w:t>
      </w:r>
    </w:p>
    <w:p>
      <w:pPr>
        <w:pStyle w:val="ListBullet"/>
      </w:pPr>
      <w:r>
        <w:t>Avoid index that treats historical med as active.</w:t>
      </w:r>
    </w:p>
    <w:p>
      <w:pPr>
        <w:pStyle w:val="Heading1"/>
      </w:pPr>
      <w:r>
        <w:t>71. Inventory Indexes</w:t>
      </w:r>
    </w:p>
    <w:p>
      <w:pPr>
        <w:pStyle w:val="ListBullet"/>
      </w:pPr>
      <w:r>
        <w:t>item/location/time.</w:t>
      </w:r>
    </w:p>
    <w:p>
      <w:pPr>
        <w:pStyle w:val="ListBullet"/>
      </w:pPr>
      <w:r>
        <w:t>lot/expiry.</w:t>
      </w:r>
    </w:p>
    <w:p>
      <w:pPr>
        <w:pStyle w:val="ListBullet"/>
      </w:pPr>
      <w:r>
        <w:t>movement source.</w:t>
      </w:r>
    </w:p>
    <w:p>
      <w:pPr>
        <w:pStyle w:val="ListBullet"/>
      </w:pPr>
      <w:r>
        <w:t>Open requisition/PO.</w:t>
      </w:r>
    </w:p>
    <w:p>
      <w:pPr>
        <w:pStyle w:val="ListBullet"/>
      </w:pPr>
      <w:r>
        <w:t>Balance projection may be materialized but reconciles to ledger.</w:t>
      </w:r>
    </w:p>
    <w:p>
      <w:pPr>
        <w:pStyle w:val="Heading1"/>
      </w:pPr>
      <w:r>
        <w:t>72. Referral Indexes</w:t>
      </w:r>
    </w:p>
    <w:p>
      <w:pPr>
        <w:pStyle w:val="ListBullet"/>
      </w:pPr>
      <w:r>
        <w:t>sending/receiving facility.</w:t>
      </w:r>
    </w:p>
    <w:p>
      <w:pPr>
        <w:pStyle w:val="ListBullet"/>
      </w:pPr>
      <w:r>
        <w:t>state/urgency.</w:t>
      </w:r>
    </w:p>
    <w:p>
      <w:pPr>
        <w:pStyle w:val="ListBullet"/>
      </w:pPr>
      <w:r>
        <w:t>patient.</w:t>
      </w:r>
    </w:p>
    <w:p>
      <w:pPr>
        <w:pStyle w:val="ListBullet"/>
      </w:pPr>
      <w:r>
        <w:t>submitted/received time.</w:t>
      </w:r>
    </w:p>
    <w:p>
      <w:pPr>
        <w:pStyle w:val="ListBullet"/>
      </w:pPr>
      <w:r>
        <w:t>Open incoming queue.</w:t>
      </w:r>
    </w:p>
    <w:p>
      <w:pPr>
        <w:pStyle w:val="ListBullet"/>
      </w:pPr>
      <w:r>
        <w:t>No index-driven shortcut that merges responsibility states.</w:t>
      </w:r>
    </w:p>
    <w:p>
      <w:pPr>
        <w:pStyle w:val="Heading1"/>
      </w:pPr>
      <w:r>
        <w:t>73. Revenue Indexes</w:t>
      </w:r>
    </w:p>
    <w:p>
      <w:pPr>
        <w:pStyle w:val="ListBullet"/>
      </w:pPr>
      <w:r>
        <w:t>account/invoice status.</w:t>
      </w:r>
    </w:p>
    <w:p>
      <w:pPr>
        <w:pStyle w:val="ListBullet"/>
      </w:pPr>
      <w:r>
        <w:t>payment reference/idempotency.</w:t>
      </w:r>
    </w:p>
    <w:p>
      <w:pPr>
        <w:pStyle w:val="ListBullet"/>
      </w:pPr>
      <w:r>
        <w:t>claim payer/status.</w:t>
      </w:r>
    </w:p>
    <w:p>
      <w:pPr>
        <w:pStyle w:val="ListBullet"/>
      </w:pPr>
      <w:r>
        <w:t>service date.</w:t>
      </w:r>
    </w:p>
    <w:p>
      <w:pPr>
        <w:pStyle w:val="ListBullet"/>
      </w:pPr>
      <w:r>
        <w:t>Posting period.</w:t>
      </w:r>
    </w:p>
    <w:p>
      <w:pPr>
        <w:pStyle w:val="ListBullet"/>
      </w:pPr>
      <w:r>
        <w:t>Reconciliation reference.</w:t>
      </w:r>
    </w:p>
    <w:p>
      <w:pPr>
        <w:pStyle w:val="Heading1"/>
      </w:pPr>
      <w:r>
        <w:t>74. Partial Indexes</w:t>
      </w:r>
    </w:p>
    <w:p>
      <w:pPr>
        <w:pStyle w:val="ListBullet"/>
      </w:pPr>
      <w:r>
        <w:t>Useful for active/open/unpublished worklists.</w:t>
      </w:r>
    </w:p>
    <w:p>
      <w:pPr>
        <w:pStyle w:val="ListBullet"/>
      </w:pPr>
      <w:r>
        <w:t>Predicate must match stable semantics.</w:t>
      </w:r>
    </w:p>
    <w:p>
      <w:pPr>
        <w:pStyle w:val="ListBullet"/>
      </w:pPr>
      <w:r>
        <w:t>Monitor planner behavior.</w:t>
      </w:r>
    </w:p>
    <w:p>
      <w:pPr>
        <w:pStyle w:val="ListBullet"/>
      </w:pPr>
      <w:r>
        <w:t>Document purpose/owner.</w:t>
      </w:r>
    </w:p>
    <w:p>
      <w:pPr>
        <w:pStyle w:val="Heading1"/>
      </w:pPr>
      <w:r>
        <w:t>75. Covering Indexes</w:t>
      </w:r>
    </w:p>
    <w:p>
      <w:pPr>
        <w:pStyle w:val="ListBullet"/>
      </w:pPr>
      <w:r>
        <w:t>Use INCLUDE/engine equivalent for high-volume read paths after measurement.</w:t>
      </w:r>
    </w:p>
    <w:p>
      <w:pPr>
        <w:pStyle w:val="ListBullet"/>
      </w:pPr>
      <w:r>
        <w:t>Do not over-index clinical tables speculatively.</w:t>
      </w:r>
    </w:p>
    <w:p>
      <w:pPr>
        <w:pStyle w:val="Heading1"/>
      </w:pPr>
      <w:r>
        <w:t>76. Full-Text Search</w:t>
      </w:r>
    </w:p>
    <w:p>
      <w:pPr>
        <w:pStyle w:val="ListBullet"/>
      </w:pPr>
      <w:r>
        <w:t>Derived/search-specific structures.</w:t>
      </w:r>
    </w:p>
    <w:p>
      <w:pPr>
        <w:pStyle w:val="ListBullet"/>
      </w:pPr>
      <w:r>
        <w:t>Language/config defined.</w:t>
      </w:r>
    </w:p>
    <w:p>
      <w:pPr>
        <w:pStyle w:val="ListBullet"/>
      </w:pPr>
      <w:r>
        <w:t>PHI access controlled.</w:t>
      </w:r>
    </w:p>
    <w:p>
      <w:pPr>
        <w:pStyle w:val="ListBullet"/>
      </w:pPr>
      <w:r>
        <w:t>Source row remains authority.</w:t>
      </w:r>
    </w:p>
    <w:p>
      <w:pPr>
        <w:pStyle w:val="ListBullet"/>
      </w:pPr>
      <w:r>
        <w:t>Index lag and correction propagation monitored.</w:t>
      </w:r>
    </w:p>
    <w:p>
      <w:pPr>
        <w:pStyle w:val="Heading1"/>
      </w:pPr>
      <w:r>
        <w:t>77. Partitioning Strategy</w:t>
      </w:r>
    </w:p>
    <w:p>
      <w:pPr>
        <w:pStyle w:val="ListBullet"/>
      </w:pPr>
      <w:r>
        <w:t>Partition only with demonstrated volume/maintenance benefit.</w:t>
      </w:r>
    </w:p>
    <w:p>
      <w:pPr>
        <w:pStyle w:val="ListBullet"/>
      </w:pPr>
      <w:r>
        <w:t>Candidates: audit, high-volume observations/events, inventory movement, outbox history.</w:t>
      </w:r>
    </w:p>
    <w:p>
      <w:pPr>
        <w:pStyle w:val="ListBullet"/>
      </w:pPr>
      <w:r>
        <w:t>Choose time + tenant strategy carefully.</w:t>
      </w:r>
    </w:p>
    <w:p>
      <w:pPr>
        <w:pStyle w:val="ListBullet"/>
      </w:pPr>
      <w:r>
        <w:t>Partition key must support common pruning.</w:t>
      </w:r>
    </w:p>
    <w:p>
      <w:pPr>
        <w:pStyle w:val="Heading1"/>
      </w:pPr>
      <w:r>
        <w:t>78. Partition Lifecycle</w:t>
      </w:r>
    </w:p>
    <w:p>
      <w:pPr>
        <w:pStyle w:val="ListBullet"/>
      </w:pPr>
      <w:r>
        <w:t>Pre-create partitions.</w:t>
      </w:r>
    </w:p>
    <w:p>
      <w:pPr>
        <w:pStyle w:val="ListBullet"/>
      </w:pPr>
      <w:r>
        <w:t>Monitor default/unrouted partition.</w:t>
      </w:r>
    </w:p>
    <w:p>
      <w:pPr>
        <w:pStyle w:val="ListBullet"/>
      </w:pPr>
      <w:r>
        <w:t>Index each partition.</w:t>
      </w:r>
    </w:p>
    <w:p>
      <w:pPr>
        <w:pStyle w:val="ListBullet"/>
      </w:pPr>
      <w:r>
        <w:t>Retention/archive controlled.</w:t>
      </w:r>
    </w:p>
    <w:p>
      <w:pPr>
        <w:pStyle w:val="ListBullet"/>
      </w:pPr>
      <w:r>
        <w:t>Backup/restore tested.</w:t>
      </w:r>
    </w:p>
    <w:p>
      <w:pPr>
        <w:pStyle w:val="ListBullet"/>
      </w:pPr>
      <w:r>
        <w:t>No dropping partitions solely for convenience when retention prohibits.</w:t>
      </w:r>
    </w:p>
    <w:p>
      <w:pPr>
        <w:pStyle w:val="Heading1"/>
      </w:pPr>
      <w:r>
        <w:t>79. Table Bloat/Maintenance</w:t>
      </w:r>
    </w:p>
    <w:p>
      <w:pPr>
        <w:pStyle w:val="ListBullet"/>
      </w:pPr>
      <w:r>
        <w:t>Autovacuum/engine maintenance tuned by workload.</w:t>
      </w:r>
    </w:p>
    <w:p>
      <w:pPr>
        <w:pStyle w:val="ListBullet"/>
      </w:pPr>
      <w:r>
        <w:t>Analyze statistics.</w:t>
      </w:r>
    </w:p>
    <w:p>
      <w:pPr>
        <w:pStyle w:val="ListBullet"/>
      </w:pPr>
      <w:r>
        <w:t>Bloat monitoring.</w:t>
      </w:r>
    </w:p>
    <w:p>
      <w:pPr>
        <w:pStyle w:val="ListBullet"/>
      </w:pPr>
      <w:r>
        <w:t>Index rebuild only with measured need.</w:t>
      </w:r>
    </w:p>
    <w:p>
      <w:pPr>
        <w:pStyle w:val="ListBullet"/>
      </w:pPr>
      <w:r>
        <w:t>Maintenance impact on clinical workload controlled.</w:t>
      </w:r>
    </w:p>
    <w:p>
      <w:pPr>
        <w:pStyle w:val="Heading1"/>
      </w:pPr>
      <w:r>
        <w:t>80. Query Standards</w:t>
      </w:r>
    </w:p>
    <w:p>
      <w:pPr>
        <w:pStyle w:val="ListBullet"/>
      </w:pPr>
      <w:r>
        <w:t>Parameterized.</w:t>
      </w:r>
    </w:p>
    <w:p>
      <w:pPr>
        <w:pStyle w:val="ListBullet"/>
      </w:pPr>
      <w:r>
        <w:t>Bound result size.</w:t>
      </w:r>
    </w:p>
    <w:p>
      <w:pPr>
        <w:pStyle w:val="ListBullet"/>
      </w:pPr>
      <w:r>
        <w:t>Pagination.</w:t>
      </w:r>
    </w:p>
    <w:p>
      <w:pPr>
        <w:pStyle w:val="ListBullet"/>
      </w:pPr>
      <w:r>
        <w:t>Explicit columns.</w:t>
      </w:r>
    </w:p>
    <w:p>
      <w:pPr>
        <w:pStyle w:val="ListBullet"/>
      </w:pPr>
      <w:r>
        <w:t>Avoid SELECT * in stable contracts.</w:t>
      </w:r>
    </w:p>
    <w:p>
      <w:pPr>
        <w:pStyle w:val="ListBullet"/>
      </w:pPr>
      <w:r>
        <w:t>Explain/analyze slow queries.</w:t>
      </w:r>
    </w:p>
    <w:p>
      <w:pPr>
        <w:pStyle w:val="ListBullet"/>
      </w:pPr>
      <w:r>
        <w:t>No unbounded patient history list in synchronous UI.</w:t>
      </w:r>
    </w:p>
    <w:p>
      <w:pPr>
        <w:pStyle w:val="Heading1"/>
      </w:pPr>
      <w:r>
        <w:t>81. Pagination</w:t>
      </w:r>
    </w:p>
    <w:p>
      <w:pPr>
        <w:pStyle w:val="ListBullet"/>
      </w:pPr>
      <w:r>
        <w:t>Cursor/keyset for large changing datasets where appropriate.</w:t>
      </w:r>
    </w:p>
    <w:p>
      <w:pPr>
        <w:pStyle w:val="ListBullet"/>
      </w:pPr>
      <w:r>
        <w:t>Stable deterministic sort.</w:t>
      </w:r>
    </w:p>
    <w:p>
      <w:pPr>
        <w:pStyle w:val="ListBullet"/>
      </w:pPr>
      <w:r>
        <w:t>Offset acceptable for bounded admin lists.</w:t>
      </w:r>
    </w:p>
    <w:p>
      <w:pPr>
        <w:pStyle w:val="ListBullet"/>
      </w:pPr>
      <w:r>
        <w:t>Authorization predicate part of query.</w:t>
      </w:r>
    </w:p>
    <w:p>
      <w:pPr>
        <w:pStyle w:val="Heading1"/>
      </w:pPr>
      <w:r>
        <w:t>82. Reporting Queries</w:t>
      </w:r>
    </w:p>
    <w:p>
      <w:pPr>
        <w:pStyle w:val="ListBullet"/>
      </w:pPr>
      <w:r>
        <w:t>Heavy analytics offload to replica/warehouse/projection.</w:t>
      </w:r>
    </w:p>
    <w:p>
      <w:pPr>
        <w:pStyle w:val="ListBullet"/>
      </w:pPr>
      <w:r>
        <w:t>Production reports have timeout/resource guardrails.</w:t>
      </w:r>
    </w:p>
    <w:p>
      <w:pPr>
        <w:pStyle w:val="ListBullet"/>
      </w:pPr>
      <w:r>
        <w:t>No user-defined unrestricted SQL against primary clinical DB.</w:t>
      </w:r>
    </w:p>
    <w:p>
      <w:pPr>
        <w:pStyle w:val="Heading1"/>
      </w:pPr>
      <w:r>
        <w:t>83. Materialized Views/Projections</w:t>
      </w:r>
    </w:p>
    <w:p>
      <w:pPr>
        <w:pStyle w:val="ListBullet"/>
      </w:pPr>
      <w:r>
        <w:t>Derived.</w:t>
      </w:r>
    </w:p>
    <w:p>
      <w:pPr>
        <w:pStyle w:val="ListBullet"/>
      </w:pPr>
      <w:r>
        <w:t>Refresh/freshness visible.</w:t>
      </w:r>
    </w:p>
    <w:p>
      <w:pPr>
        <w:pStyle w:val="ListBullet"/>
      </w:pPr>
      <w:r>
        <w:t>Rebuildable.</w:t>
      </w:r>
    </w:p>
    <w:p>
      <w:pPr>
        <w:pStyle w:val="ListBullet"/>
      </w:pPr>
      <w:r>
        <w:t>Not write authority.</w:t>
      </w:r>
    </w:p>
    <w:p>
      <w:pPr>
        <w:pStyle w:val="ListBullet"/>
      </w:pPr>
      <w:r>
        <w:t>Used for dashboards/balances only with reconciliation rules.</w:t>
      </w:r>
    </w:p>
    <w:p>
      <w:pPr>
        <w:pStyle w:val="Heading1"/>
      </w:pPr>
      <w:r>
        <w:t>84. Inventory Balance Projection</w:t>
      </w:r>
    </w:p>
    <w:p>
      <w:pPr>
        <w:pStyle w:val="ListBullet"/>
      </w:pPr>
      <w:r>
        <w:t>Can maintain current balance for fast reads.</w:t>
      </w:r>
    </w:p>
    <w:p>
      <w:pPr>
        <w:pStyle w:val="ListBullet"/>
      </w:pPr>
      <w:r>
        <w:t>Every value traceable to immutable movements.</w:t>
      </w:r>
    </w:p>
    <w:p>
      <w:pPr>
        <w:pStyle w:val="ListBullet"/>
      </w:pPr>
      <w:r>
        <w:t>Rebuild/reconcile job.</w:t>
      </w:r>
    </w:p>
    <w:p>
      <w:pPr>
        <w:pStyle w:val="ListBullet"/>
      </w:pPr>
      <w:r>
        <w:t>Mismatch alerts.</w:t>
      </w:r>
    </w:p>
    <w:p>
      <w:pPr>
        <w:pStyle w:val="ListBullet"/>
      </w:pPr>
      <w:r>
        <w:t>Projection correction does not alter ledger.</w:t>
      </w:r>
    </w:p>
    <w:p>
      <w:pPr>
        <w:pStyle w:val="Heading1"/>
      </w:pPr>
      <w:r>
        <w:t>85. Patient Timeline Projection</w:t>
      </w:r>
    </w:p>
    <w:p>
      <w:pPr>
        <w:pStyle w:val="ListBullet"/>
      </w:pPr>
      <w:r>
        <w:t>Unifies references from domains for display.</w:t>
      </w:r>
    </w:p>
    <w:p>
      <w:pPr>
        <w:pStyle w:val="ListBullet"/>
      </w:pPr>
      <w:r>
        <w:t>Stores minimal display/index fields.</w:t>
      </w:r>
    </w:p>
    <w:p>
      <w:pPr>
        <w:pStyle w:val="ListBullet"/>
      </w:pPr>
      <w:r>
        <w:t>Links back to authoritative record.</w:t>
      </w:r>
    </w:p>
    <w:p>
      <w:pPr>
        <w:pStyle w:val="ListBullet"/>
      </w:pPr>
      <w:r>
        <w:t>Rebuildable.</w:t>
      </w:r>
    </w:p>
    <w:p>
      <w:pPr>
        <w:pStyle w:val="ListBullet"/>
      </w:pPr>
      <w:r>
        <w:t>Authorization applied.</w:t>
      </w:r>
    </w:p>
    <w:p>
      <w:pPr>
        <w:pStyle w:val="Heading1"/>
      </w:pPr>
      <w:r>
        <w:t>86. Data Retention</w:t>
      </w:r>
    </w:p>
    <w:p>
      <w:pPr>
        <w:pStyle w:val="ListBullet"/>
      </w:pPr>
      <w:r>
        <w:t>Retention category-driven.</w:t>
      </w:r>
    </w:p>
    <w:p>
      <w:pPr>
        <w:pStyle w:val="ListBullet"/>
      </w:pPr>
      <w:r>
        <w:t>Legal/clinical hold.</w:t>
      </w:r>
    </w:p>
    <w:p>
      <w:pPr>
        <w:pStyle w:val="ListBullet"/>
      </w:pPr>
      <w:r>
        <w:t>Archive before deletion where policy requires.</w:t>
      </w:r>
    </w:p>
    <w:p>
      <w:pPr>
        <w:pStyle w:val="ListBullet"/>
      </w:pPr>
      <w:r>
        <w:t>Backups age independently.</w:t>
      </w:r>
    </w:p>
    <w:p>
      <w:pPr>
        <w:pStyle w:val="ListBullet"/>
      </w:pPr>
      <w:r>
        <w:t>No hard-coded universal retention period in schema.</w:t>
      </w:r>
    </w:p>
    <w:p>
      <w:pPr>
        <w:pStyle w:val="Heading1"/>
      </w:pPr>
      <w:r>
        <w:t>87. Archival</w:t>
      </w:r>
    </w:p>
    <w:p>
      <w:pPr>
        <w:pStyle w:val="ListBullet"/>
      </w:pPr>
      <w:r>
        <w:t>Cold historical partitions/documents where permitted.</w:t>
      </w:r>
    </w:p>
    <w:p>
      <w:pPr>
        <w:pStyle w:val="ListBullet"/>
      </w:pPr>
      <w:r>
        <w:t>Search/retrieval SLA.</w:t>
      </w:r>
    </w:p>
    <w:p>
      <w:pPr>
        <w:pStyle w:val="ListBullet"/>
      </w:pPr>
      <w:r>
        <w:t>Integrity.</w:t>
      </w:r>
    </w:p>
    <w:p>
      <w:pPr>
        <w:pStyle w:val="ListBullet"/>
      </w:pPr>
      <w:r>
        <w:t>Encryption.</w:t>
      </w:r>
    </w:p>
    <w:p>
      <w:pPr>
        <w:pStyle w:val="ListBullet"/>
      </w:pPr>
      <w:r>
        <w:t>Audit.</w:t>
      </w:r>
    </w:p>
    <w:p>
      <w:pPr>
        <w:pStyle w:val="ListBullet"/>
      </w:pPr>
      <w:r>
        <w:t>Restoration path.</w:t>
      </w:r>
    </w:p>
    <w:p>
      <w:pPr>
        <w:pStyle w:val="ListBullet"/>
      </w:pPr>
      <w:r>
        <w:t>Clinical record remains interpretable.</w:t>
      </w:r>
    </w:p>
    <w:p>
      <w:pPr>
        <w:pStyle w:val="Heading1"/>
      </w:pPr>
      <w:r>
        <w:t>88. Backup/PITR</w:t>
      </w:r>
    </w:p>
    <w:p>
      <w:pPr>
        <w:pStyle w:val="ListBullet"/>
      </w:pPr>
      <w:r>
        <w:t>Base/full backups plus WAL/log-based PITR according to RPO.</w:t>
      </w:r>
    </w:p>
    <w:p>
      <w:pPr>
        <w:pStyle w:val="ListBullet"/>
      </w:pPr>
      <w:r>
        <w:t>Encrypted.</w:t>
      </w:r>
    </w:p>
    <w:p>
      <w:pPr>
        <w:pStyle w:val="ListBullet"/>
      </w:pPr>
      <w:r>
        <w:t>Isolated/immutable copy.</w:t>
      </w:r>
    </w:p>
    <w:p>
      <w:pPr>
        <w:pStyle w:val="ListBullet"/>
      </w:pPr>
      <w:r>
        <w:t>Monitor.</w:t>
      </w:r>
    </w:p>
    <w:p>
      <w:pPr>
        <w:pStyle w:val="ListBullet"/>
      </w:pPr>
      <w:r>
        <w:t>Restore test.</w:t>
      </w:r>
    </w:p>
    <w:p>
      <w:pPr>
        <w:pStyle w:val="ListBullet"/>
      </w:pPr>
      <w:r>
        <w:t>Database backup coordinated with object/document consistency.</w:t>
      </w:r>
    </w:p>
    <w:p>
      <w:pPr>
        <w:pStyle w:val="Heading1"/>
      </w:pPr>
      <w:r>
        <w:t>89. Replication</w:t>
      </w:r>
    </w:p>
    <w:p>
      <w:pPr>
        <w:pStyle w:val="ListBullet"/>
      </w:pPr>
      <w:r>
        <w:t>HA replication monitored.</w:t>
      </w:r>
    </w:p>
    <w:p>
      <w:pPr>
        <w:pStyle w:val="ListBullet"/>
      </w:pPr>
      <w:r>
        <w:t>Lag thresholds.</w:t>
      </w:r>
    </w:p>
    <w:p>
      <w:pPr>
        <w:pStyle w:val="ListBullet"/>
      </w:pPr>
      <w:r>
        <w:t>Read-after-write assumptions explicit.</w:t>
      </w:r>
    </w:p>
    <w:p>
      <w:pPr>
        <w:pStyle w:val="ListBullet"/>
      </w:pPr>
      <w:r>
        <w:t>Do not route safety-critical immediate reads to stale replica without design.</w:t>
      </w:r>
    </w:p>
    <w:p>
      <w:pPr>
        <w:pStyle w:val="ListBullet"/>
      </w:pPr>
      <w:r>
        <w:t>Failover tested.</w:t>
      </w:r>
    </w:p>
    <w:p>
      <w:pPr>
        <w:pStyle w:val="Heading1"/>
      </w:pPr>
      <w:r>
        <w:t>90. Edge Database</w:t>
      </w:r>
    </w:p>
    <w:p>
      <w:pPr>
        <w:pStyle w:val="ListBullet"/>
      </w:pPr>
      <w:r>
        <w:t>Bounded local dataset.</w:t>
      </w:r>
    </w:p>
    <w:p>
      <w:pPr>
        <w:pStyle w:val="ListBullet"/>
      </w:pPr>
      <w:r>
        <w:t>Encrypted.</w:t>
      </w:r>
    </w:p>
    <w:p>
      <w:pPr>
        <w:pStyle w:val="ListBullet"/>
      </w:pPr>
      <w:r>
        <w:t>Facility-scoped.</w:t>
      </w:r>
    </w:p>
    <w:p>
      <w:pPr>
        <w:pStyle w:val="ListBullet"/>
      </w:pPr>
      <w:r>
        <w:t>Durable outbox/inbox.</w:t>
      </w:r>
    </w:p>
    <w:p>
      <w:pPr>
        <w:pStyle w:val="ListBullet"/>
      </w:pPr>
      <w:r>
        <w:t>Sync checkpoints.</w:t>
      </w:r>
    </w:p>
    <w:p>
      <w:pPr>
        <w:pStyle w:val="ListBullet"/>
      </w:pPr>
      <w:r>
        <w:t>Conflict records.</w:t>
      </w:r>
    </w:p>
    <w:p>
      <w:pPr>
        <w:pStyle w:val="ListBullet"/>
      </w:pPr>
      <w:r>
        <w:t>No blind last-write-wins.</w:t>
      </w:r>
    </w:p>
    <w:p>
      <w:pPr>
        <w:pStyle w:val="ListBullet"/>
      </w:pPr>
      <w:r>
        <w:t>Central/edge schema compatibility controlled.</w:t>
      </w:r>
    </w:p>
    <w:p>
      <w:pPr>
        <w:pStyle w:val="Heading1"/>
      </w:pPr>
      <w:r>
        <w:t>91. Edge Sync Metadata</w:t>
      </w:r>
    </w:p>
    <w:p>
      <w:pPr>
        <w:pStyle w:val="ListBullet"/>
      </w:pPr>
      <w:r>
        <w:t>origin_node.</w:t>
      </w:r>
    </w:p>
    <w:p>
      <w:pPr>
        <w:pStyle w:val="ListBullet"/>
      </w:pPr>
      <w:r>
        <w:t>event/version.</w:t>
      </w:r>
    </w:p>
    <w:p>
      <w:pPr>
        <w:pStyle w:val="ListBullet"/>
      </w:pPr>
      <w:r>
        <w:t>sync status.</w:t>
      </w:r>
    </w:p>
    <w:p>
      <w:pPr>
        <w:pStyle w:val="ListBullet"/>
      </w:pPr>
      <w:r>
        <w:t>last attempt.</w:t>
      </w:r>
    </w:p>
    <w:p>
      <w:pPr>
        <w:pStyle w:val="ListBullet"/>
      </w:pPr>
      <w:r>
        <w:t>remote acknowledgement.</w:t>
      </w:r>
    </w:p>
    <w:p>
      <w:pPr>
        <w:pStyle w:val="ListBullet"/>
      </w:pPr>
      <w:r>
        <w:t>conflict reason.</w:t>
      </w:r>
    </w:p>
    <w:p>
      <w:pPr>
        <w:pStyle w:val="ListBullet"/>
      </w:pPr>
      <w:r>
        <w:t>Canonical IDs.</w:t>
      </w:r>
    </w:p>
    <w:p>
      <w:pPr>
        <w:pStyle w:val="ListBullet"/>
      </w:pPr>
      <w:r>
        <w:t>Clock uncertainty considered.</w:t>
      </w:r>
    </w:p>
    <w:p>
      <w:pPr>
        <w:pStyle w:val="Heading1"/>
      </w:pPr>
      <w:r>
        <w:t>92. Database Migration Files</w:t>
      </w:r>
    </w:p>
    <w:p>
      <w:pPr>
        <w:pStyle w:val="ListBullet"/>
      </w:pPr>
      <w:r>
        <w:t>Sequential/versioned migration.</w:t>
      </w:r>
    </w:p>
    <w:p>
      <w:pPr>
        <w:pStyle w:val="ListBullet"/>
      </w:pPr>
      <w:r>
        <w:t>One owner.</w:t>
      </w:r>
    </w:p>
    <w:p>
      <w:pPr>
        <w:pStyle w:val="ListBullet"/>
      </w:pPr>
      <w:r>
        <w:t>Forward-compatible.</w:t>
      </w:r>
    </w:p>
    <w:p>
      <w:pPr>
        <w:pStyle w:val="ListBullet"/>
      </w:pPr>
      <w:r>
        <w:t>Reviewed.</w:t>
      </w:r>
    </w:p>
    <w:p>
      <w:pPr>
        <w:pStyle w:val="ListBullet"/>
      </w:pPr>
      <w:r>
        <w:t>Test from clean DB and previous supported release.</w:t>
      </w:r>
    </w:p>
    <w:p>
      <w:pPr>
        <w:pStyle w:val="ListBullet"/>
      </w:pPr>
      <w:r>
        <w:t>No hand-edited production schema.</w:t>
      </w:r>
    </w:p>
    <w:p>
      <w:pPr>
        <w:pStyle w:val="Heading1"/>
      </w:pPr>
      <w:r>
        <w:t>93. Expand/Contract Migration</w:t>
      </w:r>
    </w:p>
    <w:p>
      <w:pPr>
        <w:pStyle w:val="ListBullet"/>
      </w:pPr>
      <w:r>
        <w:t>Expand schema first.</w:t>
      </w:r>
    </w:p>
    <w:p>
      <w:pPr>
        <w:pStyle w:val="ListBullet"/>
      </w:pPr>
      <w:r>
        <w:t>Deploy code compatible with old/new.</w:t>
      </w:r>
    </w:p>
    <w:p>
      <w:pPr>
        <w:pStyle w:val="ListBullet"/>
      </w:pPr>
      <w:r>
        <w:t>Backfill.</w:t>
      </w:r>
    </w:p>
    <w:p>
      <w:pPr>
        <w:pStyle w:val="ListBullet"/>
      </w:pPr>
      <w:r>
        <w:t>Switch reads/writes.</w:t>
      </w:r>
    </w:p>
    <w:p>
      <w:pPr>
        <w:pStyle w:val="ListBullet"/>
      </w:pPr>
      <w:r>
        <w:t>Verify.</w:t>
      </w:r>
    </w:p>
    <w:p>
      <w:pPr>
        <w:pStyle w:val="ListBullet"/>
      </w:pPr>
      <w:r>
        <w:t>Contract later release.</w:t>
      </w:r>
    </w:p>
    <w:p>
      <w:pPr>
        <w:pStyle w:val="ListBullet"/>
      </w:pPr>
      <w:r>
        <w:t>Preferred for zero/low-downtime changes.</w:t>
      </w:r>
    </w:p>
    <w:p>
      <w:pPr>
        <w:pStyle w:val="Heading1"/>
      </w:pPr>
      <w:r>
        <w:t>94. Data Backfill</w:t>
      </w:r>
    </w:p>
    <w:p>
      <w:pPr>
        <w:pStyle w:val="ListBullet"/>
      </w:pPr>
      <w:r>
        <w:t>Separate from DDL when large.</w:t>
      </w:r>
    </w:p>
    <w:p>
      <w:pPr>
        <w:pStyle w:val="ListBullet"/>
      </w:pPr>
      <w:r>
        <w:t>Batch.</w:t>
      </w:r>
    </w:p>
    <w:p>
      <w:pPr>
        <w:pStyle w:val="ListBullet"/>
      </w:pPr>
      <w:r>
        <w:t>Checkpoint.</w:t>
      </w:r>
    </w:p>
    <w:p>
      <w:pPr>
        <w:pStyle w:val="ListBullet"/>
      </w:pPr>
      <w:r>
        <w:t>Idempotent.</w:t>
      </w:r>
    </w:p>
    <w:p>
      <w:pPr>
        <w:pStyle w:val="ListBullet"/>
      </w:pPr>
      <w:r>
        <w:t>Rate limited.</w:t>
      </w:r>
    </w:p>
    <w:p>
      <w:pPr>
        <w:pStyle w:val="ListBullet"/>
      </w:pPr>
      <w:r>
        <w:t>Observable.</w:t>
      </w:r>
    </w:p>
    <w:p>
      <w:pPr>
        <w:pStyle w:val="ListBullet"/>
      </w:pPr>
      <w:r>
        <w:t>Does not rewrite signed semantics.</w:t>
      </w:r>
    </w:p>
    <w:p>
      <w:pPr>
        <w:pStyle w:val="ListBullet"/>
      </w:pPr>
      <w:r>
        <w:t>Reconciliation.</w:t>
      </w:r>
    </w:p>
    <w:p>
      <w:pPr>
        <w:pStyle w:val="Heading1"/>
      </w:pPr>
      <w:r>
        <w:t>95. Destructive Migration</w:t>
      </w:r>
    </w:p>
    <w:p>
      <w:pPr>
        <w:pStyle w:val="ListBullet"/>
      </w:pPr>
      <w:r>
        <w:t>Requires dependency search.</w:t>
      </w:r>
    </w:p>
    <w:p>
      <w:pPr>
        <w:pStyle w:val="ListBullet"/>
      </w:pPr>
      <w:r>
        <w:t>Retention/privacy review.</w:t>
      </w:r>
    </w:p>
    <w:p>
      <w:pPr>
        <w:pStyle w:val="ListBullet"/>
      </w:pPr>
      <w:r>
        <w:t>Backup.</w:t>
      </w:r>
    </w:p>
    <w:p>
      <w:pPr>
        <w:pStyle w:val="ListBullet"/>
      </w:pPr>
      <w:r>
        <w:t>Rollback/restore strategy.</w:t>
      </w:r>
    </w:p>
    <w:p>
      <w:pPr>
        <w:pStyle w:val="ListBullet"/>
      </w:pPr>
      <w:r>
        <w:t>Explicit approval.</w:t>
      </w:r>
    </w:p>
    <w:p>
      <w:pPr>
        <w:pStyle w:val="ListBullet"/>
      </w:pPr>
      <w:r>
        <w:t>Never drop clinically required history because application no longer displays it.</w:t>
      </w:r>
    </w:p>
    <w:p>
      <w:pPr>
        <w:pStyle w:val="Heading1"/>
      </w:pPr>
      <w:r>
        <w:t>96. Migration Lock Safety</w:t>
      </w:r>
    </w:p>
    <w:p>
      <w:pPr>
        <w:pStyle w:val="ListBullet"/>
      </w:pPr>
      <w:r>
        <w:t>Estimate lock level/duration.</w:t>
      </w:r>
    </w:p>
    <w:p>
      <w:pPr>
        <w:pStyle w:val="ListBullet"/>
      </w:pPr>
      <w:r>
        <w:t>Test production-like volume.</w:t>
      </w:r>
    </w:p>
    <w:p>
      <w:pPr>
        <w:pStyle w:val="ListBullet"/>
      </w:pPr>
      <w:r>
        <w:t>Statement/lock timeout.</w:t>
      </w:r>
    </w:p>
    <w:p>
      <w:pPr>
        <w:pStyle w:val="ListBullet"/>
      </w:pPr>
      <w:r>
        <w:t>Online index operations where supported.</w:t>
      </w:r>
    </w:p>
    <w:p>
      <w:pPr>
        <w:pStyle w:val="ListBullet"/>
      </w:pPr>
      <w:r>
        <w:t>Maintenance window for unavoidable risk.</w:t>
      </w:r>
    </w:p>
    <w:p>
      <w:pPr>
        <w:pStyle w:val="Heading1"/>
      </w:pPr>
      <w:r>
        <w:t>97. Seed Data</w:t>
      </w:r>
    </w:p>
    <w:p>
      <w:pPr>
        <w:pStyle w:val="ListBullet"/>
      </w:pPr>
      <w:r>
        <w:t>Technical/reference seed versioned.</w:t>
      </w:r>
    </w:p>
    <w:p>
      <w:pPr>
        <w:pStyle w:val="ListBullet"/>
      </w:pPr>
      <w:r>
        <w:t>No real patient PHI.</w:t>
      </w:r>
    </w:p>
    <w:p>
      <w:pPr>
        <w:pStyle w:val="ListBullet"/>
      </w:pPr>
      <w:r>
        <w:t>Terminology/formulary configuration may be deployment-specific and versioned.</w:t>
      </w:r>
    </w:p>
    <w:p>
      <w:pPr>
        <w:pStyle w:val="ListBullet"/>
      </w:pPr>
      <w:r>
        <w:t>Seed rerunnable/idempotent.</w:t>
      </w:r>
    </w:p>
    <w:p>
      <w:pPr>
        <w:pStyle w:val="Heading1"/>
      </w:pPr>
      <w:r>
        <w:t>98. Data Repair</w:t>
      </w:r>
    </w:p>
    <w:p>
      <w:pPr>
        <w:pStyle w:val="ListBullet"/>
      </w:pPr>
      <w:r>
        <w:t>Application correction workflow preferred.</w:t>
      </w:r>
    </w:p>
    <w:p>
      <w:pPr>
        <w:pStyle w:val="ListBullet"/>
      </w:pPr>
      <w:r>
        <w:t>DB repair script version-controlled, reviewed, scoped, backed up, audited and reconciled.</w:t>
      </w:r>
    </w:p>
    <w:p>
      <w:pPr>
        <w:pStyle w:val="ListBullet"/>
      </w:pPr>
      <w:r>
        <w:t>Never execute undocumented UPDATE in production for clinical fact.</w:t>
      </w:r>
    </w:p>
    <w:p>
      <w:pPr>
        <w:pStyle w:val="Heading1"/>
      </w:pPr>
      <w:r>
        <w:t>99. Data Integrity Monitoring</w:t>
      </w:r>
    </w:p>
    <w:p>
      <w:pPr>
        <w:pStyle w:val="ListBullet"/>
      </w:pPr>
      <w:r>
        <w:t>Orphan checks.</w:t>
      </w:r>
    </w:p>
    <w:p>
      <w:pPr>
        <w:pStyle w:val="ListBullet"/>
      </w:pPr>
      <w:r>
        <w:t>Ledger/projection reconciliation.</w:t>
      </w:r>
    </w:p>
    <w:p>
      <w:pPr>
        <w:pStyle w:val="ListBullet"/>
      </w:pPr>
      <w:r>
        <w:t>Duplicate identifiers.</w:t>
      </w:r>
    </w:p>
    <w:p>
      <w:pPr>
        <w:pStyle w:val="ListBullet"/>
      </w:pPr>
      <w:r>
        <w:t>Invalid states.</w:t>
      </w:r>
    </w:p>
    <w:p>
      <w:pPr>
        <w:pStyle w:val="ListBullet"/>
      </w:pPr>
      <w:r>
        <w:t>Missing provenance.</w:t>
      </w:r>
    </w:p>
    <w:p>
      <w:pPr>
        <w:pStyle w:val="ListBullet"/>
      </w:pPr>
      <w:r>
        <w:t>Cross-tenant anomalies.</w:t>
      </w:r>
    </w:p>
    <w:p>
      <w:pPr>
        <w:pStyle w:val="ListBullet"/>
      </w:pPr>
      <w:r>
        <w:t>Outbox stuck.</w:t>
      </w:r>
    </w:p>
    <w:p>
      <w:pPr>
        <w:pStyle w:val="ListBullet"/>
      </w:pPr>
      <w:r>
        <w:t>Document references.</w:t>
      </w:r>
    </w:p>
    <w:p>
      <w:pPr>
        <w:pStyle w:val="ListBullet"/>
      </w:pPr>
      <w:r>
        <w:t>Scheduled with alerts.</w:t>
      </w:r>
    </w:p>
    <w:p>
      <w:pPr>
        <w:pStyle w:val="Heading1"/>
      </w:pPr>
      <w:r>
        <w:t>100. Database Observability</w:t>
      </w:r>
    </w:p>
    <w:p>
      <w:pPr>
        <w:pStyle w:val="ListBullet"/>
      </w:pPr>
      <w:r>
        <w:t>Connections.</w:t>
      </w:r>
    </w:p>
    <w:p>
      <w:pPr>
        <w:pStyle w:val="ListBullet"/>
      </w:pPr>
      <w:r>
        <w:t>transactions.</w:t>
      </w:r>
    </w:p>
    <w:p>
      <w:pPr>
        <w:pStyle w:val="ListBullet"/>
      </w:pPr>
      <w:r>
        <w:t>locks/deadlocks.</w:t>
      </w:r>
    </w:p>
    <w:p>
      <w:pPr>
        <w:pStyle w:val="ListBullet"/>
      </w:pPr>
      <w:r>
        <w:t>replication lag.</w:t>
      </w:r>
    </w:p>
    <w:p>
      <w:pPr>
        <w:pStyle w:val="ListBullet"/>
      </w:pPr>
      <w:r>
        <w:t>WAL.</w:t>
      </w:r>
    </w:p>
    <w:p>
      <w:pPr>
        <w:pStyle w:val="ListBullet"/>
      </w:pPr>
      <w:r>
        <w:t>cache hit.</w:t>
      </w:r>
    </w:p>
    <w:p>
      <w:pPr>
        <w:pStyle w:val="ListBullet"/>
      </w:pPr>
      <w:r>
        <w:t>slow queries.</w:t>
      </w:r>
    </w:p>
    <w:p>
      <w:pPr>
        <w:pStyle w:val="ListBullet"/>
      </w:pPr>
      <w:r>
        <w:t>CPU/IO/storage.</w:t>
      </w:r>
    </w:p>
    <w:p>
      <w:pPr>
        <w:pStyle w:val="ListBullet"/>
      </w:pPr>
      <w:r>
        <w:t>table/index growth.</w:t>
      </w:r>
    </w:p>
    <w:p>
      <w:pPr>
        <w:pStyle w:val="ListBullet"/>
      </w:pPr>
      <w:r>
        <w:t>vacuum.</w:t>
      </w:r>
    </w:p>
    <w:p>
      <w:pPr>
        <w:pStyle w:val="ListBullet"/>
      </w:pPr>
      <w:r>
        <w:t>backup.</w:t>
      </w:r>
    </w:p>
    <w:p>
      <w:pPr>
        <w:pStyle w:val="ListBullet"/>
      </w:pPr>
      <w:r>
        <w:t>Query metrics exclude sensitive literal values.</w:t>
      </w:r>
    </w:p>
    <w:p>
      <w:pPr>
        <w:pStyle w:val="Heading1"/>
      </w:pPr>
      <w:r>
        <w:t>101. Performance Baseline</w:t>
      </w:r>
    </w:p>
    <w:p>
      <w:pPr>
        <w:pStyle w:val="ListBullet"/>
      </w:pPr>
      <w:r>
        <w:t>Benchmark representative datasets/concurrency.</w:t>
      </w:r>
    </w:p>
    <w:p>
      <w:pPr>
        <w:pStyle w:val="ListBullet"/>
      </w:pPr>
      <w:r>
        <w:t>Capture p50/p95/p99 query/application impact.</w:t>
      </w:r>
    </w:p>
    <w:p>
      <w:pPr>
        <w:pStyle w:val="ListBullet"/>
      </w:pPr>
      <w:r>
        <w:t>Measure migration/index overhead.</w:t>
      </w:r>
    </w:p>
    <w:p>
      <w:pPr>
        <w:pStyle w:val="ListBullet"/>
      </w:pPr>
      <w:r>
        <w:t>Document hardware/config.</w:t>
      </w:r>
    </w:p>
    <w:p>
      <w:pPr>
        <w:pStyle w:val="ListBullet"/>
      </w:pPr>
      <w:r>
        <w:t>No performance claim without environment and volume.</w:t>
      </w:r>
    </w:p>
    <w:p>
      <w:pPr>
        <w:pStyle w:val="Heading1"/>
      </w:pPr>
      <w:r>
        <w:t>102. DBA Access</w:t>
      </w:r>
    </w:p>
    <w:p>
      <w:pPr>
        <w:pStyle w:val="ListBullet"/>
      </w:pPr>
      <w:r>
        <w:t>Named privileged identity.</w:t>
      </w:r>
    </w:p>
    <w:p>
      <w:pPr>
        <w:pStyle w:val="ListBullet"/>
      </w:pPr>
      <w:r>
        <w:t>MFA/PAM/bastion where applicable.</w:t>
      </w:r>
    </w:p>
    <w:p>
      <w:pPr>
        <w:pStyle w:val="ListBullet"/>
      </w:pPr>
      <w:r>
        <w:t>Time-limited elevation.</w:t>
      </w:r>
    </w:p>
    <w:p>
      <w:pPr>
        <w:pStyle w:val="ListBullet"/>
      </w:pPr>
      <w:r>
        <w:t>Session/audit.</w:t>
      </w:r>
    </w:p>
    <w:p>
      <w:pPr>
        <w:pStyle w:val="ListBullet"/>
      </w:pPr>
      <w:r>
        <w:t>No routine shared postgres/root account.</w:t>
      </w:r>
    </w:p>
    <w:p>
      <w:pPr>
        <w:pStyle w:val="ListBullet"/>
      </w:pPr>
      <w:r>
        <w:t>Production data access requires purpose.</w:t>
      </w:r>
    </w:p>
    <w:p>
      <w:pPr>
        <w:pStyle w:val="Heading1"/>
      </w:pPr>
      <w:r>
        <w:t>103. Non-Production Data</w:t>
      </w:r>
    </w:p>
    <w:p>
      <w:pPr>
        <w:pStyle w:val="ListBullet"/>
      </w:pPr>
      <w:r>
        <w:t>Synthetic preferred.</w:t>
      </w:r>
    </w:p>
    <w:p>
      <w:pPr>
        <w:pStyle w:val="ListBullet"/>
      </w:pPr>
      <w:r>
        <w:t>Production-derived data only through approved de-identification/governance.</w:t>
      </w:r>
    </w:p>
    <w:p>
      <w:pPr>
        <w:pStyle w:val="ListBullet"/>
      </w:pPr>
      <w:r>
        <w:t>No casual prod dump.</w:t>
      </w:r>
    </w:p>
    <w:p>
      <w:pPr>
        <w:pStyle w:val="ListBullet"/>
      </w:pPr>
      <w:r>
        <w:t>Secrets separate.</w:t>
      </w:r>
    </w:p>
    <w:p>
      <w:pPr>
        <w:pStyle w:val="ListBullet"/>
      </w:pPr>
      <w:r>
        <w:t>Retention.</w:t>
      </w:r>
    </w:p>
    <w:p>
      <w:pPr>
        <w:pStyle w:val="Heading1"/>
      </w:pPr>
      <w:r>
        <w:t>104. Disaster Recovery Validation</w:t>
      </w:r>
    </w:p>
    <w:p>
      <w:pPr>
        <w:pStyle w:val="ListBullet"/>
      </w:pPr>
      <w:r>
        <w:t>Restore database.</w:t>
      </w:r>
    </w:p>
    <w:p>
      <w:pPr>
        <w:pStyle w:val="ListBullet"/>
      </w:pPr>
      <w:r>
        <w:t>Replay/verify object links.</w:t>
      </w:r>
    </w:p>
    <w:p>
      <w:pPr>
        <w:pStyle w:val="ListBullet"/>
      </w:pPr>
      <w:r>
        <w:t>Check migrations.</w:t>
      </w:r>
    </w:p>
    <w:p>
      <w:pPr>
        <w:pStyle w:val="ListBullet"/>
      </w:pPr>
      <w:r>
        <w:t>Clinical record sample.</w:t>
      </w:r>
    </w:p>
    <w:p>
      <w:pPr>
        <w:pStyle w:val="ListBullet"/>
      </w:pPr>
      <w:r>
        <w:t>Ledger reconciliation.</w:t>
      </w:r>
    </w:p>
    <w:p>
      <w:pPr>
        <w:pStyle w:val="ListBullet"/>
      </w:pPr>
      <w:r>
        <w:t>Audit/provenance.</w:t>
      </w:r>
    </w:p>
    <w:p>
      <w:pPr>
        <w:pStyle w:val="ListBullet"/>
      </w:pPr>
      <w:r>
        <w:t>Measure RTO/RPO.</w:t>
      </w:r>
    </w:p>
    <w:p>
      <w:pPr>
        <w:pStyle w:val="ListBullet"/>
      </w:pPr>
      <w:r>
        <w:t>Do not declare recovery solely because DB accepts connections.</w:t>
      </w:r>
    </w:p>
    <w:p>
      <w:pPr>
        <w:pStyle w:val="Heading1"/>
      </w:pPr>
      <w:r>
        <w:t>105. Formal Database Requirements</w:t>
      </w:r>
    </w:p>
    <w:p>
      <w:pPr>
        <w:pStyle w:val="ListBullet"/>
      </w:pPr>
      <w:r>
        <w:t>DB-SR-001 Every authoritative table SHALL have an owning domain/module.</w:t>
      </w:r>
    </w:p>
    <w:p>
      <w:pPr>
        <w:pStyle w:val="ListBullet"/>
      </w:pPr>
      <w:r>
        <w:t>DB-SR-002 Runtime modules SHALL NOT directly mutate another domain's authoritative tables.</w:t>
      </w:r>
    </w:p>
    <w:p>
      <w:pPr>
        <w:pStyle w:val="ListBullet"/>
      </w:pPr>
      <w:r>
        <w:t>DB-SR-003 Patient and business identifiers SHALL preserve namespace/assigning authority.</w:t>
      </w:r>
    </w:p>
    <w:p>
      <w:pPr>
        <w:pStyle w:val="ListBullet"/>
      </w:pPr>
      <w:r>
        <w:t>DB-SR-004 Signed/final clinical facts SHALL NOT be destructively overwritten.</w:t>
      </w:r>
    </w:p>
    <w:p>
      <w:pPr>
        <w:pStyle w:val="ListBullet"/>
      </w:pPr>
      <w:r>
        <w:t>DB-SR-005 Posted financial and inventory ledger history SHALL use reversal/correction rather than destructive edit.</w:t>
      </w:r>
    </w:p>
    <w:p>
      <w:pPr>
        <w:pStyle w:val="ListBullet"/>
      </w:pPr>
      <w:r>
        <w:t>DB-SR-006 Inventory quantity authority SHALL derive from auditable movement transactions.</w:t>
      </w:r>
    </w:p>
    <w:p>
      <w:pPr>
        <w:pStyle w:val="ListBullet"/>
      </w:pPr>
      <w:r>
        <w:t>DB-SR-007 Dispense records SHALL NOT imply medication administration.</w:t>
      </w:r>
    </w:p>
    <w:p>
      <w:pPr>
        <w:pStyle w:val="ListBullet"/>
      </w:pPr>
      <w:r>
        <w:t>DB-SR-008 Referral accepted, arrived and care-assumed states SHALL remain distinguishable.</w:t>
      </w:r>
    </w:p>
    <w:p>
      <w:pPr>
        <w:pStyle w:val="ListBullet"/>
      </w:pPr>
      <w:r>
        <w:t>DB-SR-009 Null/unknown SHALL NOT be silently coerced into clinically meaningful negative/zero values.</w:t>
      </w:r>
    </w:p>
    <w:p>
      <w:pPr>
        <w:pStyle w:val="ListBullet"/>
      </w:pPr>
      <w:r>
        <w:t>DB-SR-010 Core searchable clinical semantics SHALL NOT be stored only in opaque JSON.</w:t>
      </w:r>
    </w:p>
    <w:p>
      <w:pPr>
        <w:pStyle w:val="ListBullet"/>
      </w:pPr>
      <w:r>
        <w:t>DB-SR-011 Tenant/facility isolation SHALL be represented in schema/query design.</w:t>
      </w:r>
    </w:p>
    <w:p>
      <w:pPr>
        <w:pStyle w:val="ListBullet"/>
      </w:pPr>
      <w:r>
        <w:t>DB-SR-012 Critical updates SHALL use concurrency control appropriate to the aggregate.</w:t>
      </w:r>
    </w:p>
    <w:p>
      <w:pPr>
        <w:pStyle w:val="ListBullet"/>
      </w:pPr>
      <w:r>
        <w:t>DB-SR-013 Retry-sensitive writes SHALL support idempotency.</w:t>
      </w:r>
    </w:p>
    <w:p>
      <w:pPr>
        <w:pStyle w:val="ListBullet"/>
      </w:pPr>
      <w:r>
        <w:t>DB-SR-014 Cross-domain asynchronous publication SHALL use durable outbox or equivalent.</w:t>
      </w:r>
    </w:p>
    <w:p>
      <w:pPr>
        <w:pStyle w:val="ListBullet"/>
      </w:pPr>
      <w:r>
        <w:t>DB-SR-015 Database migrations SHALL be versioned, reviewed and tested on representative data.</w:t>
      </w:r>
    </w:p>
    <w:p>
      <w:pPr>
        <w:pStyle w:val="ListBullet"/>
      </w:pPr>
      <w:r>
        <w:t>DB-SR-016 Production clinical data repair SHALL be governed, scripted and audited.</w:t>
      </w:r>
    </w:p>
    <w:p>
      <w:pPr>
        <w:pStyle w:val="ListBullet"/>
      </w:pPr>
      <w:r>
        <w:t>DB-SR-017 Backup and point-in-time recovery SHALL be tested.</w:t>
      </w:r>
    </w:p>
    <w:p>
      <w:pPr>
        <w:pStyle w:val="ListBullet"/>
      </w:pPr>
      <w:r>
        <w:t>DB-SR-018 Database telemetry SHALL avoid unnecessary PHI/secrets.</w:t>
      </w:r>
    </w:p>
    <w:p>
      <w:pPr>
        <w:pStyle w:val="ListBullet"/>
      </w:pPr>
      <w:r>
        <w:t>DB-SR-019 Read projections/materialized views SHALL remain rebuildable from authoritative data.</w:t>
      </w:r>
    </w:p>
    <w:p>
      <w:pPr>
        <w:pStyle w:val="ListBullet"/>
      </w:pPr>
      <w:r>
        <w:t>DB-SR-020 DR validation SHALL include clinical and ledger integrity, not infrastructure health alone.</w:t>
      </w:r>
    </w:p>
    <w:p>
      <w:pPr>
        <w:pStyle w:val="Heading1"/>
      </w:pPr>
      <w:r>
        <w:t>106. Definition of Done</w:t>
      </w:r>
    </w:p>
    <w:p>
      <w:pPr>
        <w:pStyle w:val="ListBullet"/>
      </w:pPr>
      <w:r>
        <w:t>Domain schemas/owners approved.</w:t>
      </w:r>
    </w:p>
    <w:p>
      <w:pPr>
        <w:pStyle w:val="ListBullet"/>
      </w:pPr>
      <w:r>
        <w:t>Physical naming/key conventions adopted.</w:t>
      </w:r>
    </w:p>
    <w:p>
      <w:pPr>
        <w:pStyle w:val="ListBullet"/>
      </w:pPr>
      <w:r>
        <w:t>Core integrity constraints implemented.</w:t>
      </w:r>
    </w:p>
    <w:p>
      <w:pPr>
        <w:pStyle w:val="ListBullet"/>
      </w:pPr>
      <w:r>
        <w:t>Index plan validated against representative queries.</w:t>
      </w:r>
    </w:p>
    <w:p>
      <w:pPr>
        <w:pStyle w:val="ListBullet"/>
      </w:pPr>
      <w:r>
        <w:t>Outbox/idempotency/concurrency patterns standardized.</w:t>
      </w:r>
    </w:p>
    <w:p>
      <w:pPr>
        <w:pStyle w:val="ListBullet"/>
      </w:pPr>
      <w:r>
        <w:t>Migration framework active.</w:t>
      </w:r>
    </w:p>
    <w:p>
      <w:pPr>
        <w:pStyle w:val="ListBullet"/>
      </w:pPr>
      <w:r>
        <w:t>Backup/PITR/restore tested.</w:t>
      </w:r>
    </w:p>
    <w:p>
      <w:pPr>
        <w:pStyle w:val="ListBullet"/>
      </w:pPr>
      <w:r>
        <w:t>DB roles/privileges established.</w:t>
      </w:r>
    </w:p>
    <w:p>
      <w:pPr>
        <w:pStyle w:val="ListBullet"/>
      </w:pPr>
      <w:r>
        <w:t>Integrity monitoring operational.</w:t>
      </w:r>
    </w:p>
    <w:p>
      <w:pPr>
        <w:pStyle w:val="ListBullet"/>
      </w:pPr>
      <w:r>
        <w:t>DB-SR-001 through DB-SR-020 traceable to tests/controls.</w:t>
      </w:r>
    </w:p>
    <w:p>
      <w:pPr>
        <w:pStyle w:val="Heading1"/>
      </w:pPr>
      <w:r>
        <w:t>Appendix A — Representative Patient/Encounter Relationship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patient.patient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├── patient.patient_identifier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├── patient.patient_address / contact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├── clinical.allergy_intolerance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└── encounter.encounter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   ├── clinical.clinical_note → note_version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   ├── clinical.condition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   ├── clinical.observation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   ├── lab.service_request → specimen → result/report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   ├── imaging.imaging_order → study_reference → report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   └── medication.medication_request → dispense / administration</w:t>
            </w:r>
          </w:p>
        </w:tc>
      </w:tr>
    </w:tbl>
    <w:p>
      <w:pPr>
        <w:pStyle w:val="Heading1"/>
      </w:pPr>
      <w:r>
        <w:t>Appendix B — Standard Table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Column/Concept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Rule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Opaque primary key.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tenant_id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When tenant-scoped.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facility_id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When facility context is intrinsic.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version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Optimistic concurrency where mutable.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created_at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Technical creation instant.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created_by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Actor/service where appropriate.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effective_*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Clinical/business effective time.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status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Domain-specific state, not generic global enum.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source/provenance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External/migration/device lineage where required.</w:t>
            </w:r>
          </w:p>
        </w:tc>
      </w:tr>
    </w:tbl>
    <w:p>
      <w:pPr>
        <w:pStyle w:val="Heading1"/>
      </w:pPr>
      <w:r>
        <w:t>Appendix C — Index Review Checklist</w:t>
      </w:r>
    </w:p>
    <w:p>
      <w:pPr>
        <w:pStyle w:val="ListBullet"/>
      </w:pPr>
      <w:r>
        <w:t>What query/worklist requires it?</w:t>
      </w:r>
    </w:p>
    <w:p>
      <w:pPr>
        <w:pStyle w:val="ListBullet"/>
      </w:pPr>
      <w:r>
        <w:t>Predicate and sort order measured?</w:t>
      </w:r>
    </w:p>
    <w:p>
      <w:pPr>
        <w:pStyle w:val="ListBullet"/>
      </w:pPr>
      <w:r>
        <w:t>Tenant/facility leading scope appropriate?</w:t>
      </w:r>
    </w:p>
    <w:p>
      <w:pPr>
        <w:pStyle w:val="ListBullet"/>
      </w:pPr>
      <w:r>
        <w:t>Cardinality/selectivity known?</w:t>
      </w:r>
    </w:p>
    <w:p>
      <w:pPr>
        <w:pStyle w:val="ListBullet"/>
      </w:pPr>
      <w:r>
        <w:t>Existing index duplicates it?</w:t>
      </w:r>
    </w:p>
    <w:p>
      <w:pPr>
        <w:pStyle w:val="ListBullet"/>
      </w:pPr>
      <w:r>
        <w:t>Write/storage cost acceptable?</w:t>
      </w:r>
    </w:p>
    <w:p>
      <w:pPr>
        <w:pStyle w:val="ListBullet"/>
      </w:pPr>
      <w:r>
        <w:t>Partial predicate stable?</w:t>
      </w:r>
    </w:p>
    <w:p>
      <w:pPr>
        <w:pStyle w:val="ListBullet"/>
      </w:pPr>
      <w:r>
        <w:t>EXPLAIN plan captured?</w:t>
      </w:r>
    </w:p>
    <w:p>
      <w:pPr>
        <w:pStyle w:val="ListBullet"/>
      </w:pPr>
      <w:r>
        <w:t>Production-like volume tested?</w:t>
      </w:r>
    </w:p>
    <w:p>
      <w:pPr>
        <w:pStyle w:val="ListBullet"/>
      </w:pPr>
      <w:r>
        <w:t>Owner/purpose documented?</w:t>
      </w:r>
    </w:p>
    <w:p>
      <w:pPr>
        <w:pStyle w:val="Heading1"/>
      </w:pPr>
      <w:r>
        <w:t>Appendix D — Migration Review Checklist</w:t>
      </w:r>
    </w:p>
    <w:p>
      <w:pPr>
        <w:pStyle w:val="ListBullet"/>
      </w:pPr>
      <w:r>
        <w:t>Owning domain.</w:t>
      </w:r>
    </w:p>
    <w:p>
      <w:pPr>
        <w:pStyle w:val="ListBullet"/>
      </w:pPr>
      <w:r>
        <w:t>Backward compatibility.</w:t>
      </w:r>
    </w:p>
    <w:p>
      <w:pPr>
        <w:pStyle w:val="ListBullet"/>
      </w:pPr>
      <w:r>
        <w:t>Lock risk.</w:t>
      </w:r>
    </w:p>
    <w:p>
      <w:pPr>
        <w:pStyle w:val="ListBullet"/>
      </w:pPr>
      <w:r>
        <w:t>Data volume.</w:t>
      </w:r>
    </w:p>
    <w:p>
      <w:pPr>
        <w:pStyle w:val="ListBullet"/>
      </w:pPr>
      <w:r>
        <w:t>Backfill plan.</w:t>
      </w:r>
    </w:p>
    <w:p>
      <w:pPr>
        <w:pStyle w:val="ListBullet"/>
      </w:pPr>
      <w:r>
        <w:t>Idempotency.</w:t>
      </w:r>
    </w:p>
    <w:p>
      <w:pPr>
        <w:pStyle w:val="ListBullet"/>
      </w:pPr>
      <w:r>
        <w:t>Rollback/forward fix.</w:t>
      </w:r>
    </w:p>
    <w:p>
      <w:pPr>
        <w:pStyle w:val="ListBullet"/>
      </w:pPr>
      <w:r>
        <w:t>Replication impact.</w:t>
      </w:r>
    </w:p>
    <w:p>
      <w:pPr>
        <w:pStyle w:val="ListBullet"/>
      </w:pPr>
      <w:r>
        <w:t>Index build strategy.</w:t>
      </w:r>
    </w:p>
    <w:p>
      <w:pPr>
        <w:pStyle w:val="ListBullet"/>
      </w:pPr>
      <w:r>
        <w:t>Clinical/history preservation.</w:t>
      </w:r>
    </w:p>
    <w:p>
      <w:pPr>
        <w:pStyle w:val="ListBullet"/>
      </w:pPr>
      <w:r>
        <w:t>Test from prior release.</w:t>
      </w:r>
    </w:p>
    <w:p>
      <w:pPr>
        <w:pStyle w:val="ListBullet"/>
      </w:pPr>
      <w:r>
        <w:t>Observability.</w:t>
      </w:r>
    </w:p>
    <w:p>
      <w:pPr>
        <w:pStyle w:val="ListBullet"/>
      </w:pPr>
      <w:r>
        <w:t>Runbook.</w:t>
      </w:r>
    </w:p>
    <w:p>
      <w:pPr>
        <w:pStyle w:val="Heading1"/>
      </w:pPr>
      <w:r>
        <w:t>Appendix E — Integrity Check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Check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Example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Identity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Duplicate active identifiers in same namespace.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Clinical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Signed note version unexpectedly mutated.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Lab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Final result without report/order linkage.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Medication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Administration without patient/order context.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Inventory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Balance projection differs from ledger sum.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Referral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Care-assumed without required preceding transition/evidence.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Revenue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Posted invoice totals inconsistent with lines/adjustments.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Documents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Metadata points to missing object.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Tenancy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Cross-tenant FK/reference anomaly.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Events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Outbox unpublished beyond threshold.</w:t>
            </w:r>
          </w:p>
        </w:tc>
      </w:tr>
    </w:tbl>
    <w:p>
      <w:pPr>
        <w:pStyle w:val="Heading1"/>
      </w:pPr>
      <w:r>
        <w:t>Appendix F — Follow-On Physical Schema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Artifact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Purpose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SQL/ORM schema repository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Executable physical model.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ERD by domain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Engineering navigation.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Index catalogue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Purpose/queries/owner.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Migration repository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Versioned DDL/backfills.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DB role grants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Least privilege.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Integrity jobs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Continuous checks.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Synthetic seed package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Development/testing.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Capacity baseline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Sizing/growth.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DB runbook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Operations/restore/repair.</w:t>
            </w:r>
          </w:p>
        </w:tc>
      </w:tr>
    </w:tbl>
    <w:p>
      <w:pPr>
        <w:pStyle w:val="Heading1"/>
      </w:pPr>
      <w:r>
        <w:t>Appendix G — Architectural Boundary</w:t>
      </w:r>
    </w:p>
    <w:p>
      <w:r>
        <w:t>PULSE-DB-001 specifies physical persistence, integrity and performance. It does not make the database a cross-domain integration API and does not authorize direct table manipulation as an alternative to domain/application services. Clinical, security and privacy semantics defined by the parent specifications remain authoritative.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Pulse Health Platform • Confidential • Database Engineering Baseline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PULSE-DB-001  |  PHYSICAL DATABASE ARCHITECTURE &amp; DATA INTEGRITY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2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