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sz w:val="62"/>
        </w:rPr>
        <w:t>PULSE-MIG-001</w:t>
      </w:r>
    </w:p>
    <w:p>
      <w:pPr>
        <w:jc w:val="center"/>
      </w:pPr>
      <w:r>
        <w:rPr>
          <w:b/>
          <w:sz w:val="32"/>
        </w:rPr>
        <w:t>Legacy Data Migration, Data Conversion, Reconciliation &amp; Production Cutover Plan</w:t>
      </w:r>
    </w:p>
    <w:p>
      <w:pPr>
        <w:jc w:val="center"/>
      </w:pPr>
      <w:r>
        <w:rPr>
          <w:b/>
        </w:rPr>
        <w:t>Pulse Health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3"/>
              </w:rPr>
              <w:t>Document Control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3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Parent specifications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Master Blueprint; PULSE-DATA-001; CLIN-001; SAFE-001; IAM-001; FHIR-001; PRIV-001; QA-001; OPS-001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Version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1.0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Migration Engineering &amp; Cutover Baseline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Audience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Data Engineering, Implementation, Clinical Informatics, QA, Product, Facility IT, Finance, Pharmacy, Lab, Radiology, Security/Privacy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Purpose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Define a controlled, auditable and clinically safe method for moving legacy healthcare data into Pulse.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Core rule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Migration preserves source meaning, provenance and uncertainty. It must not invent missing facts, silently normalize clinically meaningful differences, or convert ambiguous legacy data into false certainty.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pPr>
        <w:pStyle w:val="ListBullet"/>
      </w:pPr>
      <w:r>
        <w:t>Establish the migration lifecycle from discovery to post-go-live reconciliation.</w:t>
      </w:r>
    </w:p>
    <w:p>
      <w:pPr>
        <w:pStyle w:val="ListBullet"/>
      </w:pPr>
      <w:r>
        <w:t>Protect patient identity, clinical meaning, provenance, financial integrity and operational continuity.</w:t>
      </w:r>
    </w:p>
    <w:p>
      <w:pPr>
        <w:pStyle w:val="ListBullet"/>
      </w:pPr>
      <w:r>
        <w:t>Define evidence needed before legacy data is trusted in production.</w:t>
      </w:r>
    </w:p>
    <w:p>
      <w:pPr>
        <w:pStyle w:val="Heading1"/>
      </w:pPr>
      <w:r>
        <w:t>2. Migration Principles</w:t>
      </w:r>
    </w:p>
    <w:p>
      <w:pPr>
        <w:pStyle w:val="ListBullet"/>
      </w:pPr>
      <w:r>
        <w:t>Source fidelity before cosmetic cleanliness.</w:t>
      </w:r>
    </w:p>
    <w:p>
      <w:pPr>
        <w:pStyle w:val="ListBullet"/>
      </w:pPr>
      <w:r>
        <w:t>No silent invention.</w:t>
      </w:r>
    </w:p>
    <w:p>
      <w:pPr>
        <w:pStyle w:val="ListBullet"/>
      </w:pPr>
      <w:r>
        <w:t>Provenance retained.</w:t>
      </w:r>
    </w:p>
    <w:p>
      <w:pPr>
        <w:pStyle w:val="ListBullet"/>
      </w:pPr>
      <w:r>
        <w:t>Patient safety first.</w:t>
      </w:r>
    </w:p>
    <w:p>
      <w:pPr>
        <w:pStyle w:val="ListBullet"/>
      </w:pPr>
      <w:r>
        <w:t>Repeatable pipelines.</w:t>
      </w:r>
    </w:p>
    <w:p>
      <w:pPr>
        <w:pStyle w:val="ListBullet"/>
      </w:pPr>
      <w:r>
        <w:t>Idempotent loads where feasible.</w:t>
      </w:r>
    </w:p>
    <w:p>
      <w:pPr>
        <w:pStyle w:val="ListBullet"/>
      </w:pPr>
      <w:r>
        <w:t>Reconciliation is mandatory.</w:t>
      </w:r>
    </w:p>
    <w:p>
      <w:pPr>
        <w:pStyle w:val="ListBullet"/>
      </w:pPr>
      <w:r>
        <w:t>Exceptions are explicit.</w:t>
      </w:r>
    </w:p>
    <w:p>
      <w:pPr>
        <w:pStyle w:val="ListBullet"/>
      </w:pPr>
      <w:r>
        <w:t>Cutover is rehearsed.</w:t>
      </w:r>
    </w:p>
    <w:p>
      <w:pPr>
        <w:pStyle w:val="ListBullet"/>
      </w:pPr>
      <w:r>
        <w:t>Legacy remains read-only according to approved retention strategy.</w:t>
      </w:r>
    </w:p>
    <w:p>
      <w:pPr>
        <w:pStyle w:val="Heading1"/>
      </w:pPr>
      <w:r>
        <w:t>3. Migration Scope Categories</w:t>
      </w:r>
    </w:p>
    <w:p>
      <w:pPr>
        <w:pStyle w:val="ListBullet"/>
      </w:pPr>
      <w:r>
        <w:t>Master/reference data.</w:t>
      </w:r>
    </w:p>
    <w:p>
      <w:pPr>
        <w:pStyle w:val="ListBullet"/>
      </w:pPr>
      <w:r>
        <w:t>Patient identity/demographics.</w:t>
      </w:r>
    </w:p>
    <w:p>
      <w:pPr>
        <w:pStyle w:val="ListBullet"/>
      </w:pPr>
      <w:r>
        <w:t>Clinical history.</w:t>
      </w:r>
    </w:p>
    <w:p>
      <w:pPr>
        <w:pStyle w:val="ListBullet"/>
      </w:pPr>
      <w:r>
        <w:t>Diagnostics.</w:t>
      </w:r>
    </w:p>
    <w:p>
      <w:pPr>
        <w:pStyle w:val="ListBullet"/>
      </w:pPr>
      <w:r>
        <w:t>Medication/pharmacy.</w:t>
      </w:r>
    </w:p>
    <w:p>
      <w:pPr>
        <w:pStyle w:val="ListBullet"/>
      </w:pPr>
      <w:r>
        <w:t>Referral.</w:t>
      </w:r>
    </w:p>
    <w:p>
      <w:pPr>
        <w:pStyle w:val="ListBullet"/>
      </w:pPr>
      <w:r>
        <w:t>Documents/media.</w:t>
      </w:r>
    </w:p>
    <w:p>
      <w:pPr>
        <w:pStyle w:val="ListBullet"/>
      </w:pPr>
      <w:r>
        <w:t>Revenue/insurance.</w:t>
      </w:r>
    </w:p>
    <w:p>
      <w:pPr>
        <w:pStyle w:val="ListBullet"/>
      </w:pPr>
      <w:r>
        <w:t>Inventory/procurement.</w:t>
      </w:r>
    </w:p>
    <w:p>
      <w:pPr>
        <w:pStyle w:val="ListBullet"/>
      </w:pPr>
      <w:r>
        <w:t>Users/roles selectively.</w:t>
      </w:r>
    </w:p>
    <w:p>
      <w:pPr>
        <w:pStyle w:val="ListBullet"/>
      </w:pPr>
      <w:r>
        <w:t>Audit/provenance.</w:t>
      </w:r>
    </w:p>
    <w:p>
      <w:pPr>
        <w:pStyle w:val="ListBullet"/>
      </w:pPr>
      <w:r>
        <w:t>Configuration where appropriate.</w:t>
      </w:r>
    </w:p>
    <w:p>
      <w:pPr>
        <w:pStyle w:val="Heading1"/>
      </w:pPr>
      <w:r>
        <w:t>4. Migration Operating Model</w:t>
      </w:r>
    </w:p>
    <w:p>
      <w:pPr>
        <w:pStyle w:val="ListBullet"/>
      </w:pPr>
      <w:r>
        <w:t>Migration Lead.</w:t>
      </w:r>
    </w:p>
    <w:p>
      <w:pPr>
        <w:pStyle w:val="ListBullet"/>
      </w:pPr>
      <w:r>
        <w:t>Data Engineering Lead.</w:t>
      </w:r>
    </w:p>
    <w:p>
      <w:pPr>
        <w:pStyle w:val="ListBullet"/>
      </w:pPr>
      <w:r>
        <w:t>Clinical Informatics Lead.</w:t>
      </w:r>
    </w:p>
    <w:p>
      <w:pPr>
        <w:pStyle w:val="ListBullet"/>
      </w:pPr>
      <w:r>
        <w:t>Facility Data Owner.</w:t>
      </w:r>
    </w:p>
    <w:p>
      <w:pPr>
        <w:pStyle w:val="ListBullet"/>
      </w:pPr>
      <w:r>
        <w:t>Domain SMEs.</w:t>
      </w:r>
    </w:p>
    <w:p>
      <w:pPr>
        <w:pStyle w:val="ListBullet"/>
      </w:pPr>
      <w:r>
        <w:t>QA Lead.</w:t>
      </w:r>
    </w:p>
    <w:p>
      <w:pPr>
        <w:pStyle w:val="ListBullet"/>
      </w:pPr>
      <w:r>
        <w:t>Security/Privacy.</w:t>
      </w:r>
    </w:p>
    <w:p>
      <w:pPr>
        <w:pStyle w:val="ListBullet"/>
      </w:pPr>
      <w:r>
        <w:t>Cutover Manager.</w:t>
      </w:r>
    </w:p>
    <w:p>
      <w:pPr>
        <w:pStyle w:val="ListBullet"/>
      </w:pPr>
      <w:r>
        <w:t>Application/DB Operations.</w:t>
      </w:r>
    </w:p>
    <w:p>
      <w:pPr>
        <w:pStyle w:val="ListBullet"/>
      </w:pPr>
      <w:r>
        <w:t>Source-system vendor/contact.</w:t>
      </w:r>
    </w:p>
    <w:p>
      <w:pPr>
        <w:pStyle w:val="Heading1"/>
      </w:pPr>
      <w:r>
        <w:t>5. Migration Phases</w:t>
      </w:r>
    </w:p>
    <w:p>
      <w:pPr>
        <w:pStyle w:val="ListBullet"/>
      </w:pPr>
      <w:r>
        <w:t>Discover → profile → classify → map → cleanse with governance → transform → dry run → validate → reconcile → rehearsal → freeze/delta → cutover → hypercare → final reconciliation → archive/decommission.</w:t>
      </w:r>
    </w:p>
    <w:p>
      <w:pPr>
        <w:pStyle w:val="Heading1"/>
      </w:pPr>
      <w:r>
        <w:t>6. Source System Inventory</w:t>
      </w:r>
    </w:p>
    <w:p>
      <w:pPr>
        <w:pStyle w:val="ListBullet"/>
      </w:pPr>
      <w:r>
        <w:t>System/application name.</w:t>
      </w:r>
    </w:p>
    <w:p>
      <w:pPr>
        <w:pStyle w:val="ListBullet"/>
      </w:pPr>
      <w:r>
        <w:t>Owner/vendor.</w:t>
      </w:r>
    </w:p>
    <w:p>
      <w:pPr>
        <w:pStyle w:val="ListBullet"/>
      </w:pPr>
      <w:r>
        <w:t>Version.</w:t>
      </w:r>
    </w:p>
    <w:p>
      <w:pPr>
        <w:pStyle w:val="ListBullet"/>
      </w:pPr>
      <w:r>
        <w:t>Database/file/interface.</w:t>
      </w:r>
    </w:p>
    <w:p>
      <w:pPr>
        <w:pStyle w:val="ListBullet"/>
      </w:pPr>
      <w:r>
        <w:t>Data domains.</w:t>
      </w:r>
    </w:p>
    <w:p>
      <w:pPr>
        <w:pStyle w:val="ListBullet"/>
      </w:pPr>
      <w:r>
        <w:t>Volume.</w:t>
      </w:r>
    </w:p>
    <w:p>
      <w:pPr>
        <w:pStyle w:val="ListBullet"/>
      </w:pPr>
      <w:r>
        <w:t>Date range.</w:t>
      </w:r>
    </w:p>
    <w:p>
      <w:pPr>
        <w:pStyle w:val="ListBullet"/>
      </w:pPr>
      <w:r>
        <w:t>Identifiers.</w:t>
      </w:r>
    </w:p>
    <w:p>
      <w:pPr>
        <w:pStyle w:val="ListBullet"/>
      </w:pPr>
      <w:r>
        <w:t>Attachments.</w:t>
      </w:r>
    </w:p>
    <w:p>
      <w:pPr>
        <w:pStyle w:val="ListBullet"/>
      </w:pPr>
      <w:r>
        <w:t>Availability window.</w:t>
      </w:r>
    </w:p>
    <w:p>
      <w:pPr>
        <w:pStyle w:val="ListBullet"/>
      </w:pPr>
      <w:r>
        <w:t>Extraction constraints.</w:t>
      </w:r>
    </w:p>
    <w:p>
      <w:pPr>
        <w:pStyle w:val="ListBullet"/>
      </w:pPr>
      <w:r>
        <w:t>Legal/retention constraints.</w:t>
      </w:r>
    </w:p>
    <w:p>
      <w:pPr>
        <w:pStyle w:val="Heading1"/>
      </w:pPr>
      <w:r>
        <w:t>7. Source Authority</w:t>
      </w:r>
    </w:p>
    <w:p>
      <w:pPr>
        <w:pStyle w:val="ListBullet"/>
      </w:pPr>
      <w:r>
        <w:t>Identify which source is authoritative for each domain/time period.</w:t>
      </w:r>
    </w:p>
    <w:p>
      <w:pPr>
        <w:pStyle w:val="ListBullet"/>
      </w:pPr>
      <w:r>
        <w:t>Resolve overlaps between EMR, LIS, PACS, pharmacy, finance and spreadsheets.</w:t>
      </w:r>
    </w:p>
    <w:p>
      <w:pPr>
        <w:pStyle w:val="ListBullet"/>
      </w:pPr>
      <w:r>
        <w:t>Do not select authority merely because a source is easier to extract.</w:t>
      </w:r>
    </w:p>
    <w:p>
      <w:pPr>
        <w:pStyle w:val="Heading1"/>
      </w:pPr>
      <w:r>
        <w:t>8. Data Classification</w:t>
      </w:r>
    </w:p>
    <w:p>
      <w:pPr>
        <w:pStyle w:val="ListBullet"/>
      </w:pPr>
      <w:r>
        <w:t>Clinical.</w:t>
      </w:r>
    </w:p>
    <w:p>
      <w:pPr>
        <w:pStyle w:val="ListBullet"/>
      </w:pPr>
      <w:r>
        <w:t>Demographic.</w:t>
      </w:r>
    </w:p>
    <w:p>
      <w:pPr>
        <w:pStyle w:val="ListBullet"/>
      </w:pPr>
      <w:r>
        <w:t>Financial.</w:t>
      </w:r>
    </w:p>
    <w:p>
      <w:pPr>
        <w:pStyle w:val="ListBullet"/>
      </w:pPr>
      <w:r>
        <w:t>Operational.</w:t>
      </w:r>
    </w:p>
    <w:p>
      <w:pPr>
        <w:pStyle w:val="ListBullet"/>
      </w:pPr>
      <w:r>
        <w:t>Sensitive/restricted.</w:t>
      </w:r>
    </w:p>
    <w:p>
      <w:pPr>
        <w:pStyle w:val="ListBullet"/>
      </w:pPr>
      <w:r>
        <w:t>Document/media.</w:t>
      </w:r>
    </w:p>
    <w:p>
      <w:pPr>
        <w:pStyle w:val="ListBullet"/>
      </w:pPr>
      <w:r>
        <w:t>Derived/reporting.</w:t>
      </w:r>
    </w:p>
    <w:p>
      <w:pPr>
        <w:pStyle w:val="ListBullet"/>
      </w:pPr>
      <w:r>
        <w:t>Temporary/staging.</w:t>
      </w:r>
    </w:p>
    <w:p>
      <w:pPr>
        <w:pStyle w:val="ListBullet"/>
      </w:pPr>
      <w:r>
        <w:t>Classification drives access, validation and retention.</w:t>
      </w:r>
    </w:p>
    <w:p>
      <w:pPr>
        <w:pStyle w:val="Heading1"/>
      </w:pPr>
      <w:r>
        <w:t>9. Data Profiling</w:t>
      </w:r>
    </w:p>
    <w:p>
      <w:pPr>
        <w:pStyle w:val="ListBullet"/>
      </w:pPr>
      <w:r>
        <w:t>Row counts.</w:t>
      </w:r>
    </w:p>
    <w:p>
      <w:pPr>
        <w:pStyle w:val="ListBullet"/>
      </w:pPr>
      <w:r>
        <w:t>Null rates.</w:t>
      </w:r>
    </w:p>
    <w:p>
      <w:pPr>
        <w:pStyle w:val="ListBullet"/>
      </w:pPr>
      <w:r>
        <w:t>Distinct values.</w:t>
      </w:r>
    </w:p>
    <w:p>
      <w:pPr>
        <w:pStyle w:val="ListBullet"/>
      </w:pPr>
      <w:r>
        <w:t>Duplicate identifiers.</w:t>
      </w:r>
    </w:p>
    <w:p>
      <w:pPr>
        <w:pStyle w:val="ListBullet"/>
      </w:pPr>
      <w:r>
        <w:t>Invalid dates.</w:t>
      </w:r>
    </w:p>
    <w:p>
      <w:pPr>
        <w:pStyle w:val="ListBullet"/>
      </w:pPr>
      <w:r>
        <w:t>Outliers.</w:t>
      </w:r>
    </w:p>
    <w:p>
      <w:pPr>
        <w:pStyle w:val="ListBullet"/>
      </w:pPr>
      <w:r>
        <w:t>Code distributions.</w:t>
      </w:r>
    </w:p>
    <w:p>
      <w:pPr>
        <w:pStyle w:val="ListBullet"/>
      </w:pPr>
      <w:r>
        <w:t>Orphan references.</w:t>
      </w:r>
    </w:p>
    <w:p>
      <w:pPr>
        <w:pStyle w:val="ListBullet"/>
      </w:pPr>
      <w:r>
        <w:t>Encoding.</w:t>
      </w:r>
    </w:p>
    <w:p>
      <w:pPr>
        <w:pStyle w:val="ListBullet"/>
      </w:pPr>
      <w:r>
        <w:t>Free-text patterns.</w:t>
      </w:r>
    </w:p>
    <w:p>
      <w:pPr>
        <w:pStyle w:val="ListBullet"/>
      </w:pPr>
      <w:r>
        <w:t>Attachment availability.</w:t>
      </w:r>
    </w:p>
    <w:p>
      <w:pPr>
        <w:pStyle w:val="ListBullet"/>
      </w:pPr>
      <w:r>
        <w:t>Historical gaps.</w:t>
      </w:r>
    </w:p>
    <w:p>
      <w:pPr>
        <w:pStyle w:val="Heading1"/>
      </w:pPr>
      <w:r>
        <w:t>10. Data Quality Baseline</w:t>
      </w:r>
    </w:p>
    <w:p>
      <w:pPr>
        <w:pStyle w:val="ListBullet"/>
      </w:pPr>
      <w:r>
        <w:t>Measure source defects before transformation.</w:t>
      </w:r>
    </w:p>
    <w:p>
      <w:pPr>
        <w:pStyle w:val="ListBullet"/>
      </w:pPr>
      <w:r>
        <w:t>Separate pre-existing source quality issues from migration defects.</w:t>
      </w:r>
    </w:p>
    <w:p>
      <w:pPr>
        <w:pStyle w:val="ListBullet"/>
      </w:pPr>
      <w:r>
        <w:t>Document known incompleteness.</w:t>
      </w:r>
    </w:p>
    <w:p>
      <w:pPr>
        <w:pStyle w:val="ListBullet"/>
      </w:pPr>
      <w:r>
        <w:t>Do not make migration team responsible for rewriting historical truth.</w:t>
      </w:r>
    </w:p>
    <w:p>
      <w:pPr>
        <w:pStyle w:val="Heading1"/>
      </w:pPr>
      <w:r>
        <w:t>11. Migration Data Dictionary</w:t>
      </w:r>
    </w:p>
    <w:p>
      <w:pPr>
        <w:pStyle w:val="ListBullet"/>
      </w:pPr>
      <w:r>
        <w:t>Source table/field.</w:t>
      </w:r>
    </w:p>
    <w:p>
      <w:pPr>
        <w:pStyle w:val="ListBullet"/>
      </w:pPr>
      <w:r>
        <w:t>Meaning.</w:t>
      </w:r>
    </w:p>
    <w:p>
      <w:pPr>
        <w:pStyle w:val="ListBullet"/>
      </w:pPr>
      <w:r>
        <w:t>Type.</w:t>
      </w:r>
    </w:p>
    <w:p>
      <w:pPr>
        <w:pStyle w:val="ListBullet"/>
      </w:pPr>
      <w:r>
        <w:t>Nullability.</w:t>
      </w:r>
    </w:p>
    <w:p>
      <w:pPr>
        <w:pStyle w:val="ListBullet"/>
      </w:pPr>
      <w:r>
        <w:t>Code set.</w:t>
      </w:r>
    </w:p>
    <w:p>
      <w:pPr>
        <w:pStyle w:val="ListBullet"/>
      </w:pPr>
      <w:r>
        <w:t>Target entity/field.</w:t>
      </w:r>
    </w:p>
    <w:p>
      <w:pPr>
        <w:pStyle w:val="ListBullet"/>
      </w:pPr>
      <w:r>
        <w:t>Transformation.</w:t>
      </w:r>
    </w:p>
    <w:p>
      <w:pPr>
        <w:pStyle w:val="ListBullet"/>
      </w:pPr>
      <w:r>
        <w:t>Default policy.</w:t>
      </w:r>
    </w:p>
    <w:p>
      <w:pPr>
        <w:pStyle w:val="ListBullet"/>
      </w:pPr>
      <w:r>
        <w:t>Validation.</w:t>
      </w:r>
    </w:p>
    <w:p>
      <w:pPr>
        <w:pStyle w:val="ListBullet"/>
      </w:pPr>
      <w:r>
        <w:t>Owner.</w:t>
      </w:r>
    </w:p>
    <w:p>
      <w:pPr>
        <w:pStyle w:val="ListBullet"/>
      </w:pPr>
      <w:r>
        <w:t>Example.</w:t>
      </w:r>
    </w:p>
    <w:p>
      <w:pPr>
        <w:pStyle w:val="Heading1"/>
      </w:pPr>
      <w:r>
        <w:t>12. Mapping Governance</w:t>
      </w:r>
    </w:p>
    <w:p>
      <w:pPr>
        <w:pStyle w:val="ListBullet"/>
      </w:pPr>
      <w:r>
        <w:t>Every mapped field has rationale.</w:t>
      </w:r>
    </w:p>
    <w:p>
      <w:pPr>
        <w:pStyle w:val="ListBullet"/>
      </w:pPr>
      <w:r>
        <w:t>Clinical mappings reviewed by clinical informatics/domain SME.</w:t>
      </w:r>
    </w:p>
    <w:p>
      <w:pPr>
        <w:pStyle w:val="ListBullet"/>
      </w:pPr>
      <w:r>
        <w:t>Financial mappings reviewed by finance.</w:t>
      </w:r>
    </w:p>
    <w:p>
      <w:pPr>
        <w:pStyle w:val="ListBullet"/>
      </w:pPr>
      <w:r>
        <w:t>Terminology mappings versioned.</w:t>
      </w:r>
    </w:p>
    <w:p>
      <w:pPr>
        <w:pStyle w:val="ListBullet"/>
      </w:pPr>
      <w:r>
        <w:t>Unmapped values retained/flagged rather than silently discarded.</w:t>
      </w:r>
    </w:p>
    <w:p>
      <w:pPr>
        <w:pStyle w:val="Heading1"/>
      </w:pPr>
      <w:r>
        <w:t>13. Patient Identity Strategy</w:t>
      </w:r>
    </w:p>
    <w:p>
      <w:pPr>
        <w:pStyle w:val="ListBullet"/>
      </w:pPr>
      <w:r>
        <w:t>Preserve legacy identifiers as namespaced identifiers.</w:t>
      </w:r>
    </w:p>
    <w:p>
      <w:pPr>
        <w:pStyle w:val="ListBullet"/>
      </w:pPr>
      <w:r>
        <w:t>Pulse internal ID remains opaque.</w:t>
      </w:r>
    </w:p>
    <w:p>
      <w:pPr>
        <w:pStyle w:val="ListBullet"/>
      </w:pPr>
      <w:r>
        <w:t>Do not force multiple facility MRNs into one global MRN.</w:t>
      </w:r>
    </w:p>
    <w:p>
      <w:pPr>
        <w:pStyle w:val="ListBullet"/>
      </w:pPr>
      <w:r>
        <w:t>Maintain source facility/system context.</w:t>
      </w:r>
    </w:p>
    <w:p>
      <w:pPr>
        <w:pStyle w:val="ListBullet"/>
      </w:pPr>
      <w:r>
        <w:t>Patient matching and record merging are separate processes.</w:t>
      </w:r>
    </w:p>
    <w:p>
      <w:pPr>
        <w:pStyle w:val="Heading1"/>
      </w:pPr>
      <w:r>
        <w:t>14. Patient Matching</w:t>
      </w:r>
    </w:p>
    <w:p>
      <w:pPr>
        <w:pStyle w:val="ListBullet"/>
      </w:pPr>
      <w:r>
        <w:t>Deterministic exact identifiers first.</w:t>
      </w:r>
    </w:p>
    <w:p>
      <w:pPr>
        <w:pStyle w:val="ListBullet"/>
      </w:pPr>
      <w:r>
        <w:t>Use demographics only under governed matching rules.</w:t>
      </w:r>
    </w:p>
    <w:p>
      <w:pPr>
        <w:pStyle w:val="ListBullet"/>
      </w:pPr>
      <w:r>
        <w:t>Similarity scoring may propose candidates, not automatically merge high-risk ambiguity.</w:t>
      </w:r>
    </w:p>
    <w:p>
      <w:pPr>
        <w:pStyle w:val="ListBullet"/>
      </w:pPr>
      <w:r>
        <w:t>Manual review queue for uncertain matches.</w:t>
      </w:r>
    </w:p>
    <w:p>
      <w:pPr>
        <w:pStyle w:val="ListBullet"/>
      </w:pPr>
      <w:r>
        <w:t>Record match evidence.</w:t>
      </w:r>
    </w:p>
    <w:p>
      <w:pPr>
        <w:pStyle w:val="Heading1"/>
      </w:pPr>
      <w:r>
        <w:t>15. Duplicate Patient Handling</w:t>
      </w:r>
    </w:p>
    <w:p>
      <w:pPr>
        <w:pStyle w:val="ListBullet"/>
      </w:pPr>
      <w:r>
        <w:t>Identify exact duplicates/candidates.</w:t>
      </w:r>
    </w:p>
    <w:p>
      <w:pPr>
        <w:pStyle w:val="ListBullet"/>
      </w:pPr>
      <w:r>
        <w:t>Do not collapse merely because names/DOB match.</w:t>
      </w:r>
    </w:p>
    <w:p>
      <w:pPr>
        <w:pStyle w:val="ListBullet"/>
      </w:pPr>
      <w:r>
        <w:t>Preserve source records until merge decision.</w:t>
      </w:r>
    </w:p>
    <w:p>
      <w:pPr>
        <w:pStyle w:val="ListBullet"/>
      </w:pPr>
      <w:r>
        <w:t>Merge history auditable.</w:t>
      </w:r>
    </w:p>
    <w:p>
      <w:pPr>
        <w:pStyle w:val="ListBullet"/>
      </w:pPr>
      <w:r>
        <w:t>Wrong merge rollback/correction process.</w:t>
      </w:r>
    </w:p>
    <w:p>
      <w:pPr>
        <w:pStyle w:val="Heading1"/>
      </w:pPr>
      <w:r>
        <w:t>16. Provisional/Unknown Patients</w:t>
      </w:r>
    </w:p>
    <w:p>
      <w:pPr>
        <w:pStyle w:val="ListBullet"/>
      </w:pPr>
      <w:r>
        <w:t>Preserve provisional status.</w:t>
      </w:r>
    </w:p>
    <w:p>
      <w:pPr>
        <w:pStyle w:val="ListBullet"/>
      </w:pPr>
      <w:r>
        <w:t>Do not invent DOB/name.</w:t>
      </w:r>
    </w:p>
    <w:p>
      <w:pPr>
        <w:pStyle w:val="ListBullet"/>
      </w:pPr>
      <w:r>
        <w:t>Maintain encounter linkage.</w:t>
      </w:r>
    </w:p>
    <w:p>
      <w:pPr>
        <w:pStyle w:val="ListBullet"/>
      </w:pPr>
      <w:r>
        <w:t>Support later reconciliation.</w:t>
      </w:r>
    </w:p>
    <w:p>
      <w:pPr>
        <w:pStyle w:val="ListBullet"/>
      </w:pPr>
      <w:r>
        <w:t>Clearly label migrated provisional identity.</w:t>
      </w:r>
    </w:p>
    <w:p>
      <w:pPr>
        <w:pStyle w:val="Heading1"/>
      </w:pPr>
      <w:r>
        <w:t>17. Demographics</w:t>
      </w:r>
    </w:p>
    <w:p>
      <w:pPr>
        <w:pStyle w:val="ListBullet"/>
      </w:pPr>
      <w:r>
        <w:t>Names preserved with source form.</w:t>
      </w:r>
    </w:p>
    <w:p>
      <w:pPr>
        <w:pStyle w:val="ListBullet"/>
      </w:pPr>
      <w:r>
        <w:t>DOB precision retained; unknown day/month not invented.</w:t>
      </w:r>
    </w:p>
    <w:p>
      <w:pPr>
        <w:pStyle w:val="ListBullet"/>
      </w:pPr>
      <w:r>
        <w:t>Sex/gender fields mapped according to source semantics, not assumed equivalent.</w:t>
      </w:r>
    </w:p>
    <w:p>
      <w:pPr>
        <w:pStyle w:val="ListBullet"/>
      </w:pPr>
      <w:r>
        <w:t>Addresses/phones retain provenance.</w:t>
      </w:r>
    </w:p>
    <w:p>
      <w:pPr>
        <w:pStyle w:val="ListBullet"/>
      </w:pPr>
      <w:r>
        <w:t>Deceased status/date mapped only if source supports it.</w:t>
      </w:r>
    </w:p>
    <w:p>
      <w:pPr>
        <w:pStyle w:val="Heading1"/>
      </w:pPr>
      <w:r>
        <w:t>18. Encounter Migration</w:t>
      </w:r>
    </w:p>
    <w:p>
      <w:pPr>
        <w:pStyle w:val="ListBullet"/>
      </w:pPr>
      <w:r>
        <w:t>Encounter type.</w:t>
      </w:r>
    </w:p>
    <w:p>
      <w:pPr>
        <w:pStyle w:val="ListBullet"/>
      </w:pPr>
      <w:r>
        <w:t>Facility/location.</w:t>
      </w:r>
    </w:p>
    <w:p>
      <w:pPr>
        <w:pStyle w:val="ListBullet"/>
      </w:pPr>
      <w:r>
        <w:t>Start/end.</w:t>
      </w:r>
    </w:p>
    <w:p>
      <w:pPr>
        <w:pStyle w:val="ListBullet"/>
      </w:pPr>
      <w:r>
        <w:t>Responsible service/provider.</w:t>
      </w:r>
    </w:p>
    <w:p>
      <w:pPr>
        <w:pStyle w:val="ListBullet"/>
      </w:pPr>
      <w:r>
        <w:t>Admission/discharge.</w:t>
      </w:r>
    </w:p>
    <w:p>
      <w:pPr>
        <w:pStyle w:val="ListBullet"/>
      </w:pPr>
      <w:r>
        <w:t>Source encounter number.</w:t>
      </w:r>
    </w:p>
    <w:p>
      <w:pPr>
        <w:pStyle w:val="ListBullet"/>
      </w:pPr>
      <w:r>
        <w:t>Status.</w:t>
      </w:r>
    </w:p>
    <w:p>
      <w:pPr>
        <w:pStyle w:val="ListBullet"/>
      </w:pPr>
      <w:r>
        <w:t>Do not infer missing encounter boundaries from note dates without approved rule.</w:t>
      </w:r>
    </w:p>
    <w:p>
      <w:pPr>
        <w:pStyle w:val="Heading1"/>
      </w:pPr>
      <w:r>
        <w:t>19. Appointment Migration</w:t>
      </w:r>
    </w:p>
    <w:p>
      <w:pPr>
        <w:pStyle w:val="ListBullet"/>
      </w:pPr>
      <w:r>
        <w:t>Future appointments prioritized.</w:t>
      </w:r>
    </w:p>
    <w:p>
      <w:pPr>
        <w:pStyle w:val="ListBullet"/>
      </w:pPr>
      <w:r>
        <w:t>Historical appointments optional by scope.</w:t>
      </w:r>
    </w:p>
    <w:p>
      <w:pPr>
        <w:pStyle w:val="ListBullet"/>
      </w:pPr>
      <w:r>
        <w:t>Appointment status preserved.</w:t>
      </w:r>
    </w:p>
    <w:p>
      <w:pPr>
        <w:pStyle w:val="ListBullet"/>
      </w:pPr>
      <w:r>
        <w:t>Appointment does not become encounter.</w:t>
      </w:r>
    </w:p>
    <w:p>
      <w:pPr>
        <w:pStyle w:val="ListBullet"/>
      </w:pPr>
      <w:r>
        <w:t>No-show/cancel reasons mapped where available.</w:t>
      </w:r>
    </w:p>
    <w:p>
      <w:pPr>
        <w:pStyle w:val="Heading1"/>
      </w:pPr>
      <w:r>
        <w:t>20. Problem/Diagnosis Migration</w:t>
      </w:r>
    </w:p>
    <w:p>
      <w:pPr>
        <w:pStyle w:val="ListBullet"/>
      </w:pPr>
      <w:r>
        <w:t>Code/system/display.</w:t>
      </w:r>
    </w:p>
    <w:p>
      <w:pPr>
        <w:pStyle w:val="ListBullet"/>
      </w:pPr>
      <w:r>
        <w:t>Clinical status.</w:t>
      </w:r>
    </w:p>
    <w:p>
      <w:pPr>
        <w:pStyle w:val="ListBullet"/>
      </w:pPr>
      <w:r>
        <w:t>Verification status if available.</w:t>
      </w:r>
    </w:p>
    <w:p>
      <w:pPr>
        <w:pStyle w:val="ListBullet"/>
      </w:pPr>
      <w:r>
        <w:t>Onset/recorded dates.</w:t>
      </w:r>
    </w:p>
    <w:p>
      <w:pPr>
        <w:pStyle w:val="ListBullet"/>
      </w:pPr>
      <w:r>
        <w:t>Author/source.</w:t>
      </w:r>
    </w:p>
    <w:p>
      <w:pPr>
        <w:pStyle w:val="ListBullet"/>
      </w:pPr>
      <w:r>
        <w:t>Free-text diagnosis preserved when standard code unavailable.</w:t>
      </w:r>
    </w:p>
    <w:p>
      <w:pPr>
        <w:pStyle w:val="ListBullet"/>
      </w:pPr>
      <w:r>
        <w:t>Do not upgrade suspected diagnosis to confirmed.</w:t>
      </w:r>
    </w:p>
    <w:p>
      <w:pPr>
        <w:pStyle w:val="Heading1"/>
      </w:pPr>
      <w:r>
        <w:t>21. Allergy Migration</w:t>
      </w:r>
    </w:p>
    <w:p>
      <w:pPr>
        <w:pStyle w:val="ListBullet"/>
      </w:pPr>
      <w:r>
        <w:t>Substance.</w:t>
      </w:r>
    </w:p>
    <w:p>
      <w:pPr>
        <w:pStyle w:val="ListBullet"/>
      </w:pPr>
      <w:r>
        <w:t>Reaction.</w:t>
      </w:r>
    </w:p>
    <w:p>
      <w:pPr>
        <w:pStyle w:val="ListBullet"/>
      </w:pPr>
      <w:r>
        <w:t>Severity/criticality if source supports.</w:t>
      </w:r>
    </w:p>
    <w:p>
      <w:pPr>
        <w:pStyle w:val="ListBullet"/>
      </w:pPr>
      <w:r>
        <w:t>Verification/source.</w:t>
      </w:r>
    </w:p>
    <w:p>
      <w:pPr>
        <w:pStyle w:val="ListBullet"/>
      </w:pPr>
      <w:r>
        <w:t>Unknown vs no-known-allergy distinct.</w:t>
      </w:r>
    </w:p>
    <w:p>
      <w:pPr>
        <w:pStyle w:val="ListBullet"/>
      </w:pPr>
      <w:r>
        <w:t>Free text preserved.</w:t>
      </w:r>
    </w:p>
    <w:p>
      <w:pPr>
        <w:pStyle w:val="ListBullet"/>
      </w:pPr>
      <w:r>
        <w:t>No assumption that blank allergy field means NKDA.</w:t>
      </w:r>
    </w:p>
    <w:p>
      <w:pPr>
        <w:pStyle w:val="Heading1"/>
      </w:pPr>
      <w:r>
        <w:t>22. Clinical Notes</w:t>
      </w:r>
    </w:p>
    <w:p>
      <w:pPr>
        <w:pStyle w:val="ListBullet"/>
      </w:pPr>
      <w:r>
        <w:t>Author.</w:t>
      </w:r>
    </w:p>
    <w:p>
      <w:pPr>
        <w:pStyle w:val="ListBullet"/>
      </w:pPr>
      <w:r>
        <w:t>Authored/signed time.</w:t>
      </w:r>
    </w:p>
    <w:p>
      <w:pPr>
        <w:pStyle w:val="ListBullet"/>
      </w:pPr>
      <w:r>
        <w:t>Encounter.</w:t>
      </w:r>
    </w:p>
    <w:p>
      <w:pPr>
        <w:pStyle w:val="ListBullet"/>
      </w:pPr>
      <w:r>
        <w:t>Note type.</w:t>
      </w:r>
    </w:p>
    <w:p>
      <w:pPr>
        <w:pStyle w:val="ListBullet"/>
      </w:pPr>
      <w:r>
        <w:t>Status.</w:t>
      </w:r>
    </w:p>
    <w:p>
      <w:pPr>
        <w:pStyle w:val="ListBullet"/>
      </w:pPr>
      <w:r>
        <w:t>Text.</w:t>
      </w:r>
    </w:p>
    <w:p>
      <w:pPr>
        <w:pStyle w:val="ListBullet"/>
      </w:pPr>
      <w:r>
        <w:t>Addenda/corrections.</w:t>
      </w:r>
    </w:p>
    <w:p>
      <w:pPr>
        <w:pStyle w:val="ListBullet"/>
      </w:pPr>
      <w:r>
        <w:t>Source document ID.</w:t>
      </w:r>
    </w:p>
    <w:p>
      <w:pPr>
        <w:pStyle w:val="ListBullet"/>
      </w:pPr>
      <w:r>
        <w:t>Signed legacy note imported as historical immutable content, not re-signed by migration account.</w:t>
      </w:r>
    </w:p>
    <w:p>
      <w:pPr>
        <w:pStyle w:val="Heading1"/>
      </w:pPr>
      <w:r>
        <w:t>23. Vitals/Observations</w:t>
      </w:r>
    </w:p>
    <w:p>
      <w:pPr>
        <w:pStyle w:val="ListBullet"/>
      </w:pPr>
      <w:r>
        <w:t>Code.</w:t>
      </w:r>
    </w:p>
    <w:p>
      <w:pPr>
        <w:pStyle w:val="ListBullet"/>
      </w:pPr>
      <w:r>
        <w:t>Value.</w:t>
      </w:r>
    </w:p>
    <w:p>
      <w:pPr>
        <w:pStyle w:val="ListBullet"/>
      </w:pPr>
      <w:r>
        <w:t>Unit.</w:t>
      </w:r>
    </w:p>
    <w:p>
      <w:pPr>
        <w:pStyle w:val="ListBullet"/>
      </w:pPr>
      <w:r>
        <w:t>Effective time.</w:t>
      </w:r>
    </w:p>
    <w:p>
      <w:pPr>
        <w:pStyle w:val="ListBullet"/>
      </w:pPr>
      <w:r>
        <w:t>Method/source.</w:t>
      </w:r>
    </w:p>
    <w:p>
      <w:pPr>
        <w:pStyle w:val="ListBullet"/>
      </w:pPr>
      <w:r>
        <w:t>Reference/interpretation if source.</w:t>
      </w:r>
    </w:p>
    <w:p>
      <w:pPr>
        <w:pStyle w:val="ListBullet"/>
      </w:pPr>
      <w:r>
        <w:t>Preserve original units; conversions require explicit provenance.</w:t>
      </w:r>
    </w:p>
    <w:p>
      <w:pPr>
        <w:pStyle w:val="ListBullet"/>
      </w:pPr>
      <w:r>
        <w:t>Impossible values flagged, not silently corrected.</w:t>
      </w:r>
    </w:p>
    <w:p>
      <w:pPr>
        <w:pStyle w:val="Heading1"/>
      </w:pPr>
      <w:r>
        <w:t>24. Laboratory Migration</w:t>
      </w:r>
    </w:p>
    <w:p>
      <w:pPr>
        <w:pStyle w:val="ListBullet"/>
      </w:pPr>
      <w:r>
        <w:t>Orders/specimens/results/reports.</w:t>
      </w:r>
    </w:p>
    <w:p>
      <w:pPr>
        <w:pStyle w:val="ListBullet"/>
      </w:pPr>
      <w:r>
        <w:t>LOINC mapping where governed.</w:t>
      </w:r>
    </w:p>
    <w:p>
      <w:pPr>
        <w:pStyle w:val="ListBullet"/>
      </w:pPr>
      <w:r>
        <w:t>Original local code retained.</w:t>
      </w:r>
    </w:p>
    <w:p>
      <w:pPr>
        <w:pStyle w:val="ListBullet"/>
      </w:pPr>
      <w:r>
        <w:t>Units/reference intervals.</w:t>
      </w:r>
    </w:p>
    <w:p>
      <w:pPr>
        <w:pStyle w:val="ListBullet"/>
      </w:pPr>
      <w:r>
        <w:t>Preliminary/final/corrected state.</w:t>
      </w:r>
    </w:p>
    <w:p>
      <w:pPr>
        <w:pStyle w:val="ListBullet"/>
      </w:pPr>
      <w:r>
        <w:t>Critical communication history if available.</w:t>
      </w:r>
    </w:p>
    <w:p>
      <w:pPr>
        <w:pStyle w:val="ListBullet"/>
      </w:pPr>
      <w:r>
        <w:t>Analyzer/source provenance.</w:t>
      </w:r>
    </w:p>
    <w:p>
      <w:pPr>
        <w:pStyle w:val="Heading1"/>
      </w:pPr>
      <w:r>
        <w:t>25. Laboratory Historical Boundary</w:t>
      </w:r>
    </w:p>
    <w:p>
      <w:pPr>
        <w:pStyle w:val="ListBullet"/>
      </w:pPr>
      <w:r>
        <w:t>Decide structured depth by source quality.</w:t>
      </w:r>
    </w:p>
    <w:p>
      <w:pPr>
        <w:pStyle w:val="ListBullet"/>
      </w:pPr>
      <w:r>
        <w:t>If granular specimen/order lineage cannot be reconstructed safely, migrate final report/document plus supported structured results rather than fabricate lineage.</w:t>
      </w:r>
    </w:p>
    <w:p>
      <w:pPr>
        <w:pStyle w:val="Heading1"/>
      </w:pPr>
      <w:r>
        <w:t>26. Imaging Migration</w:t>
      </w:r>
    </w:p>
    <w:p>
      <w:pPr>
        <w:pStyle w:val="ListBullet"/>
      </w:pPr>
      <w:r>
        <w:t>Order/report metadata.</w:t>
      </w:r>
    </w:p>
    <w:p>
      <w:pPr>
        <w:pStyle w:val="ListBullet"/>
      </w:pPr>
      <w:r>
        <w:t>Study identifiers/accession.</w:t>
      </w:r>
    </w:p>
    <w:p>
      <w:pPr>
        <w:pStyle w:val="ListBullet"/>
      </w:pPr>
      <w:r>
        <w:t>DICOM StudyInstanceUID where available.</w:t>
      </w:r>
    </w:p>
    <w:p>
      <w:pPr>
        <w:pStyle w:val="ListBullet"/>
      </w:pPr>
      <w:r>
        <w:t>PACS/VNA remains pixel authority.</w:t>
      </w:r>
    </w:p>
    <w:p>
      <w:pPr>
        <w:pStyle w:val="ListBullet"/>
      </w:pPr>
      <w:r>
        <w:t>Migrate references/links rather than bulk pixels unless project explicitly includes PACS migration.</w:t>
      </w:r>
    </w:p>
    <w:p>
      <w:pPr>
        <w:pStyle w:val="ListBullet"/>
      </w:pPr>
      <w:r>
        <w:t>Report status/amendments preserved.</w:t>
      </w:r>
    </w:p>
    <w:p>
      <w:pPr>
        <w:pStyle w:val="Heading1"/>
      </w:pPr>
      <w:r>
        <w:t>27. PACS Migration Boundary</w:t>
      </w:r>
    </w:p>
    <w:p>
      <w:pPr>
        <w:pStyle w:val="ListBullet"/>
      </w:pPr>
      <w:r>
        <w:t>If PACS replacement is in scope, create a separate DICOM migration workstream: study inventory, patient reconciliation, UID preservation policy, transfer validation, pixel counts, checksum/sample image validation and radiology sign-off.</w:t>
      </w:r>
    </w:p>
    <w:p>
      <w:pPr>
        <w:pStyle w:val="Heading1"/>
      </w:pPr>
      <w:r>
        <w:t>28. Medication History</w:t>
      </w:r>
    </w:p>
    <w:p>
      <w:pPr>
        <w:pStyle w:val="ListBullet"/>
      </w:pPr>
      <w:r>
        <w:t>Medication name/product.</w:t>
      </w:r>
    </w:p>
    <w:p>
      <w:pPr>
        <w:pStyle w:val="ListBullet"/>
      </w:pPr>
      <w:r>
        <w:t>Dose/route/frequency.</w:t>
      </w:r>
    </w:p>
    <w:p>
      <w:pPr>
        <w:pStyle w:val="ListBullet"/>
      </w:pPr>
      <w:r>
        <w:t>Start/end.</w:t>
      </w:r>
    </w:p>
    <w:p>
      <w:pPr>
        <w:pStyle w:val="ListBullet"/>
      </w:pPr>
      <w:r>
        <w:t>Status.</w:t>
      </w:r>
    </w:p>
    <w:p>
      <w:pPr>
        <w:pStyle w:val="ListBullet"/>
      </w:pPr>
      <w:r>
        <w:t>Prescriber/source.</w:t>
      </w:r>
    </w:p>
    <w:p>
      <w:pPr>
        <w:pStyle w:val="ListBullet"/>
      </w:pPr>
      <w:r>
        <w:t>Free-text legacy medication preserved if structured mapping uncertain.</w:t>
      </w:r>
    </w:p>
    <w:p>
      <w:pPr>
        <w:pStyle w:val="ListBullet"/>
      </w:pPr>
      <w:r>
        <w:t>Historical medication is not automatically converted into an active inpatient order.</w:t>
      </w:r>
    </w:p>
    <w:p>
      <w:pPr>
        <w:pStyle w:val="Heading1"/>
      </w:pPr>
      <w:r>
        <w:t>29. Active Medication Reconciliation</w:t>
      </w:r>
    </w:p>
    <w:p>
      <w:pPr>
        <w:pStyle w:val="ListBullet"/>
      </w:pPr>
      <w:r>
        <w:t>Migration can populate medication history/current reported medications.</w:t>
      </w:r>
    </w:p>
    <w:p>
      <w:pPr>
        <w:pStyle w:val="ListBullet"/>
      </w:pPr>
      <w:r>
        <w:t>Active clinical orders at cutover require explicit operational reconciliation.</w:t>
      </w:r>
    </w:p>
    <w:p>
      <w:pPr>
        <w:pStyle w:val="ListBullet"/>
      </w:pPr>
      <w:r>
        <w:t>No migration script silently creates an executable administration order from ambiguous history.</w:t>
      </w:r>
    </w:p>
    <w:p>
      <w:pPr>
        <w:pStyle w:val="Heading1"/>
      </w:pPr>
      <w:r>
        <w:t>30. Pharmacy Dispense History</w:t>
      </w:r>
    </w:p>
    <w:p>
      <w:pPr>
        <w:pStyle w:val="ListBullet"/>
      </w:pPr>
      <w:r>
        <w:t>Prescription/order link where supported.</w:t>
      </w:r>
    </w:p>
    <w:p>
      <w:pPr>
        <w:pStyle w:val="ListBullet"/>
      </w:pPr>
      <w:r>
        <w:t>Dispense date.</w:t>
      </w:r>
    </w:p>
    <w:p>
      <w:pPr>
        <w:pStyle w:val="ListBullet"/>
      </w:pPr>
      <w:r>
        <w:t>Quantity.</w:t>
      </w:r>
    </w:p>
    <w:p>
      <w:pPr>
        <w:pStyle w:val="ListBullet"/>
      </w:pPr>
      <w:r>
        <w:t>Batch if available.</w:t>
      </w:r>
    </w:p>
    <w:p>
      <w:pPr>
        <w:pStyle w:val="ListBullet"/>
      </w:pPr>
      <w:r>
        <w:t>Pharmacy location.</w:t>
      </w:r>
    </w:p>
    <w:p>
      <w:pPr>
        <w:pStyle w:val="ListBullet"/>
      </w:pPr>
      <w:r>
        <w:t>Source transaction.</w:t>
      </w:r>
    </w:p>
    <w:p>
      <w:pPr>
        <w:pStyle w:val="ListBullet"/>
      </w:pPr>
      <w:r>
        <w:t>Historical dispense does not imply administration.</w:t>
      </w:r>
    </w:p>
    <w:p>
      <w:pPr>
        <w:pStyle w:val="Heading1"/>
      </w:pPr>
      <w:r>
        <w:t>31. eMAR History</w:t>
      </w:r>
    </w:p>
    <w:p>
      <w:pPr>
        <w:pStyle w:val="ListBullet"/>
      </w:pPr>
      <w:r>
        <w:t>Migrate administration events only when source semantics reliably distinguish administration.</w:t>
      </w:r>
    </w:p>
    <w:p>
      <w:pPr>
        <w:pStyle w:val="ListBullet"/>
      </w:pPr>
      <w:r>
        <w:t>Preserve dose/route/time/status/not-given reason.</w:t>
      </w:r>
    </w:p>
    <w:p>
      <w:pPr>
        <w:pStyle w:val="ListBullet"/>
      </w:pPr>
      <w:r>
        <w:t>Do not infer administration from issue/dispense.</w:t>
      </w:r>
    </w:p>
    <w:p>
      <w:pPr>
        <w:pStyle w:val="Heading1"/>
      </w:pPr>
      <w:r>
        <w:t>32. Referral Migration</w:t>
      </w:r>
    </w:p>
    <w:p>
      <w:pPr>
        <w:pStyle w:val="ListBullet"/>
      </w:pPr>
      <w:r>
        <w:t>Open referrals prioritized.</w:t>
      </w:r>
    </w:p>
    <w:p>
      <w:pPr>
        <w:pStyle w:val="ListBullet"/>
      </w:pPr>
      <w:r>
        <w:t>Sending/receiving facility.</w:t>
      </w:r>
    </w:p>
    <w:p>
      <w:pPr>
        <w:pStyle w:val="ListBullet"/>
      </w:pPr>
      <w:r>
        <w:t>Reason/urgency.</w:t>
      </w:r>
    </w:p>
    <w:p>
      <w:pPr>
        <w:pStyle w:val="ListBullet"/>
      </w:pPr>
      <w:r>
        <w:t>State.</w:t>
      </w:r>
    </w:p>
    <w:p>
      <w:pPr>
        <w:pStyle w:val="ListBullet"/>
      </w:pPr>
      <w:r>
        <w:t>Package/documents.</w:t>
      </w:r>
    </w:p>
    <w:p>
      <w:pPr>
        <w:pStyle w:val="ListBullet"/>
      </w:pPr>
      <w:r>
        <w:t>Messages.</w:t>
      </w:r>
    </w:p>
    <w:p>
      <w:pPr>
        <w:pStyle w:val="ListBullet"/>
      </w:pPr>
      <w:r>
        <w:t>Acceptance/arrival/care-assumption states mapped only where source supports them.</w:t>
      </w:r>
    </w:p>
    <w:p>
      <w:pPr>
        <w:pStyle w:val="ListBullet"/>
      </w:pPr>
      <w:r>
        <w:t>Historical referrals may be document-only if workflow states cannot be reconstructed.</w:t>
      </w:r>
    </w:p>
    <w:p>
      <w:pPr>
        <w:pStyle w:val="Heading1"/>
      </w:pPr>
      <w:r>
        <w:t>33. Procedure/Surgery History</w:t>
      </w:r>
    </w:p>
    <w:p>
      <w:pPr>
        <w:pStyle w:val="ListBullet"/>
      </w:pPr>
      <w:r>
        <w:t>Procedure code/text.</w:t>
      </w:r>
    </w:p>
    <w:p>
      <w:pPr>
        <w:pStyle w:val="ListBullet"/>
      </w:pPr>
      <w:r>
        <w:t>Date/time.</w:t>
      </w:r>
    </w:p>
    <w:p>
      <w:pPr>
        <w:pStyle w:val="ListBullet"/>
      </w:pPr>
      <w:r>
        <w:t>Site/laterality.</w:t>
      </w:r>
    </w:p>
    <w:p>
      <w:pPr>
        <w:pStyle w:val="ListBullet"/>
      </w:pPr>
      <w:r>
        <w:t>Operator/team.</w:t>
      </w:r>
    </w:p>
    <w:p>
      <w:pPr>
        <w:pStyle w:val="ListBullet"/>
      </w:pPr>
      <w:r>
        <w:t>Outcome.</w:t>
      </w:r>
    </w:p>
    <w:p>
      <w:pPr>
        <w:pStyle w:val="ListBullet"/>
      </w:pPr>
      <w:r>
        <w:t>Note/document.</w:t>
      </w:r>
    </w:p>
    <w:p>
      <w:pPr>
        <w:pStyle w:val="ListBullet"/>
      </w:pPr>
      <w:r>
        <w:t>Implants if reliable.</w:t>
      </w:r>
    </w:p>
    <w:p>
      <w:pPr>
        <w:pStyle w:val="ListBullet"/>
      </w:pPr>
      <w:r>
        <w:t>Do not infer site/laterality from narrative without governed abstraction.</w:t>
      </w:r>
    </w:p>
    <w:p>
      <w:pPr>
        <w:pStyle w:val="Heading1"/>
      </w:pPr>
      <w:r>
        <w:t>34. Nursing History</w:t>
      </w:r>
    </w:p>
    <w:p>
      <w:pPr>
        <w:pStyle w:val="ListBullet"/>
      </w:pPr>
      <w:r>
        <w:t>Vitals/flowsheets/care plans/notes.</w:t>
      </w:r>
    </w:p>
    <w:p>
      <w:pPr>
        <w:pStyle w:val="ListBullet"/>
      </w:pPr>
      <w:r>
        <w:t>Historical task completion only if source explicit.</w:t>
      </w:r>
    </w:p>
    <w:p>
      <w:pPr>
        <w:pStyle w:val="ListBullet"/>
      </w:pPr>
      <w:r>
        <w:t>Handover data generally not converted into active tasks.</w:t>
      </w:r>
    </w:p>
    <w:p>
      <w:pPr>
        <w:pStyle w:val="ListBullet"/>
      </w:pPr>
      <w:r>
        <w:t>Active inpatient cutover requires dedicated bedside reconciliation.</w:t>
      </w:r>
    </w:p>
    <w:p>
      <w:pPr>
        <w:pStyle w:val="Heading1"/>
      </w:pPr>
      <w:r>
        <w:t>35. Documents</w:t>
      </w:r>
    </w:p>
    <w:p>
      <w:pPr>
        <w:pStyle w:val="ListBullet"/>
      </w:pPr>
      <w:r>
        <w:t>Inventory file/document references.</w:t>
      </w:r>
    </w:p>
    <w:p>
      <w:pPr>
        <w:pStyle w:val="ListBullet"/>
      </w:pPr>
      <w:r>
        <w:t>Metadata.</w:t>
      </w:r>
    </w:p>
    <w:p>
      <w:pPr>
        <w:pStyle w:val="ListBullet"/>
      </w:pPr>
      <w:r>
        <w:t>Patient/encounter association.</w:t>
      </w:r>
    </w:p>
    <w:p>
      <w:pPr>
        <w:pStyle w:val="ListBullet"/>
      </w:pPr>
      <w:r>
        <w:t>Author/date/type.</w:t>
      </w:r>
    </w:p>
    <w:p>
      <w:pPr>
        <w:pStyle w:val="ListBullet"/>
      </w:pPr>
      <w:r>
        <w:t>Hash.</w:t>
      </w:r>
    </w:p>
    <w:p>
      <w:pPr>
        <w:pStyle w:val="ListBullet"/>
      </w:pPr>
      <w:r>
        <w:t>MIME.</w:t>
      </w:r>
    </w:p>
    <w:p>
      <w:pPr>
        <w:pStyle w:val="ListBullet"/>
      </w:pPr>
      <w:r>
        <w:t>Missing file exception.</w:t>
      </w:r>
    </w:p>
    <w:p>
      <w:pPr>
        <w:pStyle w:val="ListBullet"/>
      </w:pPr>
      <w:r>
        <w:t>Virus scan before import.</w:t>
      </w:r>
    </w:p>
    <w:p>
      <w:pPr>
        <w:pStyle w:val="ListBullet"/>
      </w:pPr>
      <w:r>
        <w:t>Preserve original binary where legally/clinically required.</w:t>
      </w:r>
    </w:p>
    <w:p>
      <w:pPr>
        <w:pStyle w:val="Heading1"/>
      </w:pPr>
      <w:r>
        <w:t>36. Scanned Records</w:t>
      </w:r>
    </w:p>
    <w:p>
      <w:pPr>
        <w:pStyle w:val="ListBullet"/>
      </w:pPr>
      <w:r>
        <w:t>Treat as documents unless validated abstraction project exists.</w:t>
      </w:r>
    </w:p>
    <w:p>
      <w:pPr>
        <w:pStyle w:val="ListBullet"/>
      </w:pPr>
      <w:r>
        <w:t>OCR output must not silently become authoritative structured clinical data.</w:t>
      </w:r>
    </w:p>
    <w:p>
      <w:pPr>
        <w:pStyle w:val="ListBullet"/>
      </w:pPr>
      <w:r>
        <w:t>Index with supported metadata.</w:t>
      </w:r>
    </w:p>
    <w:p>
      <w:pPr>
        <w:pStyle w:val="ListBullet"/>
      </w:pPr>
      <w:r>
        <w:t>Maintain original scan.</w:t>
      </w:r>
    </w:p>
    <w:p>
      <w:pPr>
        <w:pStyle w:val="Heading1"/>
      </w:pPr>
      <w:r>
        <w:t>37. Anatomical Data</w:t>
      </w:r>
    </w:p>
    <w:p>
      <w:pPr>
        <w:pStyle w:val="ListBullet"/>
      </w:pPr>
      <w:r>
        <w:t>Legacy text/site descriptions can be mapped to structured body-site terminology only when meaning is unambiguous and mapping reviewed.</w:t>
      </w:r>
    </w:p>
    <w:p>
      <w:pPr>
        <w:pStyle w:val="ListBullet"/>
      </w:pPr>
      <w:r>
        <w:t>Do not manufacture geometry/3D coordinates from narrative.</w:t>
      </w:r>
    </w:p>
    <w:p>
      <w:pPr>
        <w:pStyle w:val="Heading1"/>
      </w:pPr>
      <w:r>
        <w:t>38. Immunisation</w:t>
      </w:r>
    </w:p>
    <w:p>
      <w:pPr>
        <w:pStyle w:val="ListBullet"/>
      </w:pPr>
      <w:r>
        <w:t>Vaccine/product.</w:t>
      </w:r>
    </w:p>
    <w:p>
      <w:pPr>
        <w:pStyle w:val="ListBullet"/>
      </w:pPr>
      <w:r>
        <w:t>Date.</w:t>
      </w:r>
    </w:p>
    <w:p>
      <w:pPr>
        <w:pStyle w:val="ListBullet"/>
      </w:pPr>
      <w:r>
        <w:t>Dose.</w:t>
      </w:r>
    </w:p>
    <w:p>
      <w:pPr>
        <w:pStyle w:val="ListBullet"/>
      </w:pPr>
      <w:r>
        <w:t>Route/site.</w:t>
      </w:r>
    </w:p>
    <w:p>
      <w:pPr>
        <w:pStyle w:val="ListBullet"/>
      </w:pPr>
      <w:r>
        <w:t>Lot if available.</w:t>
      </w:r>
    </w:p>
    <w:p>
      <w:pPr>
        <w:pStyle w:val="ListBullet"/>
      </w:pPr>
      <w:r>
        <w:t>Facility/provider.</w:t>
      </w:r>
    </w:p>
    <w:p>
      <w:pPr>
        <w:pStyle w:val="ListBullet"/>
      </w:pPr>
      <w:r>
        <w:t>Status.</w:t>
      </w:r>
    </w:p>
    <w:p>
      <w:pPr>
        <w:pStyle w:val="ListBullet"/>
      </w:pPr>
      <w:r>
        <w:t>Unknown historical fields remain unknown.</w:t>
      </w:r>
    </w:p>
    <w:p>
      <w:pPr>
        <w:pStyle w:val="Heading1"/>
      </w:pPr>
      <w:r>
        <w:t>39. Revenue Migration</w:t>
      </w:r>
    </w:p>
    <w:p>
      <w:pPr>
        <w:pStyle w:val="ListBullet"/>
      </w:pPr>
      <w:r>
        <w:t>Open balances.</w:t>
      </w:r>
    </w:p>
    <w:p>
      <w:pPr>
        <w:pStyle w:val="ListBullet"/>
      </w:pPr>
      <w:r>
        <w:t>Invoices.</w:t>
      </w:r>
    </w:p>
    <w:p>
      <w:pPr>
        <w:pStyle w:val="ListBullet"/>
      </w:pPr>
      <w:r>
        <w:t>Payments.</w:t>
      </w:r>
    </w:p>
    <w:p>
      <w:pPr>
        <w:pStyle w:val="ListBullet"/>
      </w:pPr>
      <w:r>
        <w:t>Credits.</w:t>
      </w:r>
    </w:p>
    <w:p>
      <w:pPr>
        <w:pStyle w:val="ListBullet"/>
      </w:pPr>
      <w:r>
        <w:t>Claims.</w:t>
      </w:r>
    </w:p>
    <w:p>
      <w:pPr>
        <w:pStyle w:val="ListBullet"/>
      </w:pPr>
      <w:r>
        <w:t>Remittances.</w:t>
      </w:r>
    </w:p>
    <w:p>
      <w:pPr>
        <w:pStyle w:val="ListBullet"/>
      </w:pPr>
      <w:r>
        <w:t>Payer/coverage.</w:t>
      </w:r>
    </w:p>
    <w:p>
      <w:pPr>
        <w:pStyle w:val="ListBullet"/>
      </w:pPr>
      <w:r>
        <w:t>Historical transactions.</w:t>
      </w:r>
    </w:p>
    <w:p>
      <w:pPr>
        <w:pStyle w:val="ListBullet"/>
      </w:pPr>
      <w:r>
        <w:t>Financial opening balance strategy must reconcile to source general ledger/subledger.</w:t>
      </w:r>
    </w:p>
    <w:p>
      <w:pPr>
        <w:pStyle w:val="Heading1"/>
      </w:pPr>
      <w:r>
        <w:t>40. Financial Cutover Boundary</w:t>
      </w:r>
    </w:p>
    <w:p>
      <w:pPr>
        <w:pStyle w:val="ListBullet"/>
      </w:pPr>
      <w:r>
        <w:t>Choose transaction-level history vs summarized opening balance by approved finance strategy.</w:t>
      </w:r>
    </w:p>
    <w:p>
      <w:pPr>
        <w:pStyle w:val="ListBullet"/>
      </w:pPr>
      <w:r>
        <w:t>Never import both full history and opening balance in a way that double-counts.</w:t>
      </w:r>
    </w:p>
    <w:p>
      <w:pPr>
        <w:pStyle w:val="ListBullet"/>
      </w:pPr>
      <w:r>
        <w:t>Posted legacy transaction remains historically attributable.</w:t>
      </w:r>
    </w:p>
    <w:p>
      <w:pPr>
        <w:pStyle w:val="Heading1"/>
      </w:pPr>
      <w:r>
        <w:t>41. Insurance/Claims</w:t>
      </w:r>
    </w:p>
    <w:p>
      <w:pPr>
        <w:pStyle w:val="ListBullet"/>
      </w:pPr>
      <w:r>
        <w:t>Coverage dates.</w:t>
      </w:r>
    </w:p>
    <w:p>
      <w:pPr>
        <w:pStyle w:val="ListBullet"/>
      </w:pPr>
      <w:r>
        <w:t>Policy/member identifiers.</w:t>
      </w:r>
    </w:p>
    <w:p>
      <w:pPr>
        <w:pStyle w:val="ListBullet"/>
      </w:pPr>
      <w:r>
        <w:t>Preauthorizations.</w:t>
      </w:r>
    </w:p>
    <w:p>
      <w:pPr>
        <w:pStyle w:val="ListBullet"/>
      </w:pPr>
      <w:r>
        <w:t>Open claims.</w:t>
      </w:r>
    </w:p>
    <w:p>
      <w:pPr>
        <w:pStyle w:val="ListBullet"/>
      </w:pPr>
      <w:r>
        <w:t>Denials/appeals.</w:t>
      </w:r>
    </w:p>
    <w:p>
      <w:pPr>
        <w:pStyle w:val="ListBullet"/>
      </w:pPr>
      <w:r>
        <w:t>Remittance.</w:t>
      </w:r>
    </w:p>
    <w:p>
      <w:pPr>
        <w:pStyle w:val="ListBullet"/>
      </w:pPr>
      <w:r>
        <w:t>Payer code mapping.</w:t>
      </w:r>
    </w:p>
    <w:p>
      <w:pPr>
        <w:pStyle w:val="ListBullet"/>
      </w:pPr>
      <w:r>
        <w:t>Do not invent eligibility from historical payment.</w:t>
      </w:r>
    </w:p>
    <w:p>
      <w:pPr>
        <w:pStyle w:val="Heading1"/>
      </w:pPr>
      <w:r>
        <w:t>42. Inventory Migration</w:t>
      </w:r>
    </w:p>
    <w:p>
      <w:pPr>
        <w:pStyle w:val="ListBullet"/>
      </w:pPr>
      <w:r>
        <w:t>Item master.</w:t>
      </w:r>
    </w:p>
    <w:p>
      <w:pPr>
        <w:pStyle w:val="ListBullet"/>
      </w:pPr>
      <w:r>
        <w:t>Location.</w:t>
      </w:r>
    </w:p>
    <w:p>
      <w:pPr>
        <w:pStyle w:val="ListBullet"/>
      </w:pPr>
      <w:r>
        <w:t>Batch/lot.</w:t>
      </w:r>
    </w:p>
    <w:p>
      <w:pPr>
        <w:pStyle w:val="ListBullet"/>
      </w:pPr>
      <w:r>
        <w:t>Expiry.</w:t>
      </w:r>
    </w:p>
    <w:p>
      <w:pPr>
        <w:pStyle w:val="ListBullet"/>
      </w:pPr>
      <w:r>
        <w:t>Serial.</w:t>
      </w:r>
    </w:p>
    <w:p>
      <w:pPr>
        <w:pStyle w:val="ListBullet"/>
      </w:pPr>
      <w:r>
        <w:t>On-hand.</w:t>
      </w:r>
    </w:p>
    <w:p>
      <w:pPr>
        <w:pStyle w:val="ListBullet"/>
      </w:pPr>
      <w:r>
        <w:t>Open POs/requisitions.</w:t>
      </w:r>
    </w:p>
    <w:p>
      <w:pPr>
        <w:pStyle w:val="ListBullet"/>
      </w:pPr>
      <w:r>
        <w:t>Supplier.</w:t>
      </w:r>
    </w:p>
    <w:p>
      <w:pPr>
        <w:pStyle w:val="ListBullet"/>
      </w:pPr>
      <w:r>
        <w:t>Valuation strategy.</w:t>
      </w:r>
    </w:p>
    <w:p>
      <w:pPr>
        <w:pStyle w:val="ListBullet"/>
      </w:pPr>
      <w:r>
        <w:t>Opening inventory ledger entries must reconcile to verified physical/system balance.</w:t>
      </w:r>
    </w:p>
    <w:p>
      <w:pPr>
        <w:pStyle w:val="Heading1"/>
      </w:pPr>
      <w:r>
        <w:t>43. Inventory Opening Balance</w:t>
      </w:r>
    </w:p>
    <w:p>
      <w:pPr>
        <w:pStyle w:val="ListBullet"/>
      </w:pPr>
      <w:r>
        <w:t>Perform physical/count reconciliation near cutover where feasible.</w:t>
      </w:r>
    </w:p>
    <w:p>
      <w:pPr>
        <w:pStyle w:val="ListBullet"/>
      </w:pPr>
      <w:r>
        <w:t>Load opening quantities as explicit migration/opening transactions.</w:t>
      </w:r>
    </w:p>
    <w:p>
      <w:pPr>
        <w:pStyle w:val="ListBullet"/>
      </w:pPr>
      <w:r>
        <w:t>Preserve batch/expiry.</w:t>
      </w:r>
    </w:p>
    <w:p>
      <w:pPr>
        <w:pStyle w:val="ListBullet"/>
      </w:pPr>
      <w:r>
        <w:t>No direct invisible stock balance mutation.</w:t>
      </w:r>
    </w:p>
    <w:p>
      <w:pPr>
        <w:pStyle w:val="Heading1"/>
      </w:pPr>
      <w:r>
        <w:t>44. Procurement Open Transactions</w:t>
      </w:r>
    </w:p>
    <w:p>
      <w:pPr>
        <w:pStyle w:val="ListBullet"/>
      </w:pPr>
      <w:r>
        <w:t>Open purchase orders.</w:t>
      </w:r>
    </w:p>
    <w:p>
      <w:pPr>
        <w:pStyle w:val="ListBullet"/>
      </w:pPr>
      <w:r>
        <w:t>Partially received orders.</w:t>
      </w:r>
    </w:p>
    <w:p>
      <w:pPr>
        <w:pStyle w:val="ListBullet"/>
      </w:pPr>
      <w:r>
        <w:t>Pending requisitions.</w:t>
      </w:r>
    </w:p>
    <w:p>
      <w:pPr>
        <w:pStyle w:val="ListBullet"/>
      </w:pPr>
      <w:r>
        <w:t>Supplier references.</w:t>
      </w:r>
    </w:p>
    <w:p>
      <w:pPr>
        <w:pStyle w:val="ListBullet"/>
      </w:pPr>
      <w:r>
        <w:t>Avoid importing closed historical workflow as active.</w:t>
      </w:r>
    </w:p>
    <w:p>
      <w:pPr>
        <w:pStyle w:val="Heading1"/>
      </w:pPr>
      <w:r>
        <w:t>45. User Migration</w:t>
      </w:r>
    </w:p>
    <w:p>
      <w:pPr>
        <w:pStyle w:val="ListBullet"/>
      </w:pPr>
      <w:r>
        <w:t>Prefer identity provisioning rather than password migration.</w:t>
      </w:r>
    </w:p>
    <w:p>
      <w:pPr>
        <w:pStyle w:val="ListBullet"/>
      </w:pPr>
      <w:r>
        <w:t>User identity/membership/role mapped.</w:t>
      </w:r>
    </w:p>
    <w:p>
      <w:pPr>
        <w:pStyle w:val="ListBullet"/>
      </w:pPr>
      <w:r>
        <w:t>Clinical privileges independently verified.</w:t>
      </w:r>
    </w:p>
    <w:p>
      <w:pPr>
        <w:pStyle w:val="ListBullet"/>
      </w:pPr>
      <w:r>
        <w:t>Disabled/leavers not activated.</w:t>
      </w:r>
    </w:p>
    <w:p>
      <w:pPr>
        <w:pStyle w:val="ListBullet"/>
      </w:pPr>
      <w:r>
        <w:t>No plaintext or reversibly encrypted legacy passwords.</w:t>
      </w:r>
    </w:p>
    <w:p>
      <w:pPr>
        <w:pStyle w:val="Heading1"/>
      </w:pPr>
      <w:r>
        <w:t>46. Role/Privilege Migration</w:t>
      </w:r>
    </w:p>
    <w:p>
      <w:pPr>
        <w:pStyle w:val="ListBullet"/>
      </w:pPr>
      <w:r>
        <w:t>Legacy roles are not assumed equivalent to Pulse roles.</w:t>
      </w:r>
    </w:p>
    <w:p>
      <w:pPr>
        <w:pStyle w:val="ListBullet"/>
      </w:pPr>
      <w:r>
        <w:t>Map privileges explicitly.</w:t>
      </w:r>
    </w:p>
    <w:p>
      <w:pPr>
        <w:pStyle w:val="ListBullet"/>
      </w:pPr>
      <w:r>
        <w:t>Clinical privilege evidence/expiry.</w:t>
      </w:r>
    </w:p>
    <w:p>
      <w:pPr>
        <w:pStyle w:val="ListBullet"/>
      </w:pPr>
      <w:r>
        <w:t>Facility scope.</w:t>
      </w:r>
    </w:p>
    <w:p>
      <w:pPr>
        <w:pStyle w:val="ListBullet"/>
      </w:pPr>
      <w:r>
        <w:t>Access review before activation.</w:t>
      </w:r>
    </w:p>
    <w:p>
      <w:pPr>
        <w:pStyle w:val="Heading1"/>
      </w:pPr>
      <w:r>
        <w:t>47. Audit Migration</w:t>
      </w:r>
    </w:p>
    <w:p>
      <w:pPr>
        <w:pStyle w:val="ListBullet"/>
      </w:pPr>
      <w:r>
        <w:t>Preserve legacy audit where available/required, possibly in immutable archive.</w:t>
      </w:r>
    </w:p>
    <w:p>
      <w:pPr>
        <w:pStyle w:val="ListBullet"/>
      </w:pPr>
      <w:r>
        <w:t>Do not rewrite legacy actor identity as migration service.</w:t>
      </w:r>
    </w:p>
    <w:p>
      <w:pPr>
        <w:pStyle w:val="ListBullet"/>
      </w:pPr>
      <w:r>
        <w:t>Pulse migration events separately audited.</w:t>
      </w:r>
    </w:p>
    <w:p>
      <w:pPr>
        <w:pStyle w:val="Heading1"/>
      </w:pPr>
      <w:r>
        <w:t>48. Terminology Mapping</w:t>
      </w:r>
    </w:p>
    <w:p>
      <w:pPr>
        <w:pStyle w:val="ListBullet"/>
      </w:pPr>
      <w:r>
        <w:t>Source code.</w:t>
      </w:r>
    </w:p>
    <w:p>
      <w:pPr>
        <w:pStyle w:val="ListBullet"/>
      </w:pPr>
      <w:r>
        <w:t>Source system/version.</w:t>
      </w:r>
    </w:p>
    <w:p>
      <w:pPr>
        <w:pStyle w:val="ListBullet"/>
      </w:pPr>
      <w:r>
        <w:t>Target standard/local code.</w:t>
      </w:r>
    </w:p>
    <w:p>
      <w:pPr>
        <w:pStyle w:val="ListBullet"/>
      </w:pPr>
      <w:r>
        <w:t>Mapping relationship exact/broader/narrower/related/unmapped.</w:t>
      </w:r>
    </w:p>
    <w:p>
      <w:pPr>
        <w:pStyle w:val="ListBullet"/>
      </w:pPr>
      <w:r>
        <w:t>Reviewer.</w:t>
      </w:r>
    </w:p>
    <w:p>
      <w:pPr>
        <w:pStyle w:val="ListBullet"/>
      </w:pPr>
      <w:r>
        <w:t>Version.</w:t>
      </w:r>
    </w:p>
    <w:p>
      <w:pPr>
        <w:pStyle w:val="ListBullet"/>
      </w:pPr>
      <w:r>
        <w:t>Date.</w:t>
      </w:r>
    </w:p>
    <w:p>
      <w:pPr>
        <w:pStyle w:val="ListBullet"/>
      </w:pPr>
      <w:r>
        <w:t>Never hide lossy mapping.</w:t>
      </w:r>
    </w:p>
    <w:p>
      <w:pPr>
        <w:pStyle w:val="Heading1"/>
      </w:pPr>
      <w:r>
        <w:t>49. Units of Measure</w:t>
      </w:r>
    </w:p>
    <w:p>
      <w:pPr>
        <w:pStyle w:val="ListBullet"/>
      </w:pPr>
      <w:r>
        <w:t>Preserve original value/unit.</w:t>
      </w:r>
    </w:p>
    <w:p>
      <w:pPr>
        <w:pStyle w:val="ListBullet"/>
      </w:pPr>
      <w:r>
        <w:t>Canonical conversion only using validated conversion.</w:t>
      </w:r>
    </w:p>
    <w:p>
      <w:pPr>
        <w:pStyle w:val="ListBullet"/>
      </w:pPr>
      <w:r>
        <w:t>Store conversion provenance where both values retained.</w:t>
      </w:r>
    </w:p>
    <w:p>
      <w:pPr>
        <w:pStyle w:val="ListBullet"/>
      </w:pPr>
      <w:r>
        <w:t>No conversion between non-equivalent clinical concepts.</w:t>
      </w:r>
    </w:p>
    <w:p>
      <w:pPr>
        <w:pStyle w:val="Heading1"/>
      </w:pPr>
      <w:r>
        <w:t>50. Date/Time Migration</w:t>
      </w:r>
    </w:p>
    <w:p>
      <w:pPr>
        <w:pStyle w:val="ListBullet"/>
      </w:pPr>
      <w:r>
        <w:t>Source timezone.</w:t>
      </w:r>
    </w:p>
    <w:p>
      <w:pPr>
        <w:pStyle w:val="ListBullet"/>
      </w:pPr>
      <w:r>
        <w:t>Timestamp precision.</w:t>
      </w:r>
    </w:p>
    <w:p>
      <w:pPr>
        <w:pStyle w:val="ListBullet"/>
      </w:pPr>
      <w:r>
        <w:t>Unknown timezone.</w:t>
      </w:r>
    </w:p>
    <w:p>
      <w:pPr>
        <w:pStyle w:val="ListBullet"/>
      </w:pPr>
      <w:r>
        <w:t>Date-only values.</w:t>
      </w:r>
    </w:p>
    <w:p>
      <w:pPr>
        <w:pStyle w:val="ListBullet"/>
      </w:pPr>
      <w:r>
        <w:t>DST.</w:t>
      </w:r>
    </w:p>
    <w:p>
      <w:pPr>
        <w:pStyle w:val="ListBullet"/>
      </w:pPr>
      <w:r>
        <w:t>Recorded vs effective time.</w:t>
      </w:r>
    </w:p>
    <w:p>
      <w:pPr>
        <w:pStyle w:val="ListBullet"/>
      </w:pPr>
      <w:r>
        <w:t>Do not invent seconds/timezone precision not present in source.</w:t>
      </w:r>
    </w:p>
    <w:p>
      <w:pPr>
        <w:pStyle w:val="Heading1"/>
      </w:pPr>
      <w:r>
        <w:t>51. Numeric Precision</w:t>
      </w:r>
    </w:p>
    <w:p>
      <w:pPr>
        <w:pStyle w:val="ListBullet"/>
      </w:pPr>
      <w:r>
        <w:t>Use exact decimal for money/quantities where required.</w:t>
      </w:r>
    </w:p>
    <w:p>
      <w:pPr>
        <w:pStyle w:val="ListBullet"/>
      </w:pPr>
      <w:r>
        <w:t>Preserve clinically meaningful precision.</w:t>
      </w:r>
    </w:p>
    <w:p>
      <w:pPr>
        <w:pStyle w:val="ListBullet"/>
      </w:pPr>
      <w:r>
        <w:t>No floating-point rounding that changes dose/result.</w:t>
      </w:r>
    </w:p>
    <w:p>
      <w:pPr>
        <w:pStyle w:val="ListBullet"/>
      </w:pPr>
      <w:r>
        <w:t>Document transformation rounding.</w:t>
      </w:r>
    </w:p>
    <w:p>
      <w:pPr>
        <w:pStyle w:val="Heading1"/>
      </w:pPr>
      <w:r>
        <w:t>52. Text Encoding</w:t>
      </w:r>
    </w:p>
    <w:p>
      <w:pPr>
        <w:pStyle w:val="ListBullet"/>
      </w:pPr>
      <w:r>
        <w:t>Detect source encoding.</w:t>
      </w:r>
    </w:p>
    <w:p>
      <w:pPr>
        <w:pStyle w:val="ListBullet"/>
      </w:pPr>
      <w:r>
        <w:t>Normalize safely to Unicode.</w:t>
      </w:r>
    </w:p>
    <w:p>
      <w:pPr>
        <w:pStyle w:val="ListBullet"/>
      </w:pPr>
      <w:r>
        <w:t>Preserve original text meaning.</w:t>
      </w:r>
    </w:p>
    <w:p>
      <w:pPr>
        <w:pStyle w:val="ListBullet"/>
      </w:pPr>
      <w:r>
        <w:t>Test special characters/diacritics.</w:t>
      </w:r>
    </w:p>
    <w:p>
      <w:pPr>
        <w:pStyle w:val="ListBullet"/>
      </w:pPr>
      <w:r>
        <w:t>No replacement-character corruption accepted silently.</w:t>
      </w:r>
    </w:p>
    <w:p>
      <w:pPr>
        <w:pStyle w:val="Heading1"/>
      </w:pPr>
      <w:r>
        <w:t>53. Null/Unknown/Not Applicable</w:t>
      </w:r>
    </w:p>
    <w:p>
      <w:pPr>
        <w:pStyle w:val="ListBullet"/>
      </w:pPr>
      <w:r>
        <w:t>Null is not zero.</w:t>
      </w:r>
    </w:p>
    <w:p>
      <w:pPr>
        <w:pStyle w:val="ListBullet"/>
      </w:pPr>
      <w:r>
        <w:t>Unknown is not negative.</w:t>
      </w:r>
    </w:p>
    <w:p>
      <w:pPr>
        <w:pStyle w:val="ListBullet"/>
      </w:pPr>
      <w:r>
        <w:t>Not recorded is not no.</w:t>
      </w:r>
    </w:p>
    <w:p>
      <w:pPr>
        <w:pStyle w:val="ListBullet"/>
      </w:pPr>
      <w:r>
        <w:t>Not applicable is distinct.</w:t>
      </w:r>
    </w:p>
    <w:p>
      <w:pPr>
        <w:pStyle w:val="ListBullet"/>
      </w:pPr>
      <w:r>
        <w:t>Source sentinel values explicitly mapped.</w:t>
      </w:r>
    </w:p>
    <w:p>
      <w:pPr>
        <w:pStyle w:val="Heading1"/>
      </w:pPr>
      <w:r>
        <w:t>54. Defaults</w:t>
      </w:r>
    </w:p>
    <w:p>
      <w:pPr>
        <w:pStyle w:val="ListBullet"/>
      </w:pPr>
      <w:r>
        <w:t>Defaults may only represent technical target requirements when clinically/financially neutral and documented.</w:t>
      </w:r>
    </w:p>
    <w:p>
      <w:pPr>
        <w:pStyle w:val="ListBullet"/>
      </w:pPr>
      <w:r>
        <w:t>Do not default missing allergy to 'none', missing diagnosis status to 'confirmed', or missing payment to 'paid'.</w:t>
      </w:r>
    </w:p>
    <w:p>
      <w:pPr>
        <w:pStyle w:val="Heading1"/>
      </w:pPr>
      <w:r>
        <w:t>55. Data Cleansing</w:t>
      </w:r>
    </w:p>
    <w:p>
      <w:pPr>
        <w:pStyle w:val="ListBullet"/>
      </w:pPr>
      <w:r>
        <w:t>Whitespace/format normalization.</w:t>
      </w:r>
    </w:p>
    <w:p>
      <w:pPr>
        <w:pStyle w:val="ListBullet"/>
      </w:pPr>
      <w:r>
        <w:t>Obvious technical encoding repair.</w:t>
      </w:r>
    </w:p>
    <w:p>
      <w:pPr>
        <w:pStyle w:val="ListBullet"/>
      </w:pPr>
      <w:r>
        <w:t>Duplicate technical rows.</w:t>
      </w:r>
    </w:p>
    <w:p>
      <w:pPr>
        <w:pStyle w:val="ListBullet"/>
      </w:pPr>
      <w:r>
        <w:t>Reference normalization.</w:t>
      </w:r>
    </w:p>
    <w:p>
      <w:pPr>
        <w:pStyle w:val="ListBullet"/>
      </w:pPr>
      <w:r>
        <w:t>Clinical semantic changes require owner approval.</w:t>
      </w:r>
    </w:p>
    <w:p>
      <w:pPr>
        <w:pStyle w:val="ListBullet"/>
      </w:pPr>
      <w:r>
        <w:t>Original value retained when transformation changes representation.</w:t>
      </w:r>
    </w:p>
    <w:p>
      <w:pPr>
        <w:pStyle w:val="Heading1"/>
      </w:pPr>
      <w:r>
        <w:t>56. Transformation Pipeline</w:t>
      </w:r>
    </w:p>
    <w:p>
      <w:pPr>
        <w:pStyle w:val="ListBullet"/>
      </w:pPr>
      <w:r>
        <w:t>Extract immutable snapshot → stage raw → profile → transform → validate → load → reconcile → publish exceptions.</w:t>
      </w:r>
    </w:p>
    <w:p>
      <w:pPr>
        <w:pStyle w:val="ListBullet"/>
      </w:pPr>
      <w:r>
        <w:t>Raw staging retained for reproducibility according to security/retention policy.</w:t>
      </w:r>
    </w:p>
    <w:p>
      <w:pPr>
        <w:pStyle w:val="Heading1"/>
      </w:pPr>
      <w:r>
        <w:t>57. Staging Security</w:t>
      </w:r>
    </w:p>
    <w:p>
      <w:pPr>
        <w:pStyle w:val="ListBullet"/>
      </w:pPr>
      <w:r>
        <w:t>Encrypted storage.</w:t>
      </w:r>
    </w:p>
    <w:p>
      <w:pPr>
        <w:pStyle w:val="ListBullet"/>
      </w:pPr>
      <w:r>
        <w:t>Restricted access.</w:t>
      </w:r>
    </w:p>
    <w:p>
      <w:pPr>
        <w:pStyle w:val="ListBullet"/>
      </w:pPr>
      <w:r>
        <w:t>Environment isolation.</w:t>
      </w:r>
    </w:p>
    <w:p>
      <w:pPr>
        <w:pStyle w:val="ListBullet"/>
      </w:pPr>
      <w:r>
        <w:t>No public buckets.</w:t>
      </w:r>
    </w:p>
    <w:p>
      <w:pPr>
        <w:pStyle w:val="ListBullet"/>
      </w:pPr>
      <w:r>
        <w:t>Audit.</w:t>
      </w:r>
    </w:p>
    <w:p>
      <w:pPr>
        <w:pStyle w:val="ListBullet"/>
      </w:pPr>
      <w:r>
        <w:t>Time-limited retention.</w:t>
      </w:r>
    </w:p>
    <w:p>
      <w:pPr>
        <w:pStyle w:val="ListBullet"/>
      </w:pPr>
      <w:r>
        <w:t>Secure disposal after migration retention window.</w:t>
      </w:r>
    </w:p>
    <w:p>
      <w:pPr>
        <w:pStyle w:val="Heading1"/>
      </w:pPr>
      <w:r>
        <w:t>58. Migration Provenance</w:t>
      </w:r>
    </w:p>
    <w:p>
      <w:pPr>
        <w:pStyle w:val="ListBullet"/>
      </w:pPr>
      <w:r>
        <w:t>Source system.</w:t>
      </w:r>
    </w:p>
    <w:p>
      <w:pPr>
        <w:pStyle w:val="ListBullet"/>
      </w:pPr>
      <w:r>
        <w:t>Source record/table/key.</w:t>
      </w:r>
    </w:p>
    <w:p>
      <w:pPr>
        <w:pStyle w:val="ListBullet"/>
      </w:pPr>
      <w:r>
        <w:t>Extraction batch.</w:t>
      </w:r>
    </w:p>
    <w:p>
      <w:pPr>
        <w:pStyle w:val="ListBullet"/>
      </w:pPr>
      <w:r>
        <w:t>Transformation version.</w:t>
      </w:r>
    </w:p>
    <w:p>
      <w:pPr>
        <w:pStyle w:val="ListBullet"/>
      </w:pPr>
      <w:r>
        <w:t>Migration batch.</w:t>
      </w:r>
    </w:p>
    <w:p>
      <w:pPr>
        <w:pStyle w:val="ListBullet"/>
      </w:pPr>
      <w:r>
        <w:t>Target record.</w:t>
      </w:r>
    </w:p>
    <w:p>
      <w:pPr>
        <w:pStyle w:val="ListBullet"/>
      </w:pPr>
      <w:r>
        <w:t>Mapping version.</w:t>
      </w:r>
    </w:p>
    <w:p>
      <w:pPr>
        <w:pStyle w:val="ListBullet"/>
      </w:pPr>
      <w:r>
        <w:t>Timestamp.</w:t>
      </w:r>
    </w:p>
    <w:p>
      <w:pPr>
        <w:pStyle w:val="ListBullet"/>
      </w:pPr>
      <w:r>
        <w:t>Exception/correction history.</w:t>
      </w:r>
    </w:p>
    <w:p>
      <w:pPr>
        <w:pStyle w:val="Heading1"/>
      </w:pPr>
      <w:r>
        <w:t>59. Idempotency</w:t>
      </w:r>
    </w:p>
    <w:p>
      <w:pPr>
        <w:pStyle w:val="ListBullet"/>
      </w:pPr>
      <w:r>
        <w:t>Migration batch has stable identity.</w:t>
      </w:r>
    </w:p>
    <w:p>
      <w:pPr>
        <w:pStyle w:val="ListBullet"/>
      </w:pPr>
      <w:r>
        <w:t>Repeated load does not duplicate target facts.</w:t>
      </w:r>
    </w:p>
    <w:p>
      <w:pPr>
        <w:pStyle w:val="ListBullet"/>
      </w:pPr>
      <w:r>
        <w:t>Upsert semantics carefully defined.</w:t>
      </w:r>
    </w:p>
    <w:p>
      <w:pPr>
        <w:pStyle w:val="ListBullet"/>
      </w:pPr>
      <w:r>
        <w:t>Signed/ledger records protected.</w:t>
      </w:r>
    </w:p>
    <w:p>
      <w:pPr>
        <w:pStyle w:val="ListBullet"/>
      </w:pPr>
      <w:r>
        <w:t>Retry after partial failure tested.</w:t>
      </w:r>
    </w:p>
    <w:p>
      <w:pPr>
        <w:pStyle w:val="Heading1"/>
      </w:pPr>
      <w:r>
        <w:t>60. Referential Integrity</w:t>
      </w:r>
    </w:p>
    <w:p>
      <w:pPr>
        <w:pStyle w:val="ListBullet"/>
      </w:pPr>
      <w:r>
        <w:t>Patient→encounter.</w:t>
      </w:r>
    </w:p>
    <w:p>
      <w:pPr>
        <w:pStyle w:val="ListBullet"/>
      </w:pPr>
      <w:r>
        <w:t>Encounter→note/order.</w:t>
      </w:r>
    </w:p>
    <w:p>
      <w:pPr>
        <w:pStyle w:val="ListBullet"/>
      </w:pPr>
      <w:r>
        <w:t>Order→result.</w:t>
      </w:r>
    </w:p>
    <w:p>
      <w:pPr>
        <w:pStyle w:val="ListBullet"/>
      </w:pPr>
      <w:r>
        <w:t>Prescription→dispense.</w:t>
      </w:r>
    </w:p>
    <w:p>
      <w:pPr>
        <w:pStyle w:val="ListBullet"/>
      </w:pPr>
      <w:r>
        <w:t>Claim→line.</w:t>
      </w:r>
    </w:p>
    <w:p>
      <w:pPr>
        <w:pStyle w:val="ListBullet"/>
      </w:pPr>
      <w:r>
        <w:t>Inventory item→batch/movement.</w:t>
      </w:r>
    </w:p>
    <w:p>
      <w:pPr>
        <w:pStyle w:val="ListBullet"/>
      </w:pPr>
      <w:r>
        <w:t>Documents→patient/encounter.</w:t>
      </w:r>
    </w:p>
    <w:p>
      <w:pPr>
        <w:pStyle w:val="ListBullet"/>
      </w:pPr>
      <w:r>
        <w:t>Orphans reported.</w:t>
      </w:r>
    </w:p>
    <w:p>
      <w:pPr>
        <w:pStyle w:val="Heading1"/>
      </w:pPr>
      <w:r>
        <w:t>61. Validation Rules</w:t>
      </w:r>
    </w:p>
    <w:p>
      <w:pPr>
        <w:pStyle w:val="ListBullet"/>
      </w:pPr>
      <w:r>
        <w:t>Schema/type.</w:t>
      </w:r>
    </w:p>
    <w:p>
      <w:pPr>
        <w:pStyle w:val="ListBullet"/>
      </w:pPr>
      <w:r>
        <w:t>Required fields.</w:t>
      </w:r>
    </w:p>
    <w:p>
      <w:pPr>
        <w:pStyle w:val="ListBullet"/>
      </w:pPr>
      <w:r>
        <w:t>Code validity.</w:t>
      </w:r>
    </w:p>
    <w:p>
      <w:pPr>
        <w:pStyle w:val="ListBullet"/>
      </w:pPr>
      <w:r>
        <w:t>Range plausibility.</w:t>
      </w:r>
    </w:p>
    <w:p>
      <w:pPr>
        <w:pStyle w:val="ListBullet"/>
      </w:pPr>
      <w:r>
        <w:t>Reference integrity.</w:t>
      </w:r>
    </w:p>
    <w:p>
      <w:pPr>
        <w:pStyle w:val="ListBullet"/>
      </w:pPr>
      <w:r>
        <w:t>State validity.</w:t>
      </w:r>
    </w:p>
    <w:p>
      <w:pPr>
        <w:pStyle w:val="ListBullet"/>
      </w:pPr>
      <w:r>
        <w:t>Duplicate protection.</w:t>
      </w:r>
    </w:p>
    <w:p>
      <w:pPr>
        <w:pStyle w:val="ListBullet"/>
      </w:pPr>
      <w:r>
        <w:t>Tenant/facility context.</w:t>
      </w:r>
    </w:p>
    <w:p>
      <w:pPr>
        <w:pStyle w:val="ListBullet"/>
      </w:pPr>
      <w:r>
        <w:t>Clinical/financial invariants.</w:t>
      </w:r>
    </w:p>
    <w:p>
      <w:pPr>
        <w:pStyle w:val="Heading1"/>
      </w:pPr>
      <w:r>
        <w:t>62. Exception Management</w:t>
      </w:r>
    </w:p>
    <w:p>
      <w:pPr>
        <w:pStyle w:val="ListBullet"/>
      </w:pPr>
      <w:r>
        <w:t>Exception ID.</w:t>
      </w:r>
    </w:p>
    <w:p>
      <w:pPr>
        <w:pStyle w:val="ListBullet"/>
      </w:pPr>
      <w:r>
        <w:t>Record/domain.</w:t>
      </w:r>
    </w:p>
    <w:p>
      <w:pPr>
        <w:pStyle w:val="ListBullet"/>
      </w:pPr>
      <w:r>
        <w:t>Reason.</w:t>
      </w:r>
    </w:p>
    <w:p>
      <w:pPr>
        <w:pStyle w:val="ListBullet"/>
      </w:pPr>
      <w:r>
        <w:t>Severity.</w:t>
      </w:r>
    </w:p>
    <w:p>
      <w:pPr>
        <w:pStyle w:val="ListBullet"/>
      </w:pPr>
      <w:r>
        <w:t>Owner.</w:t>
      </w:r>
    </w:p>
    <w:p>
      <w:pPr>
        <w:pStyle w:val="ListBullet"/>
      </w:pPr>
      <w:r>
        <w:t>Disposition: correct source/map manually/import as-is with flag/exclude with approval.</w:t>
      </w:r>
    </w:p>
    <w:p>
      <w:pPr>
        <w:pStyle w:val="ListBullet"/>
      </w:pPr>
      <w:r>
        <w:t>Evidence.</w:t>
      </w:r>
    </w:p>
    <w:p>
      <w:pPr>
        <w:pStyle w:val="ListBullet"/>
      </w:pPr>
      <w:r>
        <w:t>No hidden discard.</w:t>
      </w:r>
    </w:p>
    <w:p>
      <w:pPr>
        <w:pStyle w:val="Heading1"/>
      </w:pPr>
      <w:r>
        <w:t>63. Migration Severity</w:t>
      </w:r>
    </w:p>
    <w:p>
      <w:pPr>
        <w:pStyle w:val="ListBullet"/>
      </w:pPr>
      <w:r>
        <w:t>M0: patient-safety/data corruption/cross-patient linkage—blocks cutover.</w:t>
      </w:r>
    </w:p>
    <w:p>
      <w:pPr>
        <w:pStyle w:val="ListBullet"/>
      </w:pPr>
      <w:r>
        <w:t>M1: material clinical/financial/inventory integrity issue—blocks affected scope.</w:t>
      </w:r>
    </w:p>
    <w:p>
      <w:pPr>
        <w:pStyle w:val="ListBullet"/>
      </w:pPr>
      <w:r>
        <w:t>M2: significant completeness/usability issue with governed workaround.</w:t>
      </w:r>
    </w:p>
    <w:p>
      <w:pPr>
        <w:pStyle w:val="ListBullet"/>
      </w:pPr>
      <w:r>
        <w:t>M3: cosmetic/noncritical metadata issue.</w:t>
      </w:r>
    </w:p>
    <w:p>
      <w:pPr>
        <w:pStyle w:val="Heading1"/>
      </w:pPr>
      <w:r>
        <w:t>64. Reconciliation Framework</w:t>
      </w:r>
    </w:p>
    <w:p>
      <w:pPr>
        <w:pStyle w:val="ListBullet"/>
      </w:pPr>
      <w:r>
        <w:t>Count reconciliation.</w:t>
      </w:r>
    </w:p>
    <w:p>
      <w:pPr>
        <w:pStyle w:val="ListBullet"/>
      </w:pPr>
      <w:r>
        <w:t>Value/financial totals.</w:t>
      </w:r>
    </w:p>
    <w:p>
      <w:pPr>
        <w:pStyle w:val="ListBullet"/>
      </w:pPr>
      <w:r>
        <w:t>Relationship reconciliation.</w:t>
      </w:r>
    </w:p>
    <w:p>
      <w:pPr>
        <w:pStyle w:val="ListBullet"/>
      </w:pPr>
      <w:r>
        <w:t>State reconciliation.</w:t>
      </w:r>
    </w:p>
    <w:p>
      <w:pPr>
        <w:pStyle w:val="ListBullet"/>
      </w:pPr>
      <w:r>
        <w:t>Hash/document reconciliation.</w:t>
      </w:r>
    </w:p>
    <w:p>
      <w:pPr>
        <w:pStyle w:val="ListBullet"/>
      </w:pPr>
      <w:r>
        <w:t>Sample clinical review.</w:t>
      </w:r>
    </w:p>
    <w:p>
      <w:pPr>
        <w:pStyle w:val="ListBullet"/>
      </w:pPr>
      <w:r>
        <w:t>Exception reconciliation.</w:t>
      </w:r>
    </w:p>
    <w:p>
      <w:pPr>
        <w:pStyle w:val="ListBullet"/>
      </w:pPr>
      <w:r>
        <w:t>Source-to-target trace.</w:t>
      </w:r>
    </w:p>
    <w:p>
      <w:pPr>
        <w:pStyle w:val="Heading1"/>
      </w:pPr>
      <w:r>
        <w:t>65. Patient Reconciliation</w:t>
      </w:r>
    </w:p>
    <w:p>
      <w:pPr>
        <w:pStyle w:val="ListBullet"/>
      </w:pPr>
      <w:r>
        <w:t>Patient counts by facility.</w:t>
      </w:r>
    </w:p>
    <w:p>
      <w:pPr>
        <w:pStyle w:val="ListBullet"/>
      </w:pPr>
      <w:r>
        <w:t>Identifier counts.</w:t>
      </w:r>
    </w:p>
    <w:p>
      <w:pPr>
        <w:pStyle w:val="ListBullet"/>
      </w:pPr>
      <w:r>
        <w:t>Duplicate candidates.</w:t>
      </w:r>
    </w:p>
    <w:p>
      <w:pPr>
        <w:pStyle w:val="ListBullet"/>
      </w:pPr>
      <w:r>
        <w:t>Merged records.</w:t>
      </w:r>
    </w:p>
    <w:p>
      <w:pPr>
        <w:pStyle w:val="ListBullet"/>
      </w:pPr>
      <w:r>
        <w:t>Provisional patients.</w:t>
      </w:r>
    </w:p>
    <w:p>
      <w:pPr>
        <w:pStyle w:val="ListBullet"/>
      </w:pPr>
      <w:r>
        <w:t>Deaths.</w:t>
      </w:r>
    </w:p>
    <w:p>
      <w:pPr>
        <w:pStyle w:val="ListBullet"/>
      </w:pPr>
      <w:r>
        <w:t>Demographic null distributions.</w:t>
      </w:r>
    </w:p>
    <w:p>
      <w:pPr>
        <w:pStyle w:val="ListBullet"/>
      </w:pPr>
      <w:r>
        <w:t>Manual sample.</w:t>
      </w:r>
    </w:p>
    <w:p>
      <w:pPr>
        <w:pStyle w:val="Heading1"/>
      </w:pPr>
      <w:r>
        <w:t>66. Clinical Reconciliation</w:t>
      </w:r>
    </w:p>
    <w:p>
      <w:pPr>
        <w:pStyle w:val="ListBullet"/>
      </w:pPr>
      <w:r>
        <w:t>Encounters by type/year.</w:t>
      </w:r>
    </w:p>
    <w:p>
      <w:pPr>
        <w:pStyle w:val="ListBullet"/>
      </w:pPr>
      <w:r>
        <w:t>Diagnoses.</w:t>
      </w:r>
    </w:p>
    <w:p>
      <w:pPr>
        <w:pStyle w:val="ListBullet"/>
      </w:pPr>
      <w:r>
        <w:t>Allergies.</w:t>
      </w:r>
    </w:p>
    <w:p>
      <w:pPr>
        <w:pStyle w:val="ListBullet"/>
      </w:pPr>
      <w:r>
        <w:t>Notes.</w:t>
      </w:r>
    </w:p>
    <w:p>
      <w:pPr>
        <w:pStyle w:val="ListBullet"/>
      </w:pPr>
      <w:r>
        <w:t>Orders/results.</w:t>
      </w:r>
    </w:p>
    <w:p>
      <w:pPr>
        <w:pStyle w:val="ListBullet"/>
      </w:pPr>
      <w:r>
        <w:t>Medications.</w:t>
      </w:r>
    </w:p>
    <w:p>
      <w:pPr>
        <w:pStyle w:val="ListBullet"/>
      </w:pPr>
      <w:r>
        <w:t>Procedures.</w:t>
      </w:r>
    </w:p>
    <w:p>
      <w:pPr>
        <w:pStyle w:val="ListBullet"/>
      </w:pPr>
      <w:r>
        <w:t>Open tasks/orders.</w:t>
      </w:r>
    </w:p>
    <w:p>
      <w:pPr>
        <w:pStyle w:val="ListBullet"/>
      </w:pPr>
      <w:r>
        <w:t>Random and risk-based chart review.</w:t>
      </w:r>
    </w:p>
    <w:p>
      <w:pPr>
        <w:pStyle w:val="Heading1"/>
      </w:pPr>
      <w:r>
        <w:t>67. Lab Reconciliation</w:t>
      </w:r>
    </w:p>
    <w:p>
      <w:pPr>
        <w:pStyle w:val="ListBullet"/>
      </w:pPr>
      <w:r>
        <w:t>Orders/results counts.</w:t>
      </w:r>
    </w:p>
    <w:p>
      <w:pPr>
        <w:pStyle w:val="ListBullet"/>
      </w:pPr>
      <w:r>
        <w:t>Final/corrected reports.</w:t>
      </w:r>
    </w:p>
    <w:p>
      <w:pPr>
        <w:pStyle w:val="ListBullet"/>
      </w:pPr>
      <w:r>
        <w:t>Critical results.</w:t>
      </w:r>
    </w:p>
    <w:p>
      <w:pPr>
        <w:pStyle w:val="ListBullet"/>
      </w:pPr>
      <w:r>
        <w:t>Units.</w:t>
      </w:r>
    </w:p>
    <w:p>
      <w:pPr>
        <w:pStyle w:val="ListBullet"/>
      </w:pPr>
      <w:r>
        <w:t>Reference intervals.</w:t>
      </w:r>
    </w:p>
    <w:p>
      <w:pPr>
        <w:pStyle w:val="ListBullet"/>
      </w:pPr>
      <w:r>
        <w:t>Specimen links.</w:t>
      </w:r>
    </w:p>
    <w:p>
      <w:pPr>
        <w:pStyle w:val="ListBullet"/>
      </w:pPr>
      <w:r>
        <w:t>Code mapping exceptions.</w:t>
      </w:r>
    </w:p>
    <w:p>
      <w:pPr>
        <w:pStyle w:val="Heading1"/>
      </w:pPr>
      <w:r>
        <w:t>68. Imaging Reconciliation</w:t>
      </w:r>
    </w:p>
    <w:p>
      <w:pPr>
        <w:pStyle w:val="ListBullet"/>
      </w:pPr>
      <w:r>
        <w:t>Studies/reports counts.</w:t>
      </w:r>
    </w:p>
    <w:p>
      <w:pPr>
        <w:pStyle w:val="ListBullet"/>
      </w:pPr>
      <w:r>
        <w:t>Accession/UID references.</w:t>
      </w:r>
    </w:p>
    <w:p>
      <w:pPr>
        <w:pStyle w:val="ListBullet"/>
      </w:pPr>
      <w:r>
        <w:t>Amended reports.</w:t>
      </w:r>
    </w:p>
    <w:p>
      <w:pPr>
        <w:pStyle w:val="ListBullet"/>
      </w:pPr>
      <w:r>
        <w:t>PACS launch sample.</w:t>
      </w:r>
    </w:p>
    <w:p>
      <w:pPr>
        <w:pStyle w:val="ListBullet"/>
      </w:pPr>
      <w:r>
        <w:t>Patient linkage.</w:t>
      </w:r>
    </w:p>
    <w:p>
      <w:pPr>
        <w:pStyle w:val="ListBullet"/>
      </w:pPr>
      <w:r>
        <w:t>Missing study/report exceptions.</w:t>
      </w:r>
    </w:p>
    <w:p>
      <w:pPr>
        <w:pStyle w:val="Heading1"/>
      </w:pPr>
      <w:r>
        <w:t>69. Medication Reconciliation</w:t>
      </w:r>
    </w:p>
    <w:p>
      <w:pPr>
        <w:pStyle w:val="ListBullet"/>
      </w:pPr>
      <w:r>
        <w:t>History count.</w:t>
      </w:r>
    </w:p>
    <w:p>
      <w:pPr>
        <w:pStyle w:val="ListBullet"/>
      </w:pPr>
      <w:r>
        <w:t>Current reported meds.</w:t>
      </w:r>
    </w:p>
    <w:p>
      <w:pPr>
        <w:pStyle w:val="ListBullet"/>
      </w:pPr>
      <w:r>
        <w:t>Active orders cutover list.</w:t>
      </w:r>
    </w:p>
    <w:p>
      <w:pPr>
        <w:pStyle w:val="ListBullet"/>
      </w:pPr>
      <w:r>
        <w:t>Dispenses.</w:t>
      </w:r>
    </w:p>
    <w:p>
      <w:pPr>
        <w:pStyle w:val="ListBullet"/>
      </w:pPr>
      <w:r>
        <w:t>Administrations.</w:t>
      </w:r>
    </w:p>
    <w:p>
      <w:pPr>
        <w:pStyle w:val="ListBullet"/>
      </w:pPr>
      <w:r>
        <w:t>Allergy link.</w:t>
      </w:r>
    </w:p>
    <w:p>
      <w:pPr>
        <w:pStyle w:val="ListBullet"/>
      </w:pPr>
      <w:r>
        <w:t>No dispense→admin inference.</w:t>
      </w:r>
    </w:p>
    <w:p>
      <w:pPr>
        <w:pStyle w:val="Heading1"/>
      </w:pPr>
      <w:r>
        <w:t>70. Revenue Reconciliation</w:t>
      </w:r>
    </w:p>
    <w:p>
      <w:pPr>
        <w:pStyle w:val="ListBullet"/>
      </w:pPr>
      <w:r>
        <w:t>Invoice/open balance.</w:t>
      </w:r>
    </w:p>
    <w:p>
      <w:pPr>
        <w:pStyle w:val="ListBullet"/>
      </w:pPr>
      <w:r>
        <w:t>Payment totals.</w:t>
      </w:r>
    </w:p>
    <w:p>
      <w:pPr>
        <w:pStyle w:val="ListBullet"/>
      </w:pPr>
      <w:r>
        <w:t>Credits/refunds.</w:t>
      </w:r>
    </w:p>
    <w:p>
      <w:pPr>
        <w:pStyle w:val="ListBullet"/>
      </w:pPr>
      <w:r>
        <w:t>Claim receivables.</w:t>
      </w:r>
    </w:p>
    <w:p>
      <w:pPr>
        <w:pStyle w:val="ListBullet"/>
      </w:pPr>
      <w:r>
        <w:t>Payer totals.</w:t>
      </w:r>
    </w:p>
    <w:p>
      <w:pPr>
        <w:pStyle w:val="ListBullet"/>
      </w:pPr>
      <w:r>
        <w:t>Opening balance.</w:t>
      </w:r>
    </w:p>
    <w:p>
      <w:pPr>
        <w:pStyle w:val="ListBullet"/>
      </w:pPr>
      <w:r>
        <w:t>Currency.</w:t>
      </w:r>
    </w:p>
    <w:p>
      <w:pPr>
        <w:pStyle w:val="ListBullet"/>
      </w:pPr>
      <w:r>
        <w:t>Finance sign-off.</w:t>
      </w:r>
    </w:p>
    <w:p>
      <w:pPr>
        <w:pStyle w:val="Heading1"/>
      </w:pPr>
      <w:r>
        <w:t>71. Inventory Reconciliation</w:t>
      </w:r>
    </w:p>
    <w:p>
      <w:pPr>
        <w:pStyle w:val="ListBullet"/>
      </w:pPr>
      <w:r>
        <w:t>Item count.</w:t>
      </w:r>
    </w:p>
    <w:p>
      <w:pPr>
        <w:pStyle w:val="ListBullet"/>
      </w:pPr>
      <w:r>
        <w:t>Location.</w:t>
      </w:r>
    </w:p>
    <w:p>
      <w:pPr>
        <w:pStyle w:val="ListBullet"/>
      </w:pPr>
      <w:r>
        <w:t>Batch/expiry.</w:t>
      </w:r>
    </w:p>
    <w:p>
      <w:pPr>
        <w:pStyle w:val="ListBullet"/>
      </w:pPr>
      <w:r>
        <w:t>Quantity.</w:t>
      </w:r>
    </w:p>
    <w:p>
      <w:pPr>
        <w:pStyle w:val="ListBullet"/>
      </w:pPr>
      <w:r>
        <w:t>Valuation.</w:t>
      </w:r>
    </w:p>
    <w:p>
      <w:pPr>
        <w:pStyle w:val="ListBullet"/>
      </w:pPr>
      <w:r>
        <w:t>Open PO.</w:t>
      </w:r>
    </w:p>
    <w:p>
      <w:pPr>
        <w:pStyle w:val="ListBullet"/>
      </w:pPr>
      <w:r>
        <w:t>Physical count variance.</w:t>
      </w:r>
    </w:p>
    <w:p>
      <w:pPr>
        <w:pStyle w:val="ListBullet"/>
      </w:pPr>
      <w:r>
        <w:t>Opening movement totals.</w:t>
      </w:r>
    </w:p>
    <w:p>
      <w:pPr>
        <w:pStyle w:val="Heading1"/>
      </w:pPr>
      <w:r>
        <w:t>72. Document Reconciliation</w:t>
      </w:r>
    </w:p>
    <w:p>
      <w:pPr>
        <w:pStyle w:val="ListBullet"/>
      </w:pPr>
      <w:r>
        <w:t>Metadata count.</w:t>
      </w:r>
    </w:p>
    <w:p>
      <w:pPr>
        <w:pStyle w:val="ListBullet"/>
      </w:pPr>
      <w:r>
        <w:t>Binary count.</w:t>
      </w:r>
    </w:p>
    <w:p>
      <w:pPr>
        <w:pStyle w:val="ListBullet"/>
      </w:pPr>
      <w:r>
        <w:t>Missing files.</w:t>
      </w:r>
    </w:p>
    <w:p>
      <w:pPr>
        <w:pStyle w:val="ListBullet"/>
      </w:pPr>
      <w:r>
        <w:t>Hash validation.</w:t>
      </w:r>
    </w:p>
    <w:p>
      <w:pPr>
        <w:pStyle w:val="ListBullet"/>
      </w:pPr>
      <w:r>
        <w:t>Patient/encounter association.</w:t>
      </w:r>
    </w:p>
    <w:p>
      <w:pPr>
        <w:pStyle w:val="ListBullet"/>
      </w:pPr>
      <w:r>
        <w:t>Open sample.</w:t>
      </w:r>
    </w:p>
    <w:p>
      <w:pPr>
        <w:pStyle w:val="ListBullet"/>
      </w:pPr>
      <w:r>
        <w:t>Virus-scan state.</w:t>
      </w:r>
    </w:p>
    <w:p>
      <w:pPr>
        <w:pStyle w:val="Heading1"/>
      </w:pPr>
      <w:r>
        <w:t>73. Sampling Strategy</w:t>
      </w:r>
    </w:p>
    <w:p>
      <w:pPr>
        <w:pStyle w:val="ListBullet"/>
      </w:pPr>
      <w:r>
        <w:t>100% automated structural reconciliation where feasible.</w:t>
      </w:r>
    </w:p>
    <w:p>
      <w:pPr>
        <w:pStyle w:val="ListBullet"/>
      </w:pPr>
      <w:r>
        <w:t>100% high-risk open/active records.</w:t>
      </w:r>
    </w:p>
    <w:p>
      <w:pPr>
        <w:pStyle w:val="ListBullet"/>
      </w:pPr>
      <w:r>
        <w:t>Risk-based clinical chart sample.</w:t>
      </w:r>
    </w:p>
    <w:p>
      <w:pPr>
        <w:pStyle w:val="ListBullet"/>
      </w:pPr>
      <w:r>
        <w:t>Random sample across date ranges/facilities.</w:t>
      </w:r>
    </w:p>
    <w:p>
      <w:pPr>
        <w:pStyle w:val="ListBullet"/>
      </w:pPr>
      <w:r>
        <w:t>Known edge-case sample.</w:t>
      </w:r>
    </w:p>
    <w:p>
      <w:pPr>
        <w:pStyle w:val="Heading1"/>
      </w:pPr>
      <w:r>
        <w:t>74. Clinical Validation</w:t>
      </w:r>
    </w:p>
    <w:p>
      <w:pPr>
        <w:pStyle w:val="ListBullet"/>
      </w:pPr>
      <w:r>
        <w:t>Clinicians compare source and target chart.</w:t>
      </w:r>
    </w:p>
    <w:p>
      <w:pPr>
        <w:pStyle w:val="ListBullet"/>
      </w:pPr>
      <w:r>
        <w:t>Verify chronology.</w:t>
      </w:r>
    </w:p>
    <w:p>
      <w:pPr>
        <w:pStyle w:val="ListBullet"/>
      </w:pPr>
      <w:r>
        <w:t>Allergies/current meds.</w:t>
      </w:r>
    </w:p>
    <w:p>
      <w:pPr>
        <w:pStyle w:val="ListBullet"/>
      </w:pPr>
      <w:r>
        <w:t>Recent results.</w:t>
      </w:r>
    </w:p>
    <w:p>
      <w:pPr>
        <w:pStyle w:val="ListBullet"/>
      </w:pPr>
      <w:r>
        <w:t>Active problems.</w:t>
      </w:r>
    </w:p>
    <w:p>
      <w:pPr>
        <w:pStyle w:val="ListBullet"/>
      </w:pPr>
      <w:r>
        <w:t>Open referrals/orders.</w:t>
      </w:r>
    </w:p>
    <w:p>
      <w:pPr>
        <w:pStyle w:val="ListBullet"/>
      </w:pPr>
      <w:r>
        <w:t>Documents.</w:t>
      </w:r>
    </w:p>
    <w:p>
      <w:pPr>
        <w:pStyle w:val="ListBullet"/>
      </w:pPr>
      <w:r>
        <w:t>Record discrepancies.</w:t>
      </w:r>
    </w:p>
    <w:p>
      <w:pPr>
        <w:pStyle w:val="Heading1"/>
      </w:pPr>
      <w:r>
        <w:t>75. Dry Run 1</w:t>
      </w:r>
    </w:p>
    <w:p>
      <w:pPr>
        <w:pStyle w:val="ListBullet"/>
      </w:pPr>
      <w:r>
        <w:t>Prove extraction/connectivity.</w:t>
      </w:r>
    </w:p>
    <w:p>
      <w:pPr>
        <w:pStyle w:val="ListBullet"/>
      </w:pPr>
      <w:r>
        <w:t>Profile full dataset.</w:t>
      </w:r>
    </w:p>
    <w:p>
      <w:pPr>
        <w:pStyle w:val="ListBullet"/>
      </w:pPr>
      <w:r>
        <w:t>Initial mapping.</w:t>
      </w:r>
    </w:p>
    <w:p>
      <w:pPr>
        <w:pStyle w:val="ListBullet"/>
      </w:pPr>
      <w:r>
        <w:t>Measure runtime.</w:t>
      </w:r>
    </w:p>
    <w:p>
      <w:pPr>
        <w:pStyle w:val="ListBullet"/>
      </w:pPr>
      <w:r>
        <w:t>Expose source defects.</w:t>
      </w:r>
    </w:p>
    <w:p>
      <w:pPr>
        <w:pStyle w:val="ListBullet"/>
      </w:pPr>
      <w:r>
        <w:t>No production cutover decision.</w:t>
      </w:r>
    </w:p>
    <w:p>
      <w:pPr>
        <w:pStyle w:val="Heading1"/>
      </w:pPr>
      <w:r>
        <w:t>76. Dry Run 2</w:t>
      </w:r>
    </w:p>
    <w:p>
      <w:pPr>
        <w:pStyle w:val="ListBullet"/>
      </w:pPr>
      <w:r>
        <w:t>Full transformation/load.</w:t>
      </w:r>
    </w:p>
    <w:p>
      <w:pPr>
        <w:pStyle w:val="ListBullet"/>
      </w:pPr>
      <w:r>
        <w:t>Reconciliation.</w:t>
      </w:r>
    </w:p>
    <w:p>
      <w:pPr>
        <w:pStyle w:val="ListBullet"/>
      </w:pPr>
      <w:r>
        <w:t>Clinical sample.</w:t>
      </w:r>
    </w:p>
    <w:p>
      <w:pPr>
        <w:pStyle w:val="ListBullet"/>
      </w:pPr>
      <w:r>
        <w:t>Performance.</w:t>
      </w:r>
    </w:p>
    <w:p>
      <w:pPr>
        <w:pStyle w:val="ListBullet"/>
      </w:pPr>
      <w:r>
        <w:t>Exception workflow.</w:t>
      </w:r>
    </w:p>
    <w:p>
      <w:pPr>
        <w:pStyle w:val="ListBullet"/>
      </w:pPr>
      <w:r>
        <w:t>Refine mappings.</w:t>
      </w:r>
    </w:p>
    <w:p>
      <w:pPr>
        <w:pStyle w:val="Heading1"/>
      </w:pPr>
      <w:r>
        <w:t>77. Dress Rehearsal</w:t>
      </w:r>
    </w:p>
    <w:p>
      <w:pPr>
        <w:pStyle w:val="ListBullet"/>
      </w:pPr>
      <w:r>
        <w:t>Production-like infrastructure.</w:t>
      </w:r>
    </w:p>
    <w:p>
      <w:pPr>
        <w:pStyle w:val="ListBullet"/>
      </w:pPr>
      <w:r>
        <w:t>Full/representative data volume.</w:t>
      </w:r>
    </w:p>
    <w:p>
      <w:pPr>
        <w:pStyle w:val="ListBullet"/>
      </w:pPr>
      <w:r>
        <w:t>Timed extraction/load.</w:t>
      </w:r>
    </w:p>
    <w:p>
      <w:pPr>
        <w:pStyle w:val="ListBullet"/>
      </w:pPr>
      <w:r>
        <w:t>Freeze/delta simulation.</w:t>
      </w:r>
    </w:p>
    <w:p>
      <w:pPr>
        <w:pStyle w:val="ListBullet"/>
      </w:pPr>
      <w:r>
        <w:t>Reconciliation.</w:t>
      </w:r>
    </w:p>
    <w:p>
      <w:pPr>
        <w:pStyle w:val="ListBullet"/>
      </w:pPr>
      <w:r>
        <w:t>User validation.</w:t>
      </w:r>
    </w:p>
    <w:p>
      <w:pPr>
        <w:pStyle w:val="ListBullet"/>
      </w:pPr>
      <w:r>
        <w:t>Cutover command simulation.</w:t>
      </w:r>
    </w:p>
    <w:p>
      <w:pPr>
        <w:pStyle w:val="ListBullet"/>
      </w:pPr>
      <w:r>
        <w:t>Rollback decision drill.</w:t>
      </w:r>
    </w:p>
    <w:p>
      <w:pPr>
        <w:pStyle w:val="Heading1"/>
      </w:pPr>
      <w:r>
        <w:t>78. Migration Performance</w:t>
      </w:r>
    </w:p>
    <w:p>
      <w:pPr>
        <w:pStyle w:val="ListBullet"/>
      </w:pPr>
      <w:r>
        <w:t>Extraction throughput.</w:t>
      </w:r>
    </w:p>
    <w:p>
      <w:pPr>
        <w:pStyle w:val="ListBullet"/>
      </w:pPr>
      <w:r>
        <w:t>Transformation throughput.</w:t>
      </w:r>
    </w:p>
    <w:p>
      <w:pPr>
        <w:pStyle w:val="ListBullet"/>
      </w:pPr>
      <w:r>
        <w:t>Load throughput.</w:t>
      </w:r>
    </w:p>
    <w:p>
      <w:pPr>
        <w:pStyle w:val="ListBullet"/>
      </w:pPr>
      <w:r>
        <w:t>Index build.</w:t>
      </w:r>
    </w:p>
    <w:p>
      <w:pPr>
        <w:pStyle w:val="ListBullet"/>
      </w:pPr>
      <w:r>
        <w:t>Document transfer.</w:t>
      </w:r>
    </w:p>
    <w:p>
      <w:pPr>
        <w:pStyle w:val="ListBullet"/>
      </w:pPr>
      <w:r>
        <w:t>PACS boundary.</w:t>
      </w:r>
    </w:p>
    <w:p>
      <w:pPr>
        <w:pStyle w:val="ListBullet"/>
      </w:pPr>
      <w:r>
        <w:t>Reconciliation runtime.</w:t>
      </w:r>
    </w:p>
    <w:p>
      <w:pPr>
        <w:pStyle w:val="ListBullet"/>
      </w:pPr>
      <w:r>
        <w:t>Cutover window estimate includes contingency.</w:t>
      </w:r>
    </w:p>
    <w:p>
      <w:pPr>
        <w:pStyle w:val="Heading1"/>
      </w:pPr>
      <w:r>
        <w:t>79. Freeze Strategy</w:t>
      </w:r>
    </w:p>
    <w:p>
      <w:pPr>
        <w:pStyle w:val="ListBullet"/>
      </w:pPr>
      <w:r>
        <w:t>Define source write freeze by domain.</w:t>
      </w:r>
    </w:p>
    <w:p>
      <w:pPr>
        <w:pStyle w:val="ListBullet"/>
      </w:pPr>
      <w:r>
        <w:t>Clinical operations approve timing.</w:t>
      </w:r>
    </w:p>
    <w:p>
      <w:pPr>
        <w:pStyle w:val="ListBullet"/>
      </w:pPr>
      <w:r>
        <w:t>Emergency care continuity preserved.</w:t>
      </w:r>
    </w:p>
    <w:p>
      <w:pPr>
        <w:pStyle w:val="ListBullet"/>
      </w:pPr>
      <w:r>
        <w:t>Communicate users.</w:t>
      </w:r>
    </w:p>
    <w:p>
      <w:pPr>
        <w:pStyle w:val="ListBullet"/>
      </w:pPr>
      <w:r>
        <w:t>No ambiguous dual-write period unless explicitly engineered.</w:t>
      </w:r>
    </w:p>
    <w:p>
      <w:pPr>
        <w:pStyle w:val="Heading1"/>
      </w:pPr>
      <w:r>
        <w:t>80. Delta Migration</w:t>
      </w:r>
    </w:p>
    <w:p>
      <w:pPr>
        <w:pStyle w:val="ListBullet"/>
      </w:pPr>
      <w:r>
        <w:t>Baseline snapshot followed by incremental changes where source supports reliable change capture.</w:t>
      </w:r>
    </w:p>
    <w:p>
      <w:pPr>
        <w:pStyle w:val="ListBullet"/>
      </w:pPr>
      <w:r>
        <w:t>Delta watermark/control totals.</w:t>
      </w:r>
    </w:p>
    <w:p>
      <w:pPr>
        <w:pStyle w:val="ListBullet"/>
      </w:pPr>
      <w:r>
        <w:t>Deletes/corrections.</w:t>
      </w:r>
    </w:p>
    <w:p>
      <w:pPr>
        <w:pStyle w:val="ListBullet"/>
      </w:pPr>
      <w:r>
        <w:t>Late-arriving results.</w:t>
      </w:r>
    </w:p>
    <w:p>
      <w:pPr>
        <w:pStyle w:val="ListBullet"/>
      </w:pPr>
      <w:r>
        <w:t>Repeated delta idempotent.</w:t>
      </w:r>
    </w:p>
    <w:p>
      <w:pPr>
        <w:pStyle w:val="ListBullet"/>
      </w:pPr>
      <w:r>
        <w:t>Final delta before go-live.</w:t>
      </w:r>
    </w:p>
    <w:p>
      <w:pPr>
        <w:pStyle w:val="Heading1"/>
      </w:pPr>
      <w:r>
        <w:t>81. Dual-Run</w:t>
      </w:r>
    </w:p>
    <w:p>
      <w:pPr>
        <w:pStyle w:val="ListBullet"/>
      </w:pPr>
      <w:r>
        <w:t>Use only when justified.</w:t>
      </w:r>
    </w:p>
    <w:p>
      <w:pPr>
        <w:pStyle w:val="ListBullet"/>
      </w:pPr>
      <w:r>
        <w:t>Define system of record per domain during overlap.</w:t>
      </w:r>
    </w:p>
    <w:p>
      <w:pPr>
        <w:pStyle w:val="ListBullet"/>
      </w:pPr>
      <w:r>
        <w:t>Prevent double entry.</w:t>
      </w:r>
    </w:p>
    <w:p>
      <w:pPr>
        <w:pStyle w:val="ListBullet"/>
      </w:pPr>
      <w:r>
        <w:t>Reconcile changes.</w:t>
      </w:r>
    </w:p>
    <w:p>
      <w:pPr>
        <w:pStyle w:val="ListBullet"/>
      </w:pPr>
      <w:r>
        <w:t>Set end date.</w:t>
      </w:r>
    </w:p>
    <w:p>
      <w:pPr>
        <w:pStyle w:val="ListBullet"/>
      </w:pPr>
      <w:r>
        <w:t>Avoid prolonged ambiguity.</w:t>
      </w:r>
    </w:p>
    <w:p>
      <w:pPr>
        <w:pStyle w:val="Heading1"/>
      </w:pPr>
      <w:r>
        <w:t>82. Cutover Command Structure</w:t>
      </w:r>
    </w:p>
    <w:p>
      <w:pPr>
        <w:pStyle w:val="ListBullet"/>
      </w:pPr>
      <w:r>
        <w:t>Cutover Manager.</w:t>
      </w:r>
    </w:p>
    <w:p>
      <w:pPr>
        <w:pStyle w:val="ListBullet"/>
      </w:pPr>
      <w:r>
        <w:t>Migration Lead.</w:t>
      </w:r>
    </w:p>
    <w:p>
      <w:pPr>
        <w:pStyle w:val="ListBullet"/>
      </w:pPr>
      <w:r>
        <w:t>Source Lead.</w:t>
      </w:r>
    </w:p>
    <w:p>
      <w:pPr>
        <w:pStyle w:val="ListBullet"/>
      </w:pPr>
      <w:r>
        <w:t>Target App Lead.</w:t>
      </w:r>
    </w:p>
    <w:p>
      <w:pPr>
        <w:pStyle w:val="ListBullet"/>
      </w:pPr>
      <w:r>
        <w:t>DB/Ops.</w:t>
      </w:r>
    </w:p>
    <w:p>
      <w:pPr>
        <w:pStyle w:val="ListBullet"/>
      </w:pPr>
      <w:r>
        <w:t>Clinical Validation Lead.</w:t>
      </w:r>
    </w:p>
    <w:p>
      <w:pPr>
        <w:pStyle w:val="ListBullet"/>
      </w:pPr>
      <w:r>
        <w:t>Finance/Inventory leads.</w:t>
      </w:r>
    </w:p>
    <w:p>
      <w:pPr>
        <w:pStyle w:val="ListBullet"/>
      </w:pPr>
      <w:r>
        <w:t>QA.</w:t>
      </w:r>
    </w:p>
    <w:p>
      <w:pPr>
        <w:pStyle w:val="ListBullet"/>
      </w:pPr>
      <w:r>
        <w:t>Security/privacy.</w:t>
      </w:r>
    </w:p>
    <w:p>
      <w:pPr>
        <w:pStyle w:val="ListBullet"/>
      </w:pPr>
      <w:r>
        <w:t>Communications.</w:t>
      </w:r>
    </w:p>
    <w:p>
      <w:pPr>
        <w:pStyle w:val="ListBullet"/>
      </w:pPr>
      <w:r>
        <w:t>Go/no-go authority.</w:t>
      </w:r>
    </w:p>
    <w:p>
      <w:pPr>
        <w:pStyle w:val="Heading1"/>
      </w:pPr>
      <w:r>
        <w:t>83. Cutover Timeline</w:t>
      </w:r>
    </w:p>
    <w:p>
      <w:pPr>
        <w:pStyle w:val="ListBullet"/>
      </w:pPr>
      <w:r>
        <w:t>T-30 days readiness.</w:t>
      </w:r>
    </w:p>
    <w:p>
      <w:pPr>
        <w:pStyle w:val="ListBullet"/>
      </w:pPr>
      <w:r>
        <w:t>T-14 final mapping/config freeze.</w:t>
      </w:r>
    </w:p>
    <w:p>
      <w:pPr>
        <w:pStyle w:val="ListBullet"/>
      </w:pPr>
      <w:r>
        <w:t>T-7 rehearsal closeout.</w:t>
      </w:r>
    </w:p>
    <w:p>
      <w:pPr>
        <w:pStyle w:val="ListBullet"/>
      </w:pPr>
      <w:r>
        <w:t>T-1 backup/extract prep.</w:t>
      </w:r>
    </w:p>
    <w:p>
      <w:pPr>
        <w:pStyle w:val="ListBullet"/>
      </w:pPr>
      <w:r>
        <w:t>T0 freeze/final extract.</w:t>
      </w:r>
    </w:p>
    <w:p>
      <w:pPr>
        <w:pStyle w:val="ListBullet"/>
      </w:pPr>
      <w:r>
        <w:t>Transform/load.</w:t>
      </w:r>
    </w:p>
    <w:p>
      <w:pPr>
        <w:pStyle w:val="ListBullet"/>
      </w:pPr>
      <w:r>
        <w:t>Reconcile.</w:t>
      </w:r>
    </w:p>
    <w:p>
      <w:pPr>
        <w:pStyle w:val="ListBullet"/>
      </w:pPr>
      <w:r>
        <w:t>Clinical validation.</w:t>
      </w:r>
    </w:p>
    <w:p>
      <w:pPr>
        <w:pStyle w:val="ListBullet"/>
      </w:pPr>
      <w:r>
        <w:t>Go/no-go.</w:t>
      </w:r>
    </w:p>
    <w:p>
      <w:pPr>
        <w:pStyle w:val="ListBullet"/>
      </w:pPr>
      <w:r>
        <w:t>Open Pulse.</w:t>
      </w:r>
    </w:p>
    <w:p>
      <w:pPr>
        <w:pStyle w:val="ListBullet"/>
      </w:pPr>
      <w:r>
        <w:t>Hypercare.</w:t>
      </w:r>
    </w:p>
    <w:p>
      <w:pPr>
        <w:pStyle w:val="Heading1"/>
      </w:pPr>
      <w:r>
        <w:t>84. Go/No-Go Criteria</w:t>
      </w:r>
    </w:p>
    <w:p>
      <w:pPr>
        <w:pStyle w:val="ListBullet"/>
      </w:pPr>
      <w:r>
        <w:t>No M0/M1 unresolved.</w:t>
      </w:r>
    </w:p>
    <w:p>
      <w:pPr>
        <w:pStyle w:val="ListBullet"/>
      </w:pPr>
      <w:r>
        <w:t>Reconciliation thresholds met.</w:t>
      </w:r>
    </w:p>
    <w:p>
      <w:pPr>
        <w:pStyle w:val="ListBullet"/>
      </w:pPr>
      <w:r>
        <w:t>Active patient/current medication/open order validation passed.</w:t>
      </w:r>
    </w:p>
    <w:p>
      <w:pPr>
        <w:pStyle w:val="ListBullet"/>
      </w:pPr>
      <w:r>
        <w:t>Finance/inventory approved where in scope.</w:t>
      </w:r>
    </w:p>
    <w:p>
      <w:pPr>
        <w:pStyle w:val="ListBullet"/>
      </w:pPr>
      <w:r>
        <w:t>Backup/rollback ready.</w:t>
      </w:r>
    </w:p>
    <w:p>
      <w:pPr>
        <w:pStyle w:val="ListBullet"/>
      </w:pPr>
      <w:r>
        <w:t>Operations/support ready.</w:t>
      </w:r>
    </w:p>
    <w:p>
      <w:pPr>
        <w:pStyle w:val="ListBullet"/>
      </w:pPr>
      <w:r>
        <w:t>Clinical leadership approves.</w:t>
      </w:r>
    </w:p>
    <w:p>
      <w:pPr>
        <w:pStyle w:val="Heading1"/>
      </w:pPr>
      <w:r>
        <w:t>85. Rollback Criteria</w:t>
      </w:r>
    </w:p>
    <w:p>
      <w:pPr>
        <w:pStyle w:val="ListBullet"/>
      </w:pPr>
      <w:r>
        <w:t>Cross-patient linkage.</w:t>
      </w:r>
    </w:p>
    <w:p>
      <w:pPr>
        <w:pStyle w:val="ListBullet"/>
      </w:pPr>
      <w:r>
        <w:t>Material data corruption.</w:t>
      </w:r>
    </w:p>
    <w:p>
      <w:pPr>
        <w:pStyle w:val="ListBullet"/>
      </w:pPr>
      <w:r>
        <w:t>Active medication/order loss.</w:t>
      </w:r>
    </w:p>
    <w:p>
      <w:pPr>
        <w:pStyle w:val="ListBullet"/>
      </w:pPr>
      <w:r>
        <w:t>Unacceptable reconciliation failure.</w:t>
      </w:r>
    </w:p>
    <w:p>
      <w:pPr>
        <w:pStyle w:val="ListBullet"/>
      </w:pPr>
      <w:r>
        <w:t>Target instability.</w:t>
      </w:r>
    </w:p>
    <w:p>
      <w:pPr>
        <w:pStyle w:val="ListBullet"/>
      </w:pPr>
      <w:r>
        <w:t>Cutover window exceeded beyond approved safe point.</w:t>
      </w:r>
    </w:p>
    <w:p>
      <w:pPr>
        <w:pStyle w:val="ListBullet"/>
      </w:pPr>
      <w:r>
        <w:t>Rollback feasibility depends on source freeze and new target writes.</w:t>
      </w:r>
    </w:p>
    <w:p>
      <w:pPr>
        <w:pStyle w:val="Heading1"/>
      </w:pPr>
      <w:r>
        <w:t>86. Rollback Strategy</w:t>
      </w:r>
    </w:p>
    <w:p>
      <w:pPr>
        <w:pStyle w:val="ListBullet"/>
      </w:pPr>
      <w:r>
        <w:t>Before target write activation: revert to legacy source.</w:t>
      </w:r>
    </w:p>
    <w:p>
      <w:pPr>
        <w:pStyle w:val="ListBullet"/>
      </w:pPr>
      <w:r>
        <w:t>After target begins receiving production writes: rollback requires controlled capture/re-entry of new Pulse transactions; never simply discard them.</w:t>
      </w:r>
    </w:p>
    <w:p>
      <w:pPr>
        <w:pStyle w:val="ListBullet"/>
      </w:pPr>
      <w:r>
        <w:t>Decision point explicitly time-boxed.</w:t>
      </w:r>
    </w:p>
    <w:p>
      <w:pPr>
        <w:pStyle w:val="Heading1"/>
      </w:pPr>
      <w:r>
        <w:t>87. Go-Live Validation</w:t>
      </w:r>
    </w:p>
    <w:p>
      <w:pPr>
        <w:pStyle w:val="ListBullet"/>
      </w:pPr>
      <w:r>
        <w:t>Patient search.</w:t>
      </w:r>
    </w:p>
    <w:p>
      <w:pPr>
        <w:pStyle w:val="ListBullet"/>
      </w:pPr>
      <w:r>
        <w:t>Recent/high-risk charts.</w:t>
      </w:r>
    </w:p>
    <w:p>
      <w:pPr>
        <w:pStyle w:val="ListBullet"/>
      </w:pPr>
      <w:r>
        <w:t>Active inpatient census.</w:t>
      </w:r>
    </w:p>
    <w:p>
      <w:pPr>
        <w:pStyle w:val="ListBullet"/>
      </w:pPr>
      <w:r>
        <w:t>Allergies/current meds.</w:t>
      </w:r>
    </w:p>
    <w:p>
      <w:pPr>
        <w:pStyle w:val="ListBullet"/>
      </w:pPr>
      <w:r>
        <w:t>Open orders/results.</w:t>
      </w:r>
    </w:p>
    <w:p>
      <w:pPr>
        <w:pStyle w:val="ListBullet"/>
      </w:pPr>
      <w:r>
        <w:t>Referrals.</w:t>
      </w:r>
    </w:p>
    <w:p>
      <w:pPr>
        <w:pStyle w:val="ListBullet"/>
      </w:pPr>
      <w:r>
        <w:t>Billing.</w:t>
      </w:r>
    </w:p>
    <w:p>
      <w:pPr>
        <w:pStyle w:val="ListBullet"/>
      </w:pPr>
      <w:r>
        <w:t>Stock.</w:t>
      </w:r>
    </w:p>
    <w:p>
      <w:pPr>
        <w:pStyle w:val="ListBullet"/>
      </w:pPr>
      <w:r>
        <w:t>Documents.</w:t>
      </w:r>
    </w:p>
    <w:p>
      <w:pPr>
        <w:pStyle w:val="ListBullet"/>
      </w:pPr>
      <w:r>
        <w:t>Integrations.</w:t>
      </w:r>
    </w:p>
    <w:p>
      <w:pPr>
        <w:pStyle w:val="ListBullet"/>
      </w:pPr>
      <w:r>
        <w:t>Performance.</w:t>
      </w:r>
    </w:p>
    <w:p>
      <w:pPr>
        <w:pStyle w:val="Heading1"/>
      </w:pPr>
      <w:r>
        <w:t>88. Hypercare</w:t>
      </w:r>
    </w:p>
    <w:p>
      <w:pPr>
        <w:pStyle w:val="ListBullet"/>
      </w:pPr>
      <w:r>
        <w:t>Dedicated command centre.</w:t>
      </w:r>
    </w:p>
    <w:p>
      <w:pPr>
        <w:pStyle w:val="ListBullet"/>
      </w:pPr>
      <w:r>
        <w:t>Migration exception queue.</w:t>
      </w:r>
    </w:p>
    <w:p>
      <w:pPr>
        <w:pStyle w:val="ListBullet"/>
      </w:pPr>
      <w:r>
        <w:t>Rapid chart correction via governed process.</w:t>
      </w:r>
    </w:p>
    <w:p>
      <w:pPr>
        <w:pStyle w:val="ListBullet"/>
      </w:pPr>
      <w:r>
        <w:t>Daily reconciliation.</w:t>
      </w:r>
    </w:p>
    <w:p>
      <w:pPr>
        <w:pStyle w:val="ListBullet"/>
      </w:pPr>
      <w:r>
        <w:t>Support trends.</w:t>
      </w:r>
    </w:p>
    <w:p>
      <w:pPr>
        <w:pStyle w:val="ListBullet"/>
      </w:pPr>
      <w:r>
        <w:t>Clinical safety surveillance.</w:t>
      </w:r>
    </w:p>
    <w:p>
      <w:pPr>
        <w:pStyle w:val="ListBullet"/>
      </w:pPr>
      <w:r>
        <w:t>No direct DB fixes.</w:t>
      </w:r>
    </w:p>
    <w:p>
      <w:pPr>
        <w:pStyle w:val="Heading1"/>
      </w:pPr>
      <w:r>
        <w:t>89. Post-Go-Live Reconciliation</w:t>
      </w:r>
    </w:p>
    <w:p>
      <w:pPr>
        <w:pStyle w:val="ListBullet"/>
      </w:pPr>
      <w:r>
        <w:t>Repeat source/target controls.</w:t>
      </w:r>
    </w:p>
    <w:p>
      <w:pPr>
        <w:pStyle w:val="ListBullet"/>
      </w:pPr>
      <w:r>
        <w:t>Validate final deltas.</w:t>
      </w:r>
    </w:p>
    <w:p>
      <w:pPr>
        <w:pStyle w:val="ListBullet"/>
      </w:pPr>
      <w:r>
        <w:t>Review active records.</w:t>
      </w:r>
    </w:p>
    <w:p>
      <w:pPr>
        <w:pStyle w:val="ListBullet"/>
      </w:pPr>
      <w:r>
        <w:t>Finance/stock close.</w:t>
      </w:r>
    </w:p>
    <w:p>
      <w:pPr>
        <w:pStyle w:val="ListBullet"/>
      </w:pPr>
      <w:r>
        <w:t>Missing document queue.</w:t>
      </w:r>
    </w:p>
    <w:p>
      <w:pPr>
        <w:pStyle w:val="ListBullet"/>
      </w:pPr>
      <w:r>
        <w:t>Duplicate monitoring.</w:t>
      </w:r>
    </w:p>
    <w:p>
      <w:pPr>
        <w:pStyle w:val="ListBullet"/>
      </w:pPr>
      <w:r>
        <w:t>Close exceptions.</w:t>
      </w:r>
    </w:p>
    <w:p>
      <w:pPr>
        <w:pStyle w:val="Heading1"/>
      </w:pPr>
      <w:r>
        <w:t>90. Legacy Read-Only Access</w:t>
      </w:r>
    </w:p>
    <w:p>
      <w:pPr>
        <w:pStyle w:val="ListBullet"/>
      </w:pPr>
      <w:r>
        <w:t>Define duration.</w:t>
      </w:r>
    </w:p>
    <w:p>
      <w:pPr>
        <w:pStyle w:val="ListBullet"/>
      </w:pPr>
      <w:r>
        <w:t>Authorized users.</w:t>
      </w:r>
    </w:p>
    <w:p>
      <w:pPr>
        <w:pStyle w:val="ListBullet"/>
      </w:pPr>
      <w:r>
        <w:t>Audit.</w:t>
      </w:r>
    </w:p>
    <w:p>
      <w:pPr>
        <w:pStyle w:val="ListBullet"/>
      </w:pPr>
      <w:r>
        <w:t>Clear 'legacy/read-only' label.</w:t>
      </w:r>
    </w:p>
    <w:p>
      <w:pPr>
        <w:pStyle w:val="ListBullet"/>
      </w:pPr>
      <w:r>
        <w:t>No new documentation.</w:t>
      </w:r>
    </w:p>
    <w:p>
      <w:pPr>
        <w:pStyle w:val="ListBullet"/>
      </w:pPr>
      <w:r>
        <w:t>Link from Pulse only if safe.</w:t>
      </w:r>
    </w:p>
    <w:p>
      <w:pPr>
        <w:pStyle w:val="ListBullet"/>
      </w:pPr>
      <w:r>
        <w:t>Retirement criteria.</w:t>
      </w:r>
    </w:p>
    <w:p>
      <w:pPr>
        <w:pStyle w:val="Heading1"/>
      </w:pPr>
      <w:r>
        <w:t>91. Legacy Archive</w:t>
      </w:r>
    </w:p>
    <w:p>
      <w:pPr>
        <w:pStyle w:val="ListBullet"/>
      </w:pPr>
      <w:r>
        <w:t>Immutable export where required.</w:t>
      </w:r>
    </w:p>
    <w:p>
      <w:pPr>
        <w:pStyle w:val="ListBullet"/>
      </w:pPr>
      <w:r>
        <w:t>Schema/data dictionary.</w:t>
      </w:r>
    </w:p>
    <w:p>
      <w:pPr>
        <w:pStyle w:val="ListBullet"/>
      </w:pPr>
      <w:r>
        <w:t>Application rendering strategy for documents.</w:t>
      </w:r>
    </w:p>
    <w:p>
      <w:pPr>
        <w:pStyle w:val="ListBullet"/>
      </w:pPr>
      <w:r>
        <w:t>Search/retrieval.</w:t>
      </w:r>
    </w:p>
    <w:p>
      <w:pPr>
        <w:pStyle w:val="ListBullet"/>
      </w:pPr>
      <w:r>
        <w:t>Encryption.</w:t>
      </w:r>
    </w:p>
    <w:p>
      <w:pPr>
        <w:pStyle w:val="ListBullet"/>
      </w:pPr>
      <w:r>
        <w:t>Retention.</w:t>
      </w:r>
    </w:p>
    <w:p>
      <w:pPr>
        <w:pStyle w:val="ListBullet"/>
      </w:pPr>
      <w:r>
        <w:t>Access audit.</w:t>
      </w:r>
    </w:p>
    <w:p>
      <w:pPr>
        <w:pStyle w:val="ListBullet"/>
      </w:pPr>
      <w:r>
        <w:t>Vendor exit.</w:t>
      </w:r>
    </w:p>
    <w:p>
      <w:pPr>
        <w:pStyle w:val="Heading1"/>
      </w:pPr>
      <w:r>
        <w:t>92. Legacy Decommissioning</w:t>
      </w:r>
    </w:p>
    <w:p>
      <w:pPr>
        <w:pStyle w:val="ListBullet"/>
      </w:pPr>
      <w:r>
        <w:t>Confirm migration acceptance.</w:t>
      </w:r>
    </w:p>
    <w:p>
      <w:pPr>
        <w:pStyle w:val="ListBullet"/>
      </w:pPr>
      <w:r>
        <w:t>Retention/legal hold.</w:t>
      </w:r>
    </w:p>
    <w:p>
      <w:pPr>
        <w:pStyle w:val="ListBullet"/>
      </w:pPr>
      <w:r>
        <w:t>Export/archive.</w:t>
      </w:r>
    </w:p>
    <w:p>
      <w:pPr>
        <w:pStyle w:val="ListBullet"/>
      </w:pPr>
      <w:r>
        <w:t>Revoke integrations/accounts.</w:t>
      </w:r>
    </w:p>
    <w:p>
      <w:pPr>
        <w:pStyle w:val="ListBullet"/>
      </w:pPr>
      <w:r>
        <w:t>Securely dispose hardware/data as approved.</w:t>
      </w:r>
    </w:p>
    <w:p>
      <w:pPr>
        <w:pStyle w:val="ListBullet"/>
      </w:pPr>
      <w:r>
        <w:t>Update CMDB.</w:t>
      </w:r>
    </w:p>
    <w:p>
      <w:pPr>
        <w:pStyle w:val="ListBullet"/>
      </w:pPr>
      <w:r>
        <w:t>Document destruction/decommission evidence.</w:t>
      </w:r>
    </w:p>
    <w:p>
      <w:pPr>
        <w:pStyle w:val="Heading1"/>
      </w:pPr>
      <w:r>
        <w:t>93. Privacy and Migration</w:t>
      </w:r>
    </w:p>
    <w:p>
      <w:pPr>
        <w:pStyle w:val="ListBullet"/>
      </w:pPr>
      <w:r>
        <w:t>Purpose limitation.</w:t>
      </w:r>
    </w:p>
    <w:p>
      <w:pPr>
        <w:pStyle w:val="ListBullet"/>
      </w:pPr>
      <w:r>
        <w:t>Minimum access.</w:t>
      </w:r>
    </w:p>
    <w:p>
      <w:pPr>
        <w:pStyle w:val="ListBullet"/>
      </w:pPr>
      <w:r>
        <w:t>Secure transfer.</w:t>
      </w:r>
    </w:p>
    <w:p>
      <w:pPr>
        <w:pStyle w:val="ListBullet"/>
      </w:pPr>
      <w:r>
        <w:t>Staging retention.</w:t>
      </w:r>
    </w:p>
    <w:p>
      <w:pPr>
        <w:pStyle w:val="ListBullet"/>
      </w:pPr>
      <w:r>
        <w:t>Processor agreements.</w:t>
      </w:r>
    </w:p>
    <w:p>
      <w:pPr>
        <w:pStyle w:val="ListBullet"/>
      </w:pPr>
      <w:r>
        <w:t>Cross-border/storage review.</w:t>
      </w:r>
    </w:p>
    <w:p>
      <w:pPr>
        <w:pStyle w:val="ListBullet"/>
      </w:pPr>
      <w:r>
        <w:t>Rights requests during transition.</w:t>
      </w:r>
    </w:p>
    <w:p>
      <w:pPr>
        <w:pStyle w:val="ListBullet"/>
      </w:pPr>
      <w:r>
        <w:t>Breach response.</w:t>
      </w:r>
    </w:p>
    <w:p>
      <w:pPr>
        <w:pStyle w:val="Heading1"/>
      </w:pPr>
      <w:r>
        <w:t>94. Security Controls</w:t>
      </w:r>
    </w:p>
    <w:p>
      <w:pPr>
        <w:pStyle w:val="ListBullet"/>
      </w:pPr>
      <w:r>
        <w:t>Encrypted transport/storage.</w:t>
      </w:r>
    </w:p>
    <w:p>
      <w:pPr>
        <w:pStyle w:val="ListBullet"/>
      </w:pPr>
      <w:r>
        <w:t>Privileged migration accounts.</w:t>
      </w:r>
    </w:p>
    <w:p>
      <w:pPr>
        <w:pStyle w:val="ListBullet"/>
      </w:pPr>
      <w:r>
        <w:t>MFA.</w:t>
      </w:r>
    </w:p>
    <w:p>
      <w:pPr>
        <w:pStyle w:val="ListBullet"/>
      </w:pPr>
      <w:r>
        <w:t>IP/network restrictions.</w:t>
      </w:r>
    </w:p>
    <w:p>
      <w:pPr>
        <w:pStyle w:val="ListBullet"/>
      </w:pPr>
      <w:r>
        <w:t>Secret manager.</w:t>
      </w:r>
    </w:p>
    <w:p>
      <w:pPr>
        <w:pStyle w:val="ListBullet"/>
      </w:pPr>
      <w:r>
        <w:t>Audit.</w:t>
      </w:r>
    </w:p>
    <w:p>
      <w:pPr>
        <w:pStyle w:val="ListBullet"/>
      </w:pPr>
      <w:r>
        <w:t>Malware scan.</w:t>
      </w:r>
    </w:p>
    <w:p>
      <w:pPr>
        <w:pStyle w:val="ListBullet"/>
      </w:pPr>
      <w:r>
        <w:t>No PHI in logs.</w:t>
      </w:r>
    </w:p>
    <w:p>
      <w:pPr>
        <w:pStyle w:val="ListBullet"/>
      </w:pPr>
      <w:r>
        <w:t>Temporary access expiry.</w:t>
      </w:r>
    </w:p>
    <w:p>
      <w:pPr>
        <w:pStyle w:val="Heading1"/>
      </w:pPr>
      <w:r>
        <w:t>95. QA Integration</w:t>
      </w:r>
    </w:p>
    <w:p>
      <w:pPr>
        <w:pStyle w:val="ListBullet"/>
      </w:pPr>
      <w:r>
        <w:t>Migration tests versioned.</w:t>
      </w:r>
    </w:p>
    <w:p>
      <w:pPr>
        <w:pStyle w:val="ListBullet"/>
      </w:pPr>
      <w:r>
        <w:t>Data fixtures.</w:t>
      </w:r>
    </w:p>
    <w:p>
      <w:pPr>
        <w:pStyle w:val="ListBullet"/>
      </w:pPr>
      <w:r>
        <w:t>Mapping tests.</w:t>
      </w:r>
    </w:p>
    <w:p>
      <w:pPr>
        <w:pStyle w:val="ListBullet"/>
      </w:pPr>
      <w:r>
        <w:t>Idempotency.</w:t>
      </w:r>
    </w:p>
    <w:p>
      <w:pPr>
        <w:pStyle w:val="ListBullet"/>
      </w:pPr>
      <w:r>
        <w:t>Performance.</w:t>
      </w:r>
    </w:p>
    <w:p>
      <w:pPr>
        <w:pStyle w:val="ListBullet"/>
      </w:pPr>
      <w:r>
        <w:t>Reconciliation automation.</w:t>
      </w:r>
    </w:p>
    <w:p>
      <w:pPr>
        <w:pStyle w:val="ListBullet"/>
      </w:pPr>
      <w:r>
        <w:t>Clinical sample.</w:t>
      </w:r>
    </w:p>
    <w:p>
      <w:pPr>
        <w:pStyle w:val="ListBullet"/>
      </w:pPr>
      <w:r>
        <w:t>Rollback rehearsal.</w:t>
      </w:r>
    </w:p>
    <w:p>
      <w:pPr>
        <w:pStyle w:val="ListBullet"/>
      </w:pPr>
      <w:r>
        <w:t>Defects trace to batch/mapping.</w:t>
      </w:r>
    </w:p>
    <w:p>
      <w:pPr>
        <w:pStyle w:val="Heading1"/>
      </w:pPr>
      <w:r>
        <w:t>96. Migration Metrics</w:t>
      </w:r>
    </w:p>
    <w:p>
      <w:pPr>
        <w:pStyle w:val="ListBullet"/>
      </w:pPr>
      <w:r>
        <w:t>Records extracted/transformed/loaded.</w:t>
      </w:r>
    </w:p>
    <w:p>
      <w:pPr>
        <w:pStyle w:val="ListBullet"/>
      </w:pPr>
      <w:r>
        <w:t>Rejected/exceptions.</w:t>
      </w:r>
    </w:p>
    <w:p>
      <w:pPr>
        <w:pStyle w:val="ListBullet"/>
      </w:pPr>
      <w:r>
        <w:t>Duplicate candidates.</w:t>
      </w:r>
    </w:p>
    <w:p>
      <w:pPr>
        <w:pStyle w:val="ListBullet"/>
      </w:pPr>
      <w:r>
        <w:t>Unmapped codes.</w:t>
      </w:r>
    </w:p>
    <w:p>
      <w:pPr>
        <w:pStyle w:val="ListBullet"/>
      </w:pPr>
      <w:r>
        <w:t>Missing documents.</w:t>
      </w:r>
    </w:p>
    <w:p>
      <w:pPr>
        <w:pStyle w:val="ListBullet"/>
      </w:pPr>
      <w:r>
        <w:t>Reconciliation variance.</w:t>
      </w:r>
    </w:p>
    <w:p>
      <w:pPr>
        <w:pStyle w:val="ListBullet"/>
      </w:pPr>
      <w:r>
        <w:t>Runtime.</w:t>
      </w:r>
    </w:p>
    <w:p>
      <w:pPr>
        <w:pStyle w:val="ListBullet"/>
      </w:pPr>
      <w:r>
        <w:t>Manual interventions.</w:t>
      </w:r>
    </w:p>
    <w:p>
      <w:pPr>
        <w:pStyle w:val="ListBullet"/>
      </w:pPr>
      <w:r>
        <w:t>Post-go-live migration defects.</w:t>
      </w:r>
    </w:p>
    <w:p>
      <w:pPr>
        <w:pStyle w:val="Heading1"/>
      </w:pPr>
      <w:r>
        <w:t>97. Formal Migration Requirements</w:t>
      </w:r>
    </w:p>
    <w:p>
      <w:pPr>
        <w:pStyle w:val="ListBullet"/>
      </w:pPr>
      <w:r>
        <w:t>MIG-SR-001 Every migrated record SHALL retain source provenance sufficient for trace-back.</w:t>
      </w:r>
    </w:p>
    <w:p>
      <w:pPr>
        <w:pStyle w:val="ListBullet"/>
      </w:pPr>
      <w:r>
        <w:t>MIG-SR-002 Legacy identifiers SHALL be namespaced and preserved.</w:t>
      </w:r>
    </w:p>
    <w:p>
      <w:pPr>
        <w:pStyle w:val="ListBullet"/>
      </w:pPr>
      <w:r>
        <w:t>MIG-SR-003 Migration SHALL NOT convert blank allergy data into no-known-allergy.</w:t>
      </w:r>
    </w:p>
    <w:p>
      <w:pPr>
        <w:pStyle w:val="ListBullet"/>
      </w:pPr>
      <w:r>
        <w:t>MIG-SR-004 Suspected/provisional diagnoses SHALL NOT be silently promoted to confirmed.</w:t>
      </w:r>
    </w:p>
    <w:p>
      <w:pPr>
        <w:pStyle w:val="ListBullet"/>
      </w:pPr>
      <w:r>
        <w:t>MIG-SR-005 Historical medication/dispense SHALL NOT automatically create an administration event.</w:t>
      </w:r>
    </w:p>
    <w:p>
      <w:pPr>
        <w:pStyle w:val="ListBullet"/>
      </w:pPr>
      <w:r>
        <w:t>MIG-SR-006 Active medication orders at cutover SHALL undergo explicit clinical reconciliation.</w:t>
      </w:r>
    </w:p>
    <w:p>
      <w:pPr>
        <w:pStyle w:val="ListBullet"/>
      </w:pPr>
      <w:r>
        <w:t>MIG-SR-007 Signed legacy clinical records SHALL remain historically attributable and immutable in meaning.</w:t>
      </w:r>
    </w:p>
    <w:p>
      <w:pPr>
        <w:pStyle w:val="ListBullet"/>
      </w:pPr>
      <w:r>
        <w:t>MIG-SR-008 Unknown/unmapped terminology SHALL be surfaced, not silently discarded.</w:t>
      </w:r>
    </w:p>
    <w:p>
      <w:pPr>
        <w:pStyle w:val="ListBullet"/>
      </w:pPr>
      <w:r>
        <w:t>MIG-SR-009 Original units/values SHALL be preserved when clinical conversion occurs.</w:t>
      </w:r>
    </w:p>
    <w:p>
      <w:pPr>
        <w:pStyle w:val="ListBullet"/>
      </w:pPr>
      <w:r>
        <w:t>MIG-SR-010 Migration batches SHALL be repeatable/idempotent to the defined level.</w:t>
      </w:r>
    </w:p>
    <w:p>
      <w:pPr>
        <w:pStyle w:val="ListBullet"/>
      </w:pPr>
      <w:r>
        <w:t>MIG-SR-011 Patient linkage SHALL prevent cross-patient contamination and uncertain matches SHALL be reviewed.</w:t>
      </w:r>
    </w:p>
    <w:p>
      <w:pPr>
        <w:pStyle w:val="ListBullet"/>
      </w:pPr>
      <w:r>
        <w:t>MIG-SR-012 Financial opening balances SHALL reconcile without double-counting imported history.</w:t>
      </w:r>
    </w:p>
    <w:p>
      <w:pPr>
        <w:pStyle w:val="ListBullet"/>
      </w:pPr>
      <w:r>
        <w:t>MIG-SR-013 Inventory opening balances SHALL be represented through auditable opening/migration transactions.</w:t>
      </w:r>
    </w:p>
    <w:p>
      <w:pPr>
        <w:pStyle w:val="ListBullet"/>
      </w:pPr>
      <w:r>
        <w:t>MIG-SR-014 Documents SHALL be reconciled for metadata, binary presence and patient association.</w:t>
      </w:r>
    </w:p>
    <w:p>
      <w:pPr>
        <w:pStyle w:val="ListBullet"/>
      </w:pPr>
      <w:r>
        <w:t>MIG-SR-015 Cutover SHALL NOT proceed with unresolved M0/M1 migration defects.</w:t>
      </w:r>
    </w:p>
    <w:p>
      <w:pPr>
        <w:pStyle w:val="ListBullet"/>
      </w:pPr>
      <w:r>
        <w:t>MIG-SR-016 Rollback after Pulse begins production writes SHALL preserve those new transactions.</w:t>
      </w:r>
    </w:p>
    <w:p>
      <w:pPr>
        <w:pStyle w:val="ListBullet"/>
      </w:pPr>
      <w:r>
        <w:t>MIG-SR-017 Staging datasets SHALL be access-controlled, encrypted and disposed according to approved policy.</w:t>
      </w:r>
    </w:p>
    <w:p>
      <w:pPr>
        <w:pStyle w:val="ListBullet"/>
      </w:pPr>
      <w:r>
        <w:t>MIG-SR-018 Production migration SHALL have at least one full rehearsal at representative scale.</w:t>
      </w:r>
    </w:p>
    <w:p>
      <w:pPr>
        <w:pStyle w:val="ListBullet"/>
      </w:pPr>
      <w:r>
        <w:t>MIG-SR-019 Post-go-live reconciliation SHALL be completed before migration closure.</w:t>
      </w:r>
    </w:p>
    <w:p>
      <w:pPr>
        <w:pStyle w:val="ListBullet"/>
      </w:pPr>
      <w:r>
        <w:t>MIG-SR-020 Direct production database edits SHALL NOT be used as routine migration defect correction.</w:t>
      </w:r>
    </w:p>
    <w:p>
      <w:pPr>
        <w:pStyle w:val="Heading1"/>
      </w:pPr>
      <w:r>
        <w:t>98. Definition of Done</w:t>
      </w:r>
    </w:p>
    <w:p>
      <w:pPr>
        <w:pStyle w:val="ListBullet"/>
      </w:pPr>
      <w:r>
        <w:t>Source inventory complete.</w:t>
      </w:r>
    </w:p>
    <w:p>
      <w:pPr>
        <w:pStyle w:val="ListBullet"/>
      </w:pPr>
      <w:r>
        <w:t>Authority per domain documented.</w:t>
      </w:r>
    </w:p>
    <w:p>
      <w:pPr>
        <w:pStyle w:val="ListBullet"/>
      </w:pPr>
      <w:r>
        <w:t>Mappings approved.</w:t>
      </w:r>
    </w:p>
    <w:p>
      <w:pPr>
        <w:pStyle w:val="ListBullet"/>
      </w:pPr>
      <w:r>
        <w:t>Full profiling complete.</w:t>
      </w:r>
    </w:p>
    <w:p>
      <w:pPr>
        <w:pStyle w:val="ListBullet"/>
      </w:pPr>
      <w:r>
        <w:t>At least one representative full rehearsal.</w:t>
      </w:r>
    </w:p>
    <w:p>
      <w:pPr>
        <w:pStyle w:val="ListBullet"/>
      </w:pPr>
      <w:r>
        <w:t>Automated reconciliation established.</w:t>
      </w:r>
    </w:p>
    <w:p>
      <w:pPr>
        <w:pStyle w:val="ListBullet"/>
      </w:pPr>
      <w:r>
        <w:t>Clinical/finance/inventory validation complete for scope.</w:t>
      </w:r>
    </w:p>
    <w:p>
      <w:pPr>
        <w:pStyle w:val="ListBullet"/>
      </w:pPr>
      <w:r>
        <w:t>No unresolved M0/M1.</w:t>
      </w:r>
    </w:p>
    <w:p>
      <w:pPr>
        <w:pStyle w:val="ListBullet"/>
      </w:pPr>
      <w:r>
        <w:t>Go/no-go signed.</w:t>
      </w:r>
    </w:p>
    <w:p>
      <w:pPr>
        <w:pStyle w:val="ListBullet"/>
      </w:pPr>
      <w:r>
        <w:t>Post-go-live reconciliation complete.</w:t>
      </w:r>
    </w:p>
    <w:p>
      <w:pPr>
        <w:pStyle w:val="ListBullet"/>
      </w:pPr>
      <w:r>
        <w:t>Legacy archive/decommission plan approved.</w:t>
      </w:r>
    </w:p>
    <w:p>
      <w:pPr>
        <w:pStyle w:val="ListBullet"/>
      </w:pPr>
      <w:r>
        <w:t>MIG-SR-001 through MIG-SR-020 traceable to evidence.</w:t>
      </w:r>
    </w:p>
    <w:p>
      <w:pPr>
        <w:pStyle w:val="Heading1"/>
      </w:pPr>
      <w:r>
        <w:t>Appendix A — Migration Mapping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Field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Description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Map 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Stable mapping identifier.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Domain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Patient/lab/med/etc.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Source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System.table.field.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Source semantics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What it actually means.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Target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Pulse entity.field.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Transform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Rule.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Terminology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Code/map version.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Null/default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Explicit policy.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Lossiness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Exact/lossy/unmapped.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Reviewer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Domain owner.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Test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Migration test ID.</w:t>
            </w:r>
          </w:p>
        </w:tc>
      </w:tr>
    </w:tbl>
    <w:p>
      <w:pPr>
        <w:pStyle w:val="Heading1"/>
      </w:pPr>
      <w:r>
        <w:t>Appendix B — Cutover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SOURCE SYSTEMS</w:t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↓ full baseline extraction</w:t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RAW IMMUTABLE STAGING</w:t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↓ profile + transform + validate</w:t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PULSE MIGRATION STAGING</w:t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↓ dry-run load + reconcile</w:t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REHEARSAL / DEFECT CORRECTION</w:t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↓ final freeze</w:t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FINAL DELTA EXTRACTION</w:t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↓ idempotent transform/load</w:t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PRODUCTION PULSE</w:t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↓ automated reconciliation</w:t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CLINICAL + FINANCE + INVENTORY VALIDATION</w:t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↓ go/no-go</w:t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GO LIVE → HYPERCARE → FINAL RECONCILIATION</w:t>
            </w:r>
          </w:p>
        </w:tc>
      </w:tr>
    </w:tbl>
    <w:p>
      <w:pPr>
        <w:pStyle w:val="Heading1"/>
      </w:pPr>
      <w:r>
        <w:t>Appendix C — Go/No-Go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Area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Evidence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Patient identity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Counts/matches/duplicates/provisional review.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Clinical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Active/high-risk chart validation.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Medication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Current meds/active orders/eMAR boundary.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Diagnostics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Recent/open lab/imaging.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Referral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Open cases.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Documents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Presence/hash/sample open.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Finance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Balances/claims.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Inventory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Opening quantities/batches.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Security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Migration accounts/staging controls.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Operations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Backup/rollback/support.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Performance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Cutover/runtime/production health.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Approval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Named go/no-go authorities.</w:t>
            </w:r>
          </w:p>
        </w:tc>
      </w:tr>
    </w:tbl>
    <w:p>
      <w:pPr>
        <w:pStyle w:val="Heading1"/>
      </w:pPr>
      <w:r>
        <w:t>Appendix D — Reconciliation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10"/>
              </w:rPr>
              <w:t>Domain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10"/>
              </w:rPr>
              <w:t>Automated control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10"/>
              </w:rPr>
              <w:t>Human validation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Patient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Counts/identifiers/duplicates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Demographic sample.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Clinical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Counts/relationships/status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Chart review.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Lab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Result/order/unit/code counts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Recent/critical sample.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Imaging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Study/report/accession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PACS launch/report sample.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Medication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History/order/dispense/admin counts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Active medication review.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Revenue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Totals/balances/claims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Finance sign-off.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Inventory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Qty/batch/value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Physical/store sign-off.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Documents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Metadata/binary/hash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10"/>
              </w:rPr>
              <w:t>Open sample.</w:t>
            </w:r>
          </w:p>
        </w:tc>
      </w:tr>
    </w:tbl>
    <w:p>
      <w:pPr>
        <w:pStyle w:val="Heading1"/>
      </w:pPr>
      <w:r>
        <w:t>Appendix E — Migration Exception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Field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Exception 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Unique.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Batch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Migration batch.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Source record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Trace reference.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Patient/domain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Secure identifier/domain.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Issue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Description.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Severity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M0-M3.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Disposition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Fix/map/import-as-is/exclude.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Approver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Owner.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Evidence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Before/after.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Status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Open/closed.</w:t>
            </w:r>
          </w:p>
        </w:tc>
      </w:tr>
    </w:tbl>
    <w:p>
      <w:pPr>
        <w:pStyle w:val="Heading1"/>
      </w:pPr>
      <w:r>
        <w:t>Appendix F — Required Follow-On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Artifact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Purpose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Source inventory workbook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All source systems/tables/files.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Mapping workbook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Field/code transformations.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Terminology crosswalk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Versioned clinical mappings.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Migration ETL repository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Repeatable pipelines.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Reconciliation dashboard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Counts/values/exceptions.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Cutover minute plan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Timed command sequence.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Rollback plan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Decision/action.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Legacy archive specification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Long-term access.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Clinical validation scripts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Chart review.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Migration sign-off pack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Formal evidence.</w:t>
            </w:r>
          </w:p>
        </w:tc>
      </w:tr>
    </w:tbl>
    <w:p>
      <w:pPr>
        <w:pStyle w:val="Heading1"/>
      </w:pPr>
      <w:r>
        <w:t>Appendix G — Architectural Boundary</w:t>
      </w:r>
    </w:p>
    <w:p>
      <w:r>
        <w:t>PULSE-MIG-001 governs historical data conversion and cutover. It does not authorize the migration process to reinterpret clinical history, override domain state models, weaken IAM/privacy controls or create synthetic facts merely to satisfy target-schema completeness. When the source cannot support a target semantic, the correct outcome is an explicit unknown, historical document, exception or governed abstraction—not invented certainty.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Pulse Health Platform • Confidential • Migration &amp; Cutover Baseline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PULSE-MIG-001  |  LEGACY DATA MIGRATION, RECONCILIATION &amp; PRODUCTION CUTOVER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4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