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sz w:val="62"/>
        </w:rPr>
        <w:t>PULSE-NFR-001</w:t>
      </w:r>
    </w:p>
    <w:p>
      <w:pPr>
        <w:jc w:val="center"/>
      </w:pPr>
      <w:r>
        <w:rPr>
          <w:b/>
          <w:sz w:val="33"/>
        </w:rPr>
        <w:t>Non-Functional Requirements, Quality Attributes, SLO/SLA &amp; Capacity Engineering Catalogue</w:t>
      </w:r>
    </w:p>
    <w:p>
      <w:pPr>
        <w:jc w:val="center"/>
      </w:pPr>
      <w:r>
        <w:rPr>
          <w:b/>
        </w:rPr>
        <w:t>Pulse Health Platform</w:t>
      </w:r>
    </w:p>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4"/>
              </w:rPr>
              <w:t>Document Control</w:t>
            </w:r>
          </w:p>
        </w:tc>
        <w:tc>
          <w:tcPr>
            <w:tcW w:type="dxa" w:w="5227"/>
          </w:tcPr>
          <w:p>
            <w:pPr>
              <w:spacing w:after="0"/>
            </w:pPr>
            <w:r>
              <w:rPr>
                <w:b/>
                <w:sz w:val="14"/>
              </w:rPr>
              <w:t>Value</w:t>
            </w:r>
          </w:p>
        </w:tc>
      </w:tr>
      <w:tr>
        <w:tc>
          <w:tcPr>
            <w:tcW w:type="dxa" w:w="5227"/>
          </w:tcPr>
          <w:p>
            <w:pPr>
              <w:spacing w:after="0"/>
            </w:pPr>
            <w:r>
              <w:rPr>
                <w:sz w:val="14"/>
              </w:rPr>
              <w:t>Parent documents</w:t>
            </w:r>
          </w:p>
        </w:tc>
        <w:tc>
          <w:tcPr>
            <w:tcW w:type="dxa" w:w="5227"/>
          </w:tcPr>
          <w:p>
            <w:pPr>
              <w:spacing w:after="0"/>
            </w:pPr>
            <w:r>
              <w:rPr>
                <w:sz w:val="14"/>
              </w:rPr>
              <w:t>Pulse Master Blueprint; PULSE-ARCH-001; PULSE-SAFE-001; PULSE-SEC-001; PULSE-IAM-001; PULSE-FHIR-001 and domain specifications</w:t>
            </w:r>
          </w:p>
        </w:tc>
      </w:tr>
      <w:tr>
        <w:tc>
          <w:tcPr>
            <w:tcW w:type="dxa" w:w="5227"/>
          </w:tcPr>
          <w:p>
            <w:pPr>
              <w:spacing w:after="0"/>
            </w:pPr>
            <w:r>
              <w:rPr>
                <w:sz w:val="14"/>
              </w:rPr>
              <w:t>Version</w:t>
            </w:r>
          </w:p>
        </w:tc>
        <w:tc>
          <w:tcPr>
            <w:tcW w:type="dxa" w:w="5227"/>
          </w:tcPr>
          <w:p>
            <w:pPr>
              <w:spacing w:after="0"/>
            </w:pPr>
            <w:r>
              <w:rPr>
                <w:sz w:val="14"/>
              </w:rPr>
              <w:t>1.0</w:t>
            </w:r>
          </w:p>
        </w:tc>
      </w:tr>
      <w:tr>
        <w:tc>
          <w:tcPr>
            <w:tcW w:type="dxa" w:w="5227"/>
          </w:tcPr>
          <w:p>
            <w:pPr>
              <w:spacing w:after="0"/>
            </w:pPr>
            <w:r>
              <w:rPr>
                <w:sz w:val="14"/>
              </w:rPr>
              <w:t>Status</w:t>
            </w:r>
          </w:p>
        </w:tc>
        <w:tc>
          <w:tcPr>
            <w:tcW w:type="dxa" w:w="5227"/>
          </w:tcPr>
          <w:p>
            <w:pPr>
              <w:spacing w:after="0"/>
            </w:pPr>
            <w:r>
              <w:rPr>
                <w:sz w:val="14"/>
              </w:rPr>
              <w:t>Engineering Quality &amp; Service-Level Baseline</w:t>
            </w:r>
          </w:p>
        </w:tc>
      </w:tr>
      <w:tr>
        <w:tc>
          <w:tcPr>
            <w:tcW w:type="dxa" w:w="5227"/>
          </w:tcPr>
          <w:p>
            <w:pPr>
              <w:spacing w:after="0"/>
            </w:pPr>
            <w:r>
              <w:rPr>
                <w:sz w:val="14"/>
              </w:rPr>
              <w:t>Scope</w:t>
            </w:r>
          </w:p>
        </w:tc>
        <w:tc>
          <w:tcPr>
            <w:tcW w:type="dxa" w:w="5227"/>
          </w:tcPr>
          <w:p>
            <w:pPr>
              <w:spacing w:after="0"/>
            </w:pPr>
            <w:r>
              <w:rPr>
                <w:sz w:val="14"/>
              </w:rPr>
              <w:t>Performance, availability, reliability, scalability, resilience, durability, accessibility, usability, maintainability, supportability and capacity</w:t>
            </w:r>
          </w:p>
        </w:tc>
      </w:tr>
      <w:tr>
        <w:tc>
          <w:tcPr>
            <w:tcW w:type="dxa" w:w="5227"/>
          </w:tcPr>
          <w:p>
            <w:pPr>
              <w:spacing w:after="0"/>
            </w:pPr>
            <w:r>
              <w:rPr>
                <w:sz w:val="14"/>
              </w:rPr>
              <w:t>Audience</w:t>
            </w:r>
          </w:p>
        </w:tc>
        <w:tc>
          <w:tcPr>
            <w:tcW w:type="dxa" w:w="5227"/>
          </w:tcPr>
          <w:p>
            <w:pPr>
              <w:spacing w:after="0"/>
            </w:pPr>
            <w:r>
              <w:rPr>
                <w:sz w:val="14"/>
              </w:rPr>
              <w:t>Architecture, Engineering, SRE/Operations, QA, Product, Clinical Safety, Security, Facility IT, Vendors</w:t>
            </w:r>
          </w:p>
        </w:tc>
      </w:tr>
      <w:tr>
        <w:tc>
          <w:tcPr>
            <w:tcW w:type="dxa" w:w="5227"/>
          </w:tcPr>
          <w:p>
            <w:pPr>
              <w:spacing w:after="0"/>
            </w:pPr>
            <w:r>
              <w:rPr>
                <w:sz w:val="14"/>
              </w:rPr>
              <w:t>Purpose</w:t>
            </w:r>
          </w:p>
        </w:tc>
        <w:tc>
          <w:tcPr>
            <w:tcW w:type="dxa" w:w="5227"/>
          </w:tcPr>
          <w:p>
            <w:pPr>
              <w:spacing w:after="0"/>
            </w:pPr>
            <w:r>
              <w:rPr>
                <w:sz w:val="14"/>
              </w:rPr>
              <w:t>Convert quality expectations into measurable, testable and monitorable engineering requirements.</w:t>
            </w:r>
          </w:p>
        </w:tc>
      </w:tr>
      <w:tr>
        <w:tc>
          <w:tcPr>
            <w:tcW w:type="dxa" w:w="5227"/>
          </w:tcPr>
          <w:p>
            <w:pPr>
              <w:spacing w:after="0"/>
            </w:pPr>
            <w:r>
              <w:rPr>
                <w:sz w:val="14"/>
              </w:rPr>
              <w:t>Core rule</w:t>
            </w:r>
          </w:p>
        </w:tc>
        <w:tc>
          <w:tcPr>
            <w:tcW w:type="dxa" w:w="5227"/>
          </w:tcPr>
          <w:p>
            <w:pPr>
              <w:spacing w:after="0"/>
            </w:pPr>
            <w:r>
              <w:rPr>
                <w:sz w:val="14"/>
              </w:rPr>
              <w:t>Terms such as fast, scalable, reliable and highly available are unacceptable requirements unless tied to workload, measurement method, threshold and evidence.</w:t>
            </w:r>
          </w:p>
        </w:tc>
      </w:tr>
    </w:tbl>
    <w:p>
      <w:r>
        <w:br w:type="page"/>
      </w:r>
    </w:p>
    <w:p>
      <w:pPr>
        <w:pStyle w:val="Heading1"/>
      </w:pPr>
      <w:r>
        <w:t>1. Purpose</w:t>
      </w:r>
    </w:p>
    <w:p>
      <w:r>
        <w:t>PULSE-NFR-001 defines measurable quality attributes for the Pulse Health Platform. It provides the baseline from which deployment-specific service objectives, capacity plans, acceptance tests and operational dashboards are derived.</w:t>
      </w:r>
    </w:p>
    <w:p>
      <w:r>
        <w:t>Because Pulse may operate in clinics, hospitals, referral centres, hospital groups and intermittently connected environments, quality targets are expressed by service criticality and workload rather than assuming one infrastructure size fits every facility.</w:t>
      </w:r>
    </w:p>
    <w:p>
      <w:pPr>
        <w:pStyle w:val="Heading1"/>
      </w:pPr>
      <w:r>
        <w:t>2. Requirement Language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Term</w:t>
            </w:r>
          </w:p>
        </w:tc>
        <w:tc>
          <w:tcPr>
            <w:tcW w:type="dxa" w:w="5227"/>
          </w:tcPr>
          <w:p>
            <w:pPr>
              <w:spacing w:after="0"/>
            </w:pPr>
            <w:r>
              <w:rPr>
                <w:b/>
                <w:sz w:val="11"/>
              </w:rPr>
              <w:t>Meaning</w:t>
            </w:r>
          </w:p>
        </w:tc>
      </w:tr>
      <w:tr>
        <w:tc>
          <w:tcPr>
            <w:tcW w:type="dxa" w:w="5227"/>
          </w:tcPr>
          <w:p>
            <w:pPr>
              <w:spacing w:after="0"/>
            </w:pPr>
            <w:r>
              <w:rPr>
                <w:sz w:val="11"/>
              </w:rPr>
              <w:t>SHALL</w:t>
            </w:r>
          </w:p>
        </w:tc>
        <w:tc>
          <w:tcPr>
            <w:tcW w:type="dxa" w:w="5227"/>
          </w:tcPr>
          <w:p>
            <w:pPr>
              <w:spacing w:after="0"/>
            </w:pPr>
            <w:r>
              <w:rPr>
                <w:sz w:val="11"/>
              </w:rPr>
              <w:t>Mandatory requirement.</w:t>
            </w:r>
          </w:p>
        </w:tc>
      </w:tr>
      <w:tr>
        <w:tc>
          <w:tcPr>
            <w:tcW w:type="dxa" w:w="5227"/>
          </w:tcPr>
          <w:p>
            <w:pPr>
              <w:spacing w:after="0"/>
            </w:pPr>
            <w:r>
              <w:rPr>
                <w:sz w:val="11"/>
              </w:rPr>
              <w:t>SHOULD</w:t>
            </w:r>
          </w:p>
        </w:tc>
        <w:tc>
          <w:tcPr>
            <w:tcW w:type="dxa" w:w="5227"/>
          </w:tcPr>
          <w:p>
            <w:pPr>
              <w:spacing w:after="0"/>
            </w:pPr>
            <w:r>
              <w:rPr>
                <w:sz w:val="11"/>
              </w:rPr>
              <w:t>Strong recommendation; deviation requires rationale.</w:t>
            </w:r>
          </w:p>
        </w:tc>
      </w:tr>
      <w:tr>
        <w:tc>
          <w:tcPr>
            <w:tcW w:type="dxa" w:w="5227"/>
          </w:tcPr>
          <w:p>
            <w:pPr>
              <w:spacing w:after="0"/>
            </w:pPr>
            <w:r>
              <w:rPr>
                <w:sz w:val="11"/>
              </w:rPr>
              <w:t>MAY</w:t>
            </w:r>
          </w:p>
        </w:tc>
        <w:tc>
          <w:tcPr>
            <w:tcW w:type="dxa" w:w="5227"/>
          </w:tcPr>
          <w:p>
            <w:pPr>
              <w:spacing w:after="0"/>
            </w:pPr>
            <w:r>
              <w:rPr>
                <w:sz w:val="11"/>
              </w:rPr>
              <w:t>Optional capability.</w:t>
            </w:r>
          </w:p>
        </w:tc>
      </w:tr>
      <w:tr>
        <w:tc>
          <w:tcPr>
            <w:tcW w:type="dxa" w:w="5227"/>
          </w:tcPr>
          <w:p>
            <w:pPr>
              <w:spacing w:after="0"/>
            </w:pPr>
            <w:r>
              <w:rPr>
                <w:sz w:val="11"/>
              </w:rPr>
              <w:t>SLO</w:t>
            </w:r>
          </w:p>
        </w:tc>
        <w:tc>
          <w:tcPr>
            <w:tcW w:type="dxa" w:w="5227"/>
          </w:tcPr>
          <w:p>
            <w:pPr>
              <w:spacing w:after="0"/>
            </w:pPr>
            <w:r>
              <w:rPr>
                <w:sz w:val="11"/>
              </w:rPr>
              <w:t>Internal measurable service-level objective.</w:t>
            </w:r>
          </w:p>
        </w:tc>
      </w:tr>
      <w:tr>
        <w:tc>
          <w:tcPr>
            <w:tcW w:type="dxa" w:w="5227"/>
          </w:tcPr>
          <w:p>
            <w:pPr>
              <w:spacing w:after="0"/>
            </w:pPr>
            <w:r>
              <w:rPr>
                <w:sz w:val="11"/>
              </w:rPr>
              <w:t>SLA</w:t>
            </w:r>
          </w:p>
        </w:tc>
        <w:tc>
          <w:tcPr>
            <w:tcW w:type="dxa" w:w="5227"/>
          </w:tcPr>
          <w:p>
            <w:pPr>
              <w:spacing w:after="0"/>
            </w:pPr>
            <w:r>
              <w:rPr>
                <w:sz w:val="11"/>
              </w:rPr>
              <w:t>Contractual/service commitment defined per deployment.</w:t>
            </w:r>
          </w:p>
        </w:tc>
      </w:tr>
      <w:tr>
        <w:tc>
          <w:tcPr>
            <w:tcW w:type="dxa" w:w="5227"/>
          </w:tcPr>
          <w:p>
            <w:pPr>
              <w:spacing w:after="0"/>
            </w:pPr>
            <w:r>
              <w:rPr>
                <w:sz w:val="11"/>
              </w:rPr>
              <w:t>SLI</w:t>
            </w:r>
          </w:p>
        </w:tc>
        <w:tc>
          <w:tcPr>
            <w:tcW w:type="dxa" w:w="5227"/>
          </w:tcPr>
          <w:p>
            <w:pPr>
              <w:spacing w:after="0"/>
            </w:pPr>
            <w:r>
              <w:rPr>
                <w:sz w:val="11"/>
              </w:rPr>
              <w:t>Measured indicator used to evaluate an objective.</w:t>
            </w:r>
          </w:p>
        </w:tc>
      </w:tr>
      <w:tr>
        <w:tc>
          <w:tcPr>
            <w:tcW w:type="dxa" w:w="5227"/>
          </w:tcPr>
          <w:p>
            <w:pPr>
              <w:spacing w:after="0"/>
            </w:pPr>
            <w:r>
              <w:rPr>
                <w:sz w:val="11"/>
              </w:rPr>
              <w:t>Error budget</w:t>
            </w:r>
          </w:p>
        </w:tc>
        <w:tc>
          <w:tcPr>
            <w:tcW w:type="dxa" w:w="5227"/>
          </w:tcPr>
          <w:p>
            <w:pPr>
              <w:spacing w:after="0"/>
            </w:pPr>
            <w:r>
              <w:rPr>
                <w:sz w:val="11"/>
              </w:rPr>
              <w:t>Permitted unreliability under an SLO.</w:t>
            </w:r>
          </w:p>
        </w:tc>
      </w:tr>
      <w:tr>
        <w:tc>
          <w:tcPr>
            <w:tcW w:type="dxa" w:w="5227"/>
          </w:tcPr>
          <w:p>
            <w:pPr>
              <w:spacing w:after="0"/>
            </w:pPr>
            <w:r>
              <w:rPr>
                <w:sz w:val="11"/>
              </w:rPr>
              <w:t>Capacity envelope</w:t>
            </w:r>
          </w:p>
        </w:tc>
        <w:tc>
          <w:tcPr>
            <w:tcW w:type="dxa" w:w="5227"/>
          </w:tcPr>
          <w:p>
            <w:pPr>
              <w:spacing w:after="0"/>
            </w:pPr>
            <w:r>
              <w:rPr>
                <w:sz w:val="11"/>
              </w:rPr>
              <w:t>Validated workload range for a deployment profile.</w:t>
            </w:r>
          </w:p>
        </w:tc>
      </w:tr>
    </w:tbl>
    <w:tbl>
      <w:tblPr>
        <w:tblStyle w:val="TableGrid"/>
        <w:tblW w:type="auto" w:w="0"/>
        <w:tblLook w:firstColumn="1" w:firstRow="1" w:lastColumn="0" w:lastRow="0" w:noHBand="0" w:noVBand="1" w:val="04A0"/>
      </w:tblPr>
      <w:tblGrid>
        <w:gridCol w:w="10454"/>
      </w:tblGrid>
      <w:tr>
        <w:tc>
          <w:tcPr>
            <w:tcW w:type="dxa" w:w="10454"/>
          </w:tcPr>
          <w:p>
            <w:r>
              <w:t>QUALITY INVARIANT — This catalogue defines engineering baselines; contractual SLA values must be explicitly agreed for each production deployment.</w:t>
            </w:r>
          </w:p>
        </w:tc>
      </w:tr>
    </w:tbl>
    <w:p>
      <w:pPr>
        <w:pStyle w:val="Heading1"/>
      </w:pPr>
      <w:r>
        <w:t>3. Quality Attribute Model</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PATIENT SAFETY + CLINICAL CONTINUITY</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Availability • Reliability • Integrity • Performance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Scalability • Resilience • Recoverability</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Usability • Accessibility • Interoperability</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Maintainability • Observability • Supportability</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Security • Privacy • Data Durability</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MEASURABLE SLI → SLO → TEST → MONITORING → REVIEW</w:t>
            </w:r>
          </w:p>
        </w:tc>
      </w:tr>
    </w:tbl>
    <w:p>
      <w:pPr>
        <w:pStyle w:val="Heading1"/>
      </w:pPr>
      <w:r>
        <w:t>4. Service Criticality Tiers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pPr>
              <w:spacing w:after="0"/>
            </w:pPr>
            <w:r>
              <w:rPr>
                <w:b/>
                <w:sz w:val="11"/>
              </w:rPr>
              <w:t>Tier</w:t>
            </w:r>
          </w:p>
        </w:tc>
        <w:tc>
          <w:tcPr>
            <w:tcW w:type="dxa" w:w="3485"/>
          </w:tcPr>
          <w:p>
            <w:pPr>
              <w:spacing w:after="0"/>
            </w:pPr>
            <w:r>
              <w:rPr>
                <w:b/>
                <w:sz w:val="11"/>
              </w:rPr>
              <w:t>Examples</w:t>
            </w:r>
          </w:p>
        </w:tc>
        <w:tc>
          <w:tcPr>
            <w:tcW w:type="dxa" w:w="3485"/>
          </w:tcPr>
          <w:p>
            <w:pPr>
              <w:spacing w:after="0"/>
            </w:pPr>
            <w:r>
              <w:rPr>
                <w:b/>
                <w:sz w:val="11"/>
              </w:rPr>
              <w:t>Operational expectation</w:t>
            </w:r>
          </w:p>
        </w:tc>
      </w:tr>
      <w:tr>
        <w:tc>
          <w:tcPr>
            <w:tcW w:type="dxa" w:w="3485"/>
          </w:tcPr>
          <w:p>
            <w:pPr>
              <w:spacing w:after="0"/>
            </w:pPr>
            <w:r>
              <w:rPr>
                <w:sz w:val="11"/>
              </w:rPr>
              <w:t>C0 — Safety critical</w:t>
            </w:r>
          </w:p>
        </w:tc>
        <w:tc>
          <w:tcPr>
            <w:tcW w:type="dxa" w:w="3485"/>
          </w:tcPr>
          <w:p>
            <w:pPr>
              <w:spacing w:after="0"/>
            </w:pPr>
            <w:r>
              <w:rPr>
                <w:sz w:val="11"/>
              </w:rPr>
              <w:t>Medication administration, critical result review, emergency patient access</w:t>
            </w:r>
          </w:p>
        </w:tc>
        <w:tc>
          <w:tcPr>
            <w:tcW w:type="dxa" w:w="3485"/>
          </w:tcPr>
          <w:p>
            <w:pPr>
              <w:spacing w:after="0"/>
            </w:pPr>
            <w:r>
              <w:rPr>
                <w:sz w:val="11"/>
              </w:rPr>
              <w:t>Highest continuity; safe degradation/offline path.</w:t>
            </w:r>
          </w:p>
        </w:tc>
      </w:tr>
      <w:tr>
        <w:tc>
          <w:tcPr>
            <w:tcW w:type="dxa" w:w="3485"/>
          </w:tcPr>
          <w:p>
            <w:pPr>
              <w:spacing w:after="0"/>
            </w:pPr>
            <w:r>
              <w:rPr>
                <w:sz w:val="11"/>
              </w:rPr>
              <w:t>C1 — Clinical core</w:t>
            </w:r>
          </w:p>
        </w:tc>
        <w:tc>
          <w:tcPr>
            <w:tcW w:type="dxa" w:w="3485"/>
          </w:tcPr>
          <w:p>
            <w:pPr>
              <w:spacing w:after="0"/>
            </w:pPr>
            <w:r>
              <w:rPr>
                <w:sz w:val="11"/>
              </w:rPr>
              <w:t>Registration, encounters, orders, results, inpatient documentation</w:t>
            </w:r>
          </w:p>
        </w:tc>
        <w:tc>
          <w:tcPr>
            <w:tcW w:type="dxa" w:w="3485"/>
          </w:tcPr>
          <w:p>
            <w:pPr>
              <w:spacing w:after="0"/>
            </w:pPr>
            <w:r>
              <w:rPr>
                <w:sz w:val="11"/>
              </w:rPr>
              <w:t>High availability and rapid recovery.</w:t>
            </w:r>
          </w:p>
        </w:tc>
      </w:tr>
      <w:tr>
        <w:tc>
          <w:tcPr>
            <w:tcW w:type="dxa" w:w="3485"/>
          </w:tcPr>
          <w:p>
            <w:pPr>
              <w:spacing w:after="0"/>
            </w:pPr>
            <w:r>
              <w:rPr>
                <w:sz w:val="11"/>
              </w:rPr>
              <w:t>C2 — Operational</w:t>
            </w:r>
          </w:p>
        </w:tc>
        <w:tc>
          <w:tcPr>
            <w:tcW w:type="dxa" w:w="3485"/>
          </w:tcPr>
          <w:p>
            <w:pPr>
              <w:spacing w:after="0"/>
            </w:pPr>
            <w:r>
              <w:rPr>
                <w:sz w:val="11"/>
              </w:rPr>
              <w:t>Billing, inventory, scheduling, routine referral coordination</w:t>
            </w:r>
          </w:p>
        </w:tc>
        <w:tc>
          <w:tcPr>
            <w:tcW w:type="dxa" w:w="3485"/>
          </w:tcPr>
          <w:p>
            <w:pPr>
              <w:spacing w:after="0"/>
            </w:pPr>
            <w:r>
              <w:rPr>
                <w:sz w:val="11"/>
              </w:rPr>
              <w:t>High reliability; short degradation may be tolerable.</w:t>
            </w:r>
          </w:p>
        </w:tc>
      </w:tr>
      <w:tr>
        <w:tc>
          <w:tcPr>
            <w:tcW w:type="dxa" w:w="3485"/>
          </w:tcPr>
          <w:p>
            <w:pPr>
              <w:spacing w:after="0"/>
            </w:pPr>
            <w:r>
              <w:rPr>
                <w:sz w:val="11"/>
              </w:rPr>
              <w:t>C3 — Administrative/analytics</w:t>
            </w:r>
          </w:p>
        </w:tc>
        <w:tc>
          <w:tcPr>
            <w:tcW w:type="dxa" w:w="3485"/>
          </w:tcPr>
          <w:p>
            <w:pPr>
              <w:spacing w:after="0"/>
            </w:pPr>
            <w:r>
              <w:rPr>
                <w:sz w:val="11"/>
              </w:rPr>
              <w:t>Dashboards, reports, research extracts</w:t>
            </w:r>
          </w:p>
        </w:tc>
        <w:tc>
          <w:tcPr>
            <w:tcW w:type="dxa" w:w="3485"/>
          </w:tcPr>
          <w:p>
            <w:pPr>
              <w:spacing w:after="0"/>
            </w:pPr>
            <w:r>
              <w:rPr>
                <w:sz w:val="11"/>
              </w:rPr>
              <w:t>Can tolerate longer delay without misrepresenting freshness.</w:t>
            </w:r>
          </w:p>
        </w:tc>
      </w:tr>
    </w:tbl>
    <w:p>
      <w:r>
        <w:t>A feature may move between tiers depending on clinical context. For example, patient lookup in an emergency department is more critical than a retrospective patient-list report.</w:t>
      </w:r>
    </w:p>
    <w:p>
      <w:pPr>
        <w:pStyle w:val="Heading1"/>
      </w:pPr>
      <w:r>
        <w:t>5. SLI/SLO Governance</w:t>
      </w:r>
    </w:p>
    <w:p>
      <w:pPr>
        <w:pStyle w:val="ListBullet"/>
      </w:pPr>
      <w:r>
        <w:t>Every production SLO names service, scope, indicator, measurement window, exclusions and owner.</w:t>
      </w:r>
    </w:p>
    <w:p>
      <w:pPr>
        <w:pStyle w:val="ListBullet"/>
      </w:pPr>
      <w:r>
        <w:t>SLOs are measured from the user's/service consumer's perspective where feasible.</w:t>
      </w:r>
    </w:p>
    <w:p>
      <w:pPr>
        <w:pStyle w:val="ListBullet"/>
      </w:pPr>
      <w:r>
        <w:t>Maintenance exclusions are explicit rather than assumed.</w:t>
      </w:r>
    </w:p>
    <w:p>
      <w:pPr>
        <w:pStyle w:val="ListBullet"/>
      </w:pPr>
      <w:r>
        <w:t>Synthetic health checks do not substitute for real transaction indicators.</w:t>
      </w:r>
    </w:p>
    <w:p>
      <w:pPr>
        <w:pStyle w:val="ListBullet"/>
      </w:pPr>
      <w:r>
        <w:t>Clinical correctness is not reduced to uptime.</w:t>
      </w:r>
    </w:p>
    <w:p>
      <w:pPr>
        <w:pStyle w:val="ListBullet"/>
      </w:pPr>
      <w:r>
        <w:t>SLO breaches create review/action rather than hidden metric manipulation.</w:t>
      </w:r>
    </w:p>
    <w:p>
      <w:pPr>
        <w:pStyle w:val="Heading1"/>
      </w:pPr>
      <w:r>
        <w:t>6. Availability Definition</w:t>
      </w:r>
    </w:p>
    <w:p>
      <w:r>
        <w:t>Availability is the proportion of valid requests or critical workflow attempts that can be completed successfully within the defined service boundary and latency threshold.</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Indicator</w:t>
            </w:r>
          </w:p>
        </w:tc>
        <w:tc>
          <w:tcPr>
            <w:tcW w:type="dxa" w:w="5227"/>
          </w:tcPr>
          <w:p>
            <w:pPr>
              <w:spacing w:after="0"/>
            </w:pPr>
            <w:r>
              <w:rPr>
                <w:b/>
                <w:sz w:val="11"/>
              </w:rPr>
              <w:t>Definition</w:t>
            </w:r>
          </w:p>
        </w:tc>
      </w:tr>
      <w:tr>
        <w:tc>
          <w:tcPr>
            <w:tcW w:type="dxa" w:w="5227"/>
          </w:tcPr>
          <w:p>
            <w:pPr>
              <w:spacing w:after="0"/>
            </w:pPr>
            <w:r>
              <w:rPr>
                <w:sz w:val="11"/>
              </w:rPr>
              <w:t>Request availability</w:t>
            </w:r>
          </w:p>
        </w:tc>
        <w:tc>
          <w:tcPr>
            <w:tcW w:type="dxa" w:w="5227"/>
          </w:tcPr>
          <w:p>
            <w:pPr>
              <w:spacing w:after="0"/>
            </w:pPr>
            <w:r>
              <w:rPr>
                <w:sz w:val="11"/>
              </w:rPr>
              <w:t>Successful eligible requests / eligible requests.</w:t>
            </w:r>
          </w:p>
        </w:tc>
      </w:tr>
      <w:tr>
        <w:tc>
          <w:tcPr>
            <w:tcW w:type="dxa" w:w="5227"/>
          </w:tcPr>
          <w:p>
            <w:pPr>
              <w:spacing w:after="0"/>
            </w:pPr>
            <w:r>
              <w:rPr>
                <w:sz w:val="11"/>
              </w:rPr>
              <w:t>Workflow availability</w:t>
            </w:r>
          </w:p>
        </w:tc>
        <w:tc>
          <w:tcPr>
            <w:tcW w:type="dxa" w:w="5227"/>
          </w:tcPr>
          <w:p>
            <w:pPr>
              <w:spacing w:after="0"/>
            </w:pPr>
            <w:r>
              <w:rPr>
                <w:sz w:val="11"/>
              </w:rPr>
              <w:t>Successful critical workflow completions / attempts.</w:t>
            </w:r>
          </w:p>
        </w:tc>
      </w:tr>
      <w:tr>
        <w:tc>
          <w:tcPr>
            <w:tcW w:type="dxa" w:w="5227"/>
          </w:tcPr>
          <w:p>
            <w:pPr>
              <w:spacing w:after="0"/>
            </w:pPr>
            <w:r>
              <w:rPr>
                <w:sz w:val="11"/>
              </w:rPr>
              <w:t>Dependency availability</w:t>
            </w:r>
          </w:p>
        </w:tc>
        <w:tc>
          <w:tcPr>
            <w:tcW w:type="dxa" w:w="5227"/>
          </w:tcPr>
          <w:p>
            <w:pPr>
              <w:spacing w:after="0"/>
            </w:pPr>
            <w:r>
              <w:rPr>
                <w:sz w:val="11"/>
              </w:rPr>
              <w:t>Dependency usable by Pulse.</w:t>
            </w:r>
          </w:p>
        </w:tc>
      </w:tr>
      <w:tr>
        <w:tc>
          <w:tcPr>
            <w:tcW w:type="dxa" w:w="5227"/>
          </w:tcPr>
          <w:p>
            <w:pPr>
              <w:spacing w:after="0"/>
            </w:pPr>
            <w:r>
              <w:rPr>
                <w:sz w:val="11"/>
              </w:rPr>
              <w:t>Facility availability</w:t>
            </w:r>
          </w:p>
        </w:tc>
        <w:tc>
          <w:tcPr>
            <w:tcW w:type="dxa" w:w="5227"/>
          </w:tcPr>
          <w:p>
            <w:pPr>
              <w:spacing w:after="0"/>
            </w:pPr>
            <w:r>
              <w:rPr>
                <w:sz w:val="11"/>
              </w:rPr>
              <w:t>Service usable at facility, including edge where applicable.</w:t>
            </w:r>
          </w:p>
        </w:tc>
      </w:tr>
      <w:tr>
        <w:tc>
          <w:tcPr>
            <w:tcW w:type="dxa" w:w="5227"/>
          </w:tcPr>
          <w:p>
            <w:pPr>
              <w:spacing w:after="0"/>
            </w:pPr>
            <w:r>
              <w:rPr>
                <w:sz w:val="11"/>
              </w:rPr>
              <w:t>Degraded availability</w:t>
            </w:r>
          </w:p>
        </w:tc>
        <w:tc>
          <w:tcPr>
            <w:tcW w:type="dxa" w:w="5227"/>
          </w:tcPr>
          <w:p>
            <w:pPr>
              <w:spacing w:after="0"/>
            </w:pPr>
            <w:r>
              <w:rPr>
                <w:sz w:val="11"/>
              </w:rPr>
              <w:t>Service works with declared reduced capability.</w:t>
            </w:r>
          </w:p>
        </w:tc>
      </w:tr>
    </w:tbl>
    <w:p>
      <w:pPr>
        <w:pStyle w:val="Heading1"/>
      </w:pPr>
      <w:r>
        <w:t>7. Availability Baseline</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pPr>
              <w:spacing w:after="0"/>
            </w:pPr>
            <w:r>
              <w:rPr>
                <w:b/>
                <w:sz w:val="11"/>
              </w:rPr>
              <w:t>Tier</w:t>
            </w:r>
          </w:p>
        </w:tc>
        <w:tc>
          <w:tcPr>
            <w:tcW w:type="dxa" w:w="3485"/>
          </w:tcPr>
          <w:p>
            <w:pPr>
              <w:spacing w:after="0"/>
            </w:pPr>
            <w:r>
              <w:rPr>
                <w:b/>
                <w:sz w:val="11"/>
              </w:rPr>
              <w:t>Design objective</w:t>
            </w:r>
          </w:p>
        </w:tc>
        <w:tc>
          <w:tcPr>
            <w:tcW w:type="dxa" w:w="3485"/>
          </w:tcPr>
          <w:p>
            <w:pPr>
              <w:spacing w:after="0"/>
            </w:pPr>
            <w:r>
              <w:rPr>
                <w:b/>
                <w:sz w:val="11"/>
              </w:rPr>
              <w:t>Notes</w:t>
            </w:r>
          </w:p>
        </w:tc>
      </w:tr>
      <w:tr>
        <w:tc>
          <w:tcPr>
            <w:tcW w:type="dxa" w:w="3485"/>
          </w:tcPr>
          <w:p>
            <w:pPr>
              <w:spacing w:after="0"/>
            </w:pPr>
            <w:r>
              <w:rPr>
                <w:sz w:val="11"/>
              </w:rPr>
              <w:t>C0</w:t>
            </w:r>
          </w:p>
        </w:tc>
        <w:tc>
          <w:tcPr>
            <w:tcW w:type="dxa" w:w="3485"/>
          </w:tcPr>
          <w:p>
            <w:pPr>
              <w:spacing w:after="0"/>
            </w:pPr>
            <w:r>
              <w:rPr>
                <w:sz w:val="11"/>
              </w:rPr>
              <w:t>Target ≥99.95% monthly where infrastructure supports; offline/degraded safety path required</w:t>
            </w:r>
          </w:p>
        </w:tc>
        <w:tc>
          <w:tcPr>
            <w:tcW w:type="dxa" w:w="3485"/>
          </w:tcPr>
          <w:p>
            <w:pPr>
              <w:spacing w:after="0"/>
            </w:pPr>
            <w:r>
              <w:rPr>
                <w:sz w:val="11"/>
              </w:rPr>
              <w:t>Final deployment SLO approved explicitly.</w:t>
            </w:r>
          </w:p>
        </w:tc>
      </w:tr>
      <w:tr>
        <w:tc>
          <w:tcPr>
            <w:tcW w:type="dxa" w:w="3485"/>
          </w:tcPr>
          <w:p>
            <w:pPr>
              <w:spacing w:after="0"/>
            </w:pPr>
            <w:r>
              <w:rPr>
                <w:sz w:val="11"/>
              </w:rPr>
              <w:t>C1</w:t>
            </w:r>
          </w:p>
        </w:tc>
        <w:tc>
          <w:tcPr>
            <w:tcW w:type="dxa" w:w="3485"/>
          </w:tcPr>
          <w:p>
            <w:pPr>
              <w:spacing w:after="0"/>
            </w:pPr>
            <w:r>
              <w:rPr>
                <w:sz w:val="11"/>
              </w:rPr>
              <w:t>Target ≥99.9% monthly</w:t>
            </w:r>
          </w:p>
        </w:tc>
        <w:tc>
          <w:tcPr>
            <w:tcW w:type="dxa" w:w="3485"/>
          </w:tcPr>
          <w:p>
            <w:pPr>
              <w:spacing w:after="0"/>
            </w:pPr>
            <w:r>
              <w:rPr>
                <w:sz w:val="11"/>
              </w:rPr>
              <w:t>Core clinical service.</w:t>
            </w:r>
          </w:p>
        </w:tc>
      </w:tr>
      <w:tr>
        <w:tc>
          <w:tcPr>
            <w:tcW w:type="dxa" w:w="3485"/>
          </w:tcPr>
          <w:p>
            <w:pPr>
              <w:spacing w:after="0"/>
            </w:pPr>
            <w:r>
              <w:rPr>
                <w:sz w:val="11"/>
              </w:rPr>
              <w:t>C2</w:t>
            </w:r>
          </w:p>
        </w:tc>
        <w:tc>
          <w:tcPr>
            <w:tcW w:type="dxa" w:w="3485"/>
          </w:tcPr>
          <w:p>
            <w:pPr>
              <w:spacing w:after="0"/>
            </w:pPr>
            <w:r>
              <w:rPr>
                <w:sz w:val="11"/>
              </w:rPr>
              <w:t>Target ≥99.5% monthly</w:t>
            </w:r>
          </w:p>
        </w:tc>
        <w:tc>
          <w:tcPr>
            <w:tcW w:type="dxa" w:w="3485"/>
          </w:tcPr>
          <w:p>
            <w:pPr>
              <w:spacing w:after="0"/>
            </w:pPr>
            <w:r>
              <w:rPr>
                <w:sz w:val="11"/>
              </w:rPr>
              <w:t>Operational workflow.</w:t>
            </w:r>
          </w:p>
        </w:tc>
      </w:tr>
      <w:tr>
        <w:tc>
          <w:tcPr>
            <w:tcW w:type="dxa" w:w="3485"/>
          </w:tcPr>
          <w:p>
            <w:pPr>
              <w:spacing w:after="0"/>
            </w:pPr>
            <w:r>
              <w:rPr>
                <w:sz w:val="11"/>
              </w:rPr>
              <w:t>C3</w:t>
            </w:r>
          </w:p>
        </w:tc>
        <w:tc>
          <w:tcPr>
            <w:tcW w:type="dxa" w:w="3485"/>
          </w:tcPr>
          <w:p>
            <w:pPr>
              <w:spacing w:after="0"/>
            </w:pPr>
            <w:r>
              <w:rPr>
                <w:sz w:val="11"/>
              </w:rPr>
              <w:t>Target ≥99.0% monthly or scheduled service</w:t>
            </w:r>
          </w:p>
        </w:tc>
        <w:tc>
          <w:tcPr>
            <w:tcW w:type="dxa" w:w="3485"/>
          </w:tcPr>
          <w:p>
            <w:pPr>
              <w:spacing w:after="0"/>
            </w:pPr>
            <w:r>
              <w:rPr>
                <w:sz w:val="11"/>
              </w:rPr>
              <w:t>Analytics/admin may be asynchronous.</w:t>
            </w:r>
          </w:p>
        </w:tc>
      </w:tr>
    </w:tbl>
    <w:p>
      <w:r>
        <w:t>These are engineering design targets, not automatically contractual SLAs. Facilities with limited power/connectivity require an availability model that separates central-cloud availability from local facility usability.</w:t>
      </w:r>
    </w:p>
    <w:p>
      <w:pPr>
        <w:pStyle w:val="Heading1"/>
      </w:pPr>
      <w:r>
        <w:t>8. Availability Calculation</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Total measurement window</w:t>
            </w:r>
          </w:p>
        </w:tc>
      </w:tr>
      <w:tr>
        <w:tc>
          <w:tcPr>
            <w:tcW w:type="dxa" w:w="10454"/>
          </w:tcPr>
          <w:p>
            <w:pPr>
              <w:jc w:val="center"/>
            </w:pPr>
            <w:r>
              <w:rPr>
                <w:rFonts w:ascii="Consolas" w:hAnsi="Consolas"/>
                <w:sz w:val="13"/>
              </w:rPr>
              <w:t>− approved exclusions if contract permits</w:t>
            </w:r>
          </w:p>
        </w:tc>
      </w:tr>
      <w:tr>
        <w:tc>
          <w:tcPr>
            <w:tcW w:type="dxa" w:w="10454"/>
          </w:tcPr>
          <w:p>
            <w:pPr>
              <w:jc w:val="center"/>
            </w:pPr>
            <w:r>
              <w:rPr>
                <w:rFonts w:ascii="Consolas" w:hAnsi="Consolas"/>
                <w:sz w:val="13"/>
              </w:rPr>
              <w:t>= eligible time</w:t>
            </w:r>
          </w:p>
        </w:tc>
      </w:tr>
      <w:tr>
        <w:tc>
          <w:tcPr>
            <w:tcW w:type="dxa" w:w="10454"/>
          </w:tcPr>
          <w:p>
            <w:pPr>
              <w:jc w:val="center"/>
            </w:pPr>
            <w:r>
              <w:rPr>
                <w:rFonts w:ascii="Consolas" w:hAnsi="Consolas"/>
                <w:sz w:val="13"/>
              </w:rPr>
            </w:r>
          </w:p>
        </w:tc>
      </w:tr>
      <w:tr>
        <w:tc>
          <w:tcPr>
            <w:tcW w:type="dxa" w:w="10454"/>
          </w:tcPr>
          <w:p>
            <w:pPr>
              <w:jc w:val="center"/>
            </w:pPr>
            <w:r>
              <w:rPr>
                <w:rFonts w:ascii="Consolas" w:hAnsi="Consolas"/>
                <w:sz w:val="13"/>
              </w:rPr>
              <w:t>Availability =</w:t>
            </w:r>
          </w:p>
        </w:tc>
      </w:tr>
      <w:tr>
        <w:tc>
          <w:tcPr>
            <w:tcW w:type="dxa" w:w="10454"/>
          </w:tcPr>
          <w:p>
            <w:pPr>
              <w:jc w:val="center"/>
            </w:pPr>
            <w:r>
              <w:rPr>
                <w:rFonts w:ascii="Consolas" w:hAnsi="Consolas"/>
                <w:sz w:val="13"/>
              </w:rPr>
              <w:t>successful service time / eligible time × 100</w:t>
            </w:r>
          </w:p>
        </w:tc>
      </w:tr>
      <w:tr>
        <w:tc>
          <w:tcPr>
            <w:tcW w:type="dxa" w:w="10454"/>
          </w:tcPr>
          <w:p>
            <w:pPr>
              <w:jc w:val="center"/>
            </w:pPr>
            <w:r>
              <w:rPr>
                <w:rFonts w:ascii="Consolas" w:hAnsi="Consolas"/>
                <w:sz w:val="13"/>
              </w:rPr>
            </w:r>
          </w:p>
        </w:tc>
      </w:tr>
      <w:tr>
        <w:tc>
          <w:tcPr>
            <w:tcW w:type="dxa" w:w="10454"/>
          </w:tcPr>
          <w:p>
            <w:pPr>
              <w:jc w:val="center"/>
            </w:pPr>
            <w:r>
              <w:rPr>
                <w:rFonts w:ascii="Consolas" w:hAnsi="Consolas"/>
                <w:sz w:val="13"/>
              </w:rPr>
              <w:t>Report:</w:t>
            </w:r>
          </w:p>
        </w:tc>
      </w:tr>
      <w:tr>
        <w:tc>
          <w:tcPr>
            <w:tcW w:type="dxa" w:w="10454"/>
          </w:tcPr>
          <w:p>
            <w:pPr>
              <w:jc w:val="center"/>
            </w:pPr>
            <w:r>
              <w:rPr>
                <w:rFonts w:ascii="Consolas" w:hAnsi="Consolas"/>
                <w:sz w:val="13"/>
              </w:rPr>
              <w:t>central service + facility reachability + edge/degraded usability</w:t>
            </w:r>
          </w:p>
        </w:tc>
      </w:tr>
    </w:tbl>
    <w:p>
      <w:pPr>
        <w:pStyle w:val="Heading1"/>
      </w:pPr>
      <w:r>
        <w:t>9. Planned Maintenance</w:t>
      </w:r>
    </w:p>
    <w:p>
      <w:pPr>
        <w:pStyle w:val="ListBullet"/>
      </w:pPr>
      <w:r>
        <w:t>Maintenance window is announced according to operational policy.</w:t>
      </w:r>
    </w:p>
    <w:p>
      <w:pPr>
        <w:pStyle w:val="ListBullet"/>
      </w:pPr>
      <w:r>
        <w:t>C0/C1 workflows should avoid full outage through rolling deployment/failover where architecture supports.</w:t>
      </w:r>
    </w:p>
    <w:p>
      <w:pPr>
        <w:pStyle w:val="ListBullet"/>
      </w:pPr>
      <w:r>
        <w:t>Maintenance is not silently excluded from reporting unless the SLO/SLA explicitly says so.</w:t>
      </w:r>
    </w:p>
    <w:p>
      <w:pPr>
        <w:pStyle w:val="ListBullet"/>
      </w:pPr>
      <w:r>
        <w:t>Facility edge/offline procedure is activated where required.</w:t>
      </w:r>
    </w:p>
    <w:p>
      <w:pPr>
        <w:pStyle w:val="ListBullet"/>
      </w:pPr>
      <w:r>
        <w:t>Post-maintenance smoke tests verify clinical workflows.</w:t>
      </w:r>
    </w:p>
    <w:p>
      <w:pPr>
        <w:pStyle w:val="Heading1"/>
      </w:pPr>
      <w:r>
        <w:t>10. Performance Principles</w:t>
      </w:r>
    </w:p>
    <w:p>
      <w:pPr>
        <w:pStyle w:val="ListBullet"/>
      </w:pPr>
      <w:r>
        <w:t>Measure server and end-to-end user latency.</w:t>
      </w:r>
    </w:p>
    <w:p>
      <w:pPr>
        <w:pStyle w:val="ListBullet"/>
      </w:pPr>
      <w:r>
        <w:t>Use percentiles, not only averages.</w:t>
      </w:r>
    </w:p>
    <w:p>
      <w:pPr>
        <w:pStyle w:val="ListBullet"/>
      </w:pPr>
      <w:r>
        <w:t>Define workload/concurrency during test.</w:t>
      </w:r>
    </w:p>
    <w:p>
      <w:pPr>
        <w:pStyle w:val="ListBullet"/>
      </w:pPr>
      <w:r>
        <w:t>Separate read, write, search and report workloads.</w:t>
      </w:r>
    </w:p>
    <w:p>
      <w:pPr>
        <w:pStyle w:val="ListBullet"/>
      </w:pPr>
      <w:r>
        <w:t>Exclude network delay only when the test objective explicitly isolates backend performance.</w:t>
      </w:r>
    </w:p>
    <w:p>
      <w:pPr>
        <w:pStyle w:val="ListBullet"/>
      </w:pPr>
      <w:r>
        <w:t>Performance failure must not cause duplicate clinical writes.</w:t>
      </w:r>
    </w:p>
    <w:p>
      <w:pPr>
        <w:pStyle w:val="ListBullet"/>
      </w:pPr>
      <w:r>
        <w:t>Slow operations provide visible progress/status rather than appearing frozen.</w:t>
      </w:r>
    </w:p>
    <w:p>
      <w:pPr>
        <w:pStyle w:val="Heading1"/>
      </w:pPr>
      <w:r>
        <w:t>11. Interactive UI Latency Targets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Interaction</w:t>
            </w:r>
          </w:p>
        </w:tc>
        <w:tc>
          <w:tcPr>
            <w:tcW w:type="dxa" w:w="5227"/>
          </w:tcPr>
          <w:p>
            <w:pPr>
              <w:spacing w:after="0"/>
            </w:pPr>
            <w:r>
              <w:rPr>
                <w:b/>
                <w:sz w:val="11"/>
              </w:rPr>
              <w:t>Engineering target under normal validated load</w:t>
            </w:r>
          </w:p>
        </w:tc>
      </w:tr>
      <w:tr>
        <w:tc>
          <w:tcPr>
            <w:tcW w:type="dxa" w:w="5227"/>
          </w:tcPr>
          <w:p>
            <w:pPr>
              <w:spacing w:after="0"/>
            </w:pPr>
            <w:r>
              <w:rPr>
                <w:sz w:val="11"/>
              </w:rPr>
              <w:t>Simple navigation/local UI</w:t>
            </w:r>
          </w:p>
        </w:tc>
        <w:tc>
          <w:tcPr>
            <w:tcW w:type="dxa" w:w="5227"/>
          </w:tcPr>
          <w:p>
            <w:pPr>
              <w:spacing w:after="0"/>
            </w:pPr>
            <w:r>
              <w:rPr>
                <w:sz w:val="11"/>
              </w:rPr>
              <w:t>Perceived response ≤300 ms where no network dependency.</w:t>
            </w:r>
          </w:p>
        </w:tc>
      </w:tr>
      <w:tr>
        <w:tc>
          <w:tcPr>
            <w:tcW w:type="dxa" w:w="5227"/>
          </w:tcPr>
          <w:p>
            <w:pPr>
              <w:spacing w:after="0"/>
            </w:pPr>
            <w:r>
              <w:rPr>
                <w:sz w:val="11"/>
              </w:rPr>
              <w:t>Common API-backed read</w:t>
            </w:r>
          </w:p>
        </w:tc>
        <w:tc>
          <w:tcPr>
            <w:tcW w:type="dxa" w:w="5227"/>
          </w:tcPr>
          <w:p>
            <w:pPr>
              <w:spacing w:after="0"/>
            </w:pPr>
            <w:r>
              <w:rPr>
                <w:sz w:val="11"/>
              </w:rPr>
              <w:t>p95 ≤1.5 s.</w:t>
            </w:r>
          </w:p>
        </w:tc>
      </w:tr>
      <w:tr>
        <w:tc>
          <w:tcPr>
            <w:tcW w:type="dxa" w:w="5227"/>
          </w:tcPr>
          <w:p>
            <w:pPr>
              <w:spacing w:after="0"/>
            </w:pPr>
            <w:r>
              <w:rPr>
                <w:sz w:val="11"/>
              </w:rPr>
              <w:t>Common transactional write</w:t>
            </w:r>
          </w:p>
        </w:tc>
        <w:tc>
          <w:tcPr>
            <w:tcW w:type="dxa" w:w="5227"/>
          </w:tcPr>
          <w:p>
            <w:pPr>
              <w:spacing w:after="0"/>
            </w:pPr>
            <w:r>
              <w:rPr>
                <w:sz w:val="11"/>
              </w:rPr>
              <w:t>p95 ≤2.0 s including durable commit.</w:t>
            </w:r>
          </w:p>
        </w:tc>
      </w:tr>
      <w:tr>
        <w:tc>
          <w:tcPr>
            <w:tcW w:type="dxa" w:w="5227"/>
          </w:tcPr>
          <w:p>
            <w:pPr>
              <w:spacing w:after="0"/>
            </w:pPr>
            <w:r>
              <w:rPr>
                <w:sz w:val="11"/>
              </w:rPr>
              <w:t>Patient search</w:t>
            </w:r>
          </w:p>
        </w:tc>
        <w:tc>
          <w:tcPr>
            <w:tcW w:type="dxa" w:w="5227"/>
          </w:tcPr>
          <w:p>
            <w:pPr>
              <w:spacing w:after="0"/>
            </w:pPr>
            <w:r>
              <w:rPr>
                <w:sz w:val="11"/>
              </w:rPr>
              <w:t>p95 ≤2.0 s for constrained normal search.</w:t>
            </w:r>
          </w:p>
        </w:tc>
      </w:tr>
      <w:tr>
        <w:tc>
          <w:tcPr>
            <w:tcW w:type="dxa" w:w="5227"/>
          </w:tcPr>
          <w:p>
            <w:pPr>
              <w:spacing w:after="0"/>
            </w:pPr>
            <w:r>
              <w:rPr>
                <w:sz w:val="11"/>
              </w:rPr>
              <w:t>Clinical chart summary</w:t>
            </w:r>
          </w:p>
        </w:tc>
        <w:tc>
          <w:tcPr>
            <w:tcW w:type="dxa" w:w="5227"/>
          </w:tcPr>
          <w:p>
            <w:pPr>
              <w:spacing w:after="0"/>
            </w:pPr>
            <w:r>
              <w:rPr>
                <w:sz w:val="11"/>
              </w:rPr>
              <w:t>Initial useful content p95 ≤2.5 s; progressive loading allowed.</w:t>
            </w:r>
          </w:p>
        </w:tc>
      </w:tr>
      <w:tr>
        <w:tc>
          <w:tcPr>
            <w:tcW w:type="dxa" w:w="5227"/>
          </w:tcPr>
          <w:p>
            <w:pPr>
              <w:spacing w:after="0"/>
            </w:pPr>
            <w:r>
              <w:rPr>
                <w:sz w:val="11"/>
              </w:rPr>
              <w:t>Order submission</w:t>
            </w:r>
          </w:p>
        </w:tc>
        <w:tc>
          <w:tcPr>
            <w:tcW w:type="dxa" w:w="5227"/>
          </w:tcPr>
          <w:p>
            <w:pPr>
              <w:spacing w:after="0"/>
            </w:pPr>
            <w:r>
              <w:rPr>
                <w:sz w:val="11"/>
              </w:rPr>
              <w:t>Acknowledged durable outcome p95 ≤2.0 s.</w:t>
            </w:r>
          </w:p>
        </w:tc>
      </w:tr>
      <w:tr>
        <w:tc>
          <w:tcPr>
            <w:tcW w:type="dxa" w:w="5227"/>
          </w:tcPr>
          <w:p>
            <w:pPr>
              <w:spacing w:after="0"/>
            </w:pPr>
            <w:r>
              <w:rPr>
                <w:sz w:val="11"/>
              </w:rPr>
              <w:t>Medication administration commit</w:t>
            </w:r>
          </w:p>
        </w:tc>
        <w:tc>
          <w:tcPr>
            <w:tcW w:type="dxa" w:w="5227"/>
          </w:tcPr>
          <w:p>
            <w:pPr>
              <w:spacing w:after="0"/>
            </w:pPr>
            <w:r>
              <w:rPr>
                <w:sz w:val="11"/>
              </w:rPr>
              <w:t>p95 ≤2.0 s excluding external scanner/device latency.</w:t>
            </w:r>
          </w:p>
        </w:tc>
      </w:tr>
      <w:tr>
        <w:tc>
          <w:tcPr>
            <w:tcW w:type="dxa" w:w="5227"/>
          </w:tcPr>
          <w:p>
            <w:pPr>
              <w:spacing w:after="0"/>
            </w:pPr>
            <w:r>
              <w:rPr>
                <w:sz w:val="11"/>
              </w:rPr>
              <w:t>Large report generation</w:t>
            </w:r>
          </w:p>
        </w:tc>
        <w:tc>
          <w:tcPr>
            <w:tcW w:type="dxa" w:w="5227"/>
          </w:tcPr>
          <w:p>
            <w:pPr>
              <w:spacing w:after="0"/>
            </w:pPr>
            <w:r>
              <w:rPr>
                <w:sz w:val="11"/>
              </w:rPr>
              <w:t>Asynchronous if &gt;5 s expected.</w:t>
            </w:r>
          </w:p>
        </w:tc>
      </w:tr>
    </w:tbl>
    <w:p>
      <w:r>
        <w:t>Targets are validated against the deployment's capacity envelope and realistic network conditions; they are not promises that every external dependency responds within the same latency.</w:t>
      </w:r>
    </w:p>
    <w:p>
      <w:pPr>
        <w:pStyle w:val="Heading1"/>
      </w:pPr>
      <w:r>
        <w:t>12. Tail Latency</w:t>
      </w:r>
    </w:p>
    <w:p>
      <w:pPr>
        <w:pStyle w:val="ListBullet"/>
      </w:pPr>
      <w:r>
        <w:t>p50 describes typical experience; p95 is primary routine objective; p99 exposes tail degradation.</w:t>
      </w:r>
    </w:p>
    <w:p>
      <w:pPr>
        <w:pStyle w:val="ListBullet"/>
      </w:pPr>
      <w:r>
        <w:t>Critical writes track p99 separately.</w:t>
      </w:r>
    </w:p>
    <w:p>
      <w:pPr>
        <w:pStyle w:val="ListBullet"/>
      </w:pPr>
      <w:r>
        <w:t>Averages must not hide long-tail stalls.</w:t>
      </w:r>
    </w:p>
    <w:p>
      <w:pPr>
        <w:pStyle w:val="ListBullet"/>
      </w:pPr>
      <w:r>
        <w:t>Timeouts are set above expected healthy tail latency but below unsafe indefinite waiting.</w:t>
      </w:r>
    </w:p>
    <w:p>
      <w:pPr>
        <w:pStyle w:val="ListBullet"/>
      </w:pPr>
      <w:r>
        <w:t>Retries use bounded backoff and idempotency.</w:t>
      </w:r>
    </w:p>
    <w:p>
      <w:pPr>
        <w:pStyle w:val="Heading1"/>
      </w:pPr>
      <w:r>
        <w:t>13. Clinical Write Durability</w:t>
      </w:r>
    </w:p>
    <w:tbl>
      <w:tblPr>
        <w:tblStyle w:val="TableGrid"/>
        <w:tblW w:type="auto" w:w="0"/>
        <w:tblLook w:firstColumn="1" w:firstRow="1" w:lastColumn="0" w:lastRow="0" w:noHBand="0" w:noVBand="1" w:val="04A0"/>
      </w:tblPr>
      <w:tblGrid>
        <w:gridCol w:w="10454"/>
      </w:tblGrid>
      <w:tr>
        <w:tc>
          <w:tcPr>
            <w:tcW w:type="dxa" w:w="10454"/>
          </w:tcPr>
          <w:p>
            <w:r>
              <w:t>QUALITY INVARIANT — A UI success message SHALL NOT be displayed until the owning domain has durably accepted the clinical write or explicitly reports a queued/offline state.</w:t>
            </w:r>
          </w:p>
        </w:tc>
      </w:tr>
    </w:tbl>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Write</w:t>
            </w:r>
          </w:p>
        </w:tc>
        <w:tc>
          <w:tcPr>
            <w:tcW w:type="dxa" w:w="5227"/>
          </w:tcPr>
          <w:p>
            <w:pPr>
              <w:spacing w:after="0"/>
            </w:pPr>
            <w:r>
              <w:rPr>
                <w:b/>
                <w:sz w:val="11"/>
              </w:rPr>
              <w:t>Required outcome</w:t>
            </w:r>
          </w:p>
        </w:tc>
      </w:tr>
      <w:tr>
        <w:tc>
          <w:tcPr>
            <w:tcW w:type="dxa" w:w="5227"/>
          </w:tcPr>
          <w:p>
            <w:pPr>
              <w:spacing w:after="0"/>
            </w:pPr>
            <w:r>
              <w:rPr>
                <w:sz w:val="11"/>
              </w:rPr>
              <w:t>Signed clinical note</w:t>
            </w:r>
          </w:p>
        </w:tc>
        <w:tc>
          <w:tcPr>
            <w:tcW w:type="dxa" w:w="5227"/>
          </w:tcPr>
          <w:p>
            <w:pPr>
              <w:spacing w:after="0"/>
            </w:pPr>
            <w:r>
              <w:rPr>
                <w:sz w:val="11"/>
              </w:rPr>
              <w:t>Durably committed/versioned.</w:t>
            </w:r>
          </w:p>
        </w:tc>
      </w:tr>
      <w:tr>
        <w:tc>
          <w:tcPr>
            <w:tcW w:type="dxa" w:w="5227"/>
          </w:tcPr>
          <w:p>
            <w:pPr>
              <w:spacing w:after="0"/>
            </w:pPr>
            <w:r>
              <w:rPr>
                <w:sz w:val="11"/>
              </w:rPr>
              <w:t>Medication administration</w:t>
            </w:r>
          </w:p>
        </w:tc>
        <w:tc>
          <w:tcPr>
            <w:tcW w:type="dxa" w:w="5227"/>
          </w:tcPr>
          <w:p>
            <w:pPr>
              <w:spacing w:after="0"/>
            </w:pPr>
            <w:r>
              <w:rPr>
                <w:sz w:val="11"/>
              </w:rPr>
              <w:t>Durably committed locally/centrally according to mode.</w:t>
            </w:r>
          </w:p>
        </w:tc>
      </w:tr>
      <w:tr>
        <w:tc>
          <w:tcPr>
            <w:tcW w:type="dxa" w:w="5227"/>
          </w:tcPr>
          <w:p>
            <w:pPr>
              <w:spacing w:after="0"/>
            </w:pPr>
            <w:r>
              <w:rPr>
                <w:sz w:val="11"/>
              </w:rPr>
              <w:t>Order</w:t>
            </w:r>
          </w:p>
        </w:tc>
        <w:tc>
          <w:tcPr>
            <w:tcW w:type="dxa" w:w="5227"/>
          </w:tcPr>
          <w:p>
            <w:pPr>
              <w:spacing w:after="0"/>
            </w:pPr>
            <w:r>
              <w:rPr>
                <w:sz w:val="11"/>
              </w:rPr>
              <w:t>Durably accepted with identifier.</w:t>
            </w:r>
          </w:p>
        </w:tc>
      </w:tr>
      <w:tr>
        <w:tc>
          <w:tcPr>
            <w:tcW w:type="dxa" w:w="5227"/>
          </w:tcPr>
          <w:p>
            <w:pPr>
              <w:spacing w:after="0"/>
            </w:pPr>
            <w:r>
              <w:rPr>
                <w:sz w:val="11"/>
              </w:rPr>
              <w:t>Critical acknowledgement</w:t>
            </w:r>
          </w:p>
        </w:tc>
        <w:tc>
          <w:tcPr>
            <w:tcW w:type="dxa" w:w="5227"/>
          </w:tcPr>
          <w:p>
            <w:pPr>
              <w:spacing w:after="0"/>
            </w:pPr>
            <w:r>
              <w:rPr>
                <w:sz w:val="11"/>
              </w:rPr>
              <w:t>Durably recorded.</w:t>
            </w:r>
          </w:p>
        </w:tc>
      </w:tr>
      <w:tr>
        <w:tc>
          <w:tcPr>
            <w:tcW w:type="dxa" w:w="5227"/>
          </w:tcPr>
          <w:p>
            <w:pPr>
              <w:spacing w:after="0"/>
            </w:pPr>
            <w:r>
              <w:rPr>
                <w:sz w:val="11"/>
              </w:rPr>
              <w:t>Referral submission</w:t>
            </w:r>
          </w:p>
        </w:tc>
        <w:tc>
          <w:tcPr>
            <w:tcW w:type="dxa" w:w="5227"/>
          </w:tcPr>
          <w:p>
            <w:pPr>
              <w:spacing w:after="0"/>
            </w:pPr>
            <w:r>
              <w:rPr>
                <w:sz w:val="11"/>
              </w:rPr>
              <w:t>Durable case/package state.</w:t>
            </w:r>
          </w:p>
        </w:tc>
      </w:tr>
      <w:tr>
        <w:tc>
          <w:tcPr>
            <w:tcW w:type="dxa" w:w="5227"/>
          </w:tcPr>
          <w:p>
            <w:pPr>
              <w:spacing w:after="0"/>
            </w:pPr>
            <w:r>
              <w:rPr>
                <w:sz w:val="11"/>
              </w:rPr>
              <w:t>Payment</w:t>
            </w:r>
          </w:p>
        </w:tc>
        <w:tc>
          <w:tcPr>
            <w:tcW w:type="dxa" w:w="5227"/>
          </w:tcPr>
          <w:p>
            <w:pPr>
              <w:spacing w:after="0"/>
            </w:pPr>
            <w:r>
              <w:rPr>
                <w:sz w:val="11"/>
              </w:rPr>
              <w:t>Durable financial outcome; gateway state reconciled.</w:t>
            </w:r>
          </w:p>
        </w:tc>
      </w:tr>
      <w:tr>
        <w:tc>
          <w:tcPr>
            <w:tcW w:type="dxa" w:w="5227"/>
          </w:tcPr>
          <w:p>
            <w:pPr>
              <w:spacing w:after="0"/>
            </w:pPr>
            <w:r>
              <w:rPr>
                <w:sz w:val="11"/>
              </w:rPr>
              <w:t>Inventory movement</w:t>
            </w:r>
          </w:p>
        </w:tc>
        <w:tc>
          <w:tcPr>
            <w:tcW w:type="dxa" w:w="5227"/>
          </w:tcPr>
          <w:p>
            <w:pPr>
              <w:spacing w:after="0"/>
            </w:pPr>
            <w:r>
              <w:rPr>
                <w:sz w:val="11"/>
              </w:rPr>
              <w:t>Immutable ledger entry committed.</w:t>
            </w:r>
          </w:p>
        </w:tc>
      </w:tr>
    </w:tbl>
    <w:p>
      <w:pPr>
        <w:pStyle w:val="Heading1"/>
      </w:pPr>
      <w:r>
        <w:t>14. Throughput</w:t>
      </w:r>
    </w:p>
    <w:p>
      <w:r>
        <w:t>Throughput requirements are derived from facility workload rather than arbitrary global TPS. Capacity testing shall include peak registration, clinical reads/writes, diagnostic results, medication rounds, billing and integration bursts.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Workload</w:t>
            </w:r>
          </w:p>
        </w:tc>
        <w:tc>
          <w:tcPr>
            <w:tcW w:type="dxa" w:w="5227"/>
          </w:tcPr>
          <w:p>
            <w:pPr>
              <w:spacing w:after="0"/>
            </w:pPr>
            <w:r>
              <w:rPr>
                <w:b/>
                <w:sz w:val="11"/>
              </w:rPr>
              <w:t>Sizing unit</w:t>
            </w:r>
          </w:p>
        </w:tc>
      </w:tr>
      <w:tr>
        <w:tc>
          <w:tcPr>
            <w:tcW w:type="dxa" w:w="5227"/>
          </w:tcPr>
          <w:p>
            <w:pPr>
              <w:spacing w:after="0"/>
            </w:pPr>
            <w:r>
              <w:rPr>
                <w:sz w:val="11"/>
              </w:rPr>
              <w:t>Registration</w:t>
            </w:r>
          </w:p>
        </w:tc>
        <w:tc>
          <w:tcPr>
            <w:tcW w:type="dxa" w:w="5227"/>
          </w:tcPr>
          <w:p>
            <w:pPr>
              <w:spacing w:after="0"/>
            </w:pPr>
            <w:r>
              <w:rPr>
                <w:sz w:val="11"/>
              </w:rPr>
              <w:t>patients/hour.</w:t>
            </w:r>
          </w:p>
        </w:tc>
      </w:tr>
      <w:tr>
        <w:tc>
          <w:tcPr>
            <w:tcW w:type="dxa" w:w="5227"/>
          </w:tcPr>
          <w:p>
            <w:pPr>
              <w:spacing w:after="0"/>
            </w:pPr>
            <w:r>
              <w:rPr>
                <w:sz w:val="11"/>
              </w:rPr>
              <w:t>Clinical documentation</w:t>
            </w:r>
          </w:p>
        </w:tc>
        <w:tc>
          <w:tcPr>
            <w:tcW w:type="dxa" w:w="5227"/>
          </w:tcPr>
          <w:p>
            <w:pPr>
              <w:spacing w:after="0"/>
            </w:pPr>
            <w:r>
              <w:rPr>
                <w:sz w:val="11"/>
              </w:rPr>
              <w:t>writes/minute.</w:t>
            </w:r>
          </w:p>
        </w:tc>
      </w:tr>
      <w:tr>
        <w:tc>
          <w:tcPr>
            <w:tcW w:type="dxa" w:w="5227"/>
          </w:tcPr>
          <w:p>
            <w:pPr>
              <w:spacing w:after="0"/>
            </w:pPr>
            <w:r>
              <w:rPr>
                <w:sz w:val="11"/>
              </w:rPr>
              <w:t>Chart access</w:t>
            </w:r>
          </w:p>
        </w:tc>
        <w:tc>
          <w:tcPr>
            <w:tcW w:type="dxa" w:w="5227"/>
          </w:tcPr>
          <w:p>
            <w:pPr>
              <w:spacing w:after="0"/>
            </w:pPr>
            <w:r>
              <w:rPr>
                <w:sz w:val="11"/>
              </w:rPr>
              <w:t>reads/second.</w:t>
            </w:r>
          </w:p>
        </w:tc>
      </w:tr>
      <w:tr>
        <w:tc>
          <w:tcPr>
            <w:tcW w:type="dxa" w:w="5227"/>
          </w:tcPr>
          <w:p>
            <w:pPr>
              <w:spacing w:after="0"/>
            </w:pPr>
            <w:r>
              <w:rPr>
                <w:sz w:val="11"/>
              </w:rPr>
              <w:t>Orders</w:t>
            </w:r>
          </w:p>
        </w:tc>
        <w:tc>
          <w:tcPr>
            <w:tcW w:type="dxa" w:w="5227"/>
          </w:tcPr>
          <w:p>
            <w:pPr>
              <w:spacing w:after="0"/>
            </w:pPr>
            <w:r>
              <w:rPr>
                <w:sz w:val="11"/>
              </w:rPr>
              <w:t>orders/minute.</w:t>
            </w:r>
          </w:p>
        </w:tc>
      </w:tr>
      <w:tr>
        <w:tc>
          <w:tcPr>
            <w:tcW w:type="dxa" w:w="5227"/>
          </w:tcPr>
          <w:p>
            <w:pPr>
              <w:spacing w:after="0"/>
            </w:pPr>
            <w:r>
              <w:rPr>
                <w:sz w:val="11"/>
              </w:rPr>
              <w:t>Lab results</w:t>
            </w:r>
          </w:p>
        </w:tc>
        <w:tc>
          <w:tcPr>
            <w:tcW w:type="dxa" w:w="5227"/>
          </w:tcPr>
          <w:p>
            <w:pPr>
              <w:spacing w:after="0"/>
            </w:pPr>
            <w:r>
              <w:rPr>
                <w:sz w:val="11"/>
              </w:rPr>
              <w:t>observations/minute.</w:t>
            </w:r>
          </w:p>
        </w:tc>
      </w:tr>
      <w:tr>
        <w:tc>
          <w:tcPr>
            <w:tcW w:type="dxa" w:w="5227"/>
          </w:tcPr>
          <w:p>
            <w:pPr>
              <w:spacing w:after="0"/>
            </w:pPr>
            <w:r>
              <w:rPr>
                <w:sz w:val="11"/>
              </w:rPr>
              <w:t>Imaging</w:t>
            </w:r>
          </w:p>
        </w:tc>
        <w:tc>
          <w:tcPr>
            <w:tcW w:type="dxa" w:w="5227"/>
          </w:tcPr>
          <w:p>
            <w:pPr>
              <w:spacing w:after="0"/>
            </w:pPr>
            <w:r>
              <w:rPr>
                <w:sz w:val="11"/>
              </w:rPr>
              <w:t>studies/reports/hour; pixels remain PACS.</w:t>
            </w:r>
          </w:p>
        </w:tc>
      </w:tr>
      <w:tr>
        <w:tc>
          <w:tcPr>
            <w:tcW w:type="dxa" w:w="5227"/>
          </w:tcPr>
          <w:p>
            <w:pPr>
              <w:spacing w:after="0"/>
            </w:pPr>
            <w:r>
              <w:rPr>
                <w:sz w:val="11"/>
              </w:rPr>
              <w:t>Medication</w:t>
            </w:r>
          </w:p>
        </w:tc>
        <w:tc>
          <w:tcPr>
            <w:tcW w:type="dxa" w:w="5227"/>
          </w:tcPr>
          <w:p>
            <w:pPr>
              <w:spacing w:after="0"/>
            </w:pPr>
            <w:r>
              <w:rPr>
                <w:sz w:val="11"/>
              </w:rPr>
              <w:t>administrations/minute.</w:t>
            </w:r>
          </w:p>
        </w:tc>
      </w:tr>
      <w:tr>
        <w:tc>
          <w:tcPr>
            <w:tcW w:type="dxa" w:w="5227"/>
          </w:tcPr>
          <w:p>
            <w:pPr>
              <w:spacing w:after="0"/>
            </w:pPr>
            <w:r>
              <w:rPr>
                <w:sz w:val="11"/>
              </w:rPr>
              <w:t>Billing</w:t>
            </w:r>
          </w:p>
        </w:tc>
        <w:tc>
          <w:tcPr>
            <w:tcW w:type="dxa" w:w="5227"/>
          </w:tcPr>
          <w:p>
            <w:pPr>
              <w:spacing w:after="0"/>
            </w:pPr>
            <w:r>
              <w:rPr>
                <w:sz w:val="11"/>
              </w:rPr>
              <w:t>charges/payments/minute.</w:t>
            </w:r>
          </w:p>
        </w:tc>
      </w:tr>
      <w:tr>
        <w:tc>
          <w:tcPr>
            <w:tcW w:type="dxa" w:w="5227"/>
          </w:tcPr>
          <w:p>
            <w:pPr>
              <w:spacing w:after="0"/>
            </w:pPr>
            <w:r>
              <w:rPr>
                <w:sz w:val="11"/>
              </w:rPr>
              <w:t>FHIR</w:t>
            </w:r>
          </w:p>
        </w:tc>
        <w:tc>
          <w:tcPr>
            <w:tcW w:type="dxa" w:w="5227"/>
          </w:tcPr>
          <w:p>
            <w:pPr>
              <w:spacing w:after="0"/>
            </w:pPr>
            <w:r>
              <w:rPr>
                <w:sz w:val="11"/>
              </w:rPr>
              <w:t>requests/second + bundle size.</w:t>
            </w:r>
          </w:p>
        </w:tc>
      </w:tr>
      <w:tr>
        <w:tc>
          <w:tcPr>
            <w:tcW w:type="dxa" w:w="5227"/>
          </w:tcPr>
          <w:p>
            <w:pPr>
              <w:spacing w:after="0"/>
            </w:pPr>
            <w:r>
              <w:rPr>
                <w:sz w:val="11"/>
              </w:rPr>
              <w:t>Events</w:t>
            </w:r>
          </w:p>
        </w:tc>
        <w:tc>
          <w:tcPr>
            <w:tcW w:type="dxa" w:w="5227"/>
          </w:tcPr>
          <w:p>
            <w:pPr>
              <w:spacing w:after="0"/>
            </w:pPr>
            <w:r>
              <w:rPr>
                <w:sz w:val="11"/>
              </w:rPr>
              <w:t>messages/second + backlog.</w:t>
            </w:r>
          </w:p>
        </w:tc>
      </w:tr>
    </w:tbl>
    <w:p>
      <w:pPr>
        <w:pStyle w:val="Heading1"/>
      </w:pPr>
      <w:r>
        <w:t>15. Concurrency</w:t>
      </w:r>
    </w:p>
    <w:p>
      <w:pPr>
        <w:pStyle w:val="ListBullet"/>
      </w:pPr>
      <w:r>
        <w:t>Model concurrent logged-in users and concurrently active users separately.</w:t>
      </w:r>
    </w:p>
    <w:p>
      <w:pPr>
        <w:pStyle w:val="ListBullet"/>
      </w:pPr>
      <w:r>
        <w:t>Include peak nursing shift/medication round.</w:t>
      </w:r>
    </w:p>
    <w:p>
      <w:pPr>
        <w:pStyle w:val="ListBullet"/>
      </w:pPr>
      <w:r>
        <w:t>Include outpatient morning registration peaks.</w:t>
      </w:r>
    </w:p>
    <w:p>
      <w:pPr>
        <w:pStyle w:val="ListBullet"/>
      </w:pPr>
      <w:r>
        <w:t>Include concurrent diagnostic/result interfaces.</w:t>
      </w:r>
    </w:p>
    <w:p>
      <w:pPr>
        <w:pStyle w:val="ListBullet"/>
      </w:pPr>
      <w:r>
        <w:t>Include background workers and API partners.</w:t>
      </w:r>
    </w:p>
    <w:p>
      <w:pPr>
        <w:pStyle w:val="ListBullet"/>
      </w:pPr>
      <w:r>
        <w:t>Test connection pools and DB limits.</w:t>
      </w:r>
    </w:p>
    <w:p>
      <w:pPr>
        <w:pStyle w:val="ListBullet"/>
      </w:pPr>
      <w:r>
        <w:t>Do not size only from average daily users.</w:t>
      </w:r>
    </w:p>
    <w:p>
      <w:pPr>
        <w:pStyle w:val="Heading1"/>
      </w:pPr>
      <w:r>
        <w:t>16. Capacity Profiles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Profile</w:t>
            </w:r>
          </w:p>
        </w:tc>
        <w:tc>
          <w:tcPr>
            <w:tcW w:type="dxa" w:w="5227"/>
          </w:tcPr>
          <w:p>
            <w:pPr>
              <w:spacing w:after="0"/>
            </w:pPr>
            <w:r>
              <w:rPr>
                <w:b/>
                <w:sz w:val="11"/>
              </w:rPr>
              <w:t>Illustrative planning envelope — must be validated</w:t>
            </w:r>
          </w:p>
        </w:tc>
      </w:tr>
      <w:tr>
        <w:tc>
          <w:tcPr>
            <w:tcW w:type="dxa" w:w="5227"/>
          </w:tcPr>
          <w:p>
            <w:pPr>
              <w:spacing w:after="0"/>
            </w:pPr>
            <w:r>
              <w:rPr>
                <w:sz w:val="11"/>
              </w:rPr>
              <w:t>Small clinic</w:t>
            </w:r>
          </w:p>
        </w:tc>
        <w:tc>
          <w:tcPr>
            <w:tcW w:type="dxa" w:w="5227"/>
          </w:tcPr>
          <w:p>
            <w:pPr>
              <w:spacing w:after="0"/>
            </w:pPr>
            <w:r>
              <w:rPr>
                <w:sz w:val="11"/>
              </w:rPr>
              <w:t>≤50 concurrent active users; modest diagnostics; single/few facilities.</w:t>
            </w:r>
          </w:p>
        </w:tc>
      </w:tr>
      <w:tr>
        <w:tc>
          <w:tcPr>
            <w:tcW w:type="dxa" w:w="5227"/>
          </w:tcPr>
          <w:p>
            <w:pPr>
              <w:spacing w:after="0"/>
            </w:pPr>
            <w:r>
              <w:rPr>
                <w:sz w:val="11"/>
              </w:rPr>
              <w:t>General hospital</w:t>
            </w:r>
          </w:p>
        </w:tc>
        <w:tc>
          <w:tcPr>
            <w:tcW w:type="dxa" w:w="5227"/>
          </w:tcPr>
          <w:p>
            <w:pPr>
              <w:spacing w:after="0"/>
            </w:pPr>
            <w:r>
              <w:rPr>
                <w:sz w:val="11"/>
              </w:rPr>
              <w:t>≤250 concurrent active users; inpatient/outpatient/lab/pharmacy.</w:t>
            </w:r>
          </w:p>
        </w:tc>
      </w:tr>
      <w:tr>
        <w:tc>
          <w:tcPr>
            <w:tcW w:type="dxa" w:w="5227"/>
          </w:tcPr>
          <w:p>
            <w:pPr>
              <w:spacing w:after="0"/>
            </w:pPr>
            <w:r>
              <w:rPr>
                <w:sz w:val="11"/>
              </w:rPr>
              <w:t>Large/referral hospital</w:t>
            </w:r>
          </w:p>
        </w:tc>
        <w:tc>
          <w:tcPr>
            <w:tcW w:type="dxa" w:w="5227"/>
          </w:tcPr>
          <w:p>
            <w:pPr>
              <w:spacing w:after="0"/>
            </w:pPr>
            <w:r>
              <w:rPr>
                <w:sz w:val="11"/>
              </w:rPr>
              <w:t>≤1,000 concurrent active users; high diagnostics/wards/theatre.</w:t>
            </w:r>
          </w:p>
        </w:tc>
      </w:tr>
      <w:tr>
        <w:tc>
          <w:tcPr>
            <w:tcW w:type="dxa" w:w="5227"/>
          </w:tcPr>
          <w:p>
            <w:pPr>
              <w:spacing w:after="0"/>
            </w:pPr>
            <w:r>
              <w:rPr>
                <w:sz w:val="11"/>
              </w:rPr>
              <w:t>Hospital group</w:t>
            </w:r>
          </w:p>
        </w:tc>
        <w:tc>
          <w:tcPr>
            <w:tcW w:type="dxa" w:w="5227"/>
          </w:tcPr>
          <w:p>
            <w:pPr>
              <w:spacing w:after="0"/>
            </w:pPr>
            <w:r>
              <w:rPr>
                <w:sz w:val="11"/>
              </w:rPr>
              <w:t>Multi-facility; thousands of concurrent users; horizontally scalable shared services.</w:t>
            </w:r>
          </w:p>
        </w:tc>
      </w:tr>
    </w:tbl>
    <w:p>
      <w:r>
        <w:t>These are planning envelopes for engineering tests, not assumptions about a specific customer's real workload. Discovery must replace them with measured facility data.</w:t>
      </w:r>
    </w:p>
    <w:p>
      <w:pPr>
        <w:pStyle w:val="Heading1"/>
      </w:pPr>
      <w:r>
        <w:t>17. Capacity Inputs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Input</w:t>
            </w:r>
          </w:p>
        </w:tc>
        <w:tc>
          <w:tcPr>
            <w:tcW w:type="dxa" w:w="5227"/>
          </w:tcPr>
          <w:p>
            <w:pPr>
              <w:spacing w:after="0"/>
            </w:pPr>
            <w:r>
              <w:rPr>
                <w:b/>
                <w:sz w:val="11"/>
              </w:rPr>
              <w:t>Measure</w:t>
            </w:r>
          </w:p>
        </w:tc>
      </w:tr>
      <w:tr>
        <w:tc>
          <w:tcPr>
            <w:tcW w:type="dxa" w:w="5227"/>
          </w:tcPr>
          <w:p>
            <w:pPr>
              <w:spacing w:after="0"/>
            </w:pPr>
            <w:r>
              <w:rPr>
                <w:sz w:val="11"/>
              </w:rPr>
              <w:t>Annual patient registrations</w:t>
            </w:r>
          </w:p>
        </w:tc>
        <w:tc>
          <w:tcPr>
            <w:tcW w:type="dxa" w:w="5227"/>
          </w:tcPr>
          <w:p>
            <w:pPr>
              <w:spacing w:after="0"/>
            </w:pPr>
            <w:r>
              <w:rPr>
                <w:sz w:val="11"/>
              </w:rPr>
              <w:t>Count/growth.</w:t>
            </w:r>
          </w:p>
        </w:tc>
      </w:tr>
      <w:tr>
        <w:tc>
          <w:tcPr>
            <w:tcW w:type="dxa" w:w="5227"/>
          </w:tcPr>
          <w:p>
            <w:pPr>
              <w:spacing w:after="0"/>
            </w:pPr>
            <w:r>
              <w:rPr>
                <w:sz w:val="11"/>
              </w:rPr>
              <w:t>Daily visits</w:t>
            </w:r>
          </w:p>
        </w:tc>
        <w:tc>
          <w:tcPr>
            <w:tcW w:type="dxa" w:w="5227"/>
          </w:tcPr>
          <w:p>
            <w:pPr>
              <w:spacing w:after="0"/>
            </w:pPr>
            <w:r>
              <w:rPr>
                <w:sz w:val="11"/>
              </w:rPr>
              <w:t>Average/peak.</w:t>
            </w:r>
          </w:p>
        </w:tc>
      </w:tr>
      <w:tr>
        <w:tc>
          <w:tcPr>
            <w:tcW w:type="dxa" w:w="5227"/>
          </w:tcPr>
          <w:p>
            <w:pPr>
              <w:spacing w:after="0"/>
            </w:pPr>
            <w:r>
              <w:rPr>
                <w:sz w:val="11"/>
              </w:rPr>
              <w:t>Beds</w:t>
            </w:r>
          </w:p>
        </w:tc>
        <w:tc>
          <w:tcPr>
            <w:tcW w:type="dxa" w:w="5227"/>
          </w:tcPr>
          <w:p>
            <w:pPr>
              <w:spacing w:after="0"/>
            </w:pPr>
            <w:r>
              <w:rPr>
                <w:sz w:val="11"/>
              </w:rPr>
              <w:t>Licensed/operational/occupancy.</w:t>
            </w:r>
          </w:p>
        </w:tc>
      </w:tr>
      <w:tr>
        <w:tc>
          <w:tcPr>
            <w:tcW w:type="dxa" w:w="5227"/>
          </w:tcPr>
          <w:p>
            <w:pPr>
              <w:spacing w:after="0"/>
            </w:pPr>
            <w:r>
              <w:rPr>
                <w:sz w:val="11"/>
              </w:rPr>
              <w:t>Concurrent users</w:t>
            </w:r>
          </w:p>
        </w:tc>
        <w:tc>
          <w:tcPr>
            <w:tcW w:type="dxa" w:w="5227"/>
          </w:tcPr>
          <w:p>
            <w:pPr>
              <w:spacing w:after="0"/>
            </w:pPr>
            <w:r>
              <w:rPr>
                <w:sz w:val="11"/>
              </w:rPr>
              <w:t>By role/shift.</w:t>
            </w:r>
          </w:p>
        </w:tc>
      </w:tr>
      <w:tr>
        <w:tc>
          <w:tcPr>
            <w:tcW w:type="dxa" w:w="5227"/>
          </w:tcPr>
          <w:p>
            <w:pPr>
              <w:spacing w:after="0"/>
            </w:pPr>
            <w:r>
              <w:rPr>
                <w:sz w:val="11"/>
              </w:rPr>
              <w:t>Orders/results</w:t>
            </w:r>
          </w:p>
        </w:tc>
        <w:tc>
          <w:tcPr>
            <w:tcW w:type="dxa" w:w="5227"/>
          </w:tcPr>
          <w:p>
            <w:pPr>
              <w:spacing w:after="0"/>
            </w:pPr>
            <w:r>
              <w:rPr>
                <w:sz w:val="11"/>
              </w:rPr>
              <w:t>Per day/peak hour.</w:t>
            </w:r>
          </w:p>
        </w:tc>
      </w:tr>
      <w:tr>
        <w:tc>
          <w:tcPr>
            <w:tcW w:type="dxa" w:w="5227"/>
          </w:tcPr>
          <w:p>
            <w:pPr>
              <w:spacing w:after="0"/>
            </w:pPr>
            <w:r>
              <w:rPr>
                <w:sz w:val="11"/>
              </w:rPr>
              <w:t>Documents</w:t>
            </w:r>
          </w:p>
        </w:tc>
        <w:tc>
          <w:tcPr>
            <w:tcW w:type="dxa" w:w="5227"/>
          </w:tcPr>
          <w:p>
            <w:pPr>
              <w:spacing w:after="0"/>
            </w:pPr>
            <w:r>
              <w:rPr>
                <w:sz w:val="11"/>
              </w:rPr>
              <w:t>Count/average size.</w:t>
            </w:r>
          </w:p>
        </w:tc>
      </w:tr>
      <w:tr>
        <w:tc>
          <w:tcPr>
            <w:tcW w:type="dxa" w:w="5227"/>
          </w:tcPr>
          <w:p>
            <w:pPr>
              <w:spacing w:after="0"/>
            </w:pPr>
            <w:r>
              <w:rPr>
                <w:sz w:val="11"/>
              </w:rPr>
              <w:t>Imaging</w:t>
            </w:r>
          </w:p>
        </w:tc>
        <w:tc>
          <w:tcPr>
            <w:tcW w:type="dxa" w:w="5227"/>
          </w:tcPr>
          <w:p>
            <w:pPr>
              <w:spacing w:after="0"/>
            </w:pPr>
            <w:r>
              <w:rPr>
                <w:sz w:val="11"/>
              </w:rPr>
              <w:t>Studies/day; DICOM volume.</w:t>
            </w:r>
          </w:p>
        </w:tc>
      </w:tr>
      <w:tr>
        <w:tc>
          <w:tcPr>
            <w:tcW w:type="dxa" w:w="5227"/>
          </w:tcPr>
          <w:p>
            <w:pPr>
              <w:spacing w:after="0"/>
            </w:pPr>
            <w:r>
              <w:rPr>
                <w:sz w:val="11"/>
              </w:rPr>
              <w:t>Med administrations</w:t>
            </w:r>
          </w:p>
        </w:tc>
        <w:tc>
          <w:tcPr>
            <w:tcW w:type="dxa" w:w="5227"/>
          </w:tcPr>
          <w:p>
            <w:pPr>
              <w:spacing w:after="0"/>
            </w:pPr>
            <w:r>
              <w:rPr>
                <w:sz w:val="11"/>
              </w:rPr>
              <w:t>Peak round.</w:t>
            </w:r>
          </w:p>
        </w:tc>
      </w:tr>
      <w:tr>
        <w:tc>
          <w:tcPr>
            <w:tcW w:type="dxa" w:w="5227"/>
          </w:tcPr>
          <w:p>
            <w:pPr>
              <w:spacing w:after="0"/>
            </w:pPr>
            <w:r>
              <w:rPr>
                <w:sz w:val="11"/>
              </w:rPr>
              <w:t>API partners</w:t>
            </w:r>
          </w:p>
        </w:tc>
        <w:tc>
          <w:tcPr>
            <w:tcW w:type="dxa" w:w="5227"/>
          </w:tcPr>
          <w:p>
            <w:pPr>
              <w:spacing w:after="0"/>
            </w:pPr>
            <w:r>
              <w:rPr>
                <w:sz w:val="11"/>
              </w:rPr>
              <w:t>RPS/burst.</w:t>
            </w:r>
          </w:p>
        </w:tc>
      </w:tr>
      <w:tr>
        <w:tc>
          <w:tcPr>
            <w:tcW w:type="dxa" w:w="5227"/>
          </w:tcPr>
          <w:p>
            <w:pPr>
              <w:spacing w:after="0"/>
            </w:pPr>
            <w:r>
              <w:rPr>
                <w:sz w:val="11"/>
              </w:rPr>
              <w:t>Retention</w:t>
            </w:r>
          </w:p>
        </w:tc>
        <w:tc>
          <w:tcPr>
            <w:tcW w:type="dxa" w:w="5227"/>
          </w:tcPr>
          <w:p>
            <w:pPr>
              <w:spacing w:after="0"/>
            </w:pPr>
            <w:r>
              <w:rPr>
                <w:sz w:val="11"/>
              </w:rPr>
              <w:t>Years/data classes.</w:t>
            </w:r>
          </w:p>
        </w:tc>
      </w:tr>
      <w:tr>
        <w:tc>
          <w:tcPr>
            <w:tcW w:type="dxa" w:w="5227"/>
          </w:tcPr>
          <w:p>
            <w:pPr>
              <w:spacing w:after="0"/>
            </w:pPr>
            <w:r>
              <w:rPr>
                <w:sz w:val="11"/>
              </w:rPr>
              <w:t>Growth</w:t>
            </w:r>
          </w:p>
        </w:tc>
        <w:tc>
          <w:tcPr>
            <w:tcW w:type="dxa" w:w="5227"/>
          </w:tcPr>
          <w:p>
            <w:pPr>
              <w:spacing w:after="0"/>
            </w:pPr>
            <w:r>
              <w:rPr>
                <w:sz w:val="11"/>
              </w:rPr>
              <w:t>12/36/60-month forecast.</w:t>
            </w:r>
          </w:p>
        </w:tc>
      </w:tr>
    </w:tbl>
    <w:p>
      <w:pPr>
        <w:pStyle w:val="Heading1"/>
      </w:pPr>
      <w:r>
        <w:t>18. Capacity Formula</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Observed peak workload</w:t>
            </w:r>
          </w:p>
        </w:tc>
      </w:tr>
      <w:tr>
        <w:tc>
          <w:tcPr>
            <w:tcW w:type="dxa" w:w="10454"/>
          </w:tcPr>
          <w:p>
            <w:pPr>
              <w:jc w:val="center"/>
            </w:pPr>
            <w:r>
              <w:rPr>
                <w:rFonts w:ascii="Consolas" w:hAnsi="Consolas"/>
                <w:sz w:val="13"/>
              </w:rPr>
              <w:t>× growth factor</w:t>
            </w:r>
          </w:p>
        </w:tc>
      </w:tr>
      <w:tr>
        <w:tc>
          <w:tcPr>
            <w:tcW w:type="dxa" w:w="10454"/>
          </w:tcPr>
          <w:p>
            <w:pPr>
              <w:jc w:val="center"/>
            </w:pPr>
            <w:r>
              <w:rPr>
                <w:rFonts w:ascii="Consolas" w:hAnsi="Consolas"/>
                <w:sz w:val="13"/>
              </w:rPr>
              <w:t>× safety headroom</w:t>
            </w:r>
          </w:p>
        </w:tc>
      </w:tr>
      <w:tr>
        <w:tc>
          <w:tcPr>
            <w:tcW w:type="dxa" w:w="10454"/>
          </w:tcPr>
          <w:p>
            <w:pPr>
              <w:jc w:val="center"/>
            </w:pPr>
            <w:r>
              <w:rPr>
                <w:rFonts w:ascii="Consolas" w:hAnsi="Consolas"/>
                <w:sz w:val="13"/>
              </w:rPr>
              <w:t>+ failure/failover headroom</w:t>
            </w:r>
          </w:p>
        </w:tc>
      </w:tr>
      <w:tr>
        <w:tc>
          <w:tcPr>
            <w:tcW w:type="dxa" w:w="10454"/>
          </w:tcPr>
          <w:p>
            <w:pPr>
              <w:jc w:val="center"/>
            </w:pPr>
            <w:r>
              <w:rPr>
                <w:rFonts w:ascii="Consolas" w:hAnsi="Consolas"/>
                <w:sz w:val="13"/>
              </w:rPr>
              <w:t>= required validated capacity</w:t>
            </w:r>
          </w:p>
        </w:tc>
      </w:tr>
      <w:tr>
        <w:tc>
          <w:tcPr>
            <w:tcW w:type="dxa" w:w="10454"/>
          </w:tcPr>
          <w:p>
            <w:pPr>
              <w:jc w:val="center"/>
            </w:pPr>
            <w:r>
              <w:rPr>
                <w:rFonts w:ascii="Consolas" w:hAnsi="Consolas"/>
                <w:sz w:val="13"/>
              </w:rPr>
            </w:r>
          </w:p>
        </w:tc>
      </w:tr>
      <w:tr>
        <w:tc>
          <w:tcPr>
            <w:tcW w:type="dxa" w:w="10454"/>
          </w:tcPr>
          <w:p>
            <w:pPr>
              <w:jc w:val="center"/>
            </w:pPr>
            <w:r>
              <w:rPr>
                <w:rFonts w:ascii="Consolas" w:hAnsi="Consolas"/>
                <w:sz w:val="13"/>
              </w:rPr>
              <w:t>Capacity is constrained by:</w:t>
            </w:r>
          </w:p>
        </w:tc>
      </w:tr>
      <w:tr>
        <w:tc>
          <w:tcPr>
            <w:tcW w:type="dxa" w:w="10454"/>
          </w:tcPr>
          <w:p>
            <w:pPr>
              <w:jc w:val="center"/>
            </w:pPr>
            <w:r>
              <w:rPr>
                <w:rFonts w:ascii="Consolas" w:hAnsi="Consolas"/>
                <w:sz w:val="13"/>
              </w:rPr>
              <w:t>CPU • memory • DB IOPS • connections • storage • network</w:t>
            </w:r>
          </w:p>
        </w:tc>
      </w:tr>
      <w:tr>
        <w:tc>
          <w:tcPr>
            <w:tcW w:type="dxa" w:w="10454"/>
          </w:tcPr>
          <w:p>
            <w:pPr>
              <w:jc w:val="center"/>
            </w:pPr>
            <w:r>
              <w:rPr>
                <w:rFonts w:ascii="Consolas" w:hAnsi="Consolas"/>
                <w:sz w:val="13"/>
              </w:rPr>
              <w:t>queue throughput • external dependency limits</w:t>
            </w:r>
          </w:p>
        </w:tc>
      </w:tr>
    </w:tbl>
    <w:p>
      <w:pPr>
        <w:pStyle w:val="Heading1"/>
      </w:pPr>
      <w:r>
        <w:t>19. Headroom</w:t>
      </w:r>
    </w:p>
    <w:p>
      <w:pPr>
        <w:pStyle w:val="ListBullet"/>
      </w:pPr>
      <w:r>
        <w:t>Production should not routinely operate at saturation.</w:t>
      </w:r>
    </w:p>
    <w:p>
      <w:pPr>
        <w:pStyle w:val="ListBullet"/>
      </w:pPr>
      <w:r>
        <w:t>Capacity plan defines alert and expansion thresholds.</w:t>
      </w:r>
    </w:p>
    <w:p>
      <w:pPr>
        <w:pStyle w:val="ListBullet"/>
      </w:pPr>
      <w:r>
        <w:t>Critical components reserve failover headroom.</w:t>
      </w:r>
    </w:p>
    <w:p>
      <w:pPr>
        <w:pStyle w:val="ListBullet"/>
      </w:pPr>
      <w:r>
        <w:t>Autoscaling limits are bounded and tested.</w:t>
      </w:r>
    </w:p>
    <w:p>
      <w:pPr>
        <w:pStyle w:val="ListBullet"/>
      </w:pPr>
      <w:r>
        <w:t>Database/storage growth has forecast horizon.</w:t>
      </w:r>
    </w:p>
    <w:p>
      <w:pPr>
        <w:pStyle w:val="ListBullet"/>
      </w:pPr>
      <w:r>
        <w:t>Headroom is measured at peak, not daily average.</w:t>
      </w:r>
    </w:p>
    <w:p>
      <w:pPr>
        <w:pStyle w:val="Heading1"/>
      </w:pPr>
      <w:r>
        <w:t>20. Scalability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Component</w:t>
            </w:r>
          </w:p>
        </w:tc>
        <w:tc>
          <w:tcPr>
            <w:tcW w:type="dxa" w:w="5227"/>
          </w:tcPr>
          <w:p>
            <w:pPr>
              <w:spacing w:after="0"/>
            </w:pPr>
            <w:r>
              <w:rPr>
                <w:b/>
                <w:sz w:val="11"/>
              </w:rPr>
              <w:t>Scaling strategy</w:t>
            </w:r>
          </w:p>
        </w:tc>
      </w:tr>
      <w:tr>
        <w:tc>
          <w:tcPr>
            <w:tcW w:type="dxa" w:w="5227"/>
          </w:tcPr>
          <w:p>
            <w:pPr>
              <w:spacing w:after="0"/>
            </w:pPr>
            <w:r>
              <w:rPr>
                <w:sz w:val="11"/>
              </w:rPr>
              <w:t>Stateless web/API</w:t>
            </w:r>
          </w:p>
        </w:tc>
        <w:tc>
          <w:tcPr>
            <w:tcW w:type="dxa" w:w="5227"/>
          </w:tcPr>
          <w:p>
            <w:pPr>
              <w:spacing w:after="0"/>
            </w:pPr>
            <w:r>
              <w:rPr>
                <w:sz w:val="11"/>
              </w:rPr>
              <w:t>Horizontal.</w:t>
            </w:r>
          </w:p>
        </w:tc>
      </w:tr>
      <w:tr>
        <w:tc>
          <w:tcPr>
            <w:tcW w:type="dxa" w:w="5227"/>
          </w:tcPr>
          <w:p>
            <w:pPr>
              <w:spacing w:after="0"/>
            </w:pPr>
            <w:r>
              <w:rPr>
                <w:sz w:val="11"/>
              </w:rPr>
              <w:t>Workers</w:t>
            </w:r>
          </w:p>
        </w:tc>
        <w:tc>
          <w:tcPr>
            <w:tcW w:type="dxa" w:w="5227"/>
          </w:tcPr>
          <w:p>
            <w:pPr>
              <w:spacing w:after="0"/>
            </w:pPr>
            <w:r>
              <w:rPr>
                <w:sz w:val="11"/>
              </w:rPr>
              <w:t>Horizontal by queue/partition.</w:t>
            </w:r>
          </w:p>
        </w:tc>
      </w:tr>
      <w:tr>
        <w:tc>
          <w:tcPr>
            <w:tcW w:type="dxa" w:w="5227"/>
          </w:tcPr>
          <w:p>
            <w:pPr>
              <w:spacing w:after="0"/>
            </w:pPr>
            <w:r>
              <w:rPr>
                <w:sz w:val="11"/>
              </w:rPr>
              <w:t>Database</w:t>
            </w:r>
          </w:p>
        </w:tc>
        <w:tc>
          <w:tcPr>
            <w:tcW w:type="dxa" w:w="5227"/>
          </w:tcPr>
          <w:p>
            <w:pPr>
              <w:spacing w:after="0"/>
            </w:pPr>
            <w:r>
              <w:rPr>
                <w:sz w:val="11"/>
              </w:rPr>
              <w:t>Vertical + read scaling/partition strategy as needed.</w:t>
            </w:r>
          </w:p>
        </w:tc>
      </w:tr>
      <w:tr>
        <w:tc>
          <w:tcPr>
            <w:tcW w:type="dxa" w:w="5227"/>
          </w:tcPr>
          <w:p>
            <w:pPr>
              <w:spacing w:after="0"/>
            </w:pPr>
            <w:r>
              <w:rPr>
                <w:sz w:val="11"/>
              </w:rPr>
              <w:t>Search</w:t>
            </w:r>
          </w:p>
        </w:tc>
        <w:tc>
          <w:tcPr>
            <w:tcW w:type="dxa" w:w="5227"/>
          </w:tcPr>
          <w:p>
            <w:pPr>
              <w:spacing w:after="0"/>
            </w:pPr>
            <w:r>
              <w:rPr>
                <w:sz w:val="11"/>
              </w:rPr>
              <w:t>Cluster/index scaling.</w:t>
            </w:r>
          </w:p>
        </w:tc>
      </w:tr>
      <w:tr>
        <w:tc>
          <w:tcPr>
            <w:tcW w:type="dxa" w:w="5227"/>
          </w:tcPr>
          <w:p>
            <w:pPr>
              <w:spacing w:after="0"/>
            </w:pPr>
            <w:r>
              <w:rPr>
                <w:sz w:val="11"/>
              </w:rPr>
              <w:t>Object storage</w:t>
            </w:r>
          </w:p>
        </w:tc>
        <w:tc>
          <w:tcPr>
            <w:tcW w:type="dxa" w:w="5227"/>
          </w:tcPr>
          <w:p>
            <w:pPr>
              <w:spacing w:after="0"/>
            </w:pPr>
            <w:r>
              <w:rPr>
                <w:sz w:val="11"/>
              </w:rPr>
              <w:t>Elastic/managed.</w:t>
            </w:r>
          </w:p>
        </w:tc>
      </w:tr>
      <w:tr>
        <w:tc>
          <w:tcPr>
            <w:tcW w:type="dxa" w:w="5227"/>
          </w:tcPr>
          <w:p>
            <w:pPr>
              <w:spacing w:after="0"/>
            </w:pPr>
            <w:r>
              <w:rPr>
                <w:sz w:val="11"/>
              </w:rPr>
              <w:t>Event broker</w:t>
            </w:r>
          </w:p>
        </w:tc>
        <w:tc>
          <w:tcPr>
            <w:tcW w:type="dxa" w:w="5227"/>
          </w:tcPr>
          <w:p>
            <w:pPr>
              <w:spacing w:after="0"/>
            </w:pPr>
            <w:r>
              <w:rPr>
                <w:sz w:val="11"/>
              </w:rPr>
              <w:t>Partition/consumer scaling.</w:t>
            </w:r>
          </w:p>
        </w:tc>
      </w:tr>
      <w:tr>
        <w:tc>
          <w:tcPr>
            <w:tcW w:type="dxa" w:w="5227"/>
          </w:tcPr>
          <w:p>
            <w:pPr>
              <w:spacing w:after="0"/>
            </w:pPr>
            <w:r>
              <w:rPr>
                <w:sz w:val="11"/>
              </w:rPr>
              <w:t>FHIR gateway</w:t>
            </w:r>
          </w:p>
        </w:tc>
        <w:tc>
          <w:tcPr>
            <w:tcW w:type="dxa" w:w="5227"/>
          </w:tcPr>
          <w:p>
            <w:pPr>
              <w:spacing w:after="0"/>
            </w:pPr>
            <w:r>
              <w:rPr>
                <w:sz w:val="11"/>
              </w:rPr>
              <w:t>Horizontal.</w:t>
            </w:r>
          </w:p>
        </w:tc>
      </w:tr>
      <w:tr>
        <w:tc>
          <w:tcPr>
            <w:tcW w:type="dxa" w:w="5227"/>
          </w:tcPr>
          <w:p>
            <w:pPr>
              <w:spacing w:after="0"/>
            </w:pPr>
            <w:r>
              <w:rPr>
                <w:sz w:val="11"/>
              </w:rPr>
              <w:t>Referral exchange</w:t>
            </w:r>
          </w:p>
        </w:tc>
        <w:tc>
          <w:tcPr>
            <w:tcW w:type="dxa" w:w="5227"/>
          </w:tcPr>
          <w:p>
            <w:pPr>
              <w:spacing w:after="0"/>
            </w:pPr>
            <w:r>
              <w:rPr>
                <w:sz w:val="11"/>
              </w:rPr>
              <w:t>Horizontal with durable state.</w:t>
            </w:r>
          </w:p>
        </w:tc>
      </w:tr>
      <w:tr>
        <w:tc>
          <w:tcPr>
            <w:tcW w:type="dxa" w:w="5227"/>
          </w:tcPr>
          <w:p>
            <w:pPr>
              <w:spacing w:after="0"/>
            </w:pPr>
            <w:r>
              <w:rPr>
                <w:sz w:val="11"/>
              </w:rPr>
              <w:t>Edge</w:t>
            </w:r>
          </w:p>
        </w:tc>
        <w:tc>
          <w:tcPr>
            <w:tcW w:type="dxa" w:w="5227"/>
          </w:tcPr>
          <w:p>
            <w:pPr>
              <w:spacing w:after="0"/>
            </w:pPr>
            <w:r>
              <w:rPr>
                <w:sz w:val="11"/>
              </w:rPr>
              <w:t>Facility-sized independent node.</w:t>
            </w:r>
          </w:p>
        </w:tc>
      </w:tr>
    </w:tbl>
    <w:p>
      <w:pPr>
        <w:pStyle w:val="Heading1"/>
      </w:pPr>
      <w:r>
        <w:t>21. Scaling Safety</w:t>
      </w:r>
    </w:p>
    <w:p>
      <w:pPr>
        <w:pStyle w:val="ListBullet"/>
      </w:pPr>
      <w:r>
        <w:t>Horizontal scaling preserves idempotency.</w:t>
      </w:r>
    </w:p>
    <w:p>
      <w:pPr>
        <w:pStyle w:val="ListBullet"/>
      </w:pPr>
      <w:r>
        <w:t>No duplicate medication/order/payment due to concurrent workers.</w:t>
      </w:r>
    </w:p>
    <w:p>
      <w:pPr>
        <w:pStyle w:val="ListBullet"/>
      </w:pPr>
      <w:r>
        <w:t>Distributed locks are used only where justified.</w:t>
      </w:r>
    </w:p>
    <w:p>
      <w:pPr>
        <w:pStyle w:val="ListBullet"/>
      </w:pPr>
      <w:r>
        <w:t>Unique constraints protect business invariants.</w:t>
      </w:r>
    </w:p>
    <w:p>
      <w:pPr>
        <w:pStyle w:val="ListBullet"/>
      </w:pPr>
      <w:r>
        <w:t>Ordering assumptions are explicit.</w:t>
      </w:r>
    </w:p>
    <w:p>
      <w:pPr>
        <w:pStyle w:val="ListBullet"/>
      </w:pPr>
      <w:r>
        <w:t>Scale-out does not bypass tenant isolation.</w:t>
      </w:r>
    </w:p>
    <w:p>
      <w:pPr>
        <w:pStyle w:val="ListBullet"/>
      </w:pPr>
      <w:r>
        <w:t>Autoscaling does not expose secrets or use untrusted images.</w:t>
      </w:r>
    </w:p>
    <w:p>
      <w:pPr>
        <w:pStyle w:val="Heading1"/>
      </w:pPr>
      <w:r>
        <w:t>22. Reliability</w:t>
      </w:r>
    </w:p>
    <w:p>
      <w:r>
        <w:t>Reliability means correct service over time, not simply process uptime.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SLI</w:t>
            </w:r>
          </w:p>
        </w:tc>
        <w:tc>
          <w:tcPr>
            <w:tcW w:type="dxa" w:w="5227"/>
          </w:tcPr>
          <w:p>
            <w:pPr>
              <w:spacing w:after="0"/>
            </w:pPr>
            <w:r>
              <w:rPr>
                <w:b/>
                <w:sz w:val="11"/>
              </w:rPr>
              <w:t>Examples</w:t>
            </w:r>
          </w:p>
        </w:tc>
      </w:tr>
      <w:tr>
        <w:tc>
          <w:tcPr>
            <w:tcW w:type="dxa" w:w="5227"/>
          </w:tcPr>
          <w:p>
            <w:pPr>
              <w:spacing w:after="0"/>
            </w:pPr>
            <w:r>
              <w:rPr>
                <w:sz w:val="11"/>
              </w:rPr>
              <w:t>Successful transaction rate</w:t>
            </w:r>
          </w:p>
        </w:tc>
        <w:tc>
          <w:tcPr>
            <w:tcW w:type="dxa" w:w="5227"/>
          </w:tcPr>
          <w:p>
            <w:pPr>
              <w:spacing w:after="0"/>
            </w:pPr>
            <w:r>
              <w:rPr>
                <w:sz w:val="11"/>
              </w:rPr>
              <w:t>Valid requests completed correctly.</w:t>
            </w:r>
          </w:p>
        </w:tc>
      </w:tr>
      <w:tr>
        <w:tc>
          <w:tcPr>
            <w:tcW w:type="dxa" w:w="5227"/>
          </w:tcPr>
          <w:p>
            <w:pPr>
              <w:spacing w:after="0"/>
            </w:pPr>
            <w:r>
              <w:rPr>
                <w:sz w:val="11"/>
              </w:rPr>
              <w:t>Duplicate rate</w:t>
            </w:r>
          </w:p>
        </w:tc>
        <w:tc>
          <w:tcPr>
            <w:tcW w:type="dxa" w:w="5227"/>
          </w:tcPr>
          <w:p>
            <w:pPr>
              <w:spacing w:after="0"/>
            </w:pPr>
            <w:r>
              <w:rPr>
                <w:sz w:val="11"/>
              </w:rPr>
              <w:t>Duplicate clinical/financial events.</w:t>
            </w:r>
          </w:p>
        </w:tc>
      </w:tr>
      <w:tr>
        <w:tc>
          <w:tcPr>
            <w:tcW w:type="dxa" w:w="5227"/>
          </w:tcPr>
          <w:p>
            <w:pPr>
              <w:spacing w:after="0"/>
            </w:pPr>
            <w:r>
              <w:rPr>
                <w:sz w:val="11"/>
              </w:rPr>
              <w:t>Queue loss</w:t>
            </w:r>
          </w:p>
        </w:tc>
        <w:tc>
          <w:tcPr>
            <w:tcW w:type="dxa" w:w="5227"/>
          </w:tcPr>
          <w:p>
            <w:pPr>
              <w:spacing w:after="0"/>
            </w:pPr>
            <w:r>
              <w:rPr>
                <w:sz w:val="11"/>
              </w:rPr>
              <w:t>Lost messages.</w:t>
            </w:r>
          </w:p>
        </w:tc>
      </w:tr>
      <w:tr>
        <w:tc>
          <w:tcPr>
            <w:tcW w:type="dxa" w:w="5227"/>
          </w:tcPr>
          <w:p>
            <w:pPr>
              <w:spacing w:after="0"/>
            </w:pPr>
            <w:r>
              <w:rPr>
                <w:sz w:val="11"/>
              </w:rPr>
              <w:t>Correction rate</w:t>
            </w:r>
          </w:p>
        </w:tc>
        <w:tc>
          <w:tcPr>
            <w:tcW w:type="dxa" w:w="5227"/>
          </w:tcPr>
          <w:p>
            <w:pPr>
              <w:spacing w:after="0"/>
            </w:pPr>
            <w:r>
              <w:rPr>
                <w:sz w:val="11"/>
              </w:rPr>
              <w:t>Unexpected system-caused corrections.</w:t>
            </w:r>
          </w:p>
        </w:tc>
      </w:tr>
      <w:tr>
        <w:tc>
          <w:tcPr>
            <w:tcW w:type="dxa" w:w="5227"/>
          </w:tcPr>
          <w:p>
            <w:pPr>
              <w:spacing w:after="0"/>
            </w:pPr>
            <w:r>
              <w:rPr>
                <w:sz w:val="11"/>
              </w:rPr>
              <w:t>Integration delivery</w:t>
            </w:r>
          </w:p>
        </w:tc>
        <w:tc>
          <w:tcPr>
            <w:tcW w:type="dxa" w:w="5227"/>
          </w:tcPr>
          <w:p>
            <w:pPr>
              <w:spacing w:after="0"/>
            </w:pPr>
            <w:r>
              <w:rPr>
                <w:sz w:val="11"/>
              </w:rPr>
              <w:t>Successful/failed/retried.</w:t>
            </w:r>
          </w:p>
        </w:tc>
      </w:tr>
      <w:tr>
        <w:tc>
          <w:tcPr>
            <w:tcW w:type="dxa" w:w="5227"/>
          </w:tcPr>
          <w:p>
            <w:pPr>
              <w:spacing w:after="0"/>
            </w:pPr>
            <w:r>
              <w:rPr>
                <w:sz w:val="11"/>
              </w:rPr>
              <w:t>Job success</w:t>
            </w:r>
          </w:p>
        </w:tc>
        <w:tc>
          <w:tcPr>
            <w:tcW w:type="dxa" w:w="5227"/>
          </w:tcPr>
          <w:p>
            <w:pPr>
              <w:spacing w:after="0"/>
            </w:pPr>
            <w:r>
              <w:rPr>
                <w:sz w:val="11"/>
              </w:rPr>
              <w:t>Scheduled/background workflows.</w:t>
            </w:r>
          </w:p>
        </w:tc>
      </w:tr>
      <w:tr>
        <w:tc>
          <w:tcPr>
            <w:tcW w:type="dxa" w:w="5227"/>
          </w:tcPr>
          <w:p>
            <w:pPr>
              <w:spacing w:after="0"/>
            </w:pPr>
            <w:r>
              <w:rPr>
                <w:sz w:val="11"/>
              </w:rPr>
              <w:t>Data reconciliation</w:t>
            </w:r>
          </w:p>
        </w:tc>
        <w:tc>
          <w:tcPr>
            <w:tcW w:type="dxa" w:w="5227"/>
          </w:tcPr>
          <w:p>
            <w:pPr>
              <w:spacing w:after="0"/>
            </w:pPr>
            <w:r>
              <w:rPr>
                <w:sz w:val="11"/>
              </w:rPr>
              <w:t>Mismatch count.</w:t>
            </w:r>
          </w:p>
        </w:tc>
      </w:tr>
    </w:tbl>
    <w:p>
      <w:pPr>
        <w:pStyle w:val="Heading1"/>
      </w:pPr>
      <w:r>
        <w:t>23. Error Budgets</w:t>
      </w:r>
    </w:p>
    <w:p>
      <w:r>
        <w:t>Where SLO practice is adopted, the difference between 100% and the target availability forms an error budget. Exhaustion triggers engineering attention and may slow risky feature change.</w:t>
      </w:r>
    </w:p>
    <w:p>
      <w:pPr>
        <w:pStyle w:val="ListBullet"/>
      </w:pPr>
      <w:r>
        <w:t>Error budgets do not excuse patient-safety defects.</w:t>
      </w:r>
    </w:p>
    <w:p>
      <w:pPr>
        <w:pStyle w:val="ListBullet"/>
      </w:pPr>
      <w:r>
        <w:t>Security/privacy incidents are evaluated independently.</w:t>
      </w:r>
    </w:p>
    <w:p>
      <w:pPr>
        <w:pStyle w:val="ListBullet"/>
      </w:pPr>
      <w:r>
        <w:t>Repeated dependency-caused errors still require mitigation.</w:t>
      </w:r>
    </w:p>
    <w:p>
      <w:pPr>
        <w:pStyle w:val="ListBullet"/>
      </w:pPr>
      <w:r>
        <w:t>Budget policy is per service/tier.</w:t>
      </w:r>
    </w:p>
    <w:p>
      <w:pPr>
        <w:pStyle w:val="ListBullet"/>
      </w:pPr>
      <w:r>
        <w:t>Deployment freeze/escalation criteria are defined operationally.</w:t>
      </w:r>
    </w:p>
    <w:p>
      <w:pPr>
        <w:pStyle w:val="Heading1"/>
      </w:pPr>
      <w:r>
        <w:t>24. Resilience Patterns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Pattern</w:t>
            </w:r>
          </w:p>
        </w:tc>
        <w:tc>
          <w:tcPr>
            <w:tcW w:type="dxa" w:w="5227"/>
          </w:tcPr>
          <w:p>
            <w:pPr>
              <w:spacing w:after="0"/>
            </w:pPr>
            <w:r>
              <w:rPr>
                <w:b/>
                <w:sz w:val="11"/>
              </w:rPr>
              <w:t>Use</w:t>
            </w:r>
          </w:p>
        </w:tc>
      </w:tr>
      <w:tr>
        <w:tc>
          <w:tcPr>
            <w:tcW w:type="dxa" w:w="5227"/>
          </w:tcPr>
          <w:p>
            <w:pPr>
              <w:spacing w:after="0"/>
            </w:pPr>
            <w:r>
              <w:rPr>
                <w:sz w:val="11"/>
              </w:rPr>
              <w:t>Timeout</w:t>
            </w:r>
          </w:p>
        </w:tc>
        <w:tc>
          <w:tcPr>
            <w:tcW w:type="dxa" w:w="5227"/>
          </w:tcPr>
          <w:p>
            <w:pPr>
              <w:spacing w:after="0"/>
            </w:pPr>
            <w:r>
              <w:rPr>
                <w:sz w:val="11"/>
              </w:rPr>
              <w:t>Prevent indefinite wait.</w:t>
            </w:r>
          </w:p>
        </w:tc>
      </w:tr>
      <w:tr>
        <w:tc>
          <w:tcPr>
            <w:tcW w:type="dxa" w:w="5227"/>
          </w:tcPr>
          <w:p>
            <w:pPr>
              <w:spacing w:after="0"/>
            </w:pPr>
            <w:r>
              <w:rPr>
                <w:sz w:val="11"/>
              </w:rPr>
              <w:t>Retry with backoff</w:t>
            </w:r>
          </w:p>
        </w:tc>
        <w:tc>
          <w:tcPr>
            <w:tcW w:type="dxa" w:w="5227"/>
          </w:tcPr>
          <w:p>
            <w:pPr>
              <w:spacing w:after="0"/>
            </w:pPr>
            <w:r>
              <w:rPr>
                <w:sz w:val="11"/>
              </w:rPr>
              <w:t>Transient safe/idempotent failure.</w:t>
            </w:r>
          </w:p>
        </w:tc>
      </w:tr>
      <w:tr>
        <w:tc>
          <w:tcPr>
            <w:tcW w:type="dxa" w:w="5227"/>
          </w:tcPr>
          <w:p>
            <w:pPr>
              <w:spacing w:after="0"/>
            </w:pPr>
            <w:r>
              <w:rPr>
                <w:sz w:val="11"/>
              </w:rPr>
              <w:t>Circuit breaker</w:t>
            </w:r>
          </w:p>
        </w:tc>
        <w:tc>
          <w:tcPr>
            <w:tcW w:type="dxa" w:w="5227"/>
          </w:tcPr>
          <w:p>
            <w:pPr>
              <w:spacing w:after="0"/>
            </w:pPr>
            <w:r>
              <w:rPr>
                <w:sz w:val="11"/>
              </w:rPr>
              <w:t>Fail fast around unhealthy dependency.</w:t>
            </w:r>
          </w:p>
        </w:tc>
      </w:tr>
      <w:tr>
        <w:tc>
          <w:tcPr>
            <w:tcW w:type="dxa" w:w="5227"/>
          </w:tcPr>
          <w:p>
            <w:pPr>
              <w:spacing w:after="0"/>
            </w:pPr>
            <w:r>
              <w:rPr>
                <w:sz w:val="11"/>
              </w:rPr>
              <w:t>Bulkhead</w:t>
            </w:r>
          </w:p>
        </w:tc>
        <w:tc>
          <w:tcPr>
            <w:tcW w:type="dxa" w:w="5227"/>
          </w:tcPr>
          <w:p>
            <w:pPr>
              <w:spacing w:after="0"/>
            </w:pPr>
            <w:r>
              <w:rPr>
                <w:sz w:val="11"/>
              </w:rPr>
              <w:t>Isolate resource exhaustion.</w:t>
            </w:r>
          </w:p>
        </w:tc>
      </w:tr>
      <w:tr>
        <w:tc>
          <w:tcPr>
            <w:tcW w:type="dxa" w:w="5227"/>
          </w:tcPr>
          <w:p>
            <w:pPr>
              <w:spacing w:after="0"/>
            </w:pPr>
            <w:r>
              <w:rPr>
                <w:sz w:val="11"/>
              </w:rPr>
              <w:t>Queue</w:t>
            </w:r>
          </w:p>
        </w:tc>
        <w:tc>
          <w:tcPr>
            <w:tcW w:type="dxa" w:w="5227"/>
          </w:tcPr>
          <w:p>
            <w:pPr>
              <w:spacing w:after="0"/>
            </w:pPr>
            <w:r>
              <w:rPr>
                <w:sz w:val="11"/>
              </w:rPr>
              <w:t>Absorb asynchronous burst.</w:t>
            </w:r>
          </w:p>
        </w:tc>
      </w:tr>
      <w:tr>
        <w:tc>
          <w:tcPr>
            <w:tcW w:type="dxa" w:w="5227"/>
          </w:tcPr>
          <w:p>
            <w:pPr>
              <w:spacing w:after="0"/>
            </w:pPr>
            <w:r>
              <w:rPr>
                <w:sz w:val="11"/>
              </w:rPr>
              <w:t>Outbox</w:t>
            </w:r>
          </w:p>
        </w:tc>
        <w:tc>
          <w:tcPr>
            <w:tcW w:type="dxa" w:w="5227"/>
          </w:tcPr>
          <w:p>
            <w:pPr>
              <w:spacing w:after="0"/>
            </w:pPr>
            <w:r>
              <w:rPr>
                <w:sz w:val="11"/>
              </w:rPr>
              <w:t>Reliable event publication.</w:t>
            </w:r>
          </w:p>
        </w:tc>
      </w:tr>
      <w:tr>
        <w:tc>
          <w:tcPr>
            <w:tcW w:type="dxa" w:w="5227"/>
          </w:tcPr>
          <w:p>
            <w:pPr>
              <w:spacing w:after="0"/>
            </w:pPr>
            <w:r>
              <w:rPr>
                <w:sz w:val="11"/>
              </w:rPr>
              <w:t>Idempotency</w:t>
            </w:r>
          </w:p>
        </w:tc>
        <w:tc>
          <w:tcPr>
            <w:tcW w:type="dxa" w:w="5227"/>
          </w:tcPr>
          <w:p>
            <w:pPr>
              <w:spacing w:after="0"/>
            </w:pPr>
            <w:r>
              <w:rPr>
                <w:sz w:val="11"/>
              </w:rPr>
              <w:t>Safe retry.</w:t>
            </w:r>
          </w:p>
        </w:tc>
      </w:tr>
      <w:tr>
        <w:tc>
          <w:tcPr>
            <w:tcW w:type="dxa" w:w="5227"/>
          </w:tcPr>
          <w:p>
            <w:pPr>
              <w:spacing w:after="0"/>
            </w:pPr>
            <w:r>
              <w:rPr>
                <w:sz w:val="11"/>
              </w:rPr>
              <w:t>Graceful degradation</w:t>
            </w:r>
          </w:p>
        </w:tc>
        <w:tc>
          <w:tcPr>
            <w:tcW w:type="dxa" w:w="5227"/>
          </w:tcPr>
          <w:p>
            <w:pPr>
              <w:spacing w:after="0"/>
            </w:pPr>
            <w:r>
              <w:rPr>
                <w:sz w:val="11"/>
              </w:rPr>
              <w:t>Retain safe subset.</w:t>
            </w:r>
          </w:p>
        </w:tc>
      </w:tr>
      <w:tr>
        <w:tc>
          <w:tcPr>
            <w:tcW w:type="dxa" w:w="5227"/>
          </w:tcPr>
          <w:p>
            <w:pPr>
              <w:spacing w:after="0"/>
            </w:pPr>
            <w:r>
              <w:rPr>
                <w:sz w:val="11"/>
              </w:rPr>
              <w:t>Edge/offline</w:t>
            </w:r>
          </w:p>
        </w:tc>
        <w:tc>
          <w:tcPr>
            <w:tcW w:type="dxa" w:w="5227"/>
          </w:tcPr>
          <w:p>
            <w:pPr>
              <w:spacing w:after="0"/>
            </w:pPr>
            <w:r>
              <w:rPr>
                <w:sz w:val="11"/>
              </w:rPr>
              <w:t>Connectivity resilience.</w:t>
            </w:r>
          </w:p>
        </w:tc>
      </w:tr>
      <w:tr>
        <w:tc>
          <w:tcPr>
            <w:tcW w:type="dxa" w:w="5227"/>
          </w:tcPr>
          <w:p>
            <w:pPr>
              <w:spacing w:after="0"/>
            </w:pPr>
            <w:r>
              <w:rPr>
                <w:sz w:val="11"/>
              </w:rPr>
              <w:t>Failover</w:t>
            </w:r>
          </w:p>
        </w:tc>
        <w:tc>
          <w:tcPr>
            <w:tcW w:type="dxa" w:w="5227"/>
          </w:tcPr>
          <w:p>
            <w:pPr>
              <w:spacing w:after="0"/>
            </w:pPr>
            <w:r>
              <w:rPr>
                <w:sz w:val="11"/>
              </w:rPr>
              <w:t>Infrastructure failure.</w:t>
            </w:r>
          </w:p>
        </w:tc>
      </w:tr>
    </w:tbl>
    <w:p>
      <w:pPr>
        <w:pStyle w:val="Heading1"/>
      </w:pPr>
      <w:r>
        <w:t>25. Retry Policy</w:t>
      </w:r>
    </w:p>
    <w:tbl>
      <w:tblPr>
        <w:tblStyle w:val="TableGrid"/>
        <w:tblW w:type="auto" w:w="0"/>
        <w:tblLook w:firstColumn="1" w:firstRow="1" w:lastColumn="0" w:lastRow="0" w:noHBand="0" w:noVBand="1" w:val="04A0"/>
      </w:tblPr>
      <w:tblGrid>
        <w:gridCol w:w="10454"/>
      </w:tblGrid>
      <w:tr>
        <w:tc>
          <w:tcPr>
            <w:tcW w:type="dxa" w:w="10454"/>
          </w:tcPr>
          <w:p>
            <w:r>
              <w:t>QUALITY INVARIANT — Retries SHALL NOT create duplicate clinical, financial or inventory facts.</w:t>
            </w:r>
          </w:p>
        </w:tc>
      </w:tr>
    </w:tbl>
    <w:p>
      <w:pPr>
        <w:pStyle w:val="ListBullet"/>
      </w:pPr>
      <w:r>
        <w:t>Retry only safe/idempotent operations or use idempotency key.</w:t>
      </w:r>
    </w:p>
    <w:p>
      <w:pPr>
        <w:pStyle w:val="ListBullet"/>
      </w:pPr>
      <w:r>
        <w:t>Exponential backoff + jitter.</w:t>
      </w:r>
    </w:p>
    <w:p>
      <w:pPr>
        <w:pStyle w:val="ListBullet"/>
      </w:pPr>
      <w:r>
        <w:t>Maximum attempts/time budget.</w:t>
      </w:r>
    </w:p>
    <w:p>
      <w:pPr>
        <w:pStyle w:val="ListBullet"/>
      </w:pPr>
      <w:r>
        <w:t>No infinite synchronous retry.</w:t>
      </w:r>
    </w:p>
    <w:p>
      <w:pPr>
        <w:pStyle w:val="ListBullet"/>
      </w:pPr>
      <w:r>
        <w:t>Permanent validation errors are not retried.</w:t>
      </w:r>
    </w:p>
    <w:p>
      <w:pPr>
        <w:pStyle w:val="ListBullet"/>
      </w:pPr>
      <w:r>
        <w:t>Retry metrics distinguish dependency degradation.</w:t>
      </w:r>
    </w:p>
    <w:p>
      <w:pPr>
        <w:pStyle w:val="ListBullet"/>
      </w:pPr>
      <w:r>
        <w:t>Dead-letter/quarantine preserves failed asynchronous work.</w:t>
      </w:r>
    </w:p>
    <w:p>
      <w:pPr>
        <w:pStyle w:val="Heading1"/>
      </w:pPr>
      <w:r>
        <w:t>26. Graceful Degradation</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Unavailable capability</w:t>
            </w:r>
          </w:p>
        </w:tc>
        <w:tc>
          <w:tcPr>
            <w:tcW w:type="dxa" w:w="5227"/>
          </w:tcPr>
          <w:p>
            <w:pPr>
              <w:spacing w:after="0"/>
            </w:pPr>
            <w:r>
              <w:rPr>
                <w:b/>
                <w:sz w:val="11"/>
              </w:rPr>
              <w:t>Safe degraded behaviour</w:t>
            </w:r>
          </w:p>
        </w:tc>
      </w:tr>
      <w:tr>
        <w:tc>
          <w:tcPr>
            <w:tcW w:type="dxa" w:w="5227"/>
          </w:tcPr>
          <w:p>
            <w:pPr>
              <w:spacing w:after="0"/>
            </w:pPr>
            <w:r>
              <w:rPr>
                <w:sz w:val="11"/>
              </w:rPr>
              <w:t>Analytics</w:t>
            </w:r>
          </w:p>
        </w:tc>
        <w:tc>
          <w:tcPr>
            <w:tcW w:type="dxa" w:w="5227"/>
          </w:tcPr>
          <w:p>
            <w:pPr>
              <w:spacing w:after="0"/>
            </w:pPr>
            <w:r>
              <w:rPr>
                <w:sz w:val="11"/>
              </w:rPr>
              <w:t>Clinical care continues; dashboard marked unavailable/stale.</w:t>
            </w:r>
          </w:p>
        </w:tc>
      </w:tr>
      <w:tr>
        <w:tc>
          <w:tcPr>
            <w:tcW w:type="dxa" w:w="5227"/>
          </w:tcPr>
          <w:p>
            <w:pPr>
              <w:spacing w:after="0"/>
            </w:pPr>
            <w:r>
              <w:rPr>
                <w:sz w:val="11"/>
              </w:rPr>
              <w:t>Search index</w:t>
            </w:r>
          </w:p>
        </w:tc>
        <w:tc>
          <w:tcPr>
            <w:tcW w:type="dxa" w:w="5227"/>
          </w:tcPr>
          <w:p>
            <w:pPr>
              <w:spacing w:after="0"/>
            </w:pPr>
            <w:r>
              <w:rPr>
                <w:sz w:val="11"/>
              </w:rPr>
              <w:t>Fallback constrained DB lookup where safe.</w:t>
            </w:r>
          </w:p>
        </w:tc>
      </w:tr>
      <w:tr>
        <w:tc>
          <w:tcPr>
            <w:tcW w:type="dxa" w:w="5227"/>
          </w:tcPr>
          <w:p>
            <w:pPr>
              <w:spacing w:after="0"/>
            </w:pPr>
            <w:r>
              <w:rPr>
                <w:sz w:val="11"/>
              </w:rPr>
              <w:t>Notification provider</w:t>
            </w:r>
          </w:p>
        </w:tc>
        <w:tc>
          <w:tcPr>
            <w:tcW w:type="dxa" w:w="5227"/>
          </w:tcPr>
          <w:p>
            <w:pPr>
              <w:spacing w:after="0"/>
            </w:pPr>
            <w:r>
              <w:rPr>
                <w:sz w:val="11"/>
              </w:rPr>
              <w:t>Clinical event remains recorded; notification queued/failed visibly.</w:t>
            </w:r>
          </w:p>
        </w:tc>
      </w:tr>
      <w:tr>
        <w:tc>
          <w:tcPr>
            <w:tcW w:type="dxa" w:w="5227"/>
          </w:tcPr>
          <w:p>
            <w:pPr>
              <w:spacing w:after="0"/>
            </w:pPr>
            <w:r>
              <w:rPr>
                <w:sz w:val="11"/>
              </w:rPr>
              <w:t>Payment gateway</w:t>
            </w:r>
          </w:p>
        </w:tc>
        <w:tc>
          <w:tcPr>
            <w:tcW w:type="dxa" w:w="5227"/>
          </w:tcPr>
          <w:p>
            <w:pPr>
              <w:spacing w:after="0"/>
            </w:pPr>
            <w:r>
              <w:rPr>
                <w:sz w:val="11"/>
              </w:rPr>
              <w:t>Care state independent; payment pending/retry.</w:t>
            </w:r>
          </w:p>
        </w:tc>
      </w:tr>
      <w:tr>
        <w:tc>
          <w:tcPr>
            <w:tcW w:type="dxa" w:w="5227"/>
          </w:tcPr>
          <w:p>
            <w:pPr>
              <w:spacing w:after="0"/>
            </w:pPr>
            <w:r>
              <w:rPr>
                <w:sz w:val="11"/>
              </w:rPr>
              <w:t>PACS viewer</w:t>
            </w:r>
          </w:p>
        </w:tc>
        <w:tc>
          <w:tcPr>
            <w:tcW w:type="dxa" w:w="5227"/>
          </w:tcPr>
          <w:p>
            <w:pPr>
              <w:spacing w:after="0"/>
            </w:pPr>
            <w:r>
              <w:rPr>
                <w:sz w:val="11"/>
              </w:rPr>
              <w:t>Report/order visible; images explicitly unavailable.</w:t>
            </w:r>
          </w:p>
        </w:tc>
      </w:tr>
      <w:tr>
        <w:tc>
          <w:tcPr>
            <w:tcW w:type="dxa" w:w="5227"/>
          </w:tcPr>
          <w:p>
            <w:pPr>
              <w:spacing w:after="0"/>
            </w:pPr>
            <w:r>
              <w:rPr>
                <w:sz w:val="11"/>
              </w:rPr>
              <w:t>Terminology service</w:t>
            </w:r>
          </w:p>
        </w:tc>
        <w:tc>
          <w:tcPr>
            <w:tcW w:type="dxa" w:w="5227"/>
          </w:tcPr>
          <w:p>
            <w:pPr>
              <w:spacing w:after="0"/>
            </w:pPr>
            <w:r>
              <w:rPr>
                <w:sz w:val="11"/>
              </w:rPr>
              <w:t>Approved cached terminology or exception workflow.</w:t>
            </w:r>
          </w:p>
        </w:tc>
      </w:tr>
      <w:tr>
        <w:tc>
          <w:tcPr>
            <w:tcW w:type="dxa" w:w="5227"/>
          </w:tcPr>
          <w:p>
            <w:pPr>
              <w:spacing w:after="0"/>
            </w:pPr>
            <w:r>
              <w:rPr>
                <w:sz w:val="11"/>
              </w:rPr>
              <w:t>Central cloud</w:t>
            </w:r>
          </w:p>
        </w:tc>
        <w:tc>
          <w:tcPr>
            <w:tcW w:type="dxa" w:w="5227"/>
          </w:tcPr>
          <w:p>
            <w:pPr>
              <w:spacing w:after="0"/>
            </w:pPr>
            <w:r>
              <w:rPr>
                <w:sz w:val="11"/>
              </w:rPr>
              <w:t>Edge/offline critical workflow.</w:t>
            </w:r>
          </w:p>
        </w:tc>
      </w:tr>
      <w:tr>
        <w:tc>
          <w:tcPr>
            <w:tcW w:type="dxa" w:w="5227"/>
          </w:tcPr>
          <w:p>
            <w:pPr>
              <w:spacing w:after="0"/>
            </w:pPr>
            <w:r>
              <w:rPr>
                <w:sz w:val="11"/>
              </w:rPr>
              <w:t>External payer</w:t>
            </w:r>
          </w:p>
        </w:tc>
        <w:tc>
          <w:tcPr>
            <w:tcW w:type="dxa" w:w="5227"/>
          </w:tcPr>
          <w:p>
            <w:pPr>
              <w:spacing w:after="0"/>
            </w:pPr>
            <w:r>
              <w:rPr>
                <w:sz w:val="11"/>
              </w:rPr>
              <w:t>Claim/eligibility queued/pending.</w:t>
            </w:r>
          </w:p>
        </w:tc>
      </w:tr>
    </w:tbl>
    <w:p>
      <w:pPr>
        <w:pStyle w:val="Heading1"/>
      </w:pPr>
      <w:r>
        <w:t>27. Dependency Isolation</w:t>
      </w:r>
    </w:p>
    <w:p>
      <w:pPr>
        <w:pStyle w:val="ListBullet"/>
      </w:pPr>
      <w:r>
        <w:t>External service timeout budgets.</w:t>
      </w:r>
    </w:p>
    <w:p>
      <w:pPr>
        <w:pStyle w:val="ListBullet"/>
      </w:pPr>
      <w:r>
        <w:t>Separate connection pools where needed.</w:t>
      </w:r>
    </w:p>
    <w:p>
      <w:pPr>
        <w:pStyle w:val="ListBullet"/>
      </w:pPr>
      <w:r>
        <w:t>Circuit breakers per dependency.</w:t>
      </w:r>
    </w:p>
    <w:p>
      <w:pPr>
        <w:pStyle w:val="ListBullet"/>
      </w:pPr>
      <w:r>
        <w:t>One partner outage cannot exhaust all worker threads.</w:t>
      </w:r>
    </w:p>
    <w:p>
      <w:pPr>
        <w:pStyle w:val="ListBullet"/>
      </w:pPr>
      <w:r>
        <w:t>Queues partition critical vs noncritical work where warranted.</w:t>
      </w:r>
    </w:p>
    <w:p>
      <w:pPr>
        <w:pStyle w:val="ListBullet"/>
      </w:pPr>
      <w:r>
        <w:t>Noncritical analytics cannot starve clinical transactions.</w:t>
      </w:r>
    </w:p>
    <w:p>
      <w:pPr>
        <w:pStyle w:val="ListBullet"/>
      </w:pPr>
      <w:r>
        <w:t>Backpressure protects databases.</w:t>
      </w:r>
    </w:p>
    <w:p>
      <w:pPr>
        <w:pStyle w:val="Heading1"/>
      </w:pPr>
      <w:r>
        <w:t>28. Data Durability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Data class</w:t>
            </w:r>
          </w:p>
        </w:tc>
        <w:tc>
          <w:tcPr>
            <w:tcW w:type="dxa" w:w="5227"/>
          </w:tcPr>
          <w:p>
            <w:pPr>
              <w:spacing w:after="0"/>
            </w:pPr>
            <w:r>
              <w:rPr>
                <w:b/>
                <w:sz w:val="11"/>
              </w:rPr>
              <w:t>Durability expectation</w:t>
            </w:r>
          </w:p>
        </w:tc>
      </w:tr>
      <w:tr>
        <w:tc>
          <w:tcPr>
            <w:tcW w:type="dxa" w:w="5227"/>
          </w:tcPr>
          <w:p>
            <w:pPr>
              <w:spacing w:after="0"/>
            </w:pPr>
            <w:r>
              <w:rPr>
                <w:sz w:val="11"/>
              </w:rPr>
              <w:t>Signed clinical record</w:t>
            </w:r>
          </w:p>
        </w:tc>
        <w:tc>
          <w:tcPr>
            <w:tcW w:type="dxa" w:w="5227"/>
          </w:tcPr>
          <w:p>
            <w:pPr>
              <w:spacing w:after="0"/>
            </w:pPr>
            <w:r>
              <w:rPr>
                <w:sz w:val="11"/>
              </w:rPr>
              <w:t>No acknowledged loss under designed single-component failure.</w:t>
            </w:r>
          </w:p>
        </w:tc>
      </w:tr>
      <w:tr>
        <w:tc>
          <w:tcPr>
            <w:tcW w:type="dxa" w:w="5227"/>
          </w:tcPr>
          <w:p>
            <w:pPr>
              <w:spacing w:after="0"/>
            </w:pPr>
            <w:r>
              <w:rPr>
                <w:sz w:val="11"/>
              </w:rPr>
              <w:t>Medication administration</w:t>
            </w:r>
          </w:p>
        </w:tc>
        <w:tc>
          <w:tcPr>
            <w:tcW w:type="dxa" w:w="5227"/>
          </w:tcPr>
          <w:p>
            <w:pPr>
              <w:spacing w:after="0"/>
            </w:pPr>
            <w:r>
              <w:rPr>
                <w:sz w:val="11"/>
              </w:rPr>
              <w:t>No acknowledged loss.</w:t>
            </w:r>
          </w:p>
        </w:tc>
      </w:tr>
      <w:tr>
        <w:tc>
          <w:tcPr>
            <w:tcW w:type="dxa" w:w="5227"/>
          </w:tcPr>
          <w:p>
            <w:pPr>
              <w:spacing w:after="0"/>
            </w:pPr>
            <w:r>
              <w:rPr>
                <w:sz w:val="11"/>
              </w:rPr>
              <w:t>Orders/results</w:t>
            </w:r>
          </w:p>
        </w:tc>
        <w:tc>
          <w:tcPr>
            <w:tcW w:type="dxa" w:w="5227"/>
          </w:tcPr>
          <w:p>
            <w:pPr>
              <w:spacing w:after="0"/>
            </w:pPr>
            <w:r>
              <w:rPr>
                <w:sz w:val="11"/>
              </w:rPr>
              <w:t>No acknowledged loss.</w:t>
            </w:r>
          </w:p>
        </w:tc>
      </w:tr>
      <w:tr>
        <w:tc>
          <w:tcPr>
            <w:tcW w:type="dxa" w:w="5227"/>
          </w:tcPr>
          <w:p>
            <w:pPr>
              <w:spacing w:after="0"/>
            </w:pPr>
            <w:r>
              <w:rPr>
                <w:sz w:val="11"/>
              </w:rPr>
              <w:t>Financial ledger</w:t>
            </w:r>
          </w:p>
        </w:tc>
        <w:tc>
          <w:tcPr>
            <w:tcW w:type="dxa" w:w="5227"/>
          </w:tcPr>
          <w:p>
            <w:pPr>
              <w:spacing w:after="0"/>
            </w:pPr>
            <w:r>
              <w:rPr>
                <w:sz w:val="11"/>
              </w:rPr>
              <w:t>No acknowledged loss after durable commit.</w:t>
            </w:r>
          </w:p>
        </w:tc>
      </w:tr>
      <w:tr>
        <w:tc>
          <w:tcPr>
            <w:tcW w:type="dxa" w:w="5227"/>
          </w:tcPr>
          <w:p>
            <w:pPr>
              <w:spacing w:after="0"/>
            </w:pPr>
            <w:r>
              <w:rPr>
                <w:sz w:val="11"/>
              </w:rPr>
              <w:t>Inventory ledger</w:t>
            </w:r>
          </w:p>
        </w:tc>
        <w:tc>
          <w:tcPr>
            <w:tcW w:type="dxa" w:w="5227"/>
          </w:tcPr>
          <w:p>
            <w:pPr>
              <w:spacing w:after="0"/>
            </w:pPr>
            <w:r>
              <w:rPr>
                <w:sz w:val="11"/>
              </w:rPr>
              <w:t>No acknowledged loss after durable commit.</w:t>
            </w:r>
          </w:p>
        </w:tc>
      </w:tr>
      <w:tr>
        <w:tc>
          <w:tcPr>
            <w:tcW w:type="dxa" w:w="5227"/>
          </w:tcPr>
          <w:p>
            <w:pPr>
              <w:spacing w:after="0"/>
            </w:pPr>
            <w:r>
              <w:rPr>
                <w:sz w:val="11"/>
              </w:rPr>
              <w:t>Audit</w:t>
            </w:r>
          </w:p>
        </w:tc>
        <w:tc>
          <w:tcPr>
            <w:tcW w:type="dxa" w:w="5227"/>
          </w:tcPr>
          <w:p>
            <w:pPr>
              <w:spacing w:after="0"/>
            </w:pPr>
            <w:r>
              <w:rPr>
                <w:sz w:val="11"/>
              </w:rPr>
              <w:t>Durable/tamper-protected.</w:t>
            </w:r>
          </w:p>
        </w:tc>
      </w:tr>
      <w:tr>
        <w:tc>
          <w:tcPr>
            <w:tcW w:type="dxa" w:w="5227"/>
          </w:tcPr>
          <w:p>
            <w:pPr>
              <w:spacing w:after="0"/>
            </w:pPr>
            <w:r>
              <w:rPr>
                <w:sz w:val="11"/>
              </w:rPr>
              <w:t>Transient cache</w:t>
            </w:r>
          </w:p>
        </w:tc>
        <w:tc>
          <w:tcPr>
            <w:tcW w:type="dxa" w:w="5227"/>
          </w:tcPr>
          <w:p>
            <w:pPr>
              <w:spacing w:after="0"/>
            </w:pPr>
            <w:r>
              <w:rPr>
                <w:sz w:val="11"/>
              </w:rPr>
              <w:t>Reconstructable.</w:t>
            </w:r>
          </w:p>
        </w:tc>
      </w:tr>
      <w:tr>
        <w:tc>
          <w:tcPr>
            <w:tcW w:type="dxa" w:w="5227"/>
          </w:tcPr>
          <w:p>
            <w:pPr>
              <w:spacing w:after="0"/>
            </w:pPr>
            <w:r>
              <w:rPr>
                <w:sz w:val="11"/>
              </w:rPr>
              <w:t>Analytics derivative</w:t>
            </w:r>
          </w:p>
        </w:tc>
        <w:tc>
          <w:tcPr>
            <w:tcW w:type="dxa" w:w="5227"/>
          </w:tcPr>
          <w:p>
            <w:pPr>
              <w:spacing w:after="0"/>
            </w:pPr>
            <w:r>
              <w:rPr>
                <w:sz w:val="11"/>
              </w:rPr>
              <w:t>Rebuildable from authoritative sources.</w:t>
            </w:r>
          </w:p>
        </w:tc>
      </w:tr>
    </w:tbl>
    <w:p>
      <w:pPr>
        <w:pStyle w:val="Heading1"/>
      </w:pPr>
      <w:r>
        <w:t>29. RPO</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Tier</w:t>
            </w:r>
          </w:p>
        </w:tc>
        <w:tc>
          <w:tcPr>
            <w:tcW w:type="dxa" w:w="5227"/>
          </w:tcPr>
          <w:p>
            <w:pPr>
              <w:spacing w:after="0"/>
            </w:pPr>
            <w:r>
              <w:rPr>
                <w:b/>
                <w:sz w:val="11"/>
              </w:rPr>
              <w:t>Design baseline</w:t>
            </w:r>
          </w:p>
        </w:tc>
      </w:tr>
      <w:tr>
        <w:tc>
          <w:tcPr>
            <w:tcW w:type="dxa" w:w="5227"/>
          </w:tcPr>
          <w:p>
            <w:pPr>
              <w:spacing w:after="0"/>
            </w:pPr>
            <w:r>
              <w:rPr>
                <w:sz w:val="11"/>
              </w:rPr>
              <w:t>C0/C1 transactional clinical</w:t>
            </w:r>
          </w:p>
        </w:tc>
        <w:tc>
          <w:tcPr>
            <w:tcW w:type="dxa" w:w="5227"/>
          </w:tcPr>
          <w:p>
            <w:pPr>
              <w:spacing w:after="0"/>
            </w:pPr>
            <w:r>
              <w:rPr>
                <w:sz w:val="11"/>
              </w:rPr>
              <w:t>RPO target near-zero for acknowledged transactions through synchronous durability/replication where architecture permits.</w:t>
            </w:r>
          </w:p>
        </w:tc>
      </w:tr>
      <w:tr>
        <w:tc>
          <w:tcPr>
            <w:tcW w:type="dxa" w:w="5227"/>
          </w:tcPr>
          <w:p>
            <w:pPr>
              <w:spacing w:after="0"/>
            </w:pPr>
            <w:r>
              <w:rPr>
                <w:sz w:val="11"/>
              </w:rPr>
              <w:t>C2 operational</w:t>
            </w:r>
          </w:p>
        </w:tc>
        <w:tc>
          <w:tcPr>
            <w:tcW w:type="dxa" w:w="5227"/>
          </w:tcPr>
          <w:p>
            <w:pPr>
              <w:spacing w:after="0"/>
            </w:pPr>
            <w:r>
              <w:rPr>
                <w:sz w:val="11"/>
              </w:rPr>
              <w:t>RPO deployment-defined; typically minutes or better.</w:t>
            </w:r>
          </w:p>
        </w:tc>
      </w:tr>
      <w:tr>
        <w:tc>
          <w:tcPr>
            <w:tcW w:type="dxa" w:w="5227"/>
          </w:tcPr>
          <w:p>
            <w:pPr>
              <w:spacing w:after="0"/>
            </w:pPr>
            <w:r>
              <w:rPr>
                <w:sz w:val="11"/>
              </w:rPr>
              <w:t>C3 derived analytics</w:t>
            </w:r>
          </w:p>
        </w:tc>
        <w:tc>
          <w:tcPr>
            <w:tcW w:type="dxa" w:w="5227"/>
          </w:tcPr>
          <w:p>
            <w:pPr>
              <w:spacing w:after="0"/>
            </w:pPr>
            <w:r>
              <w:rPr>
                <w:sz w:val="11"/>
              </w:rPr>
              <w:t>Can be rebuilt; larger RPO acceptable.</w:t>
            </w:r>
          </w:p>
        </w:tc>
      </w:tr>
      <w:tr>
        <w:tc>
          <w:tcPr>
            <w:tcW w:type="dxa" w:w="5227"/>
          </w:tcPr>
          <w:p>
            <w:pPr>
              <w:spacing w:after="0"/>
            </w:pPr>
            <w:r>
              <w:rPr>
                <w:sz w:val="11"/>
              </w:rPr>
              <w:t>Edge offline</w:t>
            </w:r>
          </w:p>
        </w:tc>
        <w:tc>
          <w:tcPr>
            <w:tcW w:type="dxa" w:w="5227"/>
          </w:tcPr>
          <w:p>
            <w:pPr>
              <w:spacing w:after="0"/>
            </w:pPr>
            <w:r>
              <w:rPr>
                <w:sz w:val="11"/>
              </w:rPr>
              <w:t>Local acknowledged writes must survive local restart and synchronize later.</w:t>
            </w:r>
          </w:p>
        </w:tc>
      </w:tr>
    </w:tbl>
    <w:p>
      <w:r>
        <w:t>Exact RPO is deployment-specific because infrastructure topology differs. A declared RPO must identify which failure scenario it covers.</w:t>
      </w:r>
    </w:p>
    <w:p>
      <w:pPr>
        <w:pStyle w:val="Heading1"/>
      </w:pPr>
      <w:r>
        <w:t>30. RTO</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Tier</w:t>
            </w:r>
          </w:p>
        </w:tc>
        <w:tc>
          <w:tcPr>
            <w:tcW w:type="dxa" w:w="5227"/>
          </w:tcPr>
          <w:p>
            <w:pPr>
              <w:spacing w:after="0"/>
            </w:pPr>
            <w:r>
              <w:rPr>
                <w:b/>
                <w:sz w:val="11"/>
              </w:rPr>
              <w:t>Engineering recovery objective</w:t>
            </w:r>
          </w:p>
        </w:tc>
      </w:tr>
      <w:tr>
        <w:tc>
          <w:tcPr>
            <w:tcW w:type="dxa" w:w="5227"/>
          </w:tcPr>
          <w:p>
            <w:pPr>
              <w:spacing w:after="0"/>
            </w:pPr>
            <w:r>
              <w:rPr>
                <w:sz w:val="11"/>
              </w:rPr>
              <w:t>C0</w:t>
            </w:r>
          </w:p>
        </w:tc>
        <w:tc>
          <w:tcPr>
            <w:tcW w:type="dxa" w:w="5227"/>
          </w:tcPr>
          <w:p>
            <w:pPr>
              <w:spacing w:after="0"/>
            </w:pPr>
            <w:r>
              <w:rPr>
                <w:sz w:val="11"/>
              </w:rPr>
              <w:t>Minutes-scale service restoration/degraded continuity where architecture supports.</w:t>
            </w:r>
          </w:p>
        </w:tc>
      </w:tr>
      <w:tr>
        <w:tc>
          <w:tcPr>
            <w:tcW w:type="dxa" w:w="5227"/>
          </w:tcPr>
          <w:p>
            <w:pPr>
              <w:spacing w:after="0"/>
            </w:pPr>
            <w:r>
              <w:rPr>
                <w:sz w:val="11"/>
              </w:rPr>
              <w:t>C1</w:t>
            </w:r>
          </w:p>
        </w:tc>
        <w:tc>
          <w:tcPr>
            <w:tcW w:type="dxa" w:w="5227"/>
          </w:tcPr>
          <w:p>
            <w:pPr>
              <w:spacing w:after="0"/>
            </w:pPr>
            <w:r>
              <w:rPr>
                <w:sz w:val="11"/>
              </w:rPr>
              <w:t>Target ≤1 hour for major infrastructure recovery, with downtime/edge procedures.</w:t>
            </w:r>
          </w:p>
        </w:tc>
      </w:tr>
      <w:tr>
        <w:tc>
          <w:tcPr>
            <w:tcW w:type="dxa" w:w="5227"/>
          </w:tcPr>
          <w:p>
            <w:pPr>
              <w:spacing w:after="0"/>
            </w:pPr>
            <w:r>
              <w:rPr>
                <w:sz w:val="11"/>
              </w:rPr>
              <w:t>C2</w:t>
            </w:r>
          </w:p>
        </w:tc>
        <w:tc>
          <w:tcPr>
            <w:tcW w:type="dxa" w:w="5227"/>
          </w:tcPr>
          <w:p>
            <w:pPr>
              <w:spacing w:after="0"/>
            </w:pPr>
            <w:r>
              <w:rPr>
                <w:sz w:val="11"/>
              </w:rPr>
              <w:t>Target ≤4 hours unless deployment requires stronger.</w:t>
            </w:r>
          </w:p>
        </w:tc>
      </w:tr>
      <w:tr>
        <w:tc>
          <w:tcPr>
            <w:tcW w:type="dxa" w:w="5227"/>
          </w:tcPr>
          <w:p>
            <w:pPr>
              <w:spacing w:after="0"/>
            </w:pPr>
            <w:r>
              <w:rPr>
                <w:sz w:val="11"/>
              </w:rPr>
              <w:t>C3</w:t>
            </w:r>
          </w:p>
        </w:tc>
        <w:tc>
          <w:tcPr>
            <w:tcW w:type="dxa" w:w="5227"/>
          </w:tcPr>
          <w:p>
            <w:pPr>
              <w:spacing w:after="0"/>
            </w:pPr>
            <w:r>
              <w:rPr>
                <w:sz w:val="11"/>
              </w:rPr>
              <w:t>Target ≤24 hours or scheduled rebuild.</w:t>
            </w:r>
          </w:p>
        </w:tc>
      </w:tr>
    </w:tbl>
    <w:p>
      <w:r>
        <w:t>RTO is not equivalent to clinical workflow continuity. Downtime procedures may maintain care while full system restoration proceeds.</w:t>
      </w:r>
    </w:p>
    <w:p>
      <w:pPr>
        <w:pStyle w:val="Heading1"/>
      </w:pPr>
      <w:r>
        <w:t>31. Backup Requirements</w:t>
      </w:r>
    </w:p>
    <w:p>
      <w:pPr>
        <w:pStyle w:val="ListBullet"/>
      </w:pPr>
      <w:r>
        <w:t>Automated schedule.</w:t>
      </w:r>
    </w:p>
    <w:p>
      <w:pPr>
        <w:pStyle w:val="ListBullet"/>
      </w:pPr>
      <w:r>
        <w:t>Multiple recovery points.</w:t>
      </w:r>
    </w:p>
    <w:p>
      <w:pPr>
        <w:pStyle w:val="ListBullet"/>
      </w:pPr>
      <w:r>
        <w:t>Encrypted/isolated copies.</w:t>
      </w:r>
    </w:p>
    <w:p>
      <w:pPr>
        <w:pStyle w:val="ListBullet"/>
      </w:pPr>
      <w:r>
        <w:t>Retention policy.</w:t>
      </w:r>
    </w:p>
    <w:p>
      <w:pPr>
        <w:pStyle w:val="ListBullet"/>
      </w:pPr>
      <w:r>
        <w:t>Backup success monitored.</w:t>
      </w:r>
    </w:p>
    <w:p>
      <w:pPr>
        <w:pStyle w:val="ListBullet"/>
      </w:pPr>
      <w:r>
        <w:t>Restore tests on schedule.</w:t>
      </w:r>
    </w:p>
    <w:p>
      <w:pPr>
        <w:pStyle w:val="ListBullet"/>
      </w:pPr>
      <w:r>
        <w:t>Database + object/document consistency considered.</w:t>
      </w:r>
    </w:p>
    <w:p>
      <w:pPr>
        <w:pStyle w:val="ListBullet"/>
      </w:pPr>
      <w:r>
        <w:t>Configuration/secrets recovery included.</w:t>
      </w:r>
    </w:p>
    <w:p>
      <w:pPr>
        <w:pStyle w:val="ListBullet"/>
      </w:pPr>
      <w:r>
        <w:t>PACS backup governed by imaging architecture.</w:t>
      </w:r>
    </w:p>
    <w:p>
      <w:pPr>
        <w:pStyle w:val="ListBullet"/>
      </w:pPr>
      <w:r>
        <w:t>Recovery evidence retained.</w:t>
      </w:r>
    </w:p>
    <w:p>
      <w:pPr>
        <w:pStyle w:val="Heading1"/>
      </w:pPr>
      <w:r>
        <w:t>32. Restore Testing</w:t>
      </w:r>
    </w:p>
    <w:p>
      <w:pPr>
        <w:pStyle w:val="ListNumber"/>
      </w:pPr>
      <w:r>
        <w:t>Select recovery point.</w:t>
      </w:r>
    </w:p>
    <w:p>
      <w:pPr>
        <w:pStyle w:val="ListNumber"/>
      </w:pPr>
      <w:r>
        <w:t>Provision isolated restore environment.</w:t>
      </w:r>
    </w:p>
    <w:p>
      <w:pPr>
        <w:pStyle w:val="ListNumber"/>
      </w:pPr>
      <w:r>
        <w:t>Restore data/services.</w:t>
      </w:r>
    </w:p>
    <w:p>
      <w:pPr>
        <w:pStyle w:val="ListNumber"/>
      </w:pPr>
      <w:r>
        <w:t>Validate checksums/DB integrity.</w:t>
      </w:r>
    </w:p>
    <w:p>
      <w:pPr>
        <w:pStyle w:val="ListNumber"/>
      </w:pPr>
      <w:r>
        <w:t>Run application smoke tests.</w:t>
      </w:r>
    </w:p>
    <w:p>
      <w:pPr>
        <w:pStyle w:val="ListNumber"/>
      </w:pPr>
      <w:r>
        <w:t>Validate representative patient/clinical records.</w:t>
      </w:r>
    </w:p>
    <w:p>
      <w:pPr>
        <w:pStyle w:val="ListNumber"/>
      </w:pPr>
      <w:r>
        <w:t>Validate object/document references.</w:t>
      </w:r>
    </w:p>
    <w:p>
      <w:pPr>
        <w:pStyle w:val="ListNumber"/>
      </w:pPr>
      <w:r>
        <w:t>Measure actual RTO/RPO.</w:t>
      </w:r>
    </w:p>
    <w:p>
      <w:pPr>
        <w:pStyle w:val="ListNumber"/>
      </w:pPr>
      <w:r>
        <w:t>Record defects/actions.</w:t>
      </w:r>
    </w:p>
    <w:p>
      <w:pPr>
        <w:pStyle w:val="ListNumber"/>
      </w:pPr>
      <w:r>
        <w:t>Destroy test copy securely.</w:t>
      </w:r>
    </w:p>
    <w:p>
      <w:pPr>
        <w:pStyle w:val="Heading1"/>
      </w:pPr>
      <w:r>
        <w:t>33. Disaster Recovery</w:t>
      </w:r>
    </w:p>
    <w:p>
      <w:pPr>
        <w:pStyle w:val="ListBullet"/>
      </w:pPr>
      <w:r>
        <w:t>Defined primary and recovery topology.</w:t>
      </w:r>
    </w:p>
    <w:p>
      <w:pPr>
        <w:pStyle w:val="ListBullet"/>
      </w:pPr>
      <w:r>
        <w:t>DNS/routing/failover procedure.</w:t>
      </w:r>
    </w:p>
    <w:p>
      <w:pPr>
        <w:pStyle w:val="ListBullet"/>
      </w:pPr>
      <w:r>
        <w:t>Identity and secrets available during DR.</w:t>
      </w:r>
    </w:p>
    <w:p>
      <w:pPr>
        <w:pStyle w:val="ListBullet"/>
      </w:pPr>
      <w:r>
        <w:t>Dependencies identified.</w:t>
      </w:r>
    </w:p>
    <w:p>
      <w:pPr>
        <w:pStyle w:val="ListBullet"/>
      </w:pPr>
      <w:r>
        <w:t>Restore/failover order documented.</w:t>
      </w:r>
    </w:p>
    <w:p>
      <w:pPr>
        <w:pStyle w:val="ListBullet"/>
      </w:pPr>
      <w:r>
        <w:t>Clinical validation before full return.</w:t>
      </w:r>
    </w:p>
    <w:p>
      <w:pPr>
        <w:pStyle w:val="ListBullet"/>
      </w:pPr>
      <w:r>
        <w:t>Regular tabletop and technical exercises.</w:t>
      </w:r>
    </w:p>
    <w:p>
      <w:pPr>
        <w:pStyle w:val="ListBullet"/>
      </w:pPr>
      <w:r>
        <w:t>Failback procedure.</w:t>
      </w:r>
    </w:p>
    <w:p>
      <w:pPr>
        <w:pStyle w:val="Heading1"/>
      </w:pPr>
      <w:r>
        <w:t>34. Offline/Edge Quality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Attribute</w:t>
            </w:r>
          </w:p>
        </w:tc>
        <w:tc>
          <w:tcPr>
            <w:tcW w:type="dxa" w:w="5227"/>
          </w:tcPr>
          <w:p>
            <w:pPr>
              <w:spacing w:after="0"/>
            </w:pPr>
            <w:r>
              <w:rPr>
                <w:b/>
                <w:sz w:val="11"/>
              </w:rPr>
              <w:t>Requirement</w:t>
            </w:r>
          </w:p>
        </w:tc>
      </w:tr>
      <w:tr>
        <w:tc>
          <w:tcPr>
            <w:tcW w:type="dxa" w:w="5227"/>
          </w:tcPr>
          <w:p>
            <w:pPr>
              <w:spacing w:after="0"/>
            </w:pPr>
            <w:r>
              <w:rPr>
                <w:sz w:val="11"/>
              </w:rPr>
              <w:t>Startup</w:t>
            </w:r>
          </w:p>
        </w:tc>
        <w:tc>
          <w:tcPr>
            <w:tcW w:type="dxa" w:w="5227"/>
          </w:tcPr>
          <w:p>
            <w:pPr>
              <w:spacing w:after="0"/>
            </w:pPr>
            <w:r>
              <w:rPr>
                <w:sz w:val="11"/>
              </w:rPr>
              <w:t>Edge can operate without central connectivity after validated initialization.</w:t>
            </w:r>
          </w:p>
        </w:tc>
      </w:tr>
      <w:tr>
        <w:tc>
          <w:tcPr>
            <w:tcW w:type="dxa" w:w="5227"/>
          </w:tcPr>
          <w:p>
            <w:pPr>
              <w:spacing w:after="0"/>
            </w:pPr>
            <w:r>
              <w:rPr>
                <w:sz w:val="11"/>
              </w:rPr>
              <w:t>Authentication</w:t>
            </w:r>
          </w:p>
        </w:tc>
        <w:tc>
          <w:tcPr>
            <w:tcW w:type="dxa" w:w="5227"/>
          </w:tcPr>
          <w:p>
            <w:pPr>
              <w:spacing w:after="0"/>
            </w:pPr>
            <w:r>
              <w:rPr>
                <w:sz w:val="11"/>
              </w:rPr>
              <w:t>Cached policy bounded by expiry.</w:t>
            </w:r>
          </w:p>
        </w:tc>
      </w:tr>
      <w:tr>
        <w:tc>
          <w:tcPr>
            <w:tcW w:type="dxa" w:w="5227"/>
          </w:tcPr>
          <w:p>
            <w:pPr>
              <w:spacing w:after="0"/>
            </w:pPr>
            <w:r>
              <w:rPr>
                <w:sz w:val="11"/>
              </w:rPr>
              <w:t>Writes</w:t>
            </w:r>
          </w:p>
        </w:tc>
        <w:tc>
          <w:tcPr>
            <w:tcW w:type="dxa" w:w="5227"/>
          </w:tcPr>
          <w:p>
            <w:pPr>
              <w:spacing w:after="0"/>
            </w:pPr>
            <w:r>
              <w:rPr>
                <w:sz w:val="11"/>
              </w:rPr>
              <w:t>Durable local queue/store.</w:t>
            </w:r>
          </w:p>
        </w:tc>
      </w:tr>
      <w:tr>
        <w:tc>
          <w:tcPr>
            <w:tcW w:type="dxa" w:w="5227"/>
          </w:tcPr>
          <w:p>
            <w:pPr>
              <w:spacing w:after="0"/>
            </w:pPr>
            <w:r>
              <w:rPr>
                <w:sz w:val="11"/>
              </w:rPr>
              <w:t>UI</w:t>
            </w:r>
          </w:p>
        </w:tc>
        <w:tc>
          <w:tcPr>
            <w:tcW w:type="dxa" w:w="5227"/>
          </w:tcPr>
          <w:p>
            <w:pPr>
              <w:spacing w:after="0"/>
            </w:pPr>
            <w:r>
              <w:rPr>
                <w:sz w:val="11"/>
              </w:rPr>
              <w:t>Clearly indicates offline/degraded mode.</w:t>
            </w:r>
          </w:p>
        </w:tc>
      </w:tr>
      <w:tr>
        <w:tc>
          <w:tcPr>
            <w:tcW w:type="dxa" w:w="5227"/>
          </w:tcPr>
          <w:p>
            <w:pPr>
              <w:spacing w:after="0"/>
            </w:pPr>
            <w:r>
              <w:rPr>
                <w:sz w:val="11"/>
              </w:rPr>
              <w:t>Sync</w:t>
            </w:r>
          </w:p>
        </w:tc>
        <w:tc>
          <w:tcPr>
            <w:tcW w:type="dxa" w:w="5227"/>
          </w:tcPr>
          <w:p>
            <w:pPr>
              <w:spacing w:after="0"/>
            </w:pPr>
            <w:r>
              <w:rPr>
                <w:sz w:val="11"/>
              </w:rPr>
              <w:t>Automatic resumable synchronization.</w:t>
            </w:r>
          </w:p>
        </w:tc>
      </w:tr>
      <w:tr>
        <w:tc>
          <w:tcPr>
            <w:tcW w:type="dxa" w:w="5227"/>
          </w:tcPr>
          <w:p>
            <w:pPr>
              <w:spacing w:after="0"/>
            </w:pPr>
            <w:r>
              <w:rPr>
                <w:sz w:val="11"/>
              </w:rPr>
              <w:t>Conflicts</w:t>
            </w:r>
          </w:p>
        </w:tc>
        <w:tc>
          <w:tcPr>
            <w:tcW w:type="dxa" w:w="5227"/>
          </w:tcPr>
          <w:p>
            <w:pPr>
              <w:spacing w:after="0"/>
            </w:pPr>
            <w:r>
              <w:rPr>
                <w:sz w:val="11"/>
              </w:rPr>
              <w:t>Explicit domain rules; no blind LWW.</w:t>
            </w:r>
          </w:p>
        </w:tc>
      </w:tr>
      <w:tr>
        <w:tc>
          <w:tcPr>
            <w:tcW w:type="dxa" w:w="5227"/>
          </w:tcPr>
          <w:p>
            <w:pPr>
              <w:spacing w:after="0"/>
            </w:pPr>
            <w:r>
              <w:rPr>
                <w:sz w:val="11"/>
              </w:rPr>
              <w:t>Audit</w:t>
            </w:r>
          </w:p>
        </w:tc>
        <w:tc>
          <w:tcPr>
            <w:tcW w:type="dxa" w:w="5227"/>
          </w:tcPr>
          <w:p>
            <w:pPr>
              <w:spacing w:after="0"/>
            </w:pPr>
            <w:r>
              <w:rPr>
                <w:sz w:val="11"/>
              </w:rPr>
              <w:t>Durable and synchronized.</w:t>
            </w:r>
          </w:p>
        </w:tc>
      </w:tr>
      <w:tr>
        <w:tc>
          <w:tcPr>
            <w:tcW w:type="dxa" w:w="5227"/>
          </w:tcPr>
          <w:p>
            <w:pPr>
              <w:spacing w:after="0"/>
            </w:pPr>
            <w:r>
              <w:rPr>
                <w:sz w:val="11"/>
              </w:rPr>
              <w:t>Capacity</w:t>
            </w:r>
          </w:p>
        </w:tc>
        <w:tc>
          <w:tcPr>
            <w:tcW w:type="dxa" w:w="5227"/>
          </w:tcPr>
          <w:p>
            <w:pPr>
              <w:spacing w:after="0"/>
            </w:pPr>
            <w:r>
              <w:rPr>
                <w:sz w:val="11"/>
              </w:rPr>
              <w:t>Sized for expected outage duration.</w:t>
            </w:r>
          </w:p>
        </w:tc>
      </w:tr>
      <w:tr>
        <w:tc>
          <w:tcPr>
            <w:tcW w:type="dxa" w:w="5227"/>
          </w:tcPr>
          <w:p>
            <w:pPr>
              <w:spacing w:after="0"/>
            </w:pPr>
            <w:r>
              <w:rPr>
                <w:sz w:val="11"/>
              </w:rPr>
              <w:t>Recovery</w:t>
            </w:r>
          </w:p>
        </w:tc>
        <w:tc>
          <w:tcPr>
            <w:tcW w:type="dxa" w:w="5227"/>
          </w:tcPr>
          <w:p>
            <w:pPr>
              <w:spacing w:after="0"/>
            </w:pPr>
            <w:r>
              <w:rPr>
                <w:sz w:val="11"/>
              </w:rPr>
              <w:t>No duplicate facts on reconnect.</w:t>
            </w:r>
          </w:p>
        </w:tc>
      </w:tr>
    </w:tbl>
    <w:p>
      <w:pPr>
        <w:pStyle w:val="Heading1"/>
      </w:pPr>
      <w:r>
        <w:t>35. Offline Capacity</w:t>
      </w:r>
    </w:p>
    <w:p>
      <w:r>
        <w:t>Each facility edge deployment defines maximum supported disconnected period based on local storage, queue volume and operational risk.</w:t>
      </w:r>
    </w:p>
    <w:p>
      <w:pPr>
        <w:pStyle w:val="ListBullet"/>
      </w:pPr>
      <w:r>
        <w:t>Forecast patient/transaction volume per outage day.</w:t>
      </w:r>
    </w:p>
    <w:p>
      <w:pPr>
        <w:pStyle w:val="ListBullet"/>
      </w:pPr>
      <w:r>
        <w:t>Reserve disk headroom.</w:t>
      </w:r>
    </w:p>
    <w:p>
      <w:pPr>
        <w:pStyle w:val="ListBullet"/>
      </w:pPr>
      <w:r>
        <w:t>Alert before local capacity exhaustion.</w:t>
      </w:r>
    </w:p>
    <w:p>
      <w:pPr>
        <w:pStyle w:val="ListBullet"/>
      </w:pPr>
      <w:r>
        <w:t>Prioritize critical synchronization.</w:t>
      </w:r>
    </w:p>
    <w:p>
      <w:pPr>
        <w:pStyle w:val="ListBullet"/>
      </w:pPr>
      <w:r>
        <w:t>Large media may remain local/referenced rather than saturating link.</w:t>
      </w:r>
    </w:p>
    <w:p>
      <w:pPr>
        <w:pStyle w:val="ListBullet"/>
      </w:pPr>
      <w:r>
        <w:t>Sync can throttle to preserve interactive clinical traffic.</w:t>
      </w:r>
    </w:p>
    <w:p>
      <w:pPr>
        <w:pStyle w:val="Heading1"/>
      </w:pPr>
      <w:r>
        <w:t>36. Synchronization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Metric</w:t>
            </w:r>
          </w:p>
        </w:tc>
        <w:tc>
          <w:tcPr>
            <w:tcW w:type="dxa" w:w="5227"/>
          </w:tcPr>
          <w:p>
            <w:pPr>
              <w:spacing w:after="0"/>
            </w:pPr>
            <w:r>
              <w:rPr>
                <w:b/>
                <w:sz w:val="11"/>
              </w:rPr>
              <w:t>Requirement</w:t>
            </w:r>
          </w:p>
        </w:tc>
      </w:tr>
      <w:tr>
        <w:tc>
          <w:tcPr>
            <w:tcW w:type="dxa" w:w="5227"/>
          </w:tcPr>
          <w:p>
            <w:pPr>
              <w:spacing w:after="0"/>
            </w:pPr>
            <w:r>
              <w:rPr>
                <w:sz w:val="11"/>
              </w:rPr>
              <w:t>Backlog age</w:t>
            </w:r>
          </w:p>
        </w:tc>
        <w:tc>
          <w:tcPr>
            <w:tcW w:type="dxa" w:w="5227"/>
          </w:tcPr>
          <w:p>
            <w:pPr>
              <w:spacing w:after="0"/>
            </w:pPr>
            <w:r>
              <w:rPr>
                <w:sz w:val="11"/>
              </w:rPr>
              <w:t>Visible.</w:t>
            </w:r>
          </w:p>
        </w:tc>
      </w:tr>
      <w:tr>
        <w:tc>
          <w:tcPr>
            <w:tcW w:type="dxa" w:w="5227"/>
          </w:tcPr>
          <w:p>
            <w:pPr>
              <w:spacing w:after="0"/>
            </w:pPr>
            <w:r>
              <w:rPr>
                <w:sz w:val="11"/>
              </w:rPr>
              <w:t>Backlog count/bytes</w:t>
            </w:r>
          </w:p>
        </w:tc>
        <w:tc>
          <w:tcPr>
            <w:tcW w:type="dxa" w:w="5227"/>
          </w:tcPr>
          <w:p>
            <w:pPr>
              <w:spacing w:after="0"/>
            </w:pPr>
            <w:r>
              <w:rPr>
                <w:sz w:val="11"/>
              </w:rPr>
              <w:t>Visible.</w:t>
            </w:r>
          </w:p>
        </w:tc>
      </w:tr>
      <w:tr>
        <w:tc>
          <w:tcPr>
            <w:tcW w:type="dxa" w:w="5227"/>
          </w:tcPr>
          <w:p>
            <w:pPr>
              <w:spacing w:after="0"/>
            </w:pPr>
            <w:r>
              <w:rPr>
                <w:sz w:val="11"/>
              </w:rPr>
              <w:t>Sync throughput</w:t>
            </w:r>
          </w:p>
        </w:tc>
        <w:tc>
          <w:tcPr>
            <w:tcW w:type="dxa" w:w="5227"/>
          </w:tcPr>
          <w:p>
            <w:pPr>
              <w:spacing w:after="0"/>
            </w:pPr>
            <w:r>
              <w:rPr>
                <w:sz w:val="11"/>
              </w:rPr>
              <w:t>Measured.</w:t>
            </w:r>
          </w:p>
        </w:tc>
      </w:tr>
      <w:tr>
        <w:tc>
          <w:tcPr>
            <w:tcW w:type="dxa" w:w="5227"/>
          </w:tcPr>
          <w:p>
            <w:pPr>
              <w:spacing w:after="0"/>
            </w:pPr>
            <w:r>
              <w:rPr>
                <w:sz w:val="11"/>
              </w:rPr>
              <w:t>Retry rate</w:t>
            </w:r>
          </w:p>
        </w:tc>
        <w:tc>
          <w:tcPr>
            <w:tcW w:type="dxa" w:w="5227"/>
          </w:tcPr>
          <w:p>
            <w:pPr>
              <w:spacing w:after="0"/>
            </w:pPr>
            <w:r>
              <w:rPr>
                <w:sz w:val="11"/>
              </w:rPr>
              <w:t>Measured.</w:t>
            </w:r>
          </w:p>
        </w:tc>
      </w:tr>
      <w:tr>
        <w:tc>
          <w:tcPr>
            <w:tcW w:type="dxa" w:w="5227"/>
          </w:tcPr>
          <w:p>
            <w:pPr>
              <w:spacing w:after="0"/>
            </w:pPr>
            <w:r>
              <w:rPr>
                <w:sz w:val="11"/>
              </w:rPr>
              <w:t>Conflict count</w:t>
            </w:r>
          </w:p>
        </w:tc>
        <w:tc>
          <w:tcPr>
            <w:tcW w:type="dxa" w:w="5227"/>
          </w:tcPr>
          <w:p>
            <w:pPr>
              <w:spacing w:after="0"/>
            </w:pPr>
            <w:r>
              <w:rPr>
                <w:sz w:val="11"/>
              </w:rPr>
              <w:t>Measured.</w:t>
            </w:r>
          </w:p>
        </w:tc>
      </w:tr>
      <w:tr>
        <w:tc>
          <w:tcPr>
            <w:tcW w:type="dxa" w:w="5227"/>
          </w:tcPr>
          <w:p>
            <w:pPr>
              <w:spacing w:after="0"/>
            </w:pPr>
            <w:r>
              <w:rPr>
                <w:sz w:val="11"/>
              </w:rPr>
              <w:t>Time to catch up</w:t>
            </w:r>
          </w:p>
        </w:tc>
        <w:tc>
          <w:tcPr>
            <w:tcW w:type="dxa" w:w="5227"/>
          </w:tcPr>
          <w:p>
            <w:pPr>
              <w:spacing w:after="0"/>
            </w:pPr>
            <w:r>
              <w:rPr>
                <w:sz w:val="11"/>
              </w:rPr>
              <w:t>Capacity-tested.</w:t>
            </w:r>
          </w:p>
        </w:tc>
      </w:tr>
      <w:tr>
        <w:tc>
          <w:tcPr>
            <w:tcW w:type="dxa" w:w="5227"/>
          </w:tcPr>
          <w:p>
            <w:pPr>
              <w:spacing w:after="0"/>
            </w:pPr>
            <w:r>
              <w:rPr>
                <w:sz w:val="11"/>
              </w:rPr>
              <w:t>Duplicate rate</w:t>
            </w:r>
          </w:p>
        </w:tc>
        <w:tc>
          <w:tcPr>
            <w:tcW w:type="dxa" w:w="5227"/>
          </w:tcPr>
          <w:p>
            <w:pPr>
              <w:spacing w:after="0"/>
            </w:pPr>
            <w:r>
              <w:rPr>
                <w:sz w:val="11"/>
              </w:rPr>
              <w:t>Zero accepted duplicates for protected invariants.</w:t>
            </w:r>
          </w:p>
        </w:tc>
      </w:tr>
      <w:tr>
        <w:tc>
          <w:tcPr>
            <w:tcW w:type="dxa" w:w="5227"/>
          </w:tcPr>
          <w:p>
            <w:pPr>
              <w:spacing w:after="0"/>
            </w:pPr>
            <w:r>
              <w:rPr>
                <w:sz w:val="11"/>
              </w:rPr>
              <w:t>Failed items</w:t>
            </w:r>
          </w:p>
        </w:tc>
        <w:tc>
          <w:tcPr>
            <w:tcW w:type="dxa" w:w="5227"/>
          </w:tcPr>
          <w:p>
            <w:pPr>
              <w:spacing w:after="0"/>
            </w:pPr>
            <w:r>
              <w:rPr>
                <w:sz w:val="11"/>
              </w:rPr>
              <w:t>Actionable queue.</w:t>
            </w:r>
          </w:p>
        </w:tc>
      </w:tr>
    </w:tbl>
    <w:p>
      <w:pPr>
        <w:pStyle w:val="Heading1"/>
      </w:pPr>
      <w:r>
        <w:t>37. Network Conditions</w:t>
      </w:r>
    </w:p>
    <w:p>
      <w:pPr>
        <w:pStyle w:val="ListBullet"/>
      </w:pPr>
      <w:r>
        <w:t>Test high latency.</w:t>
      </w:r>
    </w:p>
    <w:p>
      <w:pPr>
        <w:pStyle w:val="ListBullet"/>
      </w:pPr>
      <w:r>
        <w:t>Test packet loss/intermittency.</w:t>
      </w:r>
    </w:p>
    <w:p>
      <w:pPr>
        <w:pStyle w:val="ListBullet"/>
      </w:pPr>
      <w:r>
        <w:t>Test low bandwidth.</w:t>
      </w:r>
    </w:p>
    <w:p>
      <w:pPr>
        <w:pStyle w:val="ListBullet"/>
      </w:pPr>
      <w:r>
        <w:t>Test complete outage/reconnect.</w:t>
      </w:r>
    </w:p>
    <w:p>
      <w:pPr>
        <w:pStyle w:val="ListBullet"/>
      </w:pPr>
      <w:r>
        <w:t>Use request compression where safe/useful.</w:t>
      </w:r>
    </w:p>
    <w:p>
      <w:pPr>
        <w:pStyle w:val="ListBullet"/>
      </w:pPr>
      <w:r>
        <w:t>Avoid unnecessarily large API payloads.</w:t>
      </w:r>
    </w:p>
    <w:p>
      <w:pPr>
        <w:pStyle w:val="ListBullet"/>
      </w:pPr>
      <w:r>
        <w:t>Progressive loading for large charts.</w:t>
      </w:r>
    </w:p>
    <w:p>
      <w:pPr>
        <w:pStyle w:val="ListBullet"/>
      </w:pPr>
      <w:r>
        <w:t>Do not make emergency workflow dependent on high-bandwidth media.</w:t>
      </w:r>
    </w:p>
    <w:p>
      <w:pPr>
        <w:pStyle w:val="Heading1"/>
      </w:pPr>
      <w:r>
        <w:t>38. Low-Bandwidth UX</w:t>
      </w:r>
    </w:p>
    <w:p>
      <w:pPr>
        <w:pStyle w:val="ListBullet"/>
      </w:pPr>
      <w:r>
        <w:t>Text/structured data before heavy media.</w:t>
      </w:r>
    </w:p>
    <w:p>
      <w:pPr>
        <w:pStyle w:val="ListBullet"/>
      </w:pPr>
      <w:r>
        <w:t>Lazy-load images/documents.</w:t>
      </w:r>
    </w:p>
    <w:p>
      <w:pPr>
        <w:pStyle w:val="ListBullet"/>
      </w:pPr>
      <w:r>
        <w:t>Compress thumbnails/previews.</w:t>
      </w:r>
    </w:p>
    <w:p>
      <w:pPr>
        <w:pStyle w:val="ListBullet"/>
      </w:pPr>
      <w:r>
        <w:t>Pagination/virtualization.</w:t>
      </w:r>
    </w:p>
    <w:p>
      <w:pPr>
        <w:pStyle w:val="ListBullet"/>
      </w:pPr>
      <w:r>
        <w:t>Retry indicators.</w:t>
      </w:r>
    </w:p>
    <w:p>
      <w:pPr>
        <w:pStyle w:val="ListBullet"/>
      </w:pPr>
      <w:r>
        <w:t>Offline queue status.</w:t>
      </w:r>
    </w:p>
    <w:p>
      <w:pPr>
        <w:pStyle w:val="ListBullet"/>
      </w:pPr>
      <w:r>
        <w:t>Avoid auto-playing large media.</w:t>
      </w:r>
    </w:p>
    <w:p>
      <w:pPr>
        <w:pStyle w:val="ListBullet"/>
      </w:pPr>
      <w:r>
        <w:t>Allow diagnostic image workflow to use PACS/local network where appropriate.</w:t>
      </w:r>
    </w:p>
    <w:p>
      <w:pPr>
        <w:pStyle w:val="Heading1"/>
      </w:pPr>
      <w:r>
        <w:t>39. Database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Area</w:t>
            </w:r>
          </w:p>
        </w:tc>
        <w:tc>
          <w:tcPr>
            <w:tcW w:type="dxa" w:w="5227"/>
          </w:tcPr>
          <w:p>
            <w:pPr>
              <w:spacing w:after="0"/>
            </w:pPr>
            <w:r>
              <w:rPr>
                <w:b/>
                <w:sz w:val="11"/>
              </w:rPr>
              <w:t>Control</w:t>
            </w:r>
          </w:p>
        </w:tc>
      </w:tr>
      <w:tr>
        <w:tc>
          <w:tcPr>
            <w:tcW w:type="dxa" w:w="5227"/>
          </w:tcPr>
          <w:p>
            <w:pPr>
              <w:spacing w:after="0"/>
            </w:pPr>
            <w:r>
              <w:rPr>
                <w:sz w:val="11"/>
              </w:rPr>
              <w:t>Queries</w:t>
            </w:r>
          </w:p>
        </w:tc>
        <w:tc>
          <w:tcPr>
            <w:tcW w:type="dxa" w:w="5227"/>
          </w:tcPr>
          <w:p>
            <w:pPr>
              <w:spacing w:after="0"/>
            </w:pPr>
            <w:r>
              <w:rPr>
                <w:sz w:val="11"/>
              </w:rPr>
              <w:t>Indexed/plan-reviewed for critical paths.</w:t>
            </w:r>
          </w:p>
        </w:tc>
      </w:tr>
      <w:tr>
        <w:tc>
          <w:tcPr>
            <w:tcW w:type="dxa" w:w="5227"/>
          </w:tcPr>
          <w:p>
            <w:pPr>
              <w:spacing w:after="0"/>
            </w:pPr>
            <w:r>
              <w:rPr>
                <w:sz w:val="11"/>
              </w:rPr>
              <w:t>N+1</w:t>
            </w:r>
          </w:p>
        </w:tc>
        <w:tc>
          <w:tcPr>
            <w:tcW w:type="dxa" w:w="5227"/>
          </w:tcPr>
          <w:p>
            <w:pPr>
              <w:spacing w:after="0"/>
            </w:pPr>
            <w:r>
              <w:rPr>
                <w:sz w:val="11"/>
              </w:rPr>
              <w:t>Prevented/monitored.</w:t>
            </w:r>
          </w:p>
        </w:tc>
      </w:tr>
      <w:tr>
        <w:tc>
          <w:tcPr>
            <w:tcW w:type="dxa" w:w="5227"/>
          </w:tcPr>
          <w:p>
            <w:pPr>
              <w:spacing w:after="0"/>
            </w:pPr>
            <w:r>
              <w:rPr>
                <w:sz w:val="11"/>
              </w:rPr>
              <w:t>Connections</w:t>
            </w:r>
          </w:p>
        </w:tc>
        <w:tc>
          <w:tcPr>
            <w:tcW w:type="dxa" w:w="5227"/>
          </w:tcPr>
          <w:p>
            <w:pPr>
              <w:spacing w:after="0"/>
            </w:pPr>
            <w:r>
              <w:rPr>
                <w:sz w:val="11"/>
              </w:rPr>
              <w:t>Pool bounded.</w:t>
            </w:r>
          </w:p>
        </w:tc>
      </w:tr>
      <w:tr>
        <w:tc>
          <w:tcPr>
            <w:tcW w:type="dxa" w:w="5227"/>
          </w:tcPr>
          <w:p>
            <w:pPr>
              <w:spacing w:after="0"/>
            </w:pPr>
            <w:r>
              <w:rPr>
                <w:sz w:val="11"/>
              </w:rPr>
              <w:t>Transactions</w:t>
            </w:r>
          </w:p>
        </w:tc>
        <w:tc>
          <w:tcPr>
            <w:tcW w:type="dxa" w:w="5227"/>
          </w:tcPr>
          <w:p>
            <w:pPr>
              <w:spacing w:after="0"/>
            </w:pPr>
            <w:r>
              <w:rPr>
                <w:sz w:val="11"/>
              </w:rPr>
              <w:t>Short and correct.</w:t>
            </w:r>
          </w:p>
        </w:tc>
      </w:tr>
      <w:tr>
        <w:tc>
          <w:tcPr>
            <w:tcW w:type="dxa" w:w="5227"/>
          </w:tcPr>
          <w:p>
            <w:pPr>
              <w:spacing w:after="0"/>
            </w:pPr>
            <w:r>
              <w:rPr>
                <w:sz w:val="11"/>
              </w:rPr>
              <w:t>Locks</w:t>
            </w:r>
          </w:p>
        </w:tc>
        <w:tc>
          <w:tcPr>
            <w:tcW w:type="dxa" w:w="5227"/>
          </w:tcPr>
          <w:p>
            <w:pPr>
              <w:spacing w:after="0"/>
            </w:pPr>
            <w:r>
              <w:rPr>
                <w:sz w:val="11"/>
              </w:rPr>
              <w:t>Contention monitored.</w:t>
            </w:r>
          </w:p>
        </w:tc>
      </w:tr>
      <w:tr>
        <w:tc>
          <w:tcPr>
            <w:tcW w:type="dxa" w:w="5227"/>
          </w:tcPr>
          <w:p>
            <w:pPr>
              <w:spacing w:after="0"/>
            </w:pPr>
            <w:r>
              <w:rPr>
                <w:sz w:val="11"/>
              </w:rPr>
              <w:t>Indexes</w:t>
            </w:r>
          </w:p>
        </w:tc>
        <w:tc>
          <w:tcPr>
            <w:tcW w:type="dxa" w:w="5227"/>
          </w:tcPr>
          <w:p>
            <w:pPr>
              <w:spacing w:after="0"/>
            </w:pPr>
            <w:r>
              <w:rPr>
                <w:sz w:val="11"/>
              </w:rPr>
              <w:t>Usage/bloat monitored.</w:t>
            </w:r>
          </w:p>
        </w:tc>
      </w:tr>
      <w:tr>
        <w:tc>
          <w:tcPr>
            <w:tcW w:type="dxa" w:w="5227"/>
          </w:tcPr>
          <w:p>
            <w:pPr>
              <w:spacing w:after="0"/>
            </w:pPr>
            <w:r>
              <w:rPr>
                <w:sz w:val="11"/>
              </w:rPr>
              <w:t>Growth</w:t>
            </w:r>
          </w:p>
        </w:tc>
        <w:tc>
          <w:tcPr>
            <w:tcW w:type="dxa" w:w="5227"/>
          </w:tcPr>
          <w:p>
            <w:pPr>
              <w:spacing w:after="0"/>
            </w:pPr>
            <w:r>
              <w:rPr>
                <w:sz w:val="11"/>
              </w:rPr>
              <w:t>Partition/archive strategy where required.</w:t>
            </w:r>
          </w:p>
        </w:tc>
      </w:tr>
      <w:tr>
        <w:tc>
          <w:tcPr>
            <w:tcW w:type="dxa" w:w="5227"/>
          </w:tcPr>
          <w:p>
            <w:pPr>
              <w:spacing w:after="0"/>
            </w:pPr>
            <w:r>
              <w:rPr>
                <w:sz w:val="11"/>
              </w:rPr>
              <w:t>Replication</w:t>
            </w:r>
          </w:p>
        </w:tc>
        <w:tc>
          <w:tcPr>
            <w:tcW w:type="dxa" w:w="5227"/>
          </w:tcPr>
          <w:p>
            <w:pPr>
              <w:spacing w:after="0"/>
            </w:pPr>
            <w:r>
              <w:rPr>
                <w:sz w:val="11"/>
              </w:rPr>
              <w:t>Lag monitored.</w:t>
            </w:r>
          </w:p>
        </w:tc>
      </w:tr>
      <w:tr>
        <w:tc>
          <w:tcPr>
            <w:tcW w:type="dxa" w:w="5227"/>
          </w:tcPr>
          <w:p>
            <w:pPr>
              <w:spacing w:after="0"/>
            </w:pPr>
            <w:r>
              <w:rPr>
                <w:sz w:val="11"/>
              </w:rPr>
              <w:t>Maintenance</w:t>
            </w:r>
          </w:p>
        </w:tc>
        <w:tc>
          <w:tcPr>
            <w:tcW w:type="dxa" w:w="5227"/>
          </w:tcPr>
          <w:p>
            <w:pPr>
              <w:spacing w:after="0"/>
            </w:pPr>
            <w:r>
              <w:rPr>
                <w:sz w:val="11"/>
              </w:rPr>
              <w:t>Vacuum/statistics/engine-specific tasks.</w:t>
            </w:r>
          </w:p>
        </w:tc>
      </w:tr>
      <w:tr>
        <w:tc>
          <w:tcPr>
            <w:tcW w:type="dxa" w:w="5227"/>
          </w:tcPr>
          <w:p>
            <w:pPr>
              <w:spacing w:after="0"/>
            </w:pPr>
            <w:r>
              <w:rPr>
                <w:sz w:val="11"/>
              </w:rPr>
              <w:t>Slow queries</w:t>
            </w:r>
          </w:p>
        </w:tc>
        <w:tc>
          <w:tcPr>
            <w:tcW w:type="dxa" w:w="5227"/>
          </w:tcPr>
          <w:p>
            <w:pPr>
              <w:spacing w:after="0"/>
            </w:pPr>
            <w:r>
              <w:rPr>
                <w:sz w:val="11"/>
              </w:rPr>
              <w:t>Captured and reviewed.</w:t>
            </w:r>
          </w:p>
        </w:tc>
      </w:tr>
    </w:tbl>
    <w:p>
      <w:pPr>
        <w:pStyle w:val="Heading1"/>
      </w:pPr>
      <w:r>
        <w:t>40. Search Performance</w:t>
      </w:r>
    </w:p>
    <w:p>
      <w:pPr>
        <w:pStyle w:val="ListBullet"/>
      </w:pPr>
      <w:r>
        <w:t>Patient search prioritizes exact identifiers.</w:t>
      </w:r>
    </w:p>
    <w:p>
      <w:pPr>
        <w:pStyle w:val="ListBullet"/>
      </w:pPr>
      <w:r>
        <w:t>Fuzzy search constrained to avoid broad expensive scans.</w:t>
      </w:r>
    </w:p>
    <w:p>
      <w:pPr>
        <w:pStyle w:val="ListBullet"/>
      </w:pPr>
      <w:r>
        <w:t>Search index freshness has defined SLI.</w:t>
      </w:r>
    </w:p>
    <w:p>
      <w:pPr>
        <w:pStyle w:val="ListBullet"/>
      </w:pPr>
      <w:r>
        <w:t>Authorization filters cannot be bypassed for speed.</w:t>
      </w:r>
    </w:p>
    <w:p>
      <w:pPr>
        <w:pStyle w:val="ListBullet"/>
      </w:pPr>
      <w:r>
        <w:t>Index outage has safe fallback where possible.</w:t>
      </w:r>
    </w:p>
    <w:p>
      <w:pPr>
        <w:pStyle w:val="ListBullet"/>
      </w:pPr>
      <w:r>
        <w:t>Reindexing does not make clinical records unavailable.</w:t>
      </w:r>
    </w:p>
    <w:p>
      <w:pPr>
        <w:pStyle w:val="ListBullet"/>
      </w:pPr>
      <w:r>
        <w:t>Search result ranking is deterministic enough for patient-safety review.</w:t>
      </w:r>
    </w:p>
    <w:p>
      <w:pPr>
        <w:pStyle w:val="Heading1"/>
      </w:pPr>
      <w:r>
        <w:t>41. Document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Operation</w:t>
            </w:r>
          </w:p>
        </w:tc>
        <w:tc>
          <w:tcPr>
            <w:tcW w:type="dxa" w:w="5227"/>
          </w:tcPr>
          <w:p>
            <w:pPr>
              <w:spacing w:after="0"/>
            </w:pPr>
            <w:r>
              <w:rPr>
                <w:b/>
                <w:sz w:val="11"/>
              </w:rPr>
              <w:t>Expectation</w:t>
            </w:r>
          </w:p>
        </w:tc>
      </w:tr>
      <w:tr>
        <w:tc>
          <w:tcPr>
            <w:tcW w:type="dxa" w:w="5227"/>
          </w:tcPr>
          <w:p>
            <w:pPr>
              <w:spacing w:after="0"/>
            </w:pPr>
            <w:r>
              <w:rPr>
                <w:sz w:val="11"/>
              </w:rPr>
              <w:t>Metadata list</w:t>
            </w:r>
          </w:p>
        </w:tc>
        <w:tc>
          <w:tcPr>
            <w:tcW w:type="dxa" w:w="5227"/>
          </w:tcPr>
          <w:p>
            <w:pPr>
              <w:spacing w:after="0"/>
            </w:pPr>
            <w:r>
              <w:rPr>
                <w:sz w:val="11"/>
              </w:rPr>
              <w:t>Fast/paginated.</w:t>
            </w:r>
          </w:p>
        </w:tc>
      </w:tr>
      <w:tr>
        <w:tc>
          <w:tcPr>
            <w:tcW w:type="dxa" w:w="5227"/>
          </w:tcPr>
          <w:p>
            <w:pPr>
              <w:spacing w:after="0"/>
            </w:pPr>
            <w:r>
              <w:rPr>
                <w:sz w:val="11"/>
              </w:rPr>
              <w:t>Small document open</w:t>
            </w:r>
          </w:p>
        </w:tc>
        <w:tc>
          <w:tcPr>
            <w:tcW w:type="dxa" w:w="5227"/>
          </w:tcPr>
          <w:p>
            <w:pPr>
              <w:spacing w:after="0"/>
            </w:pPr>
            <w:r>
              <w:rPr>
                <w:sz w:val="11"/>
              </w:rPr>
              <w:t>Seconds-scale under normal network.</w:t>
            </w:r>
          </w:p>
        </w:tc>
      </w:tr>
      <w:tr>
        <w:tc>
          <w:tcPr>
            <w:tcW w:type="dxa" w:w="5227"/>
          </w:tcPr>
          <w:p>
            <w:pPr>
              <w:spacing w:after="0"/>
            </w:pPr>
            <w:r>
              <w:rPr>
                <w:sz w:val="11"/>
              </w:rPr>
              <w:t>Large upload</w:t>
            </w:r>
          </w:p>
        </w:tc>
        <w:tc>
          <w:tcPr>
            <w:tcW w:type="dxa" w:w="5227"/>
          </w:tcPr>
          <w:p>
            <w:pPr>
              <w:spacing w:after="0"/>
            </w:pPr>
            <w:r>
              <w:rPr>
                <w:sz w:val="11"/>
              </w:rPr>
              <w:t>Asynchronous/progress indicator.</w:t>
            </w:r>
          </w:p>
        </w:tc>
      </w:tr>
      <w:tr>
        <w:tc>
          <w:tcPr>
            <w:tcW w:type="dxa" w:w="5227"/>
          </w:tcPr>
          <w:p>
            <w:pPr>
              <w:spacing w:after="0"/>
            </w:pPr>
            <w:r>
              <w:rPr>
                <w:sz w:val="11"/>
              </w:rPr>
              <w:t>Virus scan</w:t>
            </w:r>
          </w:p>
        </w:tc>
        <w:tc>
          <w:tcPr>
            <w:tcW w:type="dxa" w:w="5227"/>
          </w:tcPr>
          <w:p>
            <w:pPr>
              <w:spacing w:after="0"/>
            </w:pPr>
            <w:r>
              <w:rPr>
                <w:sz w:val="11"/>
              </w:rPr>
              <w:t>State visible; document not released before required scan.</w:t>
            </w:r>
          </w:p>
        </w:tc>
      </w:tr>
      <w:tr>
        <w:tc>
          <w:tcPr>
            <w:tcW w:type="dxa" w:w="5227"/>
          </w:tcPr>
          <w:p>
            <w:pPr>
              <w:spacing w:after="0"/>
            </w:pPr>
            <w:r>
              <w:rPr>
                <w:sz w:val="11"/>
              </w:rPr>
              <w:t>Preview</w:t>
            </w:r>
          </w:p>
        </w:tc>
        <w:tc>
          <w:tcPr>
            <w:tcW w:type="dxa" w:w="5227"/>
          </w:tcPr>
          <w:p>
            <w:pPr>
              <w:spacing w:after="0"/>
            </w:pPr>
            <w:r>
              <w:rPr>
                <w:sz w:val="11"/>
              </w:rPr>
              <w:t>Generated asynchronously if costly.</w:t>
            </w:r>
          </w:p>
        </w:tc>
      </w:tr>
      <w:tr>
        <w:tc>
          <w:tcPr>
            <w:tcW w:type="dxa" w:w="5227"/>
          </w:tcPr>
          <w:p>
            <w:pPr>
              <w:spacing w:after="0"/>
            </w:pPr>
            <w:r>
              <w:rPr>
                <w:sz w:val="11"/>
              </w:rPr>
              <w:t>Download</w:t>
            </w:r>
          </w:p>
        </w:tc>
        <w:tc>
          <w:tcPr>
            <w:tcW w:type="dxa" w:w="5227"/>
          </w:tcPr>
          <w:p>
            <w:pPr>
              <w:spacing w:after="0"/>
            </w:pPr>
            <w:r>
              <w:rPr>
                <w:sz w:val="11"/>
              </w:rPr>
              <w:t>Streaming/time-limited authorized URL.</w:t>
            </w:r>
          </w:p>
        </w:tc>
      </w:tr>
      <w:tr>
        <w:tc>
          <w:tcPr>
            <w:tcW w:type="dxa" w:w="5227"/>
          </w:tcPr>
          <w:p>
            <w:pPr>
              <w:spacing w:after="0"/>
            </w:pPr>
            <w:r>
              <w:rPr>
                <w:sz w:val="11"/>
              </w:rPr>
              <w:t>Retention archive</w:t>
            </w:r>
          </w:p>
        </w:tc>
        <w:tc>
          <w:tcPr>
            <w:tcW w:type="dxa" w:w="5227"/>
          </w:tcPr>
          <w:p>
            <w:pPr>
              <w:spacing w:after="0"/>
            </w:pPr>
            <w:r>
              <w:rPr>
                <w:sz w:val="11"/>
              </w:rPr>
              <w:t>Does not block clinical transaction path.</w:t>
            </w:r>
          </w:p>
        </w:tc>
      </w:tr>
    </w:tbl>
    <w:p>
      <w:pPr>
        <w:pStyle w:val="Heading1"/>
      </w:pPr>
      <w:r>
        <w:t>42. Imaging Performance Boundary</w:t>
      </w:r>
    </w:p>
    <w:p>
      <w:r>
        <w:t>Pulse does not define diagnostic pixel-rendering performance for an external PACS unless Pulse supplies that PACS/viewer. Pulse does define metadata/report/viewer-launch performance and integration availability.</w:t>
      </w:r>
    </w:p>
    <w:p>
      <w:pPr>
        <w:pStyle w:val="ListBullet"/>
      </w:pPr>
      <w:r>
        <w:t>Imaging order/status metadata remains lightweight.</w:t>
      </w:r>
    </w:p>
    <w:p>
      <w:pPr>
        <w:pStyle w:val="ListBullet"/>
      </w:pPr>
      <w:r>
        <w:t>Viewer launch uses secure short-lived context.</w:t>
      </w:r>
    </w:p>
    <w:p>
      <w:pPr>
        <w:pStyle w:val="ListBullet"/>
      </w:pPr>
      <w:r>
        <w:t>Large DICOM transfer stays outside normal FHIR/API payloads.</w:t>
      </w:r>
    </w:p>
    <w:p>
      <w:pPr>
        <w:pStyle w:val="ListBullet"/>
      </w:pPr>
      <w:r>
        <w:t>PACS outage is visible.</w:t>
      </w:r>
    </w:p>
    <w:p>
      <w:pPr>
        <w:pStyle w:val="ListBullet"/>
      </w:pPr>
      <w:r>
        <w:t>Modality worklist/interface latency monitored.</w:t>
      </w:r>
    </w:p>
    <w:p>
      <w:pPr>
        <w:pStyle w:val="Heading1"/>
      </w:pPr>
      <w:r>
        <w:t>43. Laboratory Interface Performance</w:t>
      </w:r>
    </w:p>
    <w:p>
      <w:pPr>
        <w:pStyle w:val="ListBullet"/>
      </w:pPr>
      <w:r>
        <w:t>Analyzer messages processed continuously.</w:t>
      </w:r>
    </w:p>
    <w:p>
      <w:pPr>
        <w:pStyle w:val="ListBullet"/>
      </w:pPr>
      <w:r>
        <w:t>Interface backlog visible.</w:t>
      </w:r>
    </w:p>
    <w:p>
      <w:pPr>
        <w:pStyle w:val="ListBullet"/>
      </w:pPr>
      <w:r>
        <w:t>Result ingestion is idempotent.</w:t>
      </w:r>
    </w:p>
    <w:p>
      <w:pPr>
        <w:pStyle w:val="ListBullet"/>
      </w:pPr>
      <w:r>
        <w:t>Critical result communication latency measured separately from analyzer interface latency.</w:t>
      </w:r>
    </w:p>
    <w:p>
      <w:pPr>
        <w:pStyle w:val="ListBullet"/>
      </w:pPr>
      <w:r>
        <w:t>Large result bursts do not starve interactive clinical APIs.</w:t>
      </w:r>
    </w:p>
    <w:p>
      <w:pPr>
        <w:pStyle w:val="ListBullet"/>
      </w:pPr>
      <w:r>
        <w:t>Unknown/unmapped results quarantine without blocking valid results.</w:t>
      </w:r>
    </w:p>
    <w:p>
      <w:pPr>
        <w:pStyle w:val="Heading1"/>
      </w:pPr>
      <w:r>
        <w:t>44. Medication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Workflow</w:t>
            </w:r>
          </w:p>
        </w:tc>
        <w:tc>
          <w:tcPr>
            <w:tcW w:type="dxa" w:w="5227"/>
          </w:tcPr>
          <w:p>
            <w:pPr>
              <w:spacing w:after="0"/>
            </w:pPr>
            <w:r>
              <w:rPr>
                <w:b/>
                <w:sz w:val="11"/>
              </w:rPr>
              <w:t>NFR</w:t>
            </w:r>
          </w:p>
        </w:tc>
      </w:tr>
      <w:tr>
        <w:tc>
          <w:tcPr>
            <w:tcW w:type="dxa" w:w="5227"/>
          </w:tcPr>
          <w:p>
            <w:pPr>
              <w:spacing w:after="0"/>
            </w:pPr>
            <w:r>
              <w:rPr>
                <w:sz w:val="11"/>
              </w:rPr>
              <w:t>Medication chart load</w:t>
            </w:r>
          </w:p>
        </w:tc>
        <w:tc>
          <w:tcPr>
            <w:tcW w:type="dxa" w:w="5227"/>
          </w:tcPr>
          <w:p>
            <w:pPr>
              <w:spacing w:after="0"/>
            </w:pPr>
            <w:r>
              <w:rPr>
                <w:sz w:val="11"/>
              </w:rPr>
              <w:t>Prioritize due/current administrations.</w:t>
            </w:r>
          </w:p>
        </w:tc>
      </w:tr>
      <w:tr>
        <w:tc>
          <w:tcPr>
            <w:tcW w:type="dxa" w:w="5227"/>
          </w:tcPr>
          <w:p>
            <w:pPr>
              <w:spacing w:after="0"/>
            </w:pPr>
            <w:r>
              <w:rPr>
                <w:sz w:val="11"/>
              </w:rPr>
              <w:t>Barcode lookup</w:t>
            </w:r>
          </w:p>
        </w:tc>
        <w:tc>
          <w:tcPr>
            <w:tcW w:type="dxa" w:w="5227"/>
          </w:tcPr>
          <w:p>
            <w:pPr>
              <w:spacing w:after="0"/>
            </w:pPr>
            <w:r>
              <w:rPr>
                <w:sz w:val="11"/>
              </w:rPr>
              <w:t>Low-latency local/online path.</w:t>
            </w:r>
          </w:p>
        </w:tc>
      </w:tr>
      <w:tr>
        <w:tc>
          <w:tcPr>
            <w:tcW w:type="dxa" w:w="5227"/>
          </w:tcPr>
          <w:p>
            <w:pPr>
              <w:spacing w:after="0"/>
            </w:pPr>
            <w:r>
              <w:rPr>
                <w:sz w:val="11"/>
              </w:rPr>
              <w:t>Administration commit</w:t>
            </w:r>
          </w:p>
        </w:tc>
        <w:tc>
          <w:tcPr>
            <w:tcW w:type="dxa" w:w="5227"/>
          </w:tcPr>
          <w:p>
            <w:pPr>
              <w:spacing w:after="0"/>
            </w:pPr>
            <w:r>
              <w:rPr>
                <w:sz w:val="11"/>
              </w:rPr>
              <w:t>Durable before success.</w:t>
            </w:r>
          </w:p>
        </w:tc>
      </w:tr>
      <w:tr>
        <w:tc>
          <w:tcPr>
            <w:tcW w:type="dxa" w:w="5227"/>
          </w:tcPr>
          <w:p>
            <w:pPr>
              <w:spacing w:after="0"/>
            </w:pPr>
            <w:r>
              <w:rPr>
                <w:sz w:val="11"/>
              </w:rPr>
              <w:t>Pharmacy worklist</w:t>
            </w:r>
          </w:p>
        </w:tc>
        <w:tc>
          <w:tcPr>
            <w:tcW w:type="dxa" w:w="5227"/>
          </w:tcPr>
          <w:p>
            <w:pPr>
              <w:spacing w:after="0"/>
            </w:pPr>
            <w:r>
              <w:rPr>
                <w:sz w:val="11"/>
              </w:rPr>
              <w:t>Paginated/filterable.</w:t>
            </w:r>
          </w:p>
        </w:tc>
      </w:tr>
      <w:tr>
        <w:tc>
          <w:tcPr>
            <w:tcW w:type="dxa" w:w="5227"/>
          </w:tcPr>
          <w:p>
            <w:pPr>
              <w:spacing w:after="0"/>
            </w:pPr>
            <w:r>
              <w:rPr>
                <w:sz w:val="11"/>
              </w:rPr>
              <w:t>Interaction/CDS</w:t>
            </w:r>
          </w:p>
        </w:tc>
        <w:tc>
          <w:tcPr>
            <w:tcW w:type="dxa" w:w="5227"/>
          </w:tcPr>
          <w:p>
            <w:pPr>
              <w:spacing w:after="0"/>
            </w:pPr>
            <w:r>
              <w:rPr>
                <w:sz w:val="11"/>
              </w:rPr>
              <w:t>Timeout with safe explicit fallback; never silently 'no alert'.</w:t>
            </w:r>
          </w:p>
        </w:tc>
      </w:tr>
      <w:tr>
        <w:tc>
          <w:tcPr>
            <w:tcW w:type="dxa" w:w="5227"/>
          </w:tcPr>
          <w:p>
            <w:pPr>
              <w:spacing w:after="0"/>
            </w:pPr>
            <w:r>
              <w:rPr>
                <w:sz w:val="11"/>
              </w:rPr>
              <w:t>Stock lookup</w:t>
            </w:r>
          </w:p>
        </w:tc>
        <w:tc>
          <w:tcPr>
            <w:tcW w:type="dxa" w:w="5227"/>
          </w:tcPr>
          <w:p>
            <w:pPr>
              <w:spacing w:after="0"/>
            </w:pPr>
            <w:r>
              <w:rPr>
                <w:sz w:val="11"/>
              </w:rPr>
              <w:t>May be eventually consistent but labelled if stale.</w:t>
            </w:r>
          </w:p>
        </w:tc>
      </w:tr>
      <w:tr>
        <w:tc>
          <w:tcPr>
            <w:tcW w:type="dxa" w:w="5227"/>
          </w:tcPr>
          <w:p>
            <w:pPr>
              <w:spacing w:after="0"/>
            </w:pPr>
            <w:r>
              <w:rPr>
                <w:sz w:val="11"/>
              </w:rPr>
              <w:t>MAR history</w:t>
            </w:r>
          </w:p>
        </w:tc>
        <w:tc>
          <w:tcPr>
            <w:tcW w:type="dxa" w:w="5227"/>
          </w:tcPr>
          <w:p>
            <w:pPr>
              <w:spacing w:after="0"/>
            </w:pPr>
            <w:r>
              <w:rPr>
                <w:sz w:val="11"/>
              </w:rPr>
              <w:t>Virtualized/paginated for long stays.</w:t>
            </w:r>
          </w:p>
        </w:tc>
      </w:tr>
    </w:tbl>
    <w:p>
      <w:pPr>
        <w:pStyle w:val="Heading1"/>
      </w:pPr>
      <w:r>
        <w:t>45. Referral Performance</w:t>
      </w:r>
    </w:p>
    <w:p>
      <w:pPr>
        <w:pStyle w:val="ListBullet"/>
      </w:pPr>
      <w:r>
        <w:t>Referral submission durable before confirmation.</w:t>
      </w:r>
    </w:p>
    <w:p>
      <w:pPr>
        <w:pStyle w:val="ListBullet"/>
      </w:pPr>
      <w:r>
        <w:t>Receiving queue freshness measured.</w:t>
      </w:r>
    </w:p>
    <w:p>
      <w:pPr>
        <w:pStyle w:val="ListBullet"/>
      </w:pPr>
      <w:r>
        <w:t>Large documents transfer asynchronously with package status.</w:t>
      </w:r>
    </w:p>
    <w:p>
      <w:pPr>
        <w:pStyle w:val="ListBullet"/>
      </w:pPr>
      <w:r>
        <w:t>Image access uses secure references.</w:t>
      </w:r>
    </w:p>
    <w:p>
      <w:pPr>
        <w:pStyle w:val="ListBullet"/>
      </w:pPr>
      <w:r>
        <w:t>Message delivery/read/acceptance remain separate states.</w:t>
      </w:r>
    </w:p>
    <w:p>
      <w:pPr>
        <w:pStyle w:val="ListBullet"/>
      </w:pPr>
      <w:r>
        <w:t>Cross-facility network outage queues safely.</w:t>
      </w:r>
    </w:p>
    <w:p>
      <w:pPr>
        <w:pStyle w:val="ListBullet"/>
      </w:pPr>
      <w:r>
        <w:t>Urgent referral alerts have monitored delivery latency.</w:t>
      </w:r>
    </w:p>
    <w:p>
      <w:pPr>
        <w:pStyle w:val="Heading1"/>
      </w:pPr>
      <w:r>
        <w:t>46. FHIR/API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API</w:t>
            </w:r>
          </w:p>
        </w:tc>
        <w:tc>
          <w:tcPr>
            <w:tcW w:type="dxa" w:w="5227"/>
          </w:tcPr>
          <w:p>
            <w:pPr>
              <w:spacing w:after="0"/>
            </w:pPr>
            <w:r>
              <w:rPr>
                <w:b/>
                <w:sz w:val="11"/>
              </w:rPr>
              <w:t>Baseline</w:t>
            </w:r>
          </w:p>
        </w:tc>
      </w:tr>
      <w:tr>
        <w:tc>
          <w:tcPr>
            <w:tcW w:type="dxa" w:w="5227"/>
          </w:tcPr>
          <w:p>
            <w:pPr>
              <w:spacing w:after="0"/>
            </w:pPr>
            <w:r>
              <w:rPr>
                <w:sz w:val="11"/>
              </w:rPr>
              <w:t>FHIR read</w:t>
            </w:r>
          </w:p>
        </w:tc>
        <w:tc>
          <w:tcPr>
            <w:tcW w:type="dxa" w:w="5227"/>
          </w:tcPr>
          <w:p>
            <w:pPr>
              <w:spacing w:after="0"/>
            </w:pPr>
            <w:r>
              <w:rPr>
                <w:sz w:val="11"/>
              </w:rPr>
              <w:t>p95 ≤1.5 s under normal validated load.</w:t>
            </w:r>
          </w:p>
        </w:tc>
      </w:tr>
      <w:tr>
        <w:tc>
          <w:tcPr>
            <w:tcW w:type="dxa" w:w="5227"/>
          </w:tcPr>
          <w:p>
            <w:pPr>
              <w:spacing w:after="0"/>
            </w:pPr>
            <w:r>
              <w:rPr>
                <w:sz w:val="11"/>
              </w:rPr>
              <w:t>FHIR constrained search</w:t>
            </w:r>
          </w:p>
        </w:tc>
        <w:tc>
          <w:tcPr>
            <w:tcW w:type="dxa" w:w="5227"/>
          </w:tcPr>
          <w:p>
            <w:pPr>
              <w:spacing w:after="0"/>
            </w:pPr>
            <w:r>
              <w:rPr>
                <w:sz w:val="11"/>
              </w:rPr>
              <w:t>p95 ≤2.5 s.</w:t>
            </w:r>
          </w:p>
        </w:tc>
      </w:tr>
      <w:tr>
        <w:tc>
          <w:tcPr>
            <w:tcW w:type="dxa" w:w="5227"/>
          </w:tcPr>
          <w:p>
            <w:pPr>
              <w:spacing w:after="0"/>
            </w:pPr>
            <w:r>
              <w:rPr>
                <w:sz w:val="11"/>
              </w:rPr>
              <w:t>FHIR write</w:t>
            </w:r>
          </w:p>
        </w:tc>
        <w:tc>
          <w:tcPr>
            <w:tcW w:type="dxa" w:w="5227"/>
          </w:tcPr>
          <w:p>
            <w:pPr>
              <w:spacing w:after="0"/>
            </w:pPr>
            <w:r>
              <w:rPr>
                <w:sz w:val="11"/>
              </w:rPr>
              <w:t>p95 ≤2.0 s excluding external downstream completion.</w:t>
            </w:r>
          </w:p>
        </w:tc>
      </w:tr>
      <w:tr>
        <w:tc>
          <w:tcPr>
            <w:tcW w:type="dxa" w:w="5227"/>
          </w:tcPr>
          <w:p>
            <w:pPr>
              <w:spacing w:after="0"/>
            </w:pPr>
            <w:r>
              <w:rPr>
                <w:sz w:val="11"/>
              </w:rPr>
              <w:t>Bundle</w:t>
            </w:r>
          </w:p>
        </w:tc>
        <w:tc>
          <w:tcPr>
            <w:tcW w:type="dxa" w:w="5227"/>
          </w:tcPr>
          <w:p>
            <w:pPr>
              <w:spacing w:after="0"/>
            </w:pPr>
            <w:r>
              <w:rPr>
                <w:sz w:val="11"/>
              </w:rPr>
              <w:t>Size/entry limits published; large jobs async.</w:t>
            </w:r>
          </w:p>
        </w:tc>
      </w:tr>
      <w:tr>
        <w:tc>
          <w:tcPr>
            <w:tcW w:type="dxa" w:w="5227"/>
          </w:tcPr>
          <w:p>
            <w:pPr>
              <w:spacing w:after="0"/>
            </w:pPr>
            <w:r>
              <w:rPr>
                <w:sz w:val="11"/>
              </w:rPr>
              <w:t>Bulk export</w:t>
            </w:r>
          </w:p>
        </w:tc>
        <w:tc>
          <w:tcPr>
            <w:tcW w:type="dxa" w:w="5227"/>
          </w:tcPr>
          <w:p>
            <w:pPr>
              <w:spacing w:after="0"/>
            </w:pPr>
            <w:r>
              <w:rPr>
                <w:sz w:val="11"/>
              </w:rPr>
              <w:t>Asynchronous.</w:t>
            </w:r>
          </w:p>
        </w:tc>
      </w:tr>
      <w:tr>
        <w:tc>
          <w:tcPr>
            <w:tcW w:type="dxa" w:w="5227"/>
          </w:tcPr>
          <w:p>
            <w:pPr>
              <w:spacing w:after="0"/>
            </w:pPr>
            <w:r>
              <w:rPr>
                <w:sz w:val="11"/>
              </w:rPr>
              <w:t>Subscriptions</w:t>
            </w:r>
          </w:p>
        </w:tc>
        <w:tc>
          <w:tcPr>
            <w:tcW w:type="dxa" w:w="5227"/>
          </w:tcPr>
          <w:p>
            <w:pPr>
              <w:spacing w:after="0"/>
            </w:pPr>
            <w:r>
              <w:rPr>
                <w:sz w:val="11"/>
              </w:rPr>
              <w:t>Delivery latency SLO defined per event class.</w:t>
            </w:r>
          </w:p>
        </w:tc>
      </w:tr>
      <w:tr>
        <w:tc>
          <w:tcPr>
            <w:tcW w:type="dxa" w:w="5227"/>
          </w:tcPr>
          <w:p>
            <w:pPr>
              <w:spacing w:after="0"/>
            </w:pPr>
            <w:r>
              <w:rPr>
                <w:sz w:val="11"/>
              </w:rPr>
              <w:t>Partner API</w:t>
            </w:r>
          </w:p>
        </w:tc>
        <w:tc>
          <w:tcPr>
            <w:tcW w:type="dxa" w:w="5227"/>
          </w:tcPr>
          <w:p>
            <w:pPr>
              <w:spacing w:after="0"/>
            </w:pPr>
            <w:r>
              <w:rPr>
                <w:sz w:val="11"/>
              </w:rPr>
              <w:t>Rate quota + burst policy.</w:t>
            </w:r>
          </w:p>
        </w:tc>
      </w:tr>
    </w:tbl>
    <w:p>
      <w:pPr>
        <w:pStyle w:val="Heading1"/>
      </w:pPr>
      <w:r>
        <w:t>47. Event and Queue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Metric</w:t>
            </w:r>
          </w:p>
        </w:tc>
        <w:tc>
          <w:tcPr>
            <w:tcW w:type="dxa" w:w="5227"/>
          </w:tcPr>
          <w:p>
            <w:pPr>
              <w:spacing w:after="0"/>
            </w:pPr>
            <w:r>
              <w:rPr>
                <w:b/>
                <w:sz w:val="11"/>
              </w:rPr>
              <w:t>Requirement</w:t>
            </w:r>
          </w:p>
        </w:tc>
      </w:tr>
      <w:tr>
        <w:tc>
          <w:tcPr>
            <w:tcW w:type="dxa" w:w="5227"/>
          </w:tcPr>
          <w:p>
            <w:pPr>
              <w:spacing w:after="0"/>
            </w:pPr>
            <w:r>
              <w:rPr>
                <w:sz w:val="11"/>
              </w:rPr>
              <w:t>Publish latency</w:t>
            </w:r>
          </w:p>
        </w:tc>
        <w:tc>
          <w:tcPr>
            <w:tcW w:type="dxa" w:w="5227"/>
          </w:tcPr>
          <w:p>
            <w:pPr>
              <w:spacing w:after="0"/>
            </w:pPr>
            <w:r>
              <w:rPr>
                <w:sz w:val="11"/>
              </w:rPr>
              <w:t>Measured from DB commit/outbox.</w:t>
            </w:r>
          </w:p>
        </w:tc>
      </w:tr>
      <w:tr>
        <w:tc>
          <w:tcPr>
            <w:tcW w:type="dxa" w:w="5227"/>
          </w:tcPr>
          <w:p>
            <w:pPr>
              <w:spacing w:after="0"/>
            </w:pPr>
            <w:r>
              <w:rPr>
                <w:sz w:val="11"/>
              </w:rPr>
              <w:t>Consumer lag</w:t>
            </w:r>
          </w:p>
        </w:tc>
        <w:tc>
          <w:tcPr>
            <w:tcW w:type="dxa" w:w="5227"/>
          </w:tcPr>
          <w:p>
            <w:pPr>
              <w:spacing w:after="0"/>
            </w:pPr>
            <w:r>
              <w:rPr>
                <w:sz w:val="11"/>
              </w:rPr>
              <w:t>Per queue/topic.</w:t>
            </w:r>
          </w:p>
        </w:tc>
      </w:tr>
      <w:tr>
        <w:tc>
          <w:tcPr>
            <w:tcW w:type="dxa" w:w="5227"/>
          </w:tcPr>
          <w:p>
            <w:pPr>
              <w:spacing w:after="0"/>
            </w:pPr>
            <w:r>
              <w:rPr>
                <w:sz w:val="11"/>
              </w:rPr>
              <w:t>Oldest message age</w:t>
            </w:r>
          </w:p>
        </w:tc>
        <w:tc>
          <w:tcPr>
            <w:tcW w:type="dxa" w:w="5227"/>
          </w:tcPr>
          <w:p>
            <w:pPr>
              <w:spacing w:after="0"/>
            </w:pPr>
            <w:r>
              <w:rPr>
                <w:sz w:val="11"/>
              </w:rPr>
              <w:t>Alerted.</w:t>
            </w:r>
          </w:p>
        </w:tc>
      </w:tr>
      <w:tr>
        <w:tc>
          <w:tcPr>
            <w:tcW w:type="dxa" w:w="5227"/>
          </w:tcPr>
          <w:p>
            <w:pPr>
              <w:spacing w:after="0"/>
            </w:pPr>
            <w:r>
              <w:rPr>
                <w:sz w:val="11"/>
              </w:rPr>
              <w:t>DLQ count</w:t>
            </w:r>
          </w:p>
        </w:tc>
        <w:tc>
          <w:tcPr>
            <w:tcW w:type="dxa" w:w="5227"/>
          </w:tcPr>
          <w:p>
            <w:pPr>
              <w:spacing w:after="0"/>
            </w:pPr>
            <w:r>
              <w:rPr>
                <w:sz w:val="11"/>
              </w:rPr>
              <w:t>Alerted.</w:t>
            </w:r>
          </w:p>
        </w:tc>
      </w:tr>
      <w:tr>
        <w:tc>
          <w:tcPr>
            <w:tcW w:type="dxa" w:w="5227"/>
          </w:tcPr>
          <w:p>
            <w:pPr>
              <w:spacing w:after="0"/>
            </w:pPr>
            <w:r>
              <w:rPr>
                <w:sz w:val="11"/>
              </w:rPr>
              <w:t>Retry count</w:t>
            </w:r>
          </w:p>
        </w:tc>
        <w:tc>
          <w:tcPr>
            <w:tcW w:type="dxa" w:w="5227"/>
          </w:tcPr>
          <w:p>
            <w:pPr>
              <w:spacing w:after="0"/>
            </w:pPr>
            <w:r>
              <w:rPr>
                <w:sz w:val="11"/>
              </w:rPr>
              <w:t>Visible.</w:t>
            </w:r>
          </w:p>
        </w:tc>
      </w:tr>
      <w:tr>
        <w:tc>
          <w:tcPr>
            <w:tcW w:type="dxa" w:w="5227"/>
          </w:tcPr>
          <w:p>
            <w:pPr>
              <w:spacing w:after="0"/>
            </w:pPr>
            <w:r>
              <w:rPr>
                <w:sz w:val="11"/>
              </w:rPr>
              <w:t>Processing latency</w:t>
            </w:r>
          </w:p>
        </w:tc>
        <w:tc>
          <w:tcPr>
            <w:tcW w:type="dxa" w:w="5227"/>
          </w:tcPr>
          <w:p>
            <w:pPr>
              <w:spacing w:after="0"/>
            </w:pPr>
            <w:r>
              <w:rPr>
                <w:sz w:val="11"/>
              </w:rPr>
              <w:t>Per event class.</w:t>
            </w:r>
          </w:p>
        </w:tc>
      </w:tr>
      <w:tr>
        <w:tc>
          <w:tcPr>
            <w:tcW w:type="dxa" w:w="5227"/>
          </w:tcPr>
          <w:p>
            <w:pPr>
              <w:spacing w:after="0"/>
            </w:pPr>
            <w:r>
              <w:rPr>
                <w:sz w:val="11"/>
              </w:rPr>
              <w:t>Duplicate handling</w:t>
            </w:r>
          </w:p>
        </w:tc>
        <w:tc>
          <w:tcPr>
            <w:tcW w:type="dxa" w:w="5227"/>
          </w:tcPr>
          <w:p>
            <w:pPr>
              <w:spacing w:after="0"/>
            </w:pPr>
            <w:r>
              <w:rPr>
                <w:sz w:val="11"/>
              </w:rPr>
              <w:t>Idempotent.</w:t>
            </w:r>
          </w:p>
        </w:tc>
      </w:tr>
      <w:tr>
        <w:tc>
          <w:tcPr>
            <w:tcW w:type="dxa" w:w="5227"/>
          </w:tcPr>
          <w:p>
            <w:pPr>
              <w:spacing w:after="0"/>
            </w:pPr>
            <w:r>
              <w:rPr>
                <w:sz w:val="11"/>
              </w:rPr>
              <w:t>Retention</w:t>
            </w:r>
          </w:p>
        </w:tc>
        <w:tc>
          <w:tcPr>
            <w:tcW w:type="dxa" w:w="5227"/>
          </w:tcPr>
          <w:p>
            <w:pPr>
              <w:spacing w:after="0"/>
            </w:pPr>
            <w:r>
              <w:rPr>
                <w:sz w:val="11"/>
              </w:rPr>
              <w:t>Enough for recovery/replay policy.</w:t>
            </w:r>
          </w:p>
        </w:tc>
      </w:tr>
    </w:tbl>
    <w:p>
      <w:pPr>
        <w:pStyle w:val="Heading1"/>
      </w:pPr>
      <w:r>
        <w:t>48. Notification SLO</w:t>
      </w:r>
    </w:p>
    <w:p>
      <w:r>
        <w:t>Notifications are secondary communication mechanisms unless a workflow explicitly defines a monitored critical alert channel. A notification provider's acceptance does not equal human acknowledgement.</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Class</w:t>
            </w:r>
          </w:p>
        </w:tc>
        <w:tc>
          <w:tcPr>
            <w:tcW w:type="dxa" w:w="5227"/>
          </w:tcPr>
          <w:p>
            <w:pPr>
              <w:spacing w:after="0"/>
            </w:pPr>
            <w:r>
              <w:rPr>
                <w:b/>
                <w:sz w:val="11"/>
              </w:rPr>
              <w:t>Measure</w:t>
            </w:r>
          </w:p>
        </w:tc>
      </w:tr>
      <w:tr>
        <w:tc>
          <w:tcPr>
            <w:tcW w:type="dxa" w:w="5227"/>
          </w:tcPr>
          <w:p>
            <w:pPr>
              <w:spacing w:after="0"/>
            </w:pPr>
            <w:r>
              <w:rPr>
                <w:sz w:val="11"/>
              </w:rPr>
              <w:t>Routine</w:t>
            </w:r>
          </w:p>
        </w:tc>
        <w:tc>
          <w:tcPr>
            <w:tcW w:type="dxa" w:w="5227"/>
          </w:tcPr>
          <w:p>
            <w:pPr>
              <w:spacing w:after="0"/>
            </w:pPr>
            <w:r>
              <w:rPr>
                <w:sz w:val="11"/>
              </w:rPr>
              <w:t>Queue-to-provider delivery.</w:t>
            </w:r>
          </w:p>
        </w:tc>
      </w:tr>
      <w:tr>
        <w:tc>
          <w:tcPr>
            <w:tcW w:type="dxa" w:w="5227"/>
          </w:tcPr>
          <w:p>
            <w:pPr>
              <w:spacing w:after="0"/>
            </w:pPr>
            <w:r>
              <w:rPr>
                <w:sz w:val="11"/>
              </w:rPr>
              <w:t>Urgent</w:t>
            </w:r>
          </w:p>
        </w:tc>
        <w:tc>
          <w:tcPr>
            <w:tcW w:type="dxa" w:w="5227"/>
          </w:tcPr>
          <w:p>
            <w:pPr>
              <w:spacing w:after="0"/>
            </w:pPr>
            <w:r>
              <w:rPr>
                <w:sz w:val="11"/>
              </w:rPr>
              <w:t>Higher-priority delivery latency.</w:t>
            </w:r>
          </w:p>
        </w:tc>
      </w:tr>
      <w:tr>
        <w:tc>
          <w:tcPr>
            <w:tcW w:type="dxa" w:w="5227"/>
          </w:tcPr>
          <w:p>
            <w:pPr>
              <w:spacing w:after="0"/>
            </w:pPr>
            <w:r>
              <w:rPr>
                <w:sz w:val="11"/>
              </w:rPr>
              <w:t>Critical clinical</w:t>
            </w:r>
          </w:p>
        </w:tc>
        <w:tc>
          <w:tcPr>
            <w:tcW w:type="dxa" w:w="5227"/>
          </w:tcPr>
          <w:p>
            <w:pPr>
              <w:spacing w:after="0"/>
            </w:pPr>
            <w:r>
              <w:rPr>
                <w:sz w:val="11"/>
              </w:rPr>
              <w:t>Active acknowledgement workflow, escalation and audit.</w:t>
            </w:r>
          </w:p>
        </w:tc>
      </w:tr>
      <w:tr>
        <w:tc>
          <w:tcPr>
            <w:tcW w:type="dxa" w:w="5227"/>
          </w:tcPr>
          <w:p>
            <w:pPr>
              <w:spacing w:after="0"/>
            </w:pPr>
            <w:r>
              <w:rPr>
                <w:sz w:val="11"/>
              </w:rPr>
              <w:t>Patient</w:t>
            </w:r>
          </w:p>
        </w:tc>
        <w:tc>
          <w:tcPr>
            <w:tcW w:type="dxa" w:w="5227"/>
          </w:tcPr>
          <w:p>
            <w:pPr>
              <w:spacing w:after="0"/>
            </w:pPr>
            <w:r>
              <w:rPr>
                <w:sz w:val="11"/>
              </w:rPr>
              <w:t>Provider delivery + portal state.</w:t>
            </w:r>
          </w:p>
        </w:tc>
      </w:tr>
      <w:tr>
        <w:tc>
          <w:tcPr>
            <w:tcW w:type="dxa" w:w="5227"/>
          </w:tcPr>
          <w:p>
            <w:pPr>
              <w:spacing w:after="0"/>
            </w:pPr>
            <w:r>
              <w:rPr>
                <w:sz w:val="11"/>
              </w:rPr>
              <w:t>Operational</w:t>
            </w:r>
          </w:p>
        </w:tc>
        <w:tc>
          <w:tcPr>
            <w:tcW w:type="dxa" w:w="5227"/>
          </w:tcPr>
          <w:p>
            <w:pPr>
              <w:spacing w:after="0"/>
            </w:pPr>
            <w:r>
              <w:rPr>
                <w:sz w:val="11"/>
              </w:rPr>
              <w:t>Retry/failure dashboard.</w:t>
            </w:r>
          </w:p>
        </w:tc>
      </w:tr>
    </w:tbl>
    <w:p>
      <w:pPr>
        <w:pStyle w:val="Heading1"/>
      </w:pPr>
      <w:r>
        <w:t>49. Observability</w:t>
      </w:r>
    </w:p>
    <w:p>
      <w:pPr>
        <w:pStyle w:val="ListBullet"/>
      </w:pPr>
      <w:r>
        <w:t>Metrics, logs and traces for critical services.</w:t>
      </w:r>
    </w:p>
    <w:p>
      <w:pPr>
        <w:pStyle w:val="ListBullet"/>
      </w:pPr>
      <w:r>
        <w:t>Golden signals: latency, traffic, errors, saturation.</w:t>
      </w:r>
    </w:p>
    <w:p>
      <w:pPr>
        <w:pStyle w:val="ListBullet"/>
      </w:pPr>
      <w:r>
        <w:t>Domain signals: queue age, sync backlog, result turnaround, notification failures.</w:t>
      </w:r>
    </w:p>
    <w:p>
      <w:pPr>
        <w:pStyle w:val="ListBullet"/>
      </w:pPr>
      <w:r>
        <w:t>Correlation IDs across request/event boundaries.</w:t>
      </w:r>
    </w:p>
    <w:p>
      <w:pPr>
        <w:pStyle w:val="ListBullet"/>
      </w:pPr>
      <w:r>
        <w:t>Tenant/facility dimensions without leaking PHI.</w:t>
      </w:r>
    </w:p>
    <w:p>
      <w:pPr>
        <w:pStyle w:val="ListBullet"/>
      </w:pPr>
      <w:r>
        <w:t>Dashboards aligned to SLOs.</w:t>
      </w:r>
    </w:p>
    <w:p>
      <w:pPr>
        <w:pStyle w:val="ListBullet"/>
      </w:pPr>
      <w:r>
        <w:t>Alerts are actionable and owned.</w:t>
      </w:r>
    </w:p>
    <w:p>
      <w:pPr>
        <w:pStyle w:val="Heading1"/>
      </w:pPr>
      <w:r>
        <w:t>50. Health Checks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Check</w:t>
            </w:r>
          </w:p>
        </w:tc>
        <w:tc>
          <w:tcPr>
            <w:tcW w:type="dxa" w:w="5227"/>
          </w:tcPr>
          <w:p>
            <w:pPr>
              <w:spacing w:after="0"/>
            </w:pPr>
            <w:r>
              <w:rPr>
                <w:b/>
                <w:sz w:val="11"/>
              </w:rPr>
              <w:t>Meaning</w:t>
            </w:r>
          </w:p>
        </w:tc>
      </w:tr>
      <w:tr>
        <w:tc>
          <w:tcPr>
            <w:tcW w:type="dxa" w:w="5227"/>
          </w:tcPr>
          <w:p>
            <w:pPr>
              <w:spacing w:after="0"/>
            </w:pPr>
            <w:r>
              <w:rPr>
                <w:sz w:val="11"/>
              </w:rPr>
              <w:t>Liveness</w:t>
            </w:r>
          </w:p>
        </w:tc>
        <w:tc>
          <w:tcPr>
            <w:tcW w:type="dxa" w:w="5227"/>
          </w:tcPr>
          <w:p>
            <w:pPr>
              <w:spacing w:after="0"/>
            </w:pPr>
            <w:r>
              <w:rPr>
                <w:sz w:val="11"/>
              </w:rPr>
              <w:t>Process should be restarted if unhealthy.</w:t>
            </w:r>
          </w:p>
        </w:tc>
      </w:tr>
      <w:tr>
        <w:tc>
          <w:tcPr>
            <w:tcW w:type="dxa" w:w="5227"/>
          </w:tcPr>
          <w:p>
            <w:pPr>
              <w:spacing w:after="0"/>
            </w:pPr>
            <w:r>
              <w:rPr>
                <w:sz w:val="11"/>
              </w:rPr>
              <w:t>Readiness</w:t>
            </w:r>
          </w:p>
        </w:tc>
        <w:tc>
          <w:tcPr>
            <w:tcW w:type="dxa" w:w="5227"/>
          </w:tcPr>
          <w:p>
            <w:pPr>
              <w:spacing w:after="0"/>
            </w:pPr>
            <w:r>
              <w:rPr>
                <w:sz w:val="11"/>
              </w:rPr>
              <w:t>Can safely receive traffic.</w:t>
            </w:r>
          </w:p>
        </w:tc>
      </w:tr>
      <w:tr>
        <w:tc>
          <w:tcPr>
            <w:tcW w:type="dxa" w:w="5227"/>
          </w:tcPr>
          <w:p>
            <w:pPr>
              <w:spacing w:after="0"/>
            </w:pPr>
            <w:r>
              <w:rPr>
                <w:sz w:val="11"/>
              </w:rPr>
              <w:t>Dependency health</w:t>
            </w:r>
          </w:p>
        </w:tc>
        <w:tc>
          <w:tcPr>
            <w:tcW w:type="dxa" w:w="5227"/>
          </w:tcPr>
          <w:p>
            <w:pPr>
              <w:spacing w:after="0"/>
            </w:pPr>
            <w:r>
              <w:rPr>
                <w:sz w:val="11"/>
              </w:rPr>
              <w:t>DB/broker/external dependency state.</w:t>
            </w:r>
          </w:p>
        </w:tc>
      </w:tr>
      <w:tr>
        <w:tc>
          <w:tcPr>
            <w:tcW w:type="dxa" w:w="5227"/>
          </w:tcPr>
          <w:p>
            <w:pPr>
              <w:spacing w:after="0"/>
            </w:pPr>
            <w:r>
              <w:rPr>
                <w:sz w:val="11"/>
              </w:rPr>
              <w:t>Synthetic workflow</w:t>
            </w:r>
          </w:p>
        </w:tc>
        <w:tc>
          <w:tcPr>
            <w:tcW w:type="dxa" w:w="5227"/>
          </w:tcPr>
          <w:p>
            <w:pPr>
              <w:spacing w:after="0"/>
            </w:pPr>
            <w:r>
              <w:rPr>
                <w:sz w:val="11"/>
              </w:rPr>
              <w:t>Representative end-to-end path.</w:t>
            </w:r>
          </w:p>
        </w:tc>
      </w:tr>
      <w:tr>
        <w:tc>
          <w:tcPr>
            <w:tcW w:type="dxa" w:w="5227"/>
          </w:tcPr>
          <w:p>
            <w:pPr>
              <w:spacing w:after="0"/>
            </w:pPr>
            <w:r>
              <w:rPr>
                <w:sz w:val="11"/>
              </w:rPr>
              <w:t>Edge sync</w:t>
            </w:r>
          </w:p>
        </w:tc>
        <w:tc>
          <w:tcPr>
            <w:tcW w:type="dxa" w:w="5227"/>
          </w:tcPr>
          <w:p>
            <w:pPr>
              <w:spacing w:after="0"/>
            </w:pPr>
            <w:r>
              <w:rPr>
                <w:sz w:val="11"/>
              </w:rPr>
              <w:t>Connectivity/backlog.</w:t>
            </w:r>
          </w:p>
        </w:tc>
      </w:tr>
      <w:tr>
        <w:tc>
          <w:tcPr>
            <w:tcW w:type="dxa" w:w="5227"/>
          </w:tcPr>
          <w:p>
            <w:pPr>
              <w:spacing w:after="0"/>
            </w:pPr>
            <w:r>
              <w:rPr>
                <w:sz w:val="11"/>
              </w:rPr>
              <w:t>Data freshness</w:t>
            </w:r>
          </w:p>
        </w:tc>
        <w:tc>
          <w:tcPr>
            <w:tcW w:type="dxa" w:w="5227"/>
          </w:tcPr>
          <w:p>
            <w:pPr>
              <w:spacing w:after="0"/>
            </w:pPr>
            <w:r>
              <w:rPr>
                <w:sz w:val="11"/>
              </w:rPr>
              <w:t>Analytics/index/interface freshness.</w:t>
            </w:r>
          </w:p>
        </w:tc>
      </w:tr>
    </w:tbl>
    <w:tbl>
      <w:tblPr>
        <w:tblStyle w:val="TableGrid"/>
        <w:tblW w:type="auto" w:w="0"/>
        <w:tblLook w:firstColumn="1" w:firstRow="1" w:lastColumn="0" w:lastRow="0" w:noHBand="0" w:noVBand="1" w:val="04A0"/>
      </w:tblPr>
      <w:tblGrid>
        <w:gridCol w:w="10454"/>
      </w:tblGrid>
      <w:tr>
        <w:tc>
          <w:tcPr>
            <w:tcW w:type="dxa" w:w="10454"/>
          </w:tcPr>
          <w:p>
            <w:r>
              <w:t>QUALITY INVARIANT — A green /health endpoint does not prove that clinicians can register a patient, retrieve a chart or place an order.</w:t>
            </w:r>
          </w:p>
        </w:tc>
      </w:tr>
    </w:tbl>
    <w:p>
      <w:pPr>
        <w:pStyle w:val="Heading1"/>
      </w:pPr>
      <w:r>
        <w:t>51. Alerting</w:t>
      </w:r>
    </w:p>
    <w:p>
      <w:pPr>
        <w:pStyle w:val="ListBullet"/>
      </w:pPr>
      <w:r>
        <w:t>Alert on symptoms that require action, not every metric fluctuation.</w:t>
      </w:r>
    </w:p>
    <w:p>
      <w:pPr>
        <w:pStyle w:val="ListBullet"/>
      </w:pPr>
      <w:r>
        <w:t>Severity maps to operational impact.</w:t>
      </w:r>
    </w:p>
    <w:p>
      <w:pPr>
        <w:pStyle w:val="ListBullet"/>
      </w:pPr>
      <w:r>
        <w:t>C0/C1 alerts route 24/7 where service model requires.</w:t>
      </w:r>
    </w:p>
    <w:p>
      <w:pPr>
        <w:pStyle w:val="ListBullet"/>
      </w:pPr>
      <w:r>
        <w:t>Alert includes service, facility, impact and runbook.</w:t>
      </w:r>
    </w:p>
    <w:p>
      <w:pPr>
        <w:pStyle w:val="ListBullet"/>
      </w:pPr>
      <w:r>
        <w:t>Deduplicate alert storms.</w:t>
      </w:r>
    </w:p>
    <w:p>
      <w:pPr>
        <w:pStyle w:val="ListBullet"/>
      </w:pPr>
      <w:r>
        <w:t>Track acknowledgement and resolution.</w:t>
      </w:r>
    </w:p>
    <w:p>
      <w:pPr>
        <w:pStyle w:val="ListBullet"/>
      </w:pPr>
      <w:r>
        <w:t>Post-incident tuning reduces noise without masking failure.</w:t>
      </w:r>
    </w:p>
    <w:p>
      <w:pPr>
        <w:pStyle w:val="Heading1"/>
      </w:pPr>
      <w:r>
        <w:t>52. Maintainability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Attribute</w:t>
            </w:r>
          </w:p>
        </w:tc>
        <w:tc>
          <w:tcPr>
            <w:tcW w:type="dxa" w:w="5227"/>
          </w:tcPr>
          <w:p>
            <w:pPr>
              <w:spacing w:after="0"/>
            </w:pPr>
            <w:r>
              <w:rPr>
                <w:b/>
                <w:sz w:val="11"/>
              </w:rPr>
              <w:t>Requirement</w:t>
            </w:r>
          </w:p>
        </w:tc>
      </w:tr>
      <w:tr>
        <w:tc>
          <w:tcPr>
            <w:tcW w:type="dxa" w:w="5227"/>
          </w:tcPr>
          <w:p>
            <w:pPr>
              <w:spacing w:after="0"/>
            </w:pPr>
            <w:r>
              <w:rPr>
                <w:sz w:val="11"/>
              </w:rPr>
              <w:t>Modularity</w:t>
            </w:r>
          </w:p>
        </w:tc>
        <w:tc>
          <w:tcPr>
            <w:tcW w:type="dxa" w:w="5227"/>
          </w:tcPr>
          <w:p>
            <w:pPr>
              <w:spacing w:after="0"/>
            </w:pPr>
            <w:r>
              <w:rPr>
                <w:sz w:val="11"/>
              </w:rPr>
              <w:t>Domain boundaries.</w:t>
            </w:r>
          </w:p>
        </w:tc>
      </w:tr>
      <w:tr>
        <w:tc>
          <w:tcPr>
            <w:tcW w:type="dxa" w:w="5227"/>
          </w:tcPr>
          <w:p>
            <w:pPr>
              <w:spacing w:after="0"/>
            </w:pPr>
            <w:r>
              <w:rPr>
                <w:sz w:val="11"/>
              </w:rPr>
              <w:t>Testability</w:t>
            </w:r>
          </w:p>
        </w:tc>
        <w:tc>
          <w:tcPr>
            <w:tcW w:type="dxa" w:w="5227"/>
          </w:tcPr>
          <w:p>
            <w:pPr>
              <w:spacing w:after="0"/>
            </w:pPr>
            <w:r>
              <w:rPr>
                <w:sz w:val="11"/>
              </w:rPr>
              <w:t>Automated tests and dependency substitution.</w:t>
            </w:r>
          </w:p>
        </w:tc>
      </w:tr>
      <w:tr>
        <w:tc>
          <w:tcPr>
            <w:tcW w:type="dxa" w:w="5227"/>
          </w:tcPr>
          <w:p>
            <w:pPr>
              <w:spacing w:after="0"/>
            </w:pPr>
            <w:r>
              <w:rPr>
                <w:sz w:val="11"/>
              </w:rPr>
              <w:t>Configuration</w:t>
            </w:r>
          </w:p>
        </w:tc>
        <w:tc>
          <w:tcPr>
            <w:tcW w:type="dxa" w:w="5227"/>
          </w:tcPr>
          <w:p>
            <w:pPr>
              <w:spacing w:after="0"/>
            </w:pPr>
            <w:r>
              <w:rPr>
                <w:sz w:val="11"/>
              </w:rPr>
              <w:t>Externalized/versioned.</w:t>
            </w:r>
          </w:p>
        </w:tc>
      </w:tr>
      <w:tr>
        <w:tc>
          <w:tcPr>
            <w:tcW w:type="dxa" w:w="5227"/>
          </w:tcPr>
          <w:p>
            <w:pPr>
              <w:spacing w:after="0"/>
            </w:pPr>
            <w:r>
              <w:rPr>
                <w:sz w:val="11"/>
              </w:rPr>
              <w:t>Documentation</w:t>
            </w:r>
          </w:p>
        </w:tc>
        <w:tc>
          <w:tcPr>
            <w:tcW w:type="dxa" w:w="5227"/>
          </w:tcPr>
          <w:p>
            <w:pPr>
              <w:spacing w:after="0"/>
            </w:pPr>
            <w:r>
              <w:rPr>
                <w:sz w:val="11"/>
              </w:rPr>
              <w:t>Architecture/API/runbook current.</w:t>
            </w:r>
          </w:p>
        </w:tc>
      </w:tr>
      <w:tr>
        <w:tc>
          <w:tcPr>
            <w:tcW w:type="dxa" w:w="5227"/>
          </w:tcPr>
          <w:p>
            <w:pPr>
              <w:spacing w:after="0"/>
            </w:pPr>
            <w:r>
              <w:rPr>
                <w:sz w:val="11"/>
              </w:rPr>
              <w:t>Code quality</w:t>
            </w:r>
          </w:p>
        </w:tc>
        <w:tc>
          <w:tcPr>
            <w:tcW w:type="dxa" w:w="5227"/>
          </w:tcPr>
          <w:p>
            <w:pPr>
              <w:spacing w:after="0"/>
            </w:pPr>
            <w:r>
              <w:rPr>
                <w:sz w:val="11"/>
              </w:rPr>
              <w:t>Review/static analysis.</w:t>
            </w:r>
          </w:p>
        </w:tc>
      </w:tr>
      <w:tr>
        <w:tc>
          <w:tcPr>
            <w:tcW w:type="dxa" w:w="5227"/>
          </w:tcPr>
          <w:p>
            <w:pPr>
              <w:spacing w:after="0"/>
            </w:pPr>
            <w:r>
              <w:rPr>
                <w:sz w:val="11"/>
              </w:rPr>
              <w:t>Migration</w:t>
            </w:r>
          </w:p>
        </w:tc>
        <w:tc>
          <w:tcPr>
            <w:tcW w:type="dxa" w:w="5227"/>
          </w:tcPr>
          <w:p>
            <w:pPr>
              <w:spacing w:after="0"/>
            </w:pPr>
            <w:r>
              <w:rPr>
                <w:sz w:val="11"/>
              </w:rPr>
              <w:t>Versioned/repeatable.</w:t>
            </w:r>
          </w:p>
        </w:tc>
      </w:tr>
      <w:tr>
        <w:tc>
          <w:tcPr>
            <w:tcW w:type="dxa" w:w="5227"/>
          </w:tcPr>
          <w:p>
            <w:pPr>
              <w:spacing w:after="0"/>
            </w:pPr>
            <w:r>
              <w:rPr>
                <w:sz w:val="11"/>
              </w:rPr>
              <w:t>Feature flags</w:t>
            </w:r>
          </w:p>
        </w:tc>
        <w:tc>
          <w:tcPr>
            <w:tcW w:type="dxa" w:w="5227"/>
          </w:tcPr>
          <w:p>
            <w:pPr>
              <w:spacing w:after="0"/>
            </w:pPr>
            <w:r>
              <w:rPr>
                <w:sz w:val="11"/>
              </w:rPr>
              <w:t>Governed.</w:t>
            </w:r>
          </w:p>
        </w:tc>
      </w:tr>
      <w:tr>
        <w:tc>
          <w:tcPr>
            <w:tcW w:type="dxa" w:w="5227"/>
          </w:tcPr>
          <w:p>
            <w:pPr>
              <w:spacing w:after="0"/>
            </w:pPr>
            <w:r>
              <w:rPr>
                <w:sz w:val="11"/>
              </w:rPr>
              <w:t>Dependency updates</w:t>
            </w:r>
          </w:p>
        </w:tc>
        <w:tc>
          <w:tcPr>
            <w:tcW w:type="dxa" w:w="5227"/>
          </w:tcPr>
          <w:p>
            <w:pPr>
              <w:spacing w:after="0"/>
            </w:pPr>
            <w:r>
              <w:rPr>
                <w:sz w:val="11"/>
              </w:rPr>
              <w:t>Routine.</w:t>
            </w:r>
          </w:p>
        </w:tc>
      </w:tr>
      <w:tr>
        <w:tc>
          <w:tcPr>
            <w:tcW w:type="dxa" w:w="5227"/>
          </w:tcPr>
          <w:p>
            <w:pPr>
              <w:spacing w:after="0"/>
            </w:pPr>
            <w:r>
              <w:rPr>
                <w:sz w:val="11"/>
              </w:rPr>
              <w:t>Ownership</w:t>
            </w:r>
          </w:p>
        </w:tc>
        <w:tc>
          <w:tcPr>
            <w:tcW w:type="dxa" w:w="5227"/>
          </w:tcPr>
          <w:p>
            <w:pPr>
              <w:spacing w:after="0"/>
            </w:pPr>
            <w:r>
              <w:rPr>
                <w:sz w:val="11"/>
              </w:rPr>
              <w:t>Every service/domain has owner.</w:t>
            </w:r>
          </w:p>
        </w:tc>
      </w:tr>
    </w:tbl>
    <w:p>
      <w:pPr>
        <w:pStyle w:val="Heading1"/>
      </w:pPr>
      <w:r>
        <w:t>53. Changeability</w:t>
      </w:r>
    </w:p>
    <w:p>
      <w:pPr>
        <w:pStyle w:val="ListBullet"/>
      </w:pPr>
      <w:r>
        <w:t>Common facility variation should be configuration, not forks.</w:t>
      </w:r>
    </w:p>
    <w:p>
      <w:pPr>
        <w:pStyle w:val="ListBullet"/>
      </w:pPr>
      <w:r>
        <w:t>Clinical configuration is versioned.</w:t>
      </w:r>
    </w:p>
    <w:p>
      <w:pPr>
        <w:pStyle w:val="ListBullet"/>
      </w:pPr>
      <w:r>
        <w:t>Backward-compatible API evolution preferred.</w:t>
      </w:r>
    </w:p>
    <w:p>
      <w:pPr>
        <w:pStyle w:val="ListBullet"/>
      </w:pPr>
      <w:r>
        <w:t>Database migrations support rolling deployment where required.</w:t>
      </w:r>
    </w:p>
    <w:p>
      <w:pPr>
        <w:pStyle w:val="ListBullet"/>
      </w:pPr>
      <w:r>
        <w:t>Feature flags have expiry/owner.</w:t>
      </w:r>
    </w:p>
    <w:p>
      <w:pPr>
        <w:pStyle w:val="ListBullet"/>
      </w:pPr>
      <w:r>
        <w:t>Configuration changes have audit/approval for high-risk items.</w:t>
      </w:r>
    </w:p>
    <w:p>
      <w:pPr>
        <w:pStyle w:val="ListBullet"/>
      </w:pPr>
      <w:r>
        <w:t>Customization cannot bypass safety/security invariants.</w:t>
      </w:r>
    </w:p>
    <w:p>
      <w:pPr>
        <w:pStyle w:val="Heading1"/>
      </w:pPr>
      <w:r>
        <w:t>54. Deployability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Requirement</w:t>
            </w:r>
          </w:p>
        </w:tc>
        <w:tc>
          <w:tcPr>
            <w:tcW w:type="dxa" w:w="5227"/>
          </w:tcPr>
          <w:p>
            <w:pPr>
              <w:spacing w:after="0"/>
            </w:pPr>
            <w:r>
              <w:rPr>
                <w:b/>
                <w:sz w:val="11"/>
              </w:rPr>
              <w:t>Evidence</w:t>
            </w:r>
          </w:p>
        </w:tc>
      </w:tr>
      <w:tr>
        <w:tc>
          <w:tcPr>
            <w:tcW w:type="dxa" w:w="5227"/>
          </w:tcPr>
          <w:p>
            <w:pPr>
              <w:spacing w:after="0"/>
            </w:pPr>
            <w:r>
              <w:rPr>
                <w:sz w:val="11"/>
              </w:rPr>
              <w:t>Automated build</w:t>
            </w:r>
          </w:p>
        </w:tc>
        <w:tc>
          <w:tcPr>
            <w:tcW w:type="dxa" w:w="5227"/>
          </w:tcPr>
          <w:p>
            <w:pPr>
              <w:spacing w:after="0"/>
            </w:pPr>
            <w:r>
              <w:rPr>
                <w:sz w:val="11"/>
              </w:rPr>
              <w:t>CI artifact.</w:t>
            </w:r>
          </w:p>
        </w:tc>
      </w:tr>
      <w:tr>
        <w:tc>
          <w:tcPr>
            <w:tcW w:type="dxa" w:w="5227"/>
          </w:tcPr>
          <w:p>
            <w:pPr>
              <w:spacing w:after="0"/>
            </w:pPr>
            <w:r>
              <w:rPr>
                <w:sz w:val="11"/>
              </w:rPr>
              <w:t>Environment parity</w:t>
            </w:r>
          </w:p>
        </w:tc>
        <w:tc>
          <w:tcPr>
            <w:tcW w:type="dxa" w:w="5227"/>
          </w:tcPr>
          <w:p>
            <w:pPr>
              <w:spacing w:after="0"/>
            </w:pPr>
            <w:r>
              <w:rPr>
                <w:sz w:val="11"/>
              </w:rPr>
              <w:t>Container/config baseline.</w:t>
            </w:r>
          </w:p>
        </w:tc>
      </w:tr>
      <w:tr>
        <w:tc>
          <w:tcPr>
            <w:tcW w:type="dxa" w:w="5227"/>
          </w:tcPr>
          <w:p>
            <w:pPr>
              <w:spacing w:after="0"/>
            </w:pPr>
            <w:r>
              <w:rPr>
                <w:sz w:val="11"/>
              </w:rPr>
              <w:t>Repeatable deployment</w:t>
            </w:r>
          </w:p>
        </w:tc>
        <w:tc>
          <w:tcPr>
            <w:tcW w:type="dxa" w:w="5227"/>
          </w:tcPr>
          <w:p>
            <w:pPr>
              <w:spacing w:after="0"/>
            </w:pPr>
            <w:r>
              <w:rPr>
                <w:sz w:val="11"/>
              </w:rPr>
              <w:t>IaC/scripts.</w:t>
            </w:r>
          </w:p>
        </w:tc>
      </w:tr>
      <w:tr>
        <w:tc>
          <w:tcPr>
            <w:tcW w:type="dxa" w:w="5227"/>
          </w:tcPr>
          <w:p>
            <w:pPr>
              <w:spacing w:after="0"/>
            </w:pPr>
            <w:r>
              <w:rPr>
                <w:sz w:val="11"/>
              </w:rPr>
              <w:t>Rolling/canary</w:t>
            </w:r>
          </w:p>
        </w:tc>
        <w:tc>
          <w:tcPr>
            <w:tcW w:type="dxa" w:w="5227"/>
          </w:tcPr>
          <w:p>
            <w:pPr>
              <w:spacing w:after="0"/>
            </w:pPr>
            <w:r>
              <w:rPr>
                <w:sz w:val="11"/>
              </w:rPr>
              <w:t>Where architecture supports.</w:t>
            </w:r>
          </w:p>
        </w:tc>
      </w:tr>
      <w:tr>
        <w:tc>
          <w:tcPr>
            <w:tcW w:type="dxa" w:w="5227"/>
          </w:tcPr>
          <w:p>
            <w:pPr>
              <w:spacing w:after="0"/>
            </w:pPr>
            <w:r>
              <w:rPr>
                <w:sz w:val="11"/>
              </w:rPr>
              <w:t>Rollback</w:t>
            </w:r>
          </w:p>
        </w:tc>
        <w:tc>
          <w:tcPr>
            <w:tcW w:type="dxa" w:w="5227"/>
          </w:tcPr>
          <w:p>
            <w:pPr>
              <w:spacing w:after="0"/>
            </w:pPr>
            <w:r>
              <w:rPr>
                <w:sz w:val="11"/>
              </w:rPr>
              <w:t>Tested strategy.</w:t>
            </w:r>
          </w:p>
        </w:tc>
      </w:tr>
      <w:tr>
        <w:tc>
          <w:tcPr>
            <w:tcW w:type="dxa" w:w="5227"/>
          </w:tcPr>
          <w:p>
            <w:pPr>
              <w:spacing w:after="0"/>
            </w:pPr>
            <w:r>
              <w:rPr>
                <w:sz w:val="11"/>
              </w:rPr>
              <w:t>DB migration</w:t>
            </w:r>
          </w:p>
        </w:tc>
        <w:tc>
          <w:tcPr>
            <w:tcW w:type="dxa" w:w="5227"/>
          </w:tcPr>
          <w:p>
            <w:pPr>
              <w:spacing w:after="0"/>
            </w:pPr>
            <w:r>
              <w:rPr>
                <w:sz w:val="11"/>
              </w:rPr>
              <w:t>Forward/rollback/repair plan.</w:t>
            </w:r>
          </w:p>
        </w:tc>
      </w:tr>
      <w:tr>
        <w:tc>
          <w:tcPr>
            <w:tcW w:type="dxa" w:w="5227"/>
          </w:tcPr>
          <w:p>
            <w:pPr>
              <w:spacing w:after="0"/>
            </w:pPr>
            <w:r>
              <w:rPr>
                <w:sz w:val="11"/>
              </w:rPr>
              <w:t>Smoke tests</w:t>
            </w:r>
          </w:p>
        </w:tc>
        <w:tc>
          <w:tcPr>
            <w:tcW w:type="dxa" w:w="5227"/>
          </w:tcPr>
          <w:p>
            <w:pPr>
              <w:spacing w:after="0"/>
            </w:pPr>
            <w:r>
              <w:rPr>
                <w:sz w:val="11"/>
              </w:rPr>
              <w:t>Post-deploy.</w:t>
            </w:r>
          </w:p>
        </w:tc>
      </w:tr>
      <w:tr>
        <w:tc>
          <w:tcPr>
            <w:tcW w:type="dxa" w:w="5227"/>
          </w:tcPr>
          <w:p>
            <w:pPr>
              <w:spacing w:after="0"/>
            </w:pPr>
            <w:r>
              <w:rPr>
                <w:sz w:val="11"/>
              </w:rPr>
              <w:t>Observability</w:t>
            </w:r>
          </w:p>
        </w:tc>
        <w:tc>
          <w:tcPr>
            <w:tcW w:type="dxa" w:w="5227"/>
          </w:tcPr>
          <w:p>
            <w:pPr>
              <w:spacing w:after="0"/>
            </w:pPr>
            <w:r>
              <w:rPr>
                <w:sz w:val="11"/>
              </w:rPr>
              <w:t>Release markers.</w:t>
            </w:r>
          </w:p>
        </w:tc>
      </w:tr>
      <w:tr>
        <w:tc>
          <w:tcPr>
            <w:tcW w:type="dxa" w:w="5227"/>
          </w:tcPr>
          <w:p>
            <w:pPr>
              <w:spacing w:after="0"/>
            </w:pPr>
            <w:r>
              <w:rPr>
                <w:sz w:val="11"/>
              </w:rPr>
              <w:t>Secrets</w:t>
            </w:r>
          </w:p>
        </w:tc>
        <w:tc>
          <w:tcPr>
            <w:tcW w:type="dxa" w:w="5227"/>
          </w:tcPr>
          <w:p>
            <w:pPr>
              <w:spacing w:after="0"/>
            </w:pPr>
            <w:r>
              <w:rPr>
                <w:sz w:val="11"/>
              </w:rPr>
              <w:t>Injected securely.</w:t>
            </w:r>
          </w:p>
        </w:tc>
      </w:tr>
    </w:tbl>
    <w:p>
      <w:pPr>
        <w:pStyle w:val="Heading1"/>
      </w:pPr>
      <w:r>
        <w:t>55. Compatibility</w:t>
      </w:r>
    </w:p>
    <w:p>
      <w:pPr>
        <w:pStyle w:val="ListBullet"/>
      </w:pPr>
      <w:r>
        <w:t>Supported browser matrix published per release.</w:t>
      </w:r>
    </w:p>
    <w:p>
      <w:pPr>
        <w:pStyle w:val="ListBullet"/>
      </w:pPr>
      <w:r>
        <w:t>Responsive web supports defined desktop/tablet/mobile workflows.</w:t>
      </w:r>
    </w:p>
    <w:p>
      <w:pPr>
        <w:pStyle w:val="ListBullet"/>
      </w:pPr>
      <w:r>
        <w:t>Touch targets appropriate for clinical tablets.</w:t>
      </w:r>
    </w:p>
    <w:p>
      <w:pPr>
        <w:pStyle w:val="ListBullet"/>
      </w:pPr>
      <w:r>
        <w:t>No critical function depends on one proprietary browser plugin.</w:t>
      </w:r>
    </w:p>
    <w:p>
      <w:pPr>
        <w:pStyle w:val="ListBullet"/>
      </w:pPr>
      <w:r>
        <w:t>PACS/viewer requirements documented separately.</w:t>
      </w:r>
    </w:p>
    <w:p>
      <w:pPr>
        <w:pStyle w:val="ListBullet"/>
      </w:pPr>
      <w:r>
        <w:t>Operating system support for edge/server declared.</w:t>
      </w:r>
    </w:p>
    <w:p>
      <w:pPr>
        <w:pStyle w:val="ListBullet"/>
      </w:pPr>
      <w:r>
        <w:t>Partner protocol versions declared.</w:t>
      </w:r>
    </w:p>
    <w:p>
      <w:pPr>
        <w:pStyle w:val="Heading1"/>
      </w:pPr>
      <w:r>
        <w:t>56. Browser Baseline</w:t>
      </w:r>
    </w:p>
    <w:p>
      <w:r>
        <w:t>Production releases shall support current enterprise-approved versions of major Chromium-based browsers and other explicitly certified browsers. Exact versions are published with each release rather than frozen in this architecture document.</w:t>
      </w:r>
    </w:p>
    <w:p>
      <w:pPr>
        <w:pStyle w:val="ListBullet"/>
      </w:pPr>
      <w:r>
        <w:t>Automated cross-browser smoke tests.</w:t>
      </w:r>
    </w:p>
    <w:p>
      <w:pPr>
        <w:pStyle w:val="ListBullet"/>
      </w:pPr>
      <w:r>
        <w:t>Keyboard navigation.</w:t>
      </w:r>
    </w:p>
    <w:p>
      <w:pPr>
        <w:pStyle w:val="ListBullet"/>
      </w:pPr>
      <w:r>
        <w:t>Printing where clinically required.</w:t>
      </w:r>
    </w:p>
    <w:p>
      <w:pPr>
        <w:pStyle w:val="ListBullet"/>
      </w:pPr>
      <w:r>
        <w:t>Session/security behavior consistent.</w:t>
      </w:r>
    </w:p>
    <w:p>
      <w:pPr>
        <w:pStyle w:val="ListBullet"/>
      </w:pPr>
      <w:r>
        <w:t>No silent failure on unsupported browser; warn clearly.</w:t>
      </w:r>
    </w:p>
    <w:p>
      <w:pPr>
        <w:pStyle w:val="Heading1"/>
      </w:pPr>
      <w:r>
        <w:t>57. Accessibility</w:t>
      </w:r>
    </w:p>
    <w:p>
      <w:pPr>
        <w:pStyle w:val="ListBullet"/>
      </w:pPr>
      <w:r>
        <w:t>Target WCAG 2.2 AA-aligned design for applicable web experiences.</w:t>
      </w:r>
    </w:p>
    <w:p>
      <w:pPr>
        <w:pStyle w:val="ListBullet"/>
      </w:pPr>
      <w:r>
        <w:t>Keyboard operability.</w:t>
      </w:r>
    </w:p>
    <w:p>
      <w:pPr>
        <w:pStyle w:val="ListBullet"/>
      </w:pPr>
      <w:r>
        <w:t>Visible focus.</w:t>
      </w:r>
    </w:p>
    <w:p>
      <w:pPr>
        <w:pStyle w:val="ListBullet"/>
      </w:pPr>
      <w:r>
        <w:t>Semantic labels.</w:t>
      </w:r>
    </w:p>
    <w:p>
      <w:pPr>
        <w:pStyle w:val="ListBullet"/>
      </w:pPr>
      <w:r>
        <w:t>Sufficient contrast.</w:t>
      </w:r>
    </w:p>
    <w:p>
      <w:pPr>
        <w:pStyle w:val="ListBullet"/>
      </w:pPr>
      <w:r>
        <w:t>Text resizing/reflow.</w:t>
      </w:r>
    </w:p>
    <w:p>
      <w:pPr>
        <w:pStyle w:val="ListBullet"/>
      </w:pPr>
      <w:r>
        <w:t>Screen-reader-compatible forms/status messages.</w:t>
      </w:r>
    </w:p>
    <w:p>
      <w:pPr>
        <w:pStyle w:val="ListBullet"/>
      </w:pPr>
      <w:r>
        <w:t>Errors identified in text, not color alone.</w:t>
      </w:r>
    </w:p>
    <w:p>
      <w:pPr>
        <w:pStyle w:val="ListBullet"/>
      </w:pPr>
      <w:r>
        <w:t>Motion can be reduced.</w:t>
      </w:r>
    </w:p>
    <w:p>
      <w:pPr>
        <w:pStyle w:val="ListBullet"/>
      </w:pPr>
      <w:r>
        <w:t>Accessible tables/dialogs.</w:t>
      </w:r>
    </w:p>
    <w:p>
      <w:r>
        <w:t>Clinical safety can require additional usability validation beyond generic accessibility conformance.</w:t>
      </w:r>
    </w:p>
    <w:p>
      <w:pPr>
        <w:pStyle w:val="Heading1"/>
      </w:pPr>
      <w:r>
        <w:t>58. Clinical Usability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Principle</w:t>
            </w:r>
          </w:p>
        </w:tc>
        <w:tc>
          <w:tcPr>
            <w:tcW w:type="dxa" w:w="5227"/>
          </w:tcPr>
          <w:p>
            <w:pPr>
              <w:spacing w:after="0"/>
            </w:pPr>
            <w:r>
              <w:rPr>
                <w:b/>
                <w:sz w:val="11"/>
              </w:rPr>
              <w:t>Requirement</w:t>
            </w:r>
          </w:p>
        </w:tc>
      </w:tr>
      <w:tr>
        <w:tc>
          <w:tcPr>
            <w:tcW w:type="dxa" w:w="5227"/>
          </w:tcPr>
          <w:p>
            <w:pPr>
              <w:spacing w:after="0"/>
            </w:pPr>
            <w:r>
              <w:rPr>
                <w:sz w:val="11"/>
              </w:rPr>
              <w:t>Patient context</w:t>
            </w:r>
          </w:p>
        </w:tc>
        <w:tc>
          <w:tcPr>
            <w:tcW w:type="dxa" w:w="5227"/>
          </w:tcPr>
          <w:p>
            <w:pPr>
              <w:spacing w:after="0"/>
            </w:pPr>
            <w:r>
              <w:rPr>
                <w:sz w:val="11"/>
              </w:rPr>
              <w:t>Always prominent.</w:t>
            </w:r>
          </w:p>
        </w:tc>
      </w:tr>
      <w:tr>
        <w:tc>
          <w:tcPr>
            <w:tcW w:type="dxa" w:w="5227"/>
          </w:tcPr>
          <w:p>
            <w:pPr>
              <w:spacing w:after="0"/>
            </w:pPr>
            <w:r>
              <w:rPr>
                <w:sz w:val="11"/>
              </w:rPr>
              <w:t>Critical actions</w:t>
            </w:r>
          </w:p>
        </w:tc>
        <w:tc>
          <w:tcPr>
            <w:tcW w:type="dxa" w:w="5227"/>
          </w:tcPr>
          <w:p>
            <w:pPr>
              <w:spacing w:after="0"/>
            </w:pPr>
            <w:r>
              <w:rPr>
                <w:sz w:val="11"/>
              </w:rPr>
              <w:t>Confirmation/context appropriate.</w:t>
            </w:r>
          </w:p>
        </w:tc>
      </w:tr>
      <w:tr>
        <w:tc>
          <w:tcPr>
            <w:tcW w:type="dxa" w:w="5227"/>
          </w:tcPr>
          <w:p>
            <w:pPr>
              <w:spacing w:after="0"/>
            </w:pPr>
            <w:r>
              <w:rPr>
                <w:sz w:val="11"/>
              </w:rPr>
              <w:t>Status</w:t>
            </w:r>
          </w:p>
        </w:tc>
        <w:tc>
          <w:tcPr>
            <w:tcW w:type="dxa" w:w="5227"/>
          </w:tcPr>
          <w:p>
            <w:pPr>
              <w:spacing w:after="0"/>
            </w:pPr>
            <w:r>
              <w:rPr>
                <w:sz w:val="11"/>
              </w:rPr>
              <w:t>Explicit, not inferred from color alone.</w:t>
            </w:r>
          </w:p>
        </w:tc>
      </w:tr>
      <w:tr>
        <w:tc>
          <w:tcPr>
            <w:tcW w:type="dxa" w:w="5227"/>
          </w:tcPr>
          <w:p>
            <w:pPr>
              <w:spacing w:after="0"/>
            </w:pPr>
            <w:r>
              <w:rPr>
                <w:sz w:val="11"/>
              </w:rPr>
              <w:t>Errors</w:t>
            </w:r>
          </w:p>
        </w:tc>
        <w:tc>
          <w:tcPr>
            <w:tcW w:type="dxa" w:w="5227"/>
          </w:tcPr>
          <w:p>
            <w:pPr>
              <w:spacing w:after="0"/>
            </w:pPr>
            <w:r>
              <w:rPr>
                <w:sz w:val="11"/>
              </w:rPr>
              <w:t>Actionable.</w:t>
            </w:r>
          </w:p>
        </w:tc>
      </w:tr>
      <w:tr>
        <w:tc>
          <w:tcPr>
            <w:tcW w:type="dxa" w:w="5227"/>
          </w:tcPr>
          <w:p>
            <w:pPr>
              <w:spacing w:after="0"/>
            </w:pPr>
            <w:r>
              <w:rPr>
                <w:sz w:val="11"/>
              </w:rPr>
              <w:t>Data density</w:t>
            </w:r>
          </w:p>
        </w:tc>
        <w:tc>
          <w:tcPr>
            <w:tcW w:type="dxa" w:w="5227"/>
          </w:tcPr>
          <w:p>
            <w:pPr>
              <w:spacing w:after="0"/>
            </w:pPr>
            <w:r>
              <w:rPr>
                <w:sz w:val="11"/>
              </w:rPr>
              <w:t>Role/task appropriate.</w:t>
            </w:r>
          </w:p>
        </w:tc>
      </w:tr>
      <w:tr>
        <w:tc>
          <w:tcPr>
            <w:tcW w:type="dxa" w:w="5227"/>
          </w:tcPr>
          <w:p>
            <w:pPr>
              <w:spacing w:after="0"/>
            </w:pPr>
            <w:r>
              <w:rPr>
                <w:sz w:val="11"/>
              </w:rPr>
              <w:t>Progressive disclosure</w:t>
            </w:r>
          </w:p>
        </w:tc>
        <w:tc>
          <w:tcPr>
            <w:tcW w:type="dxa" w:w="5227"/>
          </w:tcPr>
          <w:p>
            <w:pPr>
              <w:spacing w:after="0"/>
            </w:pPr>
            <w:r>
              <w:rPr>
                <w:sz w:val="11"/>
              </w:rPr>
              <w:t>Complex detail on demand.</w:t>
            </w:r>
          </w:p>
        </w:tc>
      </w:tr>
      <w:tr>
        <w:tc>
          <w:tcPr>
            <w:tcW w:type="dxa" w:w="5227"/>
          </w:tcPr>
          <w:p>
            <w:pPr>
              <w:spacing w:after="0"/>
            </w:pPr>
            <w:r>
              <w:rPr>
                <w:sz w:val="11"/>
              </w:rPr>
              <w:t>Defaults</w:t>
            </w:r>
          </w:p>
        </w:tc>
        <w:tc>
          <w:tcPr>
            <w:tcW w:type="dxa" w:w="5227"/>
          </w:tcPr>
          <w:p>
            <w:pPr>
              <w:spacing w:after="0"/>
            </w:pPr>
            <w:r>
              <w:rPr>
                <w:sz w:val="11"/>
              </w:rPr>
              <w:t>Safe/configured.</w:t>
            </w:r>
          </w:p>
        </w:tc>
      </w:tr>
      <w:tr>
        <w:tc>
          <w:tcPr>
            <w:tcW w:type="dxa" w:w="5227"/>
          </w:tcPr>
          <w:p>
            <w:pPr>
              <w:spacing w:after="0"/>
            </w:pPr>
            <w:r>
              <w:rPr>
                <w:sz w:val="11"/>
              </w:rPr>
              <w:t>Interruptions</w:t>
            </w:r>
          </w:p>
        </w:tc>
        <w:tc>
          <w:tcPr>
            <w:tcW w:type="dxa" w:w="5227"/>
          </w:tcPr>
          <w:p>
            <w:pPr>
              <w:spacing w:after="0"/>
            </w:pPr>
            <w:r>
              <w:rPr>
                <w:sz w:val="11"/>
              </w:rPr>
              <w:t>Minimize alert fatigue.</w:t>
            </w:r>
          </w:p>
        </w:tc>
      </w:tr>
      <w:tr>
        <w:tc>
          <w:tcPr>
            <w:tcW w:type="dxa" w:w="5227"/>
          </w:tcPr>
          <w:p>
            <w:pPr>
              <w:spacing w:after="0"/>
            </w:pPr>
            <w:r>
              <w:rPr>
                <w:sz w:val="11"/>
              </w:rPr>
              <w:t>Keyboard</w:t>
            </w:r>
          </w:p>
        </w:tc>
        <w:tc>
          <w:tcPr>
            <w:tcW w:type="dxa" w:w="5227"/>
          </w:tcPr>
          <w:p>
            <w:pPr>
              <w:spacing w:after="0"/>
            </w:pPr>
            <w:r>
              <w:rPr>
                <w:sz w:val="11"/>
              </w:rPr>
              <w:t>Efficient for high-volume workflows.</w:t>
            </w:r>
          </w:p>
        </w:tc>
      </w:tr>
      <w:tr>
        <w:tc>
          <w:tcPr>
            <w:tcW w:type="dxa" w:w="5227"/>
          </w:tcPr>
          <w:p>
            <w:pPr>
              <w:spacing w:after="0"/>
            </w:pPr>
            <w:r>
              <w:rPr>
                <w:sz w:val="11"/>
              </w:rPr>
              <w:t>Latency</w:t>
            </w:r>
          </w:p>
        </w:tc>
        <w:tc>
          <w:tcPr>
            <w:tcW w:type="dxa" w:w="5227"/>
          </w:tcPr>
          <w:p>
            <w:pPr>
              <w:spacing w:after="0"/>
            </w:pPr>
            <w:r>
              <w:rPr>
                <w:sz w:val="11"/>
              </w:rPr>
              <w:t>Visible feedback for operations &gt;~1 s.</w:t>
            </w:r>
          </w:p>
        </w:tc>
      </w:tr>
    </w:tbl>
    <w:p>
      <w:pPr>
        <w:pStyle w:val="Heading1"/>
      </w:pPr>
      <w:r>
        <w:t>59. Human Factors</w:t>
      </w:r>
    </w:p>
    <w:p>
      <w:pPr>
        <w:pStyle w:val="ListBullet"/>
      </w:pPr>
      <w:r>
        <w:t>Prevent wrong-patient actions.</w:t>
      </w:r>
    </w:p>
    <w:p>
      <w:pPr>
        <w:pStyle w:val="ListBullet"/>
      </w:pPr>
      <w:r>
        <w:t>Differentiate draft/signed/final states.</w:t>
      </w:r>
    </w:p>
    <w:p>
      <w:pPr>
        <w:pStyle w:val="ListBullet"/>
      </w:pPr>
      <w:r>
        <w:t>Laterality/site explicit.</w:t>
      </w:r>
    </w:p>
    <w:p>
      <w:pPr>
        <w:pStyle w:val="ListBullet"/>
      </w:pPr>
      <w:r>
        <w:t>Destructive/corrective actions separated.</w:t>
      </w:r>
    </w:p>
    <w:p>
      <w:pPr>
        <w:pStyle w:val="ListBullet"/>
      </w:pPr>
      <w:r>
        <w:t>High-alert medication workflow distinguishable.</w:t>
      </w:r>
    </w:p>
    <w:p>
      <w:pPr>
        <w:pStyle w:val="ListBullet"/>
      </w:pPr>
      <w:r>
        <w:t>Critical results require acknowledgement.</w:t>
      </w:r>
    </w:p>
    <w:p>
      <w:pPr>
        <w:pStyle w:val="ListBullet"/>
      </w:pPr>
      <w:r>
        <w:t>Avoid ambiguous icons without labels in safety-critical contexts.</w:t>
      </w:r>
    </w:p>
    <w:p>
      <w:pPr>
        <w:pStyle w:val="ListBullet"/>
      </w:pPr>
      <w:r>
        <w:t>Do not rely solely on memory between screens.</w:t>
      </w:r>
    </w:p>
    <w:p>
      <w:pPr>
        <w:pStyle w:val="ListBullet"/>
      </w:pPr>
      <w:r>
        <w:t>Autosave behavior is explicit and safe.</w:t>
      </w:r>
    </w:p>
    <w:p>
      <w:pPr>
        <w:pStyle w:val="Heading1"/>
      </w:pPr>
      <w:r>
        <w:t>60. Accessibility Testing</w:t>
      </w:r>
    </w:p>
    <w:p>
      <w:pPr>
        <w:pStyle w:val="ListBullet"/>
      </w:pPr>
      <w:r>
        <w:t>Automated accessibility scan.</w:t>
      </w:r>
    </w:p>
    <w:p>
      <w:pPr>
        <w:pStyle w:val="ListBullet"/>
      </w:pPr>
      <w:r>
        <w:t>Keyboard-only workflow tests.</w:t>
      </w:r>
    </w:p>
    <w:p>
      <w:pPr>
        <w:pStyle w:val="ListBullet"/>
      </w:pPr>
      <w:r>
        <w:t>Screen-reader spot tests for core flows.</w:t>
      </w:r>
    </w:p>
    <w:p>
      <w:pPr>
        <w:pStyle w:val="ListBullet"/>
      </w:pPr>
      <w:r>
        <w:t>Contrast verification.</w:t>
      </w:r>
    </w:p>
    <w:p>
      <w:pPr>
        <w:pStyle w:val="ListBullet"/>
      </w:pPr>
      <w:r>
        <w:t>Zoom/reflow testing.</w:t>
      </w:r>
    </w:p>
    <w:p>
      <w:pPr>
        <w:pStyle w:val="ListBullet"/>
      </w:pPr>
      <w:r>
        <w:t>Form error/status announcements.</w:t>
      </w:r>
    </w:p>
    <w:p>
      <w:pPr>
        <w:pStyle w:val="ListBullet"/>
      </w:pPr>
      <w:r>
        <w:t>Modal/focus management.</w:t>
      </w:r>
    </w:p>
    <w:p>
      <w:pPr>
        <w:pStyle w:val="ListBullet"/>
      </w:pPr>
      <w:r>
        <w:t>Clinical role usability review.</w:t>
      </w:r>
    </w:p>
    <w:p>
      <w:pPr>
        <w:pStyle w:val="Heading1"/>
      </w:pPr>
      <w:r>
        <w:t>61. Localization</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Concern</w:t>
            </w:r>
          </w:p>
        </w:tc>
        <w:tc>
          <w:tcPr>
            <w:tcW w:type="dxa" w:w="5227"/>
          </w:tcPr>
          <w:p>
            <w:pPr>
              <w:spacing w:after="0"/>
            </w:pPr>
            <w:r>
              <w:rPr>
                <w:b/>
                <w:sz w:val="11"/>
              </w:rPr>
              <w:t>Requirement</w:t>
            </w:r>
          </w:p>
        </w:tc>
      </w:tr>
      <w:tr>
        <w:tc>
          <w:tcPr>
            <w:tcW w:type="dxa" w:w="5227"/>
          </w:tcPr>
          <w:p>
            <w:pPr>
              <w:spacing w:after="0"/>
            </w:pPr>
            <w:r>
              <w:rPr>
                <w:sz w:val="11"/>
              </w:rPr>
              <w:t>Timezone</w:t>
            </w:r>
          </w:p>
        </w:tc>
        <w:tc>
          <w:tcPr>
            <w:tcW w:type="dxa" w:w="5227"/>
          </w:tcPr>
          <w:p>
            <w:pPr>
              <w:spacing w:after="0"/>
            </w:pPr>
            <w:r>
              <w:rPr>
                <w:sz w:val="11"/>
              </w:rPr>
              <w:t>Facility/user-aware; UTC storage strategy.</w:t>
            </w:r>
          </w:p>
        </w:tc>
      </w:tr>
      <w:tr>
        <w:tc>
          <w:tcPr>
            <w:tcW w:type="dxa" w:w="5227"/>
          </w:tcPr>
          <w:p>
            <w:pPr>
              <w:spacing w:after="0"/>
            </w:pPr>
            <w:r>
              <w:rPr>
                <w:sz w:val="11"/>
              </w:rPr>
              <w:t>Date/time</w:t>
            </w:r>
          </w:p>
        </w:tc>
        <w:tc>
          <w:tcPr>
            <w:tcW w:type="dxa" w:w="5227"/>
          </w:tcPr>
          <w:p>
            <w:pPr>
              <w:spacing w:after="0"/>
            </w:pPr>
            <w:r>
              <w:rPr>
                <w:sz w:val="11"/>
              </w:rPr>
              <w:t>Locale display without ambiguity.</w:t>
            </w:r>
          </w:p>
        </w:tc>
      </w:tr>
      <w:tr>
        <w:tc>
          <w:tcPr>
            <w:tcW w:type="dxa" w:w="5227"/>
          </w:tcPr>
          <w:p>
            <w:pPr>
              <w:spacing w:after="0"/>
            </w:pPr>
            <w:r>
              <w:rPr>
                <w:sz w:val="11"/>
              </w:rPr>
              <w:t>Number</w:t>
            </w:r>
          </w:p>
        </w:tc>
        <w:tc>
          <w:tcPr>
            <w:tcW w:type="dxa" w:w="5227"/>
          </w:tcPr>
          <w:p>
            <w:pPr>
              <w:spacing w:after="0"/>
            </w:pPr>
            <w:r>
              <w:rPr>
                <w:sz w:val="11"/>
              </w:rPr>
              <w:t>Locale display; canonical storage.</w:t>
            </w:r>
          </w:p>
        </w:tc>
      </w:tr>
      <w:tr>
        <w:tc>
          <w:tcPr>
            <w:tcW w:type="dxa" w:w="5227"/>
          </w:tcPr>
          <w:p>
            <w:pPr>
              <w:spacing w:after="0"/>
            </w:pPr>
            <w:r>
              <w:rPr>
                <w:sz w:val="11"/>
              </w:rPr>
              <w:t>Currency</w:t>
            </w:r>
          </w:p>
        </w:tc>
        <w:tc>
          <w:tcPr>
            <w:tcW w:type="dxa" w:w="5227"/>
          </w:tcPr>
          <w:p>
            <w:pPr>
              <w:spacing w:after="0"/>
            </w:pPr>
            <w:r>
              <w:rPr>
                <w:sz w:val="11"/>
              </w:rPr>
              <w:t>Explicit currency code.</w:t>
            </w:r>
          </w:p>
        </w:tc>
      </w:tr>
      <w:tr>
        <w:tc>
          <w:tcPr>
            <w:tcW w:type="dxa" w:w="5227"/>
          </w:tcPr>
          <w:p>
            <w:pPr>
              <w:spacing w:after="0"/>
            </w:pPr>
            <w:r>
              <w:rPr>
                <w:sz w:val="11"/>
              </w:rPr>
              <w:t>Language</w:t>
            </w:r>
          </w:p>
        </w:tc>
        <w:tc>
          <w:tcPr>
            <w:tcW w:type="dxa" w:w="5227"/>
          </w:tcPr>
          <w:p>
            <w:pPr>
              <w:spacing w:after="0"/>
            </w:pPr>
            <w:r>
              <w:rPr>
                <w:sz w:val="11"/>
              </w:rPr>
              <w:t>UI/content localization framework.</w:t>
            </w:r>
          </w:p>
        </w:tc>
      </w:tr>
      <w:tr>
        <w:tc>
          <w:tcPr>
            <w:tcW w:type="dxa" w:w="5227"/>
          </w:tcPr>
          <w:p>
            <w:pPr>
              <w:spacing w:after="0"/>
            </w:pPr>
            <w:r>
              <w:rPr>
                <w:sz w:val="11"/>
              </w:rPr>
              <w:t>Names</w:t>
            </w:r>
          </w:p>
        </w:tc>
        <w:tc>
          <w:tcPr>
            <w:tcW w:type="dxa" w:w="5227"/>
          </w:tcPr>
          <w:p>
            <w:pPr>
              <w:spacing w:after="0"/>
            </w:pPr>
            <w:r>
              <w:rPr>
                <w:sz w:val="11"/>
              </w:rPr>
              <w:t>International name structures.</w:t>
            </w:r>
          </w:p>
        </w:tc>
      </w:tr>
      <w:tr>
        <w:tc>
          <w:tcPr>
            <w:tcW w:type="dxa" w:w="5227"/>
          </w:tcPr>
          <w:p>
            <w:pPr>
              <w:spacing w:after="0"/>
            </w:pPr>
            <w:r>
              <w:rPr>
                <w:sz w:val="11"/>
              </w:rPr>
              <w:t>Phone/address</w:t>
            </w:r>
          </w:p>
        </w:tc>
        <w:tc>
          <w:tcPr>
            <w:tcW w:type="dxa" w:w="5227"/>
          </w:tcPr>
          <w:p>
            <w:pPr>
              <w:spacing w:after="0"/>
            </w:pPr>
            <w:r>
              <w:rPr>
                <w:sz w:val="11"/>
              </w:rPr>
              <w:t>Configurable formats.</w:t>
            </w:r>
          </w:p>
        </w:tc>
      </w:tr>
      <w:tr>
        <w:tc>
          <w:tcPr>
            <w:tcW w:type="dxa" w:w="5227"/>
          </w:tcPr>
          <w:p>
            <w:pPr>
              <w:spacing w:after="0"/>
            </w:pPr>
            <w:r>
              <w:rPr>
                <w:sz w:val="11"/>
              </w:rPr>
              <w:t>Terminology</w:t>
            </w:r>
          </w:p>
        </w:tc>
        <w:tc>
          <w:tcPr>
            <w:tcW w:type="dxa" w:w="5227"/>
          </w:tcPr>
          <w:p>
            <w:pPr>
              <w:spacing w:after="0"/>
            </w:pPr>
            <w:r>
              <w:rPr>
                <w:sz w:val="11"/>
              </w:rPr>
              <w:t>Clinical code display language where supported.</w:t>
            </w:r>
          </w:p>
        </w:tc>
      </w:tr>
    </w:tbl>
    <w:p>
      <w:pPr>
        <w:pStyle w:val="Heading1"/>
      </w:pPr>
      <w:r>
        <w:t>62. Time and Clock Quality</w:t>
      </w:r>
    </w:p>
    <w:p>
      <w:pPr>
        <w:pStyle w:val="ListBullet"/>
      </w:pPr>
      <w:r>
        <w:t>Servers/edge synchronize to reliable time source.</w:t>
      </w:r>
    </w:p>
    <w:p>
      <w:pPr>
        <w:pStyle w:val="ListBullet"/>
      </w:pPr>
      <w:r>
        <w:t>Clock drift monitored.</w:t>
      </w:r>
    </w:p>
    <w:p>
      <w:pPr>
        <w:pStyle w:val="ListBullet"/>
      </w:pPr>
      <w:r>
        <w:t>Clinical effective time separate from recorded time.</w:t>
      </w:r>
    </w:p>
    <w:p>
      <w:pPr>
        <w:pStyle w:val="ListBullet"/>
      </w:pPr>
      <w:r>
        <w:t>Offline devices retain source timestamp and sync timestamp.</w:t>
      </w:r>
    </w:p>
    <w:p>
      <w:pPr>
        <w:pStyle w:val="ListBullet"/>
      </w:pPr>
      <w:r>
        <w:t>DST/timezone conversion tested.</w:t>
      </w:r>
    </w:p>
    <w:p>
      <w:pPr>
        <w:pStyle w:val="ListBullet"/>
      </w:pPr>
      <w:r>
        <w:t>Audit ordering does not assume identical clocks across disconnected nodes.</w:t>
      </w:r>
    </w:p>
    <w:p>
      <w:pPr>
        <w:pStyle w:val="Heading1"/>
      </w:pPr>
      <w:r>
        <w:t>63. Data Quality NFRs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Dimension</w:t>
            </w:r>
          </w:p>
        </w:tc>
        <w:tc>
          <w:tcPr>
            <w:tcW w:type="dxa" w:w="5227"/>
          </w:tcPr>
          <w:p>
            <w:pPr>
              <w:spacing w:after="0"/>
            </w:pPr>
            <w:r>
              <w:rPr>
                <w:b/>
                <w:sz w:val="11"/>
              </w:rPr>
              <w:t>Measure</w:t>
            </w:r>
          </w:p>
        </w:tc>
      </w:tr>
      <w:tr>
        <w:tc>
          <w:tcPr>
            <w:tcW w:type="dxa" w:w="5227"/>
          </w:tcPr>
          <w:p>
            <w:pPr>
              <w:spacing w:after="0"/>
            </w:pPr>
            <w:r>
              <w:rPr>
                <w:sz w:val="11"/>
              </w:rPr>
              <w:t>Completeness</w:t>
            </w:r>
          </w:p>
        </w:tc>
        <w:tc>
          <w:tcPr>
            <w:tcW w:type="dxa" w:w="5227"/>
          </w:tcPr>
          <w:p>
            <w:pPr>
              <w:spacing w:after="0"/>
            </w:pPr>
            <w:r>
              <w:rPr>
                <w:sz w:val="11"/>
              </w:rPr>
              <w:t>Required field rate.</w:t>
            </w:r>
          </w:p>
        </w:tc>
      </w:tr>
      <w:tr>
        <w:tc>
          <w:tcPr>
            <w:tcW w:type="dxa" w:w="5227"/>
          </w:tcPr>
          <w:p>
            <w:pPr>
              <w:spacing w:after="0"/>
            </w:pPr>
            <w:r>
              <w:rPr>
                <w:sz w:val="11"/>
              </w:rPr>
              <w:t>Validity</w:t>
            </w:r>
          </w:p>
        </w:tc>
        <w:tc>
          <w:tcPr>
            <w:tcW w:type="dxa" w:w="5227"/>
          </w:tcPr>
          <w:p>
            <w:pPr>
              <w:spacing w:after="0"/>
            </w:pPr>
            <w:r>
              <w:rPr>
                <w:sz w:val="11"/>
              </w:rPr>
              <w:t>Schema/domain validation.</w:t>
            </w:r>
          </w:p>
        </w:tc>
      </w:tr>
      <w:tr>
        <w:tc>
          <w:tcPr>
            <w:tcW w:type="dxa" w:w="5227"/>
          </w:tcPr>
          <w:p>
            <w:pPr>
              <w:spacing w:after="0"/>
            </w:pPr>
            <w:r>
              <w:rPr>
                <w:sz w:val="11"/>
              </w:rPr>
              <w:t>Uniqueness</w:t>
            </w:r>
          </w:p>
        </w:tc>
        <w:tc>
          <w:tcPr>
            <w:tcW w:type="dxa" w:w="5227"/>
          </w:tcPr>
          <w:p>
            <w:pPr>
              <w:spacing w:after="0"/>
            </w:pPr>
            <w:r>
              <w:rPr>
                <w:sz w:val="11"/>
              </w:rPr>
              <w:t>Duplicate patient/order/event rate.</w:t>
            </w:r>
          </w:p>
        </w:tc>
      </w:tr>
      <w:tr>
        <w:tc>
          <w:tcPr>
            <w:tcW w:type="dxa" w:w="5227"/>
          </w:tcPr>
          <w:p>
            <w:pPr>
              <w:spacing w:after="0"/>
            </w:pPr>
            <w:r>
              <w:rPr>
                <w:sz w:val="11"/>
              </w:rPr>
              <w:t>Consistency</w:t>
            </w:r>
          </w:p>
        </w:tc>
        <w:tc>
          <w:tcPr>
            <w:tcW w:type="dxa" w:w="5227"/>
          </w:tcPr>
          <w:p>
            <w:pPr>
              <w:spacing w:after="0"/>
            </w:pPr>
            <w:r>
              <w:rPr>
                <w:sz w:val="11"/>
              </w:rPr>
              <w:t>Cross-domain reconciliation.</w:t>
            </w:r>
          </w:p>
        </w:tc>
      </w:tr>
      <w:tr>
        <w:tc>
          <w:tcPr>
            <w:tcW w:type="dxa" w:w="5227"/>
          </w:tcPr>
          <w:p>
            <w:pPr>
              <w:spacing w:after="0"/>
            </w:pPr>
            <w:r>
              <w:rPr>
                <w:sz w:val="11"/>
              </w:rPr>
              <w:t>Timeliness</w:t>
            </w:r>
          </w:p>
        </w:tc>
        <w:tc>
          <w:tcPr>
            <w:tcW w:type="dxa" w:w="5227"/>
          </w:tcPr>
          <w:p>
            <w:pPr>
              <w:spacing w:after="0"/>
            </w:pPr>
            <w:r>
              <w:rPr>
                <w:sz w:val="11"/>
              </w:rPr>
              <w:t>Freshness/lag.</w:t>
            </w:r>
          </w:p>
        </w:tc>
      </w:tr>
      <w:tr>
        <w:tc>
          <w:tcPr>
            <w:tcW w:type="dxa" w:w="5227"/>
          </w:tcPr>
          <w:p>
            <w:pPr>
              <w:spacing w:after="0"/>
            </w:pPr>
            <w:r>
              <w:rPr>
                <w:sz w:val="11"/>
              </w:rPr>
              <w:t>Accuracy</w:t>
            </w:r>
          </w:p>
        </w:tc>
        <w:tc>
          <w:tcPr>
            <w:tcW w:type="dxa" w:w="5227"/>
          </w:tcPr>
          <w:p>
            <w:pPr>
              <w:spacing w:after="0"/>
            </w:pPr>
            <w:r>
              <w:rPr>
                <w:sz w:val="11"/>
              </w:rPr>
              <w:t>Source verification/sample audit.</w:t>
            </w:r>
          </w:p>
        </w:tc>
      </w:tr>
      <w:tr>
        <w:tc>
          <w:tcPr>
            <w:tcW w:type="dxa" w:w="5227"/>
          </w:tcPr>
          <w:p>
            <w:pPr>
              <w:spacing w:after="0"/>
            </w:pPr>
            <w:r>
              <w:rPr>
                <w:sz w:val="11"/>
              </w:rPr>
              <w:t>Provenance</w:t>
            </w:r>
          </w:p>
        </w:tc>
        <w:tc>
          <w:tcPr>
            <w:tcW w:type="dxa" w:w="5227"/>
          </w:tcPr>
          <w:p>
            <w:pPr>
              <w:spacing w:after="0"/>
            </w:pPr>
            <w:r>
              <w:rPr>
                <w:sz w:val="11"/>
              </w:rPr>
              <w:t>Source/actor attribution coverage.</w:t>
            </w:r>
          </w:p>
        </w:tc>
      </w:tr>
      <w:tr>
        <w:tc>
          <w:tcPr>
            <w:tcW w:type="dxa" w:w="5227"/>
          </w:tcPr>
          <w:p>
            <w:pPr>
              <w:spacing w:after="0"/>
            </w:pPr>
            <w:r>
              <w:rPr>
                <w:sz w:val="11"/>
              </w:rPr>
              <w:t>Terminology</w:t>
            </w:r>
          </w:p>
        </w:tc>
        <w:tc>
          <w:tcPr>
            <w:tcW w:type="dxa" w:w="5227"/>
          </w:tcPr>
          <w:p>
            <w:pPr>
              <w:spacing w:after="0"/>
            </w:pPr>
            <w:r>
              <w:rPr>
                <w:sz w:val="11"/>
              </w:rPr>
              <w:t>Mapped/unknown-code rate.</w:t>
            </w:r>
          </w:p>
        </w:tc>
      </w:tr>
    </w:tbl>
    <w:p>
      <w:pPr>
        <w:pStyle w:val="Heading1"/>
      </w:pPr>
      <w:r>
        <w:t>64. Data Freshness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Data</w:t>
            </w:r>
          </w:p>
        </w:tc>
        <w:tc>
          <w:tcPr>
            <w:tcW w:type="dxa" w:w="5227"/>
          </w:tcPr>
          <w:p>
            <w:pPr>
              <w:spacing w:after="0"/>
            </w:pPr>
            <w:r>
              <w:rPr>
                <w:b/>
                <w:sz w:val="11"/>
              </w:rPr>
              <w:t>Freshness expectation</w:t>
            </w:r>
          </w:p>
        </w:tc>
      </w:tr>
      <w:tr>
        <w:tc>
          <w:tcPr>
            <w:tcW w:type="dxa" w:w="5227"/>
          </w:tcPr>
          <w:p>
            <w:pPr>
              <w:spacing w:after="0"/>
            </w:pPr>
            <w:r>
              <w:rPr>
                <w:sz w:val="11"/>
              </w:rPr>
              <w:t>Clinical transaction</w:t>
            </w:r>
          </w:p>
        </w:tc>
        <w:tc>
          <w:tcPr>
            <w:tcW w:type="dxa" w:w="5227"/>
          </w:tcPr>
          <w:p>
            <w:pPr>
              <w:spacing w:after="0"/>
            </w:pPr>
            <w:r>
              <w:rPr>
                <w:sz w:val="11"/>
              </w:rPr>
              <w:t>Immediate after commit within owning domain.</w:t>
            </w:r>
          </w:p>
        </w:tc>
      </w:tr>
      <w:tr>
        <w:tc>
          <w:tcPr>
            <w:tcW w:type="dxa" w:w="5227"/>
          </w:tcPr>
          <w:p>
            <w:pPr>
              <w:spacing w:after="0"/>
            </w:pPr>
            <w:r>
              <w:rPr>
                <w:sz w:val="11"/>
              </w:rPr>
              <w:t>Search index</w:t>
            </w:r>
          </w:p>
        </w:tc>
        <w:tc>
          <w:tcPr>
            <w:tcW w:type="dxa" w:w="5227"/>
          </w:tcPr>
          <w:p>
            <w:pPr>
              <w:spacing w:after="0"/>
            </w:pPr>
            <w:r>
              <w:rPr>
                <w:sz w:val="11"/>
              </w:rPr>
              <w:t>Seconds/minutes target; freshness visible/monitored.</w:t>
            </w:r>
          </w:p>
        </w:tc>
      </w:tr>
      <w:tr>
        <w:tc>
          <w:tcPr>
            <w:tcW w:type="dxa" w:w="5227"/>
          </w:tcPr>
          <w:p>
            <w:pPr>
              <w:spacing w:after="0"/>
            </w:pPr>
            <w:r>
              <w:rPr>
                <w:sz w:val="11"/>
              </w:rPr>
              <w:t>Operational dashboard</w:t>
            </w:r>
          </w:p>
        </w:tc>
        <w:tc>
          <w:tcPr>
            <w:tcW w:type="dxa" w:w="5227"/>
          </w:tcPr>
          <w:p>
            <w:pPr>
              <w:spacing w:after="0"/>
            </w:pPr>
            <w:r>
              <w:rPr>
                <w:sz w:val="11"/>
              </w:rPr>
              <w:t>Near-real-time or declared refresh.</w:t>
            </w:r>
          </w:p>
        </w:tc>
      </w:tr>
      <w:tr>
        <w:tc>
          <w:tcPr>
            <w:tcW w:type="dxa" w:w="5227"/>
          </w:tcPr>
          <w:p>
            <w:pPr>
              <w:spacing w:after="0"/>
            </w:pPr>
            <w:r>
              <w:rPr>
                <w:sz w:val="11"/>
              </w:rPr>
              <w:t>Analytics warehouse</w:t>
            </w:r>
          </w:p>
        </w:tc>
        <w:tc>
          <w:tcPr>
            <w:tcW w:type="dxa" w:w="5227"/>
          </w:tcPr>
          <w:p>
            <w:pPr>
              <w:spacing w:after="0"/>
            </w:pPr>
            <w:r>
              <w:rPr>
                <w:sz w:val="11"/>
              </w:rPr>
              <w:t>Declared batch/stream lag.</w:t>
            </w:r>
          </w:p>
        </w:tc>
      </w:tr>
      <w:tr>
        <w:tc>
          <w:tcPr>
            <w:tcW w:type="dxa" w:w="5227"/>
          </w:tcPr>
          <w:p>
            <w:pPr>
              <w:spacing w:after="0"/>
            </w:pPr>
            <w:r>
              <w:rPr>
                <w:sz w:val="11"/>
              </w:rPr>
              <w:t>External payer</w:t>
            </w:r>
          </w:p>
        </w:tc>
        <w:tc>
          <w:tcPr>
            <w:tcW w:type="dxa" w:w="5227"/>
          </w:tcPr>
          <w:p>
            <w:pPr>
              <w:spacing w:after="0"/>
            </w:pPr>
            <w:r>
              <w:rPr>
                <w:sz w:val="11"/>
              </w:rPr>
              <w:t>As received.</w:t>
            </w:r>
          </w:p>
        </w:tc>
      </w:tr>
      <w:tr>
        <w:tc>
          <w:tcPr>
            <w:tcW w:type="dxa" w:w="5227"/>
          </w:tcPr>
          <w:p>
            <w:pPr>
              <w:spacing w:after="0"/>
            </w:pPr>
            <w:r>
              <w:rPr>
                <w:sz w:val="11"/>
              </w:rPr>
              <w:t>Referral queue</w:t>
            </w:r>
          </w:p>
        </w:tc>
        <w:tc>
          <w:tcPr>
            <w:tcW w:type="dxa" w:w="5227"/>
          </w:tcPr>
          <w:p>
            <w:pPr>
              <w:spacing w:after="0"/>
            </w:pPr>
            <w:r>
              <w:rPr>
                <w:sz w:val="11"/>
              </w:rPr>
              <w:t>Near-real-time with retry.</w:t>
            </w:r>
          </w:p>
        </w:tc>
      </w:tr>
      <w:tr>
        <w:tc>
          <w:tcPr>
            <w:tcW w:type="dxa" w:w="5227"/>
          </w:tcPr>
          <w:p>
            <w:pPr>
              <w:spacing w:after="0"/>
            </w:pPr>
            <w:r>
              <w:rPr>
                <w:sz w:val="11"/>
              </w:rPr>
              <w:t>Offline facility</w:t>
            </w:r>
          </w:p>
        </w:tc>
        <w:tc>
          <w:tcPr>
            <w:tcW w:type="dxa" w:w="5227"/>
          </w:tcPr>
          <w:p>
            <w:pPr>
              <w:spacing w:after="0"/>
            </w:pPr>
            <w:r>
              <w:rPr>
                <w:sz w:val="11"/>
              </w:rPr>
              <w:t>Explicit last-sync timestamp.</w:t>
            </w:r>
          </w:p>
        </w:tc>
      </w:tr>
    </w:tbl>
    <w:p>
      <w:pPr>
        <w:pStyle w:val="Heading1"/>
      </w:pPr>
      <w:r>
        <w:t>65. Interoperability Quality</w:t>
      </w:r>
    </w:p>
    <w:p>
      <w:pPr>
        <w:pStyle w:val="ListBullet"/>
      </w:pPr>
      <w:r>
        <w:t>Conformance validation.</w:t>
      </w:r>
    </w:p>
    <w:p>
      <w:pPr>
        <w:pStyle w:val="ListBullet"/>
      </w:pPr>
      <w:r>
        <w:t>Idempotency.</w:t>
      </w:r>
    </w:p>
    <w:p>
      <w:pPr>
        <w:pStyle w:val="ListBullet"/>
      </w:pPr>
      <w:r>
        <w:t>Source provenance.</w:t>
      </w:r>
    </w:p>
    <w:p>
      <w:pPr>
        <w:pStyle w:val="ListBullet"/>
      </w:pPr>
      <w:r>
        <w:t>Mapping version.</w:t>
      </w:r>
    </w:p>
    <w:p>
      <w:pPr>
        <w:pStyle w:val="ListBullet"/>
      </w:pPr>
      <w:r>
        <w:t>Terminology exception handling.</w:t>
      </w:r>
    </w:p>
    <w:p>
      <w:pPr>
        <w:pStyle w:val="ListBullet"/>
      </w:pPr>
      <w:r>
        <w:t>Partner-specific monitoring.</w:t>
      </w:r>
    </w:p>
    <w:p>
      <w:pPr>
        <w:pStyle w:val="ListBullet"/>
      </w:pPr>
      <w:r>
        <w:t>Delivery/retry metrics.</w:t>
      </w:r>
    </w:p>
    <w:p>
      <w:pPr>
        <w:pStyle w:val="ListBullet"/>
      </w:pPr>
      <w:r>
        <w:t>Patient matching quality.</w:t>
      </w:r>
    </w:p>
    <w:p>
      <w:pPr>
        <w:pStyle w:val="ListBullet"/>
      </w:pPr>
      <w:r>
        <w:t>No silent message discard.</w:t>
      </w:r>
    </w:p>
    <w:p>
      <w:pPr>
        <w:pStyle w:val="ListBullet"/>
      </w:pPr>
      <w:r>
        <w:t>Backward compatibility/version negotiation.</w:t>
      </w:r>
    </w:p>
    <w:p>
      <w:pPr>
        <w:pStyle w:val="Heading1"/>
      </w:pPr>
      <w:r>
        <w:t>66. Security Performance</w:t>
      </w:r>
    </w:p>
    <w:p>
      <w:r>
        <w:t>Security controls are included in performance tests. Teams must not benchmark with authorization, encryption, audit or malware scanning disabled if those controls are enabled in production.</w:t>
      </w:r>
    </w:p>
    <w:p>
      <w:pPr>
        <w:pStyle w:val="ListBullet"/>
      </w:pPr>
      <w:r>
        <w:t>MFA/auth service capacity.</w:t>
      </w:r>
    </w:p>
    <w:p>
      <w:pPr>
        <w:pStyle w:val="ListBullet"/>
      </w:pPr>
      <w:r>
        <w:t>Policy-decision latency.</w:t>
      </w:r>
    </w:p>
    <w:p>
      <w:pPr>
        <w:pStyle w:val="ListBullet"/>
      </w:pPr>
      <w:r>
        <w:t>Encryption overhead.</w:t>
      </w:r>
    </w:p>
    <w:p>
      <w:pPr>
        <w:pStyle w:val="ListBullet"/>
      </w:pPr>
      <w:r>
        <w:t>Audit ingestion throughput.</w:t>
      </w:r>
    </w:p>
    <w:p>
      <w:pPr>
        <w:pStyle w:val="ListBullet"/>
      </w:pPr>
      <w:r>
        <w:t>WAF/API gateway overhead.</w:t>
      </w:r>
    </w:p>
    <w:p>
      <w:pPr>
        <w:pStyle w:val="ListBullet"/>
      </w:pPr>
      <w:r>
        <w:t>File scanning queue.</w:t>
      </w:r>
    </w:p>
    <w:p>
      <w:pPr>
        <w:pStyle w:val="ListBullet"/>
      </w:pPr>
      <w:r>
        <w:t>SIEM/log pipeline capacity.</w:t>
      </w:r>
    </w:p>
    <w:p>
      <w:pPr>
        <w:pStyle w:val="Heading1"/>
      </w:pPr>
      <w:r>
        <w:t>67. Privacy Performance</w:t>
      </w:r>
    </w:p>
    <w:p>
      <w:pPr>
        <w:pStyle w:val="ListBullet"/>
      </w:pPr>
      <w:r>
        <w:t>Consent evaluation must not become a bypassed bottleneck.</w:t>
      </w:r>
    </w:p>
    <w:p>
      <w:pPr>
        <w:pStyle w:val="ListBullet"/>
      </w:pPr>
      <w:r>
        <w:t>Access requests/exports can be asynchronous.</w:t>
      </w:r>
    </w:p>
    <w:p>
      <w:pPr>
        <w:pStyle w:val="ListBullet"/>
      </w:pPr>
      <w:r>
        <w:t>Deletion/retention jobs are bounded and observable.</w:t>
      </w:r>
    </w:p>
    <w:p>
      <w:pPr>
        <w:pStyle w:val="ListBullet"/>
      </w:pPr>
      <w:r>
        <w:t>Pseudonymisation/export jobs isolated from clinical traffic.</w:t>
      </w:r>
    </w:p>
    <w:p>
      <w:pPr>
        <w:pStyle w:val="ListBullet"/>
      </w:pPr>
      <w:r>
        <w:t>Privacy audit queries do not overload production clinical DB.</w:t>
      </w:r>
    </w:p>
    <w:p>
      <w:pPr>
        <w:pStyle w:val="Heading1"/>
      </w:pPr>
      <w:r>
        <w:t>68. Reporting and Analytics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Workload</w:t>
            </w:r>
          </w:p>
        </w:tc>
        <w:tc>
          <w:tcPr>
            <w:tcW w:type="dxa" w:w="5227"/>
          </w:tcPr>
          <w:p>
            <w:pPr>
              <w:spacing w:after="0"/>
            </w:pPr>
            <w:r>
              <w:rPr>
                <w:b/>
                <w:sz w:val="11"/>
              </w:rPr>
              <w:t>Requirement</w:t>
            </w:r>
          </w:p>
        </w:tc>
      </w:tr>
      <w:tr>
        <w:tc>
          <w:tcPr>
            <w:tcW w:type="dxa" w:w="5227"/>
          </w:tcPr>
          <w:p>
            <w:pPr>
              <w:spacing w:after="0"/>
            </w:pPr>
            <w:r>
              <w:rPr>
                <w:sz w:val="11"/>
              </w:rPr>
              <w:t>Operational report</w:t>
            </w:r>
          </w:p>
        </w:tc>
        <w:tc>
          <w:tcPr>
            <w:tcW w:type="dxa" w:w="5227"/>
          </w:tcPr>
          <w:p>
            <w:pPr>
              <w:spacing w:after="0"/>
            </w:pPr>
            <w:r>
              <w:rPr>
                <w:sz w:val="11"/>
              </w:rPr>
              <w:t>Bounded query; read replica/warehouse where needed.</w:t>
            </w:r>
          </w:p>
        </w:tc>
      </w:tr>
      <w:tr>
        <w:tc>
          <w:tcPr>
            <w:tcW w:type="dxa" w:w="5227"/>
          </w:tcPr>
          <w:p>
            <w:pPr>
              <w:spacing w:after="0"/>
            </w:pPr>
            <w:r>
              <w:rPr>
                <w:sz w:val="11"/>
              </w:rPr>
              <w:t>Executive dashboard</w:t>
            </w:r>
          </w:p>
        </w:tc>
        <w:tc>
          <w:tcPr>
            <w:tcW w:type="dxa" w:w="5227"/>
          </w:tcPr>
          <w:p>
            <w:pPr>
              <w:spacing w:after="0"/>
            </w:pPr>
            <w:r>
              <w:rPr>
                <w:sz w:val="11"/>
              </w:rPr>
              <w:t>Cached/aggregated.</w:t>
            </w:r>
          </w:p>
        </w:tc>
      </w:tr>
      <w:tr>
        <w:tc>
          <w:tcPr>
            <w:tcW w:type="dxa" w:w="5227"/>
          </w:tcPr>
          <w:p>
            <w:pPr>
              <w:spacing w:after="0"/>
            </w:pPr>
            <w:r>
              <w:rPr>
                <w:sz w:val="11"/>
              </w:rPr>
              <w:t>Large export</w:t>
            </w:r>
          </w:p>
        </w:tc>
        <w:tc>
          <w:tcPr>
            <w:tcW w:type="dxa" w:w="5227"/>
          </w:tcPr>
          <w:p>
            <w:pPr>
              <w:spacing w:after="0"/>
            </w:pPr>
            <w:r>
              <w:rPr>
                <w:sz w:val="11"/>
              </w:rPr>
              <w:t>Async job.</w:t>
            </w:r>
          </w:p>
        </w:tc>
      </w:tr>
      <w:tr>
        <w:tc>
          <w:tcPr>
            <w:tcW w:type="dxa" w:w="5227"/>
          </w:tcPr>
          <w:p>
            <w:pPr>
              <w:spacing w:after="0"/>
            </w:pPr>
            <w:r>
              <w:rPr>
                <w:sz w:val="11"/>
              </w:rPr>
              <w:t>Research extract</w:t>
            </w:r>
          </w:p>
        </w:tc>
        <w:tc>
          <w:tcPr>
            <w:tcW w:type="dxa" w:w="5227"/>
          </w:tcPr>
          <w:p>
            <w:pPr>
              <w:spacing w:after="0"/>
            </w:pPr>
            <w:r>
              <w:rPr>
                <w:sz w:val="11"/>
              </w:rPr>
              <w:t>Governed async.</w:t>
            </w:r>
          </w:p>
        </w:tc>
      </w:tr>
      <w:tr>
        <w:tc>
          <w:tcPr>
            <w:tcW w:type="dxa" w:w="5227"/>
          </w:tcPr>
          <w:p>
            <w:pPr>
              <w:spacing w:after="0"/>
            </w:pPr>
            <w:r>
              <w:rPr>
                <w:sz w:val="11"/>
              </w:rPr>
              <w:t>Ad hoc analytics</w:t>
            </w:r>
          </w:p>
        </w:tc>
        <w:tc>
          <w:tcPr>
            <w:tcW w:type="dxa" w:w="5227"/>
          </w:tcPr>
          <w:p>
            <w:pPr>
              <w:spacing w:after="0"/>
            </w:pPr>
            <w:r>
              <w:rPr>
                <w:sz w:val="11"/>
              </w:rPr>
              <w:t>Not against primary clinical DB without controls.</w:t>
            </w:r>
          </w:p>
        </w:tc>
      </w:tr>
      <w:tr>
        <w:tc>
          <w:tcPr>
            <w:tcW w:type="dxa" w:w="5227"/>
          </w:tcPr>
          <w:p>
            <w:pPr>
              <w:spacing w:after="0"/>
            </w:pPr>
            <w:r>
              <w:rPr>
                <w:sz w:val="11"/>
              </w:rPr>
              <w:t>Scheduled report</w:t>
            </w:r>
          </w:p>
        </w:tc>
        <w:tc>
          <w:tcPr>
            <w:tcW w:type="dxa" w:w="5227"/>
          </w:tcPr>
          <w:p>
            <w:pPr>
              <w:spacing w:after="0"/>
            </w:pPr>
            <w:r>
              <w:rPr>
                <w:sz w:val="11"/>
              </w:rPr>
              <w:t>Resource-limited queue.</w:t>
            </w:r>
          </w:p>
        </w:tc>
      </w:tr>
      <w:tr>
        <w:tc>
          <w:tcPr>
            <w:tcW w:type="dxa" w:w="5227"/>
          </w:tcPr>
          <w:p>
            <w:pPr>
              <w:spacing w:after="0"/>
            </w:pPr>
            <w:r>
              <w:rPr>
                <w:sz w:val="11"/>
              </w:rPr>
              <w:t>Freshness</w:t>
            </w:r>
          </w:p>
        </w:tc>
        <w:tc>
          <w:tcPr>
            <w:tcW w:type="dxa" w:w="5227"/>
          </w:tcPr>
          <w:p>
            <w:pPr>
              <w:spacing w:after="0"/>
            </w:pPr>
            <w:r>
              <w:rPr>
                <w:sz w:val="11"/>
              </w:rPr>
              <w:t>Displayed.</w:t>
            </w:r>
          </w:p>
        </w:tc>
      </w:tr>
    </w:tbl>
    <w:p>
      <w:pPr>
        <w:pStyle w:val="Heading1"/>
      </w:pPr>
      <w:r>
        <w:t>69. Resource Isolation</w:t>
      </w:r>
    </w:p>
    <w:p>
      <w:pPr>
        <w:pStyle w:val="ListBullet"/>
      </w:pPr>
      <w:r>
        <w:t>Analytics cannot exhaust clinical DB.</w:t>
      </w:r>
    </w:p>
    <w:p>
      <w:pPr>
        <w:pStyle w:val="ListBullet"/>
      </w:pPr>
      <w:r>
        <w:t>Bulk exports separate worker pool.</w:t>
      </w:r>
    </w:p>
    <w:p>
      <w:pPr>
        <w:pStyle w:val="ListBullet"/>
      </w:pPr>
      <w:r>
        <w:t>Document conversion separate queue.</w:t>
      </w:r>
    </w:p>
    <w:p>
      <w:pPr>
        <w:pStyle w:val="ListBullet"/>
      </w:pPr>
      <w:r>
        <w:t>Notifications separate queue.</w:t>
      </w:r>
    </w:p>
    <w:p>
      <w:pPr>
        <w:pStyle w:val="ListBullet"/>
      </w:pPr>
      <w:r>
        <w:t>Partner ingestion rate-limited.</w:t>
      </w:r>
    </w:p>
    <w:p>
      <w:pPr>
        <w:pStyle w:val="ListBullet"/>
      </w:pPr>
      <w:r>
        <w:t>Per-tenant noisy-neighbour controls for shared infrastructure.</w:t>
      </w:r>
    </w:p>
    <w:p>
      <w:pPr>
        <w:pStyle w:val="ListBullet"/>
      </w:pPr>
      <w:r>
        <w:t>Critical C0/C1 traffic prioritized during degradation.</w:t>
      </w:r>
    </w:p>
    <w:p>
      <w:pPr>
        <w:pStyle w:val="Heading1"/>
      </w:pPr>
      <w:r>
        <w:t>70. Multi-Tenant Performance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Risk</w:t>
            </w:r>
          </w:p>
        </w:tc>
        <w:tc>
          <w:tcPr>
            <w:tcW w:type="dxa" w:w="5227"/>
          </w:tcPr>
          <w:p>
            <w:pPr>
              <w:spacing w:after="0"/>
            </w:pPr>
            <w:r>
              <w:rPr>
                <w:b/>
                <w:sz w:val="11"/>
              </w:rPr>
              <w:t>Control</w:t>
            </w:r>
          </w:p>
        </w:tc>
      </w:tr>
      <w:tr>
        <w:tc>
          <w:tcPr>
            <w:tcW w:type="dxa" w:w="5227"/>
          </w:tcPr>
          <w:p>
            <w:pPr>
              <w:spacing w:after="0"/>
            </w:pPr>
            <w:r>
              <w:rPr>
                <w:sz w:val="11"/>
              </w:rPr>
              <w:t>Noisy tenant</w:t>
            </w:r>
          </w:p>
        </w:tc>
        <w:tc>
          <w:tcPr>
            <w:tcW w:type="dxa" w:w="5227"/>
          </w:tcPr>
          <w:p>
            <w:pPr>
              <w:spacing w:after="0"/>
            </w:pPr>
            <w:r>
              <w:rPr>
                <w:sz w:val="11"/>
              </w:rPr>
              <w:t>Quota/resource isolation.</w:t>
            </w:r>
          </w:p>
        </w:tc>
      </w:tr>
      <w:tr>
        <w:tc>
          <w:tcPr>
            <w:tcW w:type="dxa" w:w="5227"/>
          </w:tcPr>
          <w:p>
            <w:pPr>
              <w:spacing w:after="0"/>
            </w:pPr>
            <w:r>
              <w:rPr>
                <w:sz w:val="11"/>
              </w:rPr>
              <w:t>Large report</w:t>
            </w:r>
          </w:p>
        </w:tc>
        <w:tc>
          <w:tcPr>
            <w:tcW w:type="dxa" w:w="5227"/>
          </w:tcPr>
          <w:p>
            <w:pPr>
              <w:spacing w:after="0"/>
            </w:pPr>
            <w:r>
              <w:rPr>
                <w:sz w:val="11"/>
              </w:rPr>
              <w:t>Async/limited.</w:t>
            </w:r>
          </w:p>
        </w:tc>
      </w:tr>
      <w:tr>
        <w:tc>
          <w:tcPr>
            <w:tcW w:type="dxa" w:w="5227"/>
          </w:tcPr>
          <w:p>
            <w:pPr>
              <w:spacing w:after="0"/>
            </w:pPr>
            <w:r>
              <w:rPr>
                <w:sz w:val="11"/>
              </w:rPr>
              <w:t>Partner burst</w:t>
            </w:r>
          </w:p>
        </w:tc>
        <w:tc>
          <w:tcPr>
            <w:tcW w:type="dxa" w:w="5227"/>
          </w:tcPr>
          <w:p>
            <w:pPr>
              <w:spacing w:after="0"/>
            </w:pPr>
            <w:r>
              <w:rPr>
                <w:sz w:val="11"/>
              </w:rPr>
              <w:t>Rate limits.</w:t>
            </w:r>
          </w:p>
        </w:tc>
      </w:tr>
      <w:tr>
        <w:tc>
          <w:tcPr>
            <w:tcW w:type="dxa" w:w="5227"/>
          </w:tcPr>
          <w:p>
            <w:pPr>
              <w:spacing w:after="0"/>
            </w:pPr>
            <w:r>
              <w:rPr>
                <w:sz w:val="11"/>
              </w:rPr>
              <w:t>Storage growth</w:t>
            </w:r>
          </w:p>
        </w:tc>
        <w:tc>
          <w:tcPr>
            <w:tcW w:type="dxa" w:w="5227"/>
          </w:tcPr>
          <w:p>
            <w:pPr>
              <w:spacing w:after="0"/>
            </w:pPr>
            <w:r>
              <w:rPr>
                <w:sz w:val="11"/>
              </w:rPr>
              <w:t>Tenant/facility metrics.</w:t>
            </w:r>
          </w:p>
        </w:tc>
      </w:tr>
      <w:tr>
        <w:tc>
          <w:tcPr>
            <w:tcW w:type="dxa" w:w="5227"/>
          </w:tcPr>
          <w:p>
            <w:pPr>
              <w:spacing w:after="0"/>
            </w:pPr>
            <w:r>
              <w:rPr>
                <w:sz w:val="11"/>
              </w:rPr>
              <w:t>Search hotspot</w:t>
            </w:r>
          </w:p>
        </w:tc>
        <w:tc>
          <w:tcPr>
            <w:tcW w:type="dxa" w:w="5227"/>
          </w:tcPr>
          <w:p>
            <w:pPr>
              <w:spacing w:after="0"/>
            </w:pPr>
            <w:r>
              <w:rPr>
                <w:sz w:val="11"/>
              </w:rPr>
              <w:t>Index partition/scaling.</w:t>
            </w:r>
          </w:p>
        </w:tc>
      </w:tr>
      <w:tr>
        <w:tc>
          <w:tcPr>
            <w:tcW w:type="dxa" w:w="5227"/>
          </w:tcPr>
          <w:p>
            <w:pPr>
              <w:spacing w:after="0"/>
            </w:pPr>
            <w:r>
              <w:rPr>
                <w:sz w:val="11"/>
              </w:rPr>
              <w:t>Queue domination</w:t>
            </w:r>
          </w:p>
        </w:tc>
        <w:tc>
          <w:tcPr>
            <w:tcW w:type="dxa" w:w="5227"/>
          </w:tcPr>
          <w:p>
            <w:pPr>
              <w:spacing w:after="0"/>
            </w:pPr>
            <w:r>
              <w:rPr>
                <w:sz w:val="11"/>
              </w:rPr>
              <w:t>Fairness/priority.</w:t>
            </w:r>
          </w:p>
        </w:tc>
      </w:tr>
      <w:tr>
        <w:tc>
          <w:tcPr>
            <w:tcW w:type="dxa" w:w="5227"/>
          </w:tcPr>
          <w:p>
            <w:pPr>
              <w:spacing w:after="0"/>
            </w:pPr>
            <w:r>
              <w:rPr>
                <w:sz w:val="11"/>
              </w:rPr>
              <w:t>DB connection exhaustion</w:t>
            </w:r>
          </w:p>
        </w:tc>
        <w:tc>
          <w:tcPr>
            <w:tcW w:type="dxa" w:w="5227"/>
          </w:tcPr>
          <w:p>
            <w:pPr>
              <w:spacing w:after="0"/>
            </w:pPr>
            <w:r>
              <w:rPr>
                <w:sz w:val="11"/>
              </w:rPr>
              <w:t>Pools/limits.</w:t>
            </w:r>
          </w:p>
        </w:tc>
      </w:tr>
    </w:tbl>
    <w:p>
      <w:pPr>
        <w:pStyle w:val="Heading1"/>
      </w:pPr>
      <w:r>
        <w:t>71. Storage Capacity</w:t>
      </w:r>
    </w:p>
    <w:p>
      <w:pPr>
        <w:pStyle w:val="ListBullet"/>
      </w:pPr>
      <w:r>
        <w:t>Forecast structured DB growth.</w:t>
      </w:r>
    </w:p>
    <w:p>
      <w:pPr>
        <w:pStyle w:val="ListBullet"/>
      </w:pPr>
      <w:r>
        <w:t>Forecast documents/attachments separately.</w:t>
      </w:r>
    </w:p>
    <w:p>
      <w:pPr>
        <w:pStyle w:val="ListBullet"/>
      </w:pPr>
      <w:r>
        <w:t>Imaging storage belongs PACS/VNA sizing.</w:t>
      </w:r>
    </w:p>
    <w:p>
      <w:pPr>
        <w:pStyle w:val="ListBullet"/>
      </w:pPr>
      <w:r>
        <w:t>Audit retention included.</w:t>
      </w:r>
    </w:p>
    <w:p>
      <w:pPr>
        <w:pStyle w:val="ListBullet"/>
      </w:pPr>
      <w:r>
        <w:t>Backup multiplication factor included.</w:t>
      </w:r>
    </w:p>
    <w:p>
      <w:pPr>
        <w:pStyle w:val="ListBullet"/>
      </w:pPr>
      <w:r>
        <w:t>Search/index overhead included.</w:t>
      </w:r>
    </w:p>
    <w:p>
      <w:pPr>
        <w:pStyle w:val="ListBullet"/>
      </w:pPr>
      <w:r>
        <w:t>Edge local retention included.</w:t>
      </w:r>
    </w:p>
    <w:p>
      <w:pPr>
        <w:pStyle w:val="ListBullet"/>
      </w:pPr>
      <w:r>
        <w:t>Alert thresholds before exhaustion.</w:t>
      </w:r>
    </w:p>
    <w:p>
      <w:pPr>
        <w:pStyle w:val="ListBullet"/>
      </w:pPr>
      <w:r>
        <w:t>Archival policy tied to governance, not arbitrary deletion.</w:t>
      </w:r>
    </w:p>
    <w:p>
      <w:pPr>
        <w:pStyle w:val="Heading1"/>
      </w:pPr>
      <w:r>
        <w:t>72. Capacity Review Cadence</w:t>
      </w:r>
    </w:p>
    <w:p>
      <w:pPr>
        <w:pStyle w:val="ListNumber"/>
      </w:pPr>
      <w:r>
        <w:t>Collect peak metrics.</w:t>
      </w:r>
    </w:p>
    <w:p>
      <w:pPr>
        <w:pStyle w:val="ListNumber"/>
      </w:pPr>
      <w:r>
        <w:t>Compare to validated envelope.</w:t>
      </w:r>
    </w:p>
    <w:p>
      <w:pPr>
        <w:pStyle w:val="ListNumber"/>
      </w:pPr>
      <w:r>
        <w:t>Forecast growth.</w:t>
      </w:r>
    </w:p>
    <w:p>
      <w:pPr>
        <w:pStyle w:val="ListNumber"/>
      </w:pPr>
      <w:r>
        <w:t>Identify saturation/latency trends.</w:t>
      </w:r>
    </w:p>
    <w:p>
      <w:pPr>
        <w:pStyle w:val="ListNumber"/>
      </w:pPr>
      <w:r>
        <w:t>Model upcoming facilities/features.</w:t>
      </w:r>
    </w:p>
    <w:p>
      <w:pPr>
        <w:pStyle w:val="ListNumber"/>
      </w:pPr>
      <w:r>
        <w:t>Run load test if envelope changes materially.</w:t>
      </w:r>
    </w:p>
    <w:p>
      <w:pPr>
        <w:pStyle w:val="ListNumber"/>
      </w:pPr>
      <w:r>
        <w:t>Approve scaling action.</w:t>
      </w:r>
    </w:p>
    <w:p>
      <w:pPr>
        <w:pStyle w:val="ListNumber"/>
      </w:pPr>
      <w:r>
        <w:t>Update capacity record and cost forecast.</w:t>
      </w:r>
    </w:p>
    <w:p>
      <w:pPr>
        <w:pStyle w:val="Heading1"/>
      </w:pPr>
      <w:r>
        <w:t>73. Load Testing</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Test</w:t>
            </w:r>
          </w:p>
        </w:tc>
        <w:tc>
          <w:tcPr>
            <w:tcW w:type="dxa" w:w="5227"/>
          </w:tcPr>
          <w:p>
            <w:pPr>
              <w:spacing w:after="0"/>
            </w:pPr>
            <w:r>
              <w:rPr>
                <w:b/>
                <w:sz w:val="11"/>
              </w:rPr>
              <w:t>Purpose</w:t>
            </w:r>
          </w:p>
        </w:tc>
      </w:tr>
      <w:tr>
        <w:tc>
          <w:tcPr>
            <w:tcW w:type="dxa" w:w="5227"/>
          </w:tcPr>
          <w:p>
            <w:pPr>
              <w:spacing w:after="0"/>
            </w:pPr>
            <w:r>
              <w:rPr>
                <w:sz w:val="11"/>
              </w:rPr>
              <w:t>Baseline</w:t>
            </w:r>
          </w:p>
        </w:tc>
        <w:tc>
          <w:tcPr>
            <w:tcW w:type="dxa" w:w="5227"/>
          </w:tcPr>
          <w:p>
            <w:pPr>
              <w:spacing w:after="0"/>
            </w:pPr>
            <w:r>
              <w:rPr>
                <w:sz w:val="11"/>
              </w:rPr>
              <w:t>Normal expected peak.</w:t>
            </w:r>
          </w:p>
        </w:tc>
      </w:tr>
      <w:tr>
        <w:tc>
          <w:tcPr>
            <w:tcW w:type="dxa" w:w="5227"/>
          </w:tcPr>
          <w:p>
            <w:pPr>
              <w:spacing w:after="0"/>
            </w:pPr>
            <w:r>
              <w:rPr>
                <w:sz w:val="11"/>
              </w:rPr>
              <w:t>Stress</w:t>
            </w:r>
          </w:p>
        </w:tc>
        <w:tc>
          <w:tcPr>
            <w:tcW w:type="dxa" w:w="5227"/>
          </w:tcPr>
          <w:p>
            <w:pPr>
              <w:spacing w:after="0"/>
            </w:pPr>
            <w:r>
              <w:rPr>
                <w:sz w:val="11"/>
              </w:rPr>
              <w:t>Find saturation/failure mode.</w:t>
            </w:r>
          </w:p>
        </w:tc>
      </w:tr>
      <w:tr>
        <w:tc>
          <w:tcPr>
            <w:tcW w:type="dxa" w:w="5227"/>
          </w:tcPr>
          <w:p>
            <w:pPr>
              <w:spacing w:after="0"/>
            </w:pPr>
            <w:r>
              <w:rPr>
                <w:sz w:val="11"/>
              </w:rPr>
              <w:t>Spike</w:t>
            </w:r>
          </w:p>
        </w:tc>
        <w:tc>
          <w:tcPr>
            <w:tcW w:type="dxa" w:w="5227"/>
          </w:tcPr>
          <w:p>
            <w:pPr>
              <w:spacing w:after="0"/>
            </w:pPr>
            <w:r>
              <w:rPr>
                <w:sz w:val="11"/>
              </w:rPr>
              <w:t>Sudden registration/interface burst.</w:t>
            </w:r>
          </w:p>
        </w:tc>
      </w:tr>
      <w:tr>
        <w:tc>
          <w:tcPr>
            <w:tcW w:type="dxa" w:w="5227"/>
          </w:tcPr>
          <w:p>
            <w:pPr>
              <w:spacing w:after="0"/>
            </w:pPr>
            <w:r>
              <w:rPr>
                <w:sz w:val="11"/>
              </w:rPr>
              <w:t>Soak</w:t>
            </w:r>
          </w:p>
        </w:tc>
        <w:tc>
          <w:tcPr>
            <w:tcW w:type="dxa" w:w="5227"/>
          </w:tcPr>
          <w:p>
            <w:pPr>
              <w:spacing w:after="0"/>
            </w:pPr>
            <w:r>
              <w:rPr>
                <w:sz w:val="11"/>
              </w:rPr>
              <w:t>Memory/resource leak over hours/days.</w:t>
            </w:r>
          </w:p>
        </w:tc>
      </w:tr>
      <w:tr>
        <w:tc>
          <w:tcPr>
            <w:tcW w:type="dxa" w:w="5227"/>
          </w:tcPr>
          <w:p>
            <w:pPr>
              <w:spacing w:after="0"/>
            </w:pPr>
            <w:r>
              <w:rPr>
                <w:sz w:val="11"/>
              </w:rPr>
              <w:t>Failover</w:t>
            </w:r>
          </w:p>
        </w:tc>
        <w:tc>
          <w:tcPr>
            <w:tcW w:type="dxa" w:w="5227"/>
          </w:tcPr>
          <w:p>
            <w:pPr>
              <w:spacing w:after="0"/>
            </w:pPr>
            <w:r>
              <w:rPr>
                <w:sz w:val="11"/>
              </w:rPr>
              <w:t>Capacity after component loss.</w:t>
            </w:r>
          </w:p>
        </w:tc>
      </w:tr>
      <w:tr>
        <w:tc>
          <w:tcPr>
            <w:tcW w:type="dxa" w:w="5227"/>
          </w:tcPr>
          <w:p>
            <w:pPr>
              <w:spacing w:after="0"/>
            </w:pPr>
            <w:r>
              <w:rPr>
                <w:sz w:val="11"/>
              </w:rPr>
              <w:t>Recovery</w:t>
            </w:r>
          </w:p>
        </w:tc>
        <w:tc>
          <w:tcPr>
            <w:tcW w:type="dxa" w:w="5227"/>
          </w:tcPr>
          <w:p>
            <w:pPr>
              <w:spacing w:after="0"/>
            </w:pPr>
            <w:r>
              <w:rPr>
                <w:sz w:val="11"/>
              </w:rPr>
              <w:t>Queue/backlog catch-up.</w:t>
            </w:r>
          </w:p>
        </w:tc>
      </w:tr>
      <w:tr>
        <w:tc>
          <w:tcPr>
            <w:tcW w:type="dxa" w:w="5227"/>
          </w:tcPr>
          <w:p>
            <w:pPr>
              <w:spacing w:after="0"/>
            </w:pPr>
            <w:r>
              <w:rPr>
                <w:sz w:val="11"/>
              </w:rPr>
              <w:t>Network impairment</w:t>
            </w:r>
          </w:p>
        </w:tc>
        <w:tc>
          <w:tcPr>
            <w:tcW w:type="dxa" w:w="5227"/>
          </w:tcPr>
          <w:p>
            <w:pPr>
              <w:spacing w:after="0"/>
            </w:pPr>
            <w:r>
              <w:rPr>
                <w:sz w:val="11"/>
              </w:rPr>
              <w:t>Low bandwidth/latency.</w:t>
            </w:r>
          </w:p>
        </w:tc>
      </w:tr>
      <w:tr>
        <w:tc>
          <w:tcPr>
            <w:tcW w:type="dxa" w:w="5227"/>
          </w:tcPr>
          <w:p>
            <w:pPr>
              <w:spacing w:after="0"/>
            </w:pPr>
            <w:r>
              <w:rPr>
                <w:sz w:val="11"/>
              </w:rPr>
              <w:t>Multi-tenant</w:t>
            </w:r>
          </w:p>
        </w:tc>
        <w:tc>
          <w:tcPr>
            <w:tcW w:type="dxa" w:w="5227"/>
          </w:tcPr>
          <w:p>
            <w:pPr>
              <w:spacing w:after="0"/>
            </w:pPr>
            <w:r>
              <w:rPr>
                <w:sz w:val="11"/>
              </w:rPr>
              <w:t>Noisy-neighbour.</w:t>
            </w:r>
          </w:p>
        </w:tc>
      </w:tr>
      <w:tr>
        <w:tc>
          <w:tcPr>
            <w:tcW w:type="dxa" w:w="5227"/>
          </w:tcPr>
          <w:p>
            <w:pPr>
              <w:spacing w:after="0"/>
            </w:pPr>
            <w:r>
              <w:rPr>
                <w:sz w:val="11"/>
              </w:rPr>
              <w:t>Bulk job</w:t>
            </w:r>
          </w:p>
        </w:tc>
        <w:tc>
          <w:tcPr>
            <w:tcW w:type="dxa" w:w="5227"/>
          </w:tcPr>
          <w:p>
            <w:pPr>
              <w:spacing w:after="0"/>
            </w:pPr>
            <w:r>
              <w:rPr>
                <w:sz w:val="11"/>
              </w:rPr>
              <w:t>Isolation from clinical workload.</w:t>
            </w:r>
          </w:p>
        </w:tc>
      </w:tr>
    </w:tbl>
    <w:p>
      <w:pPr>
        <w:pStyle w:val="Heading1"/>
      </w:pPr>
      <w:r>
        <w:t>74. Performance Test Data</w:t>
      </w:r>
    </w:p>
    <w:p>
      <w:pPr>
        <w:pStyle w:val="ListBullet"/>
      </w:pPr>
      <w:r>
        <w:t>Representative data volume.</w:t>
      </w:r>
    </w:p>
    <w:p>
      <w:pPr>
        <w:pStyle w:val="ListBullet"/>
      </w:pPr>
      <w:r>
        <w:t>Realistic patient history length.</w:t>
      </w:r>
    </w:p>
    <w:p>
      <w:pPr>
        <w:pStyle w:val="ListBullet"/>
      </w:pPr>
      <w:r>
        <w:t>Large encounters/documents.</w:t>
      </w:r>
    </w:p>
    <w:p>
      <w:pPr>
        <w:pStyle w:val="ListBullet"/>
      </w:pPr>
      <w:r>
        <w:t>Long medication administration history.</w:t>
      </w:r>
    </w:p>
    <w:p>
      <w:pPr>
        <w:pStyle w:val="ListBullet"/>
      </w:pPr>
      <w:r>
        <w:t>Lab/imaging metadata volume.</w:t>
      </w:r>
    </w:p>
    <w:p>
      <w:pPr>
        <w:pStyle w:val="ListBullet"/>
      </w:pPr>
      <w:r>
        <w:t>Synthetic/de-identified data.</w:t>
      </w:r>
    </w:p>
    <w:p>
      <w:pPr>
        <w:pStyle w:val="ListBullet"/>
      </w:pPr>
      <w:r>
        <w:t>No simplistic empty database benchmark.</w:t>
      </w:r>
    </w:p>
    <w:p>
      <w:pPr>
        <w:pStyle w:val="ListBullet"/>
      </w:pPr>
      <w:r>
        <w:t>Index/storage size representative of forecast horizon.</w:t>
      </w:r>
    </w:p>
    <w:p>
      <w:pPr>
        <w:pStyle w:val="Heading1"/>
      </w:pPr>
      <w:r>
        <w:t>75. Performance Acceptance</w:t>
      </w:r>
    </w:p>
    <w:tbl>
      <w:tblPr>
        <w:tblStyle w:val="TableGrid"/>
        <w:tblW w:type="auto" w:w="0"/>
        <w:tblLook w:firstColumn="1" w:firstRow="1" w:lastColumn="0" w:lastRow="0" w:noHBand="0" w:noVBand="1" w:val="04A0"/>
      </w:tblPr>
      <w:tblGrid>
        <w:gridCol w:w="10454"/>
      </w:tblGrid>
      <w:tr>
        <w:tc>
          <w:tcPr>
            <w:tcW w:type="dxa" w:w="10454"/>
          </w:tcPr>
          <w:p>
            <w:r>
              <w:t>QUALITY INVARIANT — A performance result without dataset size, concurrency, infrastructure, test duration and percentile distribution is not valid acceptance evidence.</w:t>
            </w:r>
          </w:p>
        </w:tc>
      </w:tr>
    </w:tbl>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Evidence</w:t>
            </w:r>
          </w:p>
        </w:tc>
        <w:tc>
          <w:tcPr>
            <w:tcW w:type="dxa" w:w="5227"/>
          </w:tcPr>
          <w:p>
            <w:pPr>
              <w:spacing w:after="0"/>
            </w:pPr>
            <w:r>
              <w:rPr>
                <w:b/>
                <w:sz w:val="11"/>
              </w:rPr>
              <w:t>Record</w:t>
            </w:r>
          </w:p>
        </w:tc>
      </w:tr>
      <w:tr>
        <w:tc>
          <w:tcPr>
            <w:tcW w:type="dxa" w:w="5227"/>
          </w:tcPr>
          <w:p>
            <w:pPr>
              <w:spacing w:after="0"/>
            </w:pPr>
            <w:r>
              <w:rPr>
                <w:sz w:val="11"/>
              </w:rPr>
              <w:t>Release/build</w:t>
            </w:r>
          </w:p>
        </w:tc>
        <w:tc>
          <w:tcPr>
            <w:tcW w:type="dxa" w:w="5227"/>
          </w:tcPr>
          <w:p>
            <w:pPr>
              <w:spacing w:after="0"/>
            </w:pPr>
            <w:r>
              <w:rPr>
                <w:sz w:val="11"/>
              </w:rPr>
              <w:t>Version.</w:t>
            </w:r>
          </w:p>
        </w:tc>
      </w:tr>
      <w:tr>
        <w:tc>
          <w:tcPr>
            <w:tcW w:type="dxa" w:w="5227"/>
          </w:tcPr>
          <w:p>
            <w:pPr>
              <w:spacing w:after="0"/>
            </w:pPr>
            <w:r>
              <w:rPr>
                <w:sz w:val="11"/>
              </w:rPr>
              <w:t>Environment</w:t>
            </w:r>
          </w:p>
        </w:tc>
        <w:tc>
          <w:tcPr>
            <w:tcW w:type="dxa" w:w="5227"/>
          </w:tcPr>
          <w:p>
            <w:pPr>
              <w:spacing w:after="0"/>
            </w:pPr>
            <w:r>
              <w:rPr>
                <w:sz w:val="11"/>
              </w:rPr>
              <w:t>CPU/RAM/DB/network.</w:t>
            </w:r>
          </w:p>
        </w:tc>
      </w:tr>
      <w:tr>
        <w:tc>
          <w:tcPr>
            <w:tcW w:type="dxa" w:w="5227"/>
          </w:tcPr>
          <w:p>
            <w:pPr>
              <w:spacing w:after="0"/>
            </w:pPr>
            <w:r>
              <w:rPr>
                <w:sz w:val="11"/>
              </w:rPr>
              <w:t>Dataset</w:t>
            </w:r>
          </w:p>
        </w:tc>
        <w:tc>
          <w:tcPr>
            <w:tcW w:type="dxa" w:w="5227"/>
          </w:tcPr>
          <w:p>
            <w:pPr>
              <w:spacing w:after="0"/>
            </w:pPr>
            <w:r>
              <w:rPr>
                <w:sz w:val="11"/>
              </w:rPr>
              <w:t>Rows/documents/history.</w:t>
            </w:r>
          </w:p>
        </w:tc>
      </w:tr>
      <w:tr>
        <w:tc>
          <w:tcPr>
            <w:tcW w:type="dxa" w:w="5227"/>
          </w:tcPr>
          <w:p>
            <w:pPr>
              <w:spacing w:after="0"/>
            </w:pPr>
            <w:r>
              <w:rPr>
                <w:sz w:val="11"/>
              </w:rPr>
              <w:t>Concurrency</w:t>
            </w:r>
          </w:p>
        </w:tc>
        <w:tc>
          <w:tcPr>
            <w:tcW w:type="dxa" w:w="5227"/>
          </w:tcPr>
          <w:p>
            <w:pPr>
              <w:spacing w:after="0"/>
            </w:pPr>
            <w:r>
              <w:rPr>
                <w:sz w:val="11"/>
              </w:rPr>
              <w:t>Users/workers.</w:t>
            </w:r>
          </w:p>
        </w:tc>
      </w:tr>
      <w:tr>
        <w:tc>
          <w:tcPr>
            <w:tcW w:type="dxa" w:w="5227"/>
          </w:tcPr>
          <w:p>
            <w:pPr>
              <w:spacing w:after="0"/>
            </w:pPr>
            <w:r>
              <w:rPr>
                <w:sz w:val="11"/>
              </w:rPr>
              <w:t>Workload mix</w:t>
            </w:r>
          </w:p>
        </w:tc>
        <w:tc>
          <w:tcPr>
            <w:tcW w:type="dxa" w:w="5227"/>
          </w:tcPr>
          <w:p>
            <w:pPr>
              <w:spacing w:after="0"/>
            </w:pPr>
            <w:r>
              <w:rPr>
                <w:sz w:val="11"/>
              </w:rPr>
              <w:t>Read/write/domain.</w:t>
            </w:r>
          </w:p>
        </w:tc>
      </w:tr>
      <w:tr>
        <w:tc>
          <w:tcPr>
            <w:tcW w:type="dxa" w:w="5227"/>
          </w:tcPr>
          <w:p>
            <w:pPr>
              <w:spacing w:after="0"/>
            </w:pPr>
            <w:r>
              <w:rPr>
                <w:sz w:val="11"/>
              </w:rPr>
              <w:t>Duration</w:t>
            </w:r>
          </w:p>
        </w:tc>
        <w:tc>
          <w:tcPr>
            <w:tcW w:type="dxa" w:w="5227"/>
          </w:tcPr>
          <w:p>
            <w:pPr>
              <w:spacing w:after="0"/>
            </w:pPr>
            <w:r>
              <w:rPr>
                <w:sz w:val="11"/>
              </w:rPr>
              <w:t>Warm-up/test.</w:t>
            </w:r>
          </w:p>
        </w:tc>
      </w:tr>
      <w:tr>
        <w:tc>
          <w:tcPr>
            <w:tcW w:type="dxa" w:w="5227"/>
          </w:tcPr>
          <w:p>
            <w:pPr>
              <w:spacing w:after="0"/>
            </w:pPr>
            <w:r>
              <w:rPr>
                <w:sz w:val="11"/>
              </w:rPr>
              <w:t>Latency</w:t>
            </w:r>
          </w:p>
        </w:tc>
        <w:tc>
          <w:tcPr>
            <w:tcW w:type="dxa" w:w="5227"/>
          </w:tcPr>
          <w:p>
            <w:pPr>
              <w:spacing w:after="0"/>
            </w:pPr>
            <w:r>
              <w:rPr>
                <w:sz w:val="11"/>
              </w:rPr>
              <w:t>p50/p95/p99.</w:t>
            </w:r>
          </w:p>
        </w:tc>
      </w:tr>
      <w:tr>
        <w:tc>
          <w:tcPr>
            <w:tcW w:type="dxa" w:w="5227"/>
          </w:tcPr>
          <w:p>
            <w:pPr>
              <w:spacing w:after="0"/>
            </w:pPr>
            <w:r>
              <w:rPr>
                <w:sz w:val="11"/>
              </w:rPr>
              <w:t>Throughput</w:t>
            </w:r>
          </w:p>
        </w:tc>
        <w:tc>
          <w:tcPr>
            <w:tcW w:type="dxa" w:w="5227"/>
          </w:tcPr>
          <w:p>
            <w:pPr>
              <w:spacing w:after="0"/>
            </w:pPr>
            <w:r>
              <w:rPr>
                <w:sz w:val="11"/>
              </w:rPr>
              <w:t>TPS/jobs.</w:t>
            </w:r>
          </w:p>
        </w:tc>
      </w:tr>
      <w:tr>
        <w:tc>
          <w:tcPr>
            <w:tcW w:type="dxa" w:w="5227"/>
          </w:tcPr>
          <w:p>
            <w:pPr>
              <w:spacing w:after="0"/>
            </w:pPr>
            <w:r>
              <w:rPr>
                <w:sz w:val="11"/>
              </w:rPr>
              <w:t>Errors</w:t>
            </w:r>
          </w:p>
        </w:tc>
        <w:tc>
          <w:tcPr>
            <w:tcW w:type="dxa" w:w="5227"/>
          </w:tcPr>
          <w:p>
            <w:pPr>
              <w:spacing w:after="0"/>
            </w:pPr>
            <w:r>
              <w:rPr>
                <w:sz w:val="11"/>
              </w:rPr>
              <w:t>Rate/types.</w:t>
            </w:r>
          </w:p>
        </w:tc>
      </w:tr>
      <w:tr>
        <w:tc>
          <w:tcPr>
            <w:tcW w:type="dxa" w:w="5227"/>
          </w:tcPr>
          <w:p>
            <w:pPr>
              <w:spacing w:after="0"/>
            </w:pPr>
            <w:r>
              <w:rPr>
                <w:sz w:val="11"/>
              </w:rPr>
              <w:t>Saturation</w:t>
            </w:r>
          </w:p>
        </w:tc>
        <w:tc>
          <w:tcPr>
            <w:tcW w:type="dxa" w:w="5227"/>
          </w:tcPr>
          <w:p>
            <w:pPr>
              <w:spacing w:after="0"/>
            </w:pPr>
            <w:r>
              <w:rPr>
                <w:sz w:val="11"/>
              </w:rPr>
              <w:t>CPU/memory/IO/connections.</w:t>
            </w:r>
          </w:p>
        </w:tc>
      </w:tr>
    </w:tbl>
    <w:p>
      <w:pPr>
        <w:pStyle w:val="Heading1"/>
      </w:pPr>
      <w:r>
        <w:t>76. Reliability Testing</w:t>
      </w:r>
    </w:p>
    <w:p>
      <w:pPr>
        <w:pStyle w:val="ListBullet"/>
      </w:pPr>
      <w:r>
        <w:t>Kill/restart stateless service.</w:t>
      </w:r>
    </w:p>
    <w:p>
      <w:pPr>
        <w:pStyle w:val="ListBullet"/>
      </w:pPr>
      <w:r>
        <w:t>Database connection interruption.</w:t>
      </w:r>
    </w:p>
    <w:p>
      <w:pPr>
        <w:pStyle w:val="ListBullet"/>
      </w:pPr>
      <w:r>
        <w:t>Broker outage/restart.</w:t>
      </w:r>
    </w:p>
    <w:p>
      <w:pPr>
        <w:pStyle w:val="ListBullet"/>
      </w:pPr>
      <w:r>
        <w:t>Worker crash mid-message.</w:t>
      </w:r>
    </w:p>
    <w:p>
      <w:pPr>
        <w:pStyle w:val="ListBullet"/>
      </w:pPr>
      <w:r>
        <w:t>External API timeout.</w:t>
      </w:r>
    </w:p>
    <w:p>
      <w:pPr>
        <w:pStyle w:val="ListBullet"/>
      </w:pPr>
      <w:r>
        <w:t>Duplicate event delivery.</w:t>
      </w:r>
    </w:p>
    <w:p>
      <w:pPr>
        <w:pStyle w:val="ListBullet"/>
      </w:pPr>
      <w:r>
        <w:t>Edge disconnect/reconnect.</w:t>
      </w:r>
    </w:p>
    <w:p>
      <w:pPr>
        <w:pStyle w:val="ListBullet"/>
      </w:pPr>
      <w:r>
        <w:t>Search outage.</w:t>
      </w:r>
    </w:p>
    <w:p>
      <w:pPr>
        <w:pStyle w:val="ListBullet"/>
      </w:pPr>
      <w:r>
        <w:t>PACS/LIS unavailable.</w:t>
      </w:r>
    </w:p>
    <w:p>
      <w:pPr>
        <w:pStyle w:val="ListBullet"/>
      </w:pPr>
      <w:r>
        <w:t>Storage near capacity.</w:t>
      </w:r>
    </w:p>
    <w:p>
      <w:pPr>
        <w:pStyle w:val="ListBullet"/>
      </w:pPr>
      <w:r>
        <w:t>Clock skew.</w:t>
      </w:r>
    </w:p>
    <w:p>
      <w:pPr>
        <w:pStyle w:val="ListBullet"/>
      </w:pPr>
      <w:r>
        <w:t>Credential/key rotation.</w:t>
      </w:r>
    </w:p>
    <w:p>
      <w:pPr>
        <w:pStyle w:val="Heading1"/>
      </w:pPr>
      <w:r>
        <w:t>77. Chaos and Failure Injection</w:t>
      </w:r>
    </w:p>
    <w:p>
      <w:r>
        <w:t>Controlled failure injection may be used in non-production and carefully governed production environments to validate resilience. Patient safety and clinical operations determine where production chaos testing is inappropriate.</w:t>
      </w:r>
    </w:p>
    <w:p>
      <w:pPr>
        <w:pStyle w:val="ListBullet"/>
      </w:pPr>
      <w:r>
        <w:t>Dependency latency.</w:t>
      </w:r>
    </w:p>
    <w:p>
      <w:pPr>
        <w:pStyle w:val="ListBullet"/>
      </w:pPr>
      <w:r>
        <w:t>Instance loss.</w:t>
      </w:r>
    </w:p>
    <w:p>
      <w:pPr>
        <w:pStyle w:val="ListBullet"/>
      </w:pPr>
      <w:r>
        <w:t>Network partition.</w:t>
      </w:r>
    </w:p>
    <w:p>
      <w:pPr>
        <w:pStyle w:val="ListBullet"/>
      </w:pPr>
      <w:r>
        <w:t>Queue backlog.</w:t>
      </w:r>
    </w:p>
    <w:p>
      <w:pPr>
        <w:pStyle w:val="ListBullet"/>
      </w:pPr>
      <w:r>
        <w:t>DNS failure.</w:t>
      </w:r>
    </w:p>
    <w:p>
      <w:pPr>
        <w:pStyle w:val="ListBullet"/>
      </w:pPr>
      <w:r>
        <w:t>Certificate expiry simulation.</w:t>
      </w:r>
    </w:p>
    <w:p>
      <w:pPr>
        <w:pStyle w:val="ListBullet"/>
      </w:pPr>
      <w:r>
        <w:t>Disk pressure.</w:t>
      </w:r>
    </w:p>
    <w:p>
      <w:pPr>
        <w:pStyle w:val="ListBullet"/>
      </w:pPr>
      <w:r>
        <w:t>Read-replica lag.</w:t>
      </w:r>
    </w:p>
    <w:p>
      <w:pPr>
        <w:pStyle w:val="ListBullet"/>
      </w:pPr>
      <w:r>
        <w:t>Partner outage.</w:t>
      </w:r>
    </w:p>
    <w:p>
      <w:pPr>
        <w:pStyle w:val="Heading1"/>
      </w:pPr>
      <w:r>
        <w:t>78. Error Handling UX</w:t>
      </w:r>
    </w:p>
    <w:p>
      <w:pPr>
        <w:pStyle w:val="ListBullet"/>
      </w:pPr>
      <w:r>
        <w:t>Never show false success.</w:t>
      </w:r>
    </w:p>
    <w:p>
      <w:pPr>
        <w:pStyle w:val="ListBullet"/>
      </w:pPr>
      <w:r>
        <w:t>Differentiate validation vs connectivity vs server failure.</w:t>
      </w:r>
    </w:p>
    <w:p>
      <w:pPr>
        <w:pStyle w:val="ListBullet"/>
      </w:pPr>
      <w:r>
        <w:t>Preserve user's unsaved work where safe.</w:t>
      </w:r>
    </w:p>
    <w:p>
      <w:pPr>
        <w:pStyle w:val="ListBullet"/>
      </w:pPr>
      <w:r>
        <w:t>Retry action explicit.</w:t>
      </w:r>
    </w:p>
    <w:p>
      <w:pPr>
        <w:pStyle w:val="ListBullet"/>
      </w:pPr>
      <w:r>
        <w:t>Duplicate-safe retry.</w:t>
      </w:r>
    </w:p>
    <w:p>
      <w:pPr>
        <w:pStyle w:val="ListBullet"/>
      </w:pPr>
      <w:r>
        <w:t>Support/correlation code without technical secrets.</w:t>
      </w:r>
    </w:p>
    <w:p>
      <w:pPr>
        <w:pStyle w:val="ListBullet"/>
      </w:pPr>
      <w:r>
        <w:t>Offline queued state distinct from centrally synchronized state.</w:t>
      </w:r>
    </w:p>
    <w:p>
      <w:pPr>
        <w:pStyle w:val="ListBullet"/>
      </w:pPr>
      <w:r>
        <w:t>Critical failure provides downtime/escalation instruction.</w:t>
      </w:r>
    </w:p>
    <w:p>
      <w:pPr>
        <w:pStyle w:val="Heading1"/>
      </w:pPr>
      <w:r>
        <w:t>79. Supportability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Capability</w:t>
            </w:r>
          </w:p>
        </w:tc>
        <w:tc>
          <w:tcPr>
            <w:tcW w:type="dxa" w:w="5227"/>
          </w:tcPr>
          <w:p>
            <w:pPr>
              <w:spacing w:after="0"/>
            </w:pPr>
            <w:r>
              <w:rPr>
                <w:b/>
                <w:sz w:val="11"/>
              </w:rPr>
              <w:t>Requirement</w:t>
            </w:r>
          </w:p>
        </w:tc>
      </w:tr>
      <w:tr>
        <w:tc>
          <w:tcPr>
            <w:tcW w:type="dxa" w:w="5227"/>
          </w:tcPr>
          <w:p>
            <w:pPr>
              <w:spacing w:after="0"/>
            </w:pPr>
            <w:r>
              <w:rPr>
                <w:sz w:val="11"/>
              </w:rPr>
              <w:t>Correlation ID</w:t>
            </w:r>
          </w:p>
        </w:tc>
        <w:tc>
          <w:tcPr>
            <w:tcW w:type="dxa" w:w="5227"/>
          </w:tcPr>
          <w:p>
            <w:pPr>
              <w:spacing w:after="0"/>
            </w:pPr>
            <w:r>
              <w:rPr>
                <w:sz w:val="11"/>
              </w:rPr>
              <w:t>User-visible/support-safe.</w:t>
            </w:r>
          </w:p>
        </w:tc>
      </w:tr>
      <w:tr>
        <w:tc>
          <w:tcPr>
            <w:tcW w:type="dxa" w:w="5227"/>
          </w:tcPr>
          <w:p>
            <w:pPr>
              <w:spacing w:after="0"/>
            </w:pPr>
            <w:r>
              <w:rPr>
                <w:sz w:val="11"/>
              </w:rPr>
              <w:t>Audit trail</w:t>
            </w:r>
          </w:p>
        </w:tc>
        <w:tc>
          <w:tcPr>
            <w:tcW w:type="dxa" w:w="5227"/>
          </w:tcPr>
          <w:p>
            <w:pPr>
              <w:spacing w:after="0"/>
            </w:pPr>
            <w:r>
              <w:rPr>
                <w:sz w:val="11"/>
              </w:rPr>
              <w:t>Actionable.</w:t>
            </w:r>
          </w:p>
        </w:tc>
      </w:tr>
      <w:tr>
        <w:tc>
          <w:tcPr>
            <w:tcW w:type="dxa" w:w="5227"/>
          </w:tcPr>
          <w:p>
            <w:pPr>
              <w:spacing w:after="0"/>
            </w:pPr>
            <w:r>
              <w:rPr>
                <w:sz w:val="11"/>
              </w:rPr>
              <w:t>Health dashboard</w:t>
            </w:r>
          </w:p>
        </w:tc>
        <w:tc>
          <w:tcPr>
            <w:tcW w:type="dxa" w:w="5227"/>
          </w:tcPr>
          <w:p>
            <w:pPr>
              <w:spacing w:after="0"/>
            </w:pPr>
            <w:r>
              <w:rPr>
                <w:sz w:val="11"/>
              </w:rPr>
              <w:t>Service/dependency.</w:t>
            </w:r>
          </w:p>
        </w:tc>
      </w:tr>
      <w:tr>
        <w:tc>
          <w:tcPr>
            <w:tcW w:type="dxa" w:w="5227"/>
          </w:tcPr>
          <w:p>
            <w:pPr>
              <w:spacing w:after="0"/>
            </w:pPr>
            <w:r>
              <w:rPr>
                <w:sz w:val="11"/>
              </w:rPr>
              <w:t>Runbook</w:t>
            </w:r>
          </w:p>
        </w:tc>
        <w:tc>
          <w:tcPr>
            <w:tcW w:type="dxa" w:w="5227"/>
          </w:tcPr>
          <w:p>
            <w:pPr>
              <w:spacing w:after="0"/>
            </w:pPr>
            <w:r>
              <w:rPr>
                <w:sz w:val="11"/>
              </w:rPr>
              <w:t>Known failure modes.</w:t>
            </w:r>
          </w:p>
        </w:tc>
      </w:tr>
      <w:tr>
        <w:tc>
          <w:tcPr>
            <w:tcW w:type="dxa" w:w="5227"/>
          </w:tcPr>
          <w:p>
            <w:pPr>
              <w:spacing w:after="0"/>
            </w:pPr>
            <w:r>
              <w:rPr>
                <w:sz w:val="11"/>
              </w:rPr>
              <w:t>Feature/config version</w:t>
            </w:r>
          </w:p>
        </w:tc>
        <w:tc>
          <w:tcPr>
            <w:tcW w:type="dxa" w:w="5227"/>
          </w:tcPr>
          <w:p>
            <w:pPr>
              <w:spacing w:after="0"/>
            </w:pPr>
            <w:r>
              <w:rPr>
                <w:sz w:val="11"/>
              </w:rPr>
              <w:t>Discoverable.</w:t>
            </w:r>
          </w:p>
        </w:tc>
      </w:tr>
      <w:tr>
        <w:tc>
          <w:tcPr>
            <w:tcW w:type="dxa" w:w="5227"/>
          </w:tcPr>
          <w:p>
            <w:pPr>
              <w:spacing w:after="0"/>
            </w:pPr>
            <w:r>
              <w:rPr>
                <w:sz w:val="11"/>
              </w:rPr>
              <w:t>Remote support</w:t>
            </w:r>
          </w:p>
        </w:tc>
        <w:tc>
          <w:tcPr>
            <w:tcW w:type="dxa" w:w="5227"/>
          </w:tcPr>
          <w:p>
            <w:pPr>
              <w:spacing w:after="0"/>
            </w:pPr>
            <w:r>
              <w:rPr>
                <w:sz w:val="11"/>
              </w:rPr>
              <w:t>Governed/security-controlled.</w:t>
            </w:r>
          </w:p>
        </w:tc>
      </w:tr>
      <w:tr>
        <w:tc>
          <w:tcPr>
            <w:tcW w:type="dxa" w:w="5227"/>
          </w:tcPr>
          <w:p>
            <w:pPr>
              <w:spacing w:after="0"/>
            </w:pPr>
            <w:r>
              <w:rPr>
                <w:sz w:val="11"/>
              </w:rPr>
              <w:t>Diagnostics bundle</w:t>
            </w:r>
          </w:p>
        </w:tc>
        <w:tc>
          <w:tcPr>
            <w:tcW w:type="dxa" w:w="5227"/>
          </w:tcPr>
          <w:p>
            <w:pPr>
              <w:spacing w:after="0"/>
            </w:pPr>
            <w:r>
              <w:rPr>
                <w:sz w:val="11"/>
              </w:rPr>
              <w:t>Redacted.</w:t>
            </w:r>
          </w:p>
        </w:tc>
      </w:tr>
      <w:tr>
        <w:tc>
          <w:tcPr>
            <w:tcW w:type="dxa" w:w="5227"/>
          </w:tcPr>
          <w:p>
            <w:pPr>
              <w:spacing w:after="0"/>
            </w:pPr>
            <w:r>
              <w:rPr>
                <w:sz w:val="11"/>
              </w:rPr>
              <w:t>Escalation</w:t>
            </w:r>
          </w:p>
        </w:tc>
        <w:tc>
          <w:tcPr>
            <w:tcW w:type="dxa" w:w="5227"/>
          </w:tcPr>
          <w:p>
            <w:pPr>
              <w:spacing w:after="0"/>
            </w:pPr>
            <w:r>
              <w:rPr>
                <w:sz w:val="11"/>
              </w:rPr>
              <w:t>Owner/severity.</w:t>
            </w:r>
          </w:p>
        </w:tc>
      </w:tr>
      <w:tr>
        <w:tc>
          <w:tcPr>
            <w:tcW w:type="dxa" w:w="5227"/>
          </w:tcPr>
          <w:p>
            <w:pPr>
              <w:spacing w:after="0"/>
            </w:pPr>
            <w:r>
              <w:rPr>
                <w:sz w:val="11"/>
              </w:rPr>
              <w:t>Known issue</w:t>
            </w:r>
          </w:p>
        </w:tc>
        <w:tc>
          <w:tcPr>
            <w:tcW w:type="dxa" w:w="5227"/>
          </w:tcPr>
          <w:p>
            <w:pPr>
              <w:spacing w:after="0"/>
            </w:pPr>
            <w:r>
              <w:rPr>
                <w:sz w:val="11"/>
              </w:rPr>
              <w:t>Release-specific.</w:t>
            </w:r>
          </w:p>
        </w:tc>
      </w:tr>
    </w:tbl>
    <w:p>
      <w:pPr>
        <w:pStyle w:val="Heading1"/>
      </w:pPr>
      <w:r>
        <w:t>80. Operability</w:t>
      </w:r>
    </w:p>
    <w:p>
      <w:pPr>
        <w:pStyle w:val="ListBullet"/>
      </w:pPr>
      <w:r>
        <w:t>One-command/automated routine deployment where possible.</w:t>
      </w:r>
    </w:p>
    <w:p>
      <w:pPr>
        <w:pStyle w:val="ListBullet"/>
      </w:pPr>
      <w:r>
        <w:t>Safe restart.</w:t>
      </w:r>
    </w:p>
    <w:p>
      <w:pPr>
        <w:pStyle w:val="ListBullet"/>
      </w:pPr>
      <w:r>
        <w:t>Graceful shutdown/drain.</w:t>
      </w:r>
    </w:p>
    <w:p>
      <w:pPr>
        <w:pStyle w:val="ListBullet"/>
      </w:pPr>
      <w:r>
        <w:t>Backlog visibility.</w:t>
      </w:r>
    </w:p>
    <w:p>
      <w:pPr>
        <w:pStyle w:val="ListBullet"/>
      </w:pPr>
      <w:r>
        <w:t>Configuration validation at startup.</w:t>
      </w:r>
    </w:p>
    <w:p>
      <w:pPr>
        <w:pStyle w:val="ListBullet"/>
      </w:pPr>
      <w:r>
        <w:t>Migration status visible.</w:t>
      </w:r>
    </w:p>
    <w:p>
      <w:pPr>
        <w:pStyle w:val="ListBullet"/>
      </w:pPr>
      <w:r>
        <w:t>Dependency status visible.</w:t>
      </w:r>
    </w:p>
    <w:p>
      <w:pPr>
        <w:pStyle w:val="ListBullet"/>
      </w:pPr>
      <w:r>
        <w:t>Feature flags discoverable.</w:t>
      </w:r>
    </w:p>
    <w:p>
      <w:pPr>
        <w:pStyle w:val="ListBullet"/>
      </w:pPr>
      <w:r>
        <w:t>Capacity dashboards.</w:t>
      </w:r>
    </w:p>
    <w:p>
      <w:pPr>
        <w:pStyle w:val="ListBullet"/>
      </w:pPr>
      <w:r>
        <w:t>Runbooks for C0/C1 failures.</w:t>
      </w:r>
    </w:p>
    <w:p>
      <w:pPr>
        <w:pStyle w:val="Heading1"/>
      </w:pPr>
      <w:r>
        <w:t>81. Cost Efficiency</w:t>
      </w:r>
    </w:p>
    <w:p>
      <w:r>
        <w:t>Cost is a quality constraint but cannot override safety, privacy or durability.</w:t>
      </w:r>
    </w:p>
    <w:p>
      <w:pPr>
        <w:pStyle w:val="ListBullet"/>
      </w:pPr>
      <w:r>
        <w:t>Measure cost per facility/user/transaction/storage.</w:t>
      </w:r>
    </w:p>
    <w:p>
      <w:pPr>
        <w:pStyle w:val="ListBullet"/>
      </w:pPr>
      <w:r>
        <w:t>Autoscale stateless workloads.</w:t>
      </w:r>
    </w:p>
    <w:p>
      <w:pPr>
        <w:pStyle w:val="ListBullet"/>
      </w:pPr>
      <w:r>
        <w:t>Archive according to policy.</w:t>
      </w:r>
    </w:p>
    <w:p>
      <w:pPr>
        <w:pStyle w:val="ListBullet"/>
      </w:pPr>
      <w:r>
        <w:t>Use object storage for documents rather than DB blobs where appropriate.</w:t>
      </w:r>
    </w:p>
    <w:p>
      <w:pPr>
        <w:pStyle w:val="ListBullet"/>
      </w:pPr>
      <w:r>
        <w:t>Avoid unnecessary duplicate media.</w:t>
      </w:r>
    </w:p>
    <w:p>
      <w:pPr>
        <w:pStyle w:val="ListBullet"/>
      </w:pPr>
      <w:r>
        <w:t>Right-size non-production.</w:t>
      </w:r>
    </w:p>
    <w:p>
      <w:pPr>
        <w:pStyle w:val="ListBullet"/>
      </w:pPr>
      <w:r>
        <w:t>Capacity forecast includes infrastructure cost.</w:t>
      </w:r>
    </w:p>
    <w:p>
      <w:pPr>
        <w:pStyle w:val="ListBullet"/>
      </w:pPr>
      <w:r>
        <w:t>Optimization requires performance/reliability regression test.</w:t>
      </w:r>
    </w:p>
    <w:p>
      <w:pPr>
        <w:pStyle w:val="Heading1"/>
      </w:pPr>
      <w:r>
        <w:t>82. Energy/Infrastructure Constraints</w:t>
      </w:r>
    </w:p>
    <w:p>
      <w:r>
        <w:t>Facilities may experience unstable grid power or connectivity. Deployment discovery must capture UPS/generator/network characteristics and determine whether local edge infrastructure is required.</w:t>
      </w:r>
    </w:p>
    <w:p>
      <w:pPr>
        <w:pStyle w:val="ListBullet"/>
      </w:pPr>
      <w:r>
        <w:t>UPS runtime.</w:t>
      </w:r>
    </w:p>
    <w:p>
      <w:pPr>
        <w:pStyle w:val="ListBullet"/>
      </w:pPr>
      <w:r>
        <w:t>Graceful shutdown.</w:t>
      </w:r>
    </w:p>
    <w:p>
      <w:pPr>
        <w:pStyle w:val="ListBullet"/>
      </w:pPr>
      <w:r>
        <w:t>Auto restart/recovery.</w:t>
      </w:r>
    </w:p>
    <w:p>
      <w:pPr>
        <w:pStyle w:val="ListBullet"/>
      </w:pPr>
      <w:r>
        <w:t>Dual ISP where feasible.</w:t>
      </w:r>
    </w:p>
    <w:p>
      <w:pPr>
        <w:pStyle w:val="ListBullet"/>
      </w:pPr>
      <w:r>
        <w:t>Edge queue persistence.</w:t>
      </w:r>
    </w:p>
    <w:p>
      <w:pPr>
        <w:pStyle w:val="ListBullet"/>
      </w:pPr>
      <w:r>
        <w:t>Local LAN clinical operation.</w:t>
      </w:r>
    </w:p>
    <w:p>
      <w:pPr>
        <w:pStyle w:val="ListBullet"/>
      </w:pPr>
      <w:r>
        <w:t>Hardware environmental limits.</w:t>
      </w:r>
    </w:p>
    <w:p>
      <w:pPr>
        <w:pStyle w:val="ListBullet"/>
      </w:pPr>
      <w:r>
        <w:t>Power-loss recovery tests.</w:t>
      </w:r>
    </w:p>
    <w:p>
      <w:pPr>
        <w:pStyle w:val="Heading1"/>
      </w:pPr>
      <w:r>
        <w:t>83. Data Migration Performance</w:t>
      </w:r>
    </w:p>
    <w:p>
      <w:pPr>
        <w:pStyle w:val="ListBullet"/>
      </w:pPr>
      <w:r>
        <w:t>Migration runs are benchmarked.</w:t>
      </w:r>
    </w:p>
    <w:p>
      <w:pPr>
        <w:pStyle w:val="ListBullet"/>
      </w:pPr>
      <w:r>
        <w:t>Bulk import does not bypass validation.</w:t>
      </w:r>
    </w:p>
    <w:p>
      <w:pPr>
        <w:pStyle w:val="ListBullet"/>
      </w:pPr>
      <w:r>
        <w:t>Cutover duration estimated from rehearsal.</w:t>
      </w:r>
    </w:p>
    <w:p>
      <w:pPr>
        <w:pStyle w:val="ListBullet"/>
      </w:pPr>
      <w:r>
        <w:t>Delta/catch-up strategy.</w:t>
      </w:r>
    </w:p>
    <w:p>
      <w:pPr>
        <w:pStyle w:val="ListBullet"/>
      </w:pPr>
      <w:r>
        <w:t>Migration throttling protects live systems.</w:t>
      </w:r>
    </w:p>
    <w:p>
      <w:pPr>
        <w:pStyle w:val="ListBullet"/>
      </w:pPr>
      <w:r>
        <w:t>Post-migration reconciliation.</w:t>
      </w:r>
    </w:p>
    <w:p>
      <w:pPr>
        <w:pStyle w:val="ListBullet"/>
      </w:pPr>
      <w:r>
        <w:t>Rollback/abort criteria.</w:t>
      </w:r>
    </w:p>
    <w:p>
      <w:pPr>
        <w:pStyle w:val="Heading1"/>
      </w:pPr>
      <w:r>
        <w:t>84. Upgrade NFR</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Area</w:t>
            </w:r>
          </w:p>
        </w:tc>
        <w:tc>
          <w:tcPr>
            <w:tcW w:type="dxa" w:w="5227"/>
          </w:tcPr>
          <w:p>
            <w:pPr>
              <w:spacing w:after="0"/>
            </w:pPr>
            <w:r>
              <w:rPr>
                <w:b/>
                <w:sz w:val="11"/>
              </w:rPr>
              <w:t>Requirement</w:t>
            </w:r>
          </w:p>
        </w:tc>
      </w:tr>
      <w:tr>
        <w:tc>
          <w:tcPr>
            <w:tcW w:type="dxa" w:w="5227"/>
          </w:tcPr>
          <w:p>
            <w:pPr>
              <w:spacing w:after="0"/>
            </w:pPr>
            <w:r>
              <w:rPr>
                <w:sz w:val="11"/>
              </w:rPr>
              <w:t>Downtime</w:t>
            </w:r>
          </w:p>
        </w:tc>
        <w:tc>
          <w:tcPr>
            <w:tcW w:type="dxa" w:w="5227"/>
          </w:tcPr>
          <w:p>
            <w:pPr>
              <w:spacing w:after="0"/>
            </w:pPr>
            <w:r>
              <w:rPr>
                <w:sz w:val="11"/>
              </w:rPr>
              <w:t>Minimized; declared.</w:t>
            </w:r>
          </w:p>
        </w:tc>
      </w:tr>
      <w:tr>
        <w:tc>
          <w:tcPr>
            <w:tcW w:type="dxa" w:w="5227"/>
          </w:tcPr>
          <w:p>
            <w:pPr>
              <w:spacing w:after="0"/>
            </w:pPr>
            <w:r>
              <w:rPr>
                <w:sz w:val="11"/>
              </w:rPr>
              <w:t>Compatibility</w:t>
            </w:r>
          </w:p>
        </w:tc>
        <w:tc>
          <w:tcPr>
            <w:tcW w:type="dxa" w:w="5227"/>
          </w:tcPr>
          <w:p>
            <w:pPr>
              <w:spacing w:after="0"/>
            </w:pPr>
            <w:r>
              <w:rPr>
                <w:sz w:val="11"/>
              </w:rPr>
              <w:t>N/N-1 client/API where policy requires.</w:t>
            </w:r>
          </w:p>
        </w:tc>
      </w:tr>
      <w:tr>
        <w:tc>
          <w:tcPr>
            <w:tcW w:type="dxa" w:w="5227"/>
          </w:tcPr>
          <w:p>
            <w:pPr>
              <w:spacing w:after="0"/>
            </w:pPr>
            <w:r>
              <w:rPr>
                <w:sz w:val="11"/>
              </w:rPr>
              <w:t>DB migration</w:t>
            </w:r>
          </w:p>
        </w:tc>
        <w:tc>
          <w:tcPr>
            <w:tcW w:type="dxa" w:w="5227"/>
          </w:tcPr>
          <w:p>
            <w:pPr>
              <w:spacing w:after="0"/>
            </w:pPr>
            <w:r>
              <w:rPr>
                <w:sz w:val="11"/>
              </w:rPr>
              <w:t>Tested at production scale.</w:t>
            </w:r>
          </w:p>
        </w:tc>
      </w:tr>
      <w:tr>
        <w:tc>
          <w:tcPr>
            <w:tcW w:type="dxa" w:w="5227"/>
          </w:tcPr>
          <w:p>
            <w:pPr>
              <w:spacing w:after="0"/>
            </w:pPr>
            <w:r>
              <w:rPr>
                <w:sz w:val="11"/>
              </w:rPr>
              <w:t>Edge</w:t>
            </w:r>
          </w:p>
        </w:tc>
        <w:tc>
          <w:tcPr>
            <w:tcW w:type="dxa" w:w="5227"/>
          </w:tcPr>
          <w:p>
            <w:pPr>
              <w:spacing w:after="0"/>
            </w:pPr>
            <w:r>
              <w:rPr>
                <w:sz w:val="11"/>
              </w:rPr>
              <w:t>Staged rollout.</w:t>
            </w:r>
          </w:p>
        </w:tc>
      </w:tr>
      <w:tr>
        <w:tc>
          <w:tcPr>
            <w:tcW w:type="dxa" w:w="5227"/>
          </w:tcPr>
          <w:p>
            <w:pPr>
              <w:spacing w:after="0"/>
            </w:pPr>
            <w:r>
              <w:rPr>
                <w:sz w:val="11"/>
              </w:rPr>
              <w:t>Partner API</w:t>
            </w:r>
          </w:p>
        </w:tc>
        <w:tc>
          <w:tcPr>
            <w:tcW w:type="dxa" w:w="5227"/>
          </w:tcPr>
          <w:p>
            <w:pPr>
              <w:spacing w:after="0"/>
            </w:pPr>
            <w:r>
              <w:rPr>
                <w:sz w:val="11"/>
              </w:rPr>
              <w:t>Version compatibility.</w:t>
            </w:r>
          </w:p>
        </w:tc>
      </w:tr>
      <w:tr>
        <w:tc>
          <w:tcPr>
            <w:tcW w:type="dxa" w:w="5227"/>
          </w:tcPr>
          <w:p>
            <w:pPr>
              <w:spacing w:after="0"/>
            </w:pPr>
            <w:r>
              <w:rPr>
                <w:sz w:val="11"/>
              </w:rPr>
              <w:t>Rollback</w:t>
            </w:r>
          </w:p>
        </w:tc>
        <w:tc>
          <w:tcPr>
            <w:tcW w:type="dxa" w:w="5227"/>
          </w:tcPr>
          <w:p>
            <w:pPr>
              <w:spacing w:after="0"/>
            </w:pPr>
            <w:r>
              <w:rPr>
                <w:sz w:val="11"/>
              </w:rPr>
              <w:t>Defined.</w:t>
            </w:r>
          </w:p>
        </w:tc>
      </w:tr>
      <w:tr>
        <w:tc>
          <w:tcPr>
            <w:tcW w:type="dxa" w:w="5227"/>
          </w:tcPr>
          <w:p>
            <w:pPr>
              <w:spacing w:after="0"/>
            </w:pPr>
            <w:r>
              <w:rPr>
                <w:sz w:val="11"/>
              </w:rPr>
              <w:t>Configuration</w:t>
            </w:r>
          </w:p>
        </w:tc>
        <w:tc>
          <w:tcPr>
            <w:tcW w:type="dxa" w:w="5227"/>
          </w:tcPr>
          <w:p>
            <w:pPr>
              <w:spacing w:after="0"/>
            </w:pPr>
            <w:r>
              <w:rPr>
                <w:sz w:val="11"/>
              </w:rPr>
              <w:t>Migrated/versioned.</w:t>
            </w:r>
          </w:p>
        </w:tc>
      </w:tr>
      <w:tr>
        <w:tc>
          <w:tcPr>
            <w:tcW w:type="dxa" w:w="5227"/>
          </w:tcPr>
          <w:p>
            <w:pPr>
              <w:spacing w:after="0"/>
            </w:pPr>
            <w:r>
              <w:rPr>
                <w:sz w:val="11"/>
              </w:rPr>
              <w:t>Audit</w:t>
            </w:r>
          </w:p>
        </w:tc>
        <w:tc>
          <w:tcPr>
            <w:tcW w:type="dxa" w:w="5227"/>
          </w:tcPr>
          <w:p>
            <w:pPr>
              <w:spacing w:after="0"/>
            </w:pPr>
            <w:r>
              <w:rPr>
                <w:sz w:val="11"/>
              </w:rPr>
              <w:t>Upgrade recorded.</w:t>
            </w:r>
          </w:p>
        </w:tc>
      </w:tr>
    </w:tbl>
    <w:p>
      <w:pPr>
        <w:pStyle w:val="Heading1"/>
      </w:pPr>
      <w:r>
        <w:t>85. SLO Dashboard</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Panel</w:t>
            </w:r>
          </w:p>
        </w:tc>
        <w:tc>
          <w:tcPr>
            <w:tcW w:type="dxa" w:w="5227"/>
          </w:tcPr>
          <w:p>
            <w:pPr>
              <w:spacing w:after="0"/>
            </w:pPr>
            <w:r>
              <w:rPr>
                <w:b/>
                <w:sz w:val="11"/>
              </w:rPr>
              <w:t>Measures</w:t>
            </w:r>
          </w:p>
        </w:tc>
      </w:tr>
      <w:tr>
        <w:tc>
          <w:tcPr>
            <w:tcW w:type="dxa" w:w="5227"/>
          </w:tcPr>
          <w:p>
            <w:pPr>
              <w:spacing w:after="0"/>
            </w:pPr>
            <w:r>
              <w:rPr>
                <w:sz w:val="11"/>
              </w:rPr>
              <w:t>Availability</w:t>
            </w:r>
          </w:p>
        </w:tc>
        <w:tc>
          <w:tcPr>
            <w:tcW w:type="dxa" w:w="5227"/>
          </w:tcPr>
          <w:p>
            <w:pPr>
              <w:spacing w:after="0"/>
            </w:pPr>
            <w:r>
              <w:rPr>
                <w:sz w:val="11"/>
              </w:rPr>
              <w:t>By service/tier/facility.</w:t>
            </w:r>
          </w:p>
        </w:tc>
      </w:tr>
      <w:tr>
        <w:tc>
          <w:tcPr>
            <w:tcW w:type="dxa" w:w="5227"/>
          </w:tcPr>
          <w:p>
            <w:pPr>
              <w:spacing w:after="0"/>
            </w:pPr>
            <w:r>
              <w:rPr>
                <w:sz w:val="11"/>
              </w:rPr>
              <w:t>Latency</w:t>
            </w:r>
          </w:p>
        </w:tc>
        <w:tc>
          <w:tcPr>
            <w:tcW w:type="dxa" w:w="5227"/>
          </w:tcPr>
          <w:p>
            <w:pPr>
              <w:spacing w:after="0"/>
            </w:pPr>
            <w:r>
              <w:rPr>
                <w:sz w:val="11"/>
              </w:rPr>
              <w:t>p50/p95/p99.</w:t>
            </w:r>
          </w:p>
        </w:tc>
      </w:tr>
      <w:tr>
        <w:tc>
          <w:tcPr>
            <w:tcW w:type="dxa" w:w="5227"/>
          </w:tcPr>
          <w:p>
            <w:pPr>
              <w:spacing w:after="0"/>
            </w:pPr>
            <w:r>
              <w:rPr>
                <w:sz w:val="11"/>
              </w:rPr>
              <w:t>Errors</w:t>
            </w:r>
          </w:p>
        </w:tc>
        <w:tc>
          <w:tcPr>
            <w:tcW w:type="dxa" w:w="5227"/>
          </w:tcPr>
          <w:p>
            <w:pPr>
              <w:spacing w:after="0"/>
            </w:pPr>
            <w:r>
              <w:rPr>
                <w:sz w:val="11"/>
              </w:rPr>
              <w:t>Rate/category.</w:t>
            </w:r>
          </w:p>
        </w:tc>
      </w:tr>
      <w:tr>
        <w:tc>
          <w:tcPr>
            <w:tcW w:type="dxa" w:w="5227"/>
          </w:tcPr>
          <w:p>
            <w:pPr>
              <w:spacing w:after="0"/>
            </w:pPr>
            <w:r>
              <w:rPr>
                <w:sz w:val="11"/>
              </w:rPr>
              <w:t>Saturation</w:t>
            </w:r>
          </w:p>
        </w:tc>
        <w:tc>
          <w:tcPr>
            <w:tcW w:type="dxa" w:w="5227"/>
          </w:tcPr>
          <w:p>
            <w:pPr>
              <w:spacing w:after="0"/>
            </w:pPr>
            <w:r>
              <w:rPr>
                <w:sz w:val="11"/>
              </w:rPr>
              <w:t>CPU/RAM/DB/connections.</w:t>
            </w:r>
          </w:p>
        </w:tc>
      </w:tr>
      <w:tr>
        <w:tc>
          <w:tcPr>
            <w:tcW w:type="dxa" w:w="5227"/>
          </w:tcPr>
          <w:p>
            <w:pPr>
              <w:spacing w:after="0"/>
            </w:pPr>
            <w:r>
              <w:rPr>
                <w:sz w:val="11"/>
              </w:rPr>
              <w:t>Queues</w:t>
            </w:r>
          </w:p>
        </w:tc>
        <w:tc>
          <w:tcPr>
            <w:tcW w:type="dxa" w:w="5227"/>
          </w:tcPr>
          <w:p>
            <w:pPr>
              <w:spacing w:after="0"/>
            </w:pPr>
            <w:r>
              <w:rPr>
                <w:sz w:val="11"/>
              </w:rPr>
              <w:t>Lag/oldest/DLQ.</w:t>
            </w:r>
          </w:p>
        </w:tc>
      </w:tr>
      <w:tr>
        <w:tc>
          <w:tcPr>
            <w:tcW w:type="dxa" w:w="5227"/>
          </w:tcPr>
          <w:p>
            <w:pPr>
              <w:spacing w:after="0"/>
            </w:pPr>
            <w:r>
              <w:rPr>
                <w:sz w:val="11"/>
              </w:rPr>
              <w:t>Edge</w:t>
            </w:r>
          </w:p>
        </w:tc>
        <w:tc>
          <w:tcPr>
            <w:tcW w:type="dxa" w:w="5227"/>
          </w:tcPr>
          <w:p>
            <w:pPr>
              <w:spacing w:after="0"/>
            </w:pPr>
            <w:r>
              <w:rPr>
                <w:sz w:val="11"/>
              </w:rPr>
              <w:t>Connectivity/backlog.</w:t>
            </w:r>
          </w:p>
        </w:tc>
      </w:tr>
      <w:tr>
        <w:tc>
          <w:tcPr>
            <w:tcW w:type="dxa" w:w="5227"/>
          </w:tcPr>
          <w:p>
            <w:pPr>
              <w:spacing w:after="0"/>
            </w:pPr>
            <w:r>
              <w:rPr>
                <w:sz w:val="11"/>
              </w:rPr>
              <w:t>Data freshness</w:t>
            </w:r>
          </w:p>
        </w:tc>
        <w:tc>
          <w:tcPr>
            <w:tcW w:type="dxa" w:w="5227"/>
          </w:tcPr>
          <w:p>
            <w:pPr>
              <w:spacing w:after="0"/>
            </w:pPr>
            <w:r>
              <w:rPr>
                <w:sz w:val="11"/>
              </w:rPr>
              <w:t>Search/analytics/interfaces.</w:t>
            </w:r>
          </w:p>
        </w:tc>
      </w:tr>
      <w:tr>
        <w:tc>
          <w:tcPr>
            <w:tcW w:type="dxa" w:w="5227"/>
          </w:tcPr>
          <w:p>
            <w:pPr>
              <w:spacing w:after="0"/>
            </w:pPr>
            <w:r>
              <w:rPr>
                <w:sz w:val="11"/>
              </w:rPr>
              <w:t>Dependencies</w:t>
            </w:r>
          </w:p>
        </w:tc>
        <w:tc>
          <w:tcPr>
            <w:tcW w:type="dxa" w:w="5227"/>
          </w:tcPr>
          <w:p>
            <w:pPr>
              <w:spacing w:after="0"/>
            </w:pPr>
            <w:r>
              <w:rPr>
                <w:sz w:val="11"/>
              </w:rPr>
              <w:t>PACS/LIS/payer/etc.</w:t>
            </w:r>
          </w:p>
        </w:tc>
      </w:tr>
      <w:tr>
        <w:tc>
          <w:tcPr>
            <w:tcW w:type="dxa" w:w="5227"/>
          </w:tcPr>
          <w:p>
            <w:pPr>
              <w:spacing w:after="0"/>
            </w:pPr>
            <w:r>
              <w:rPr>
                <w:sz w:val="11"/>
              </w:rPr>
              <w:t>RTO/RPO</w:t>
            </w:r>
          </w:p>
        </w:tc>
        <w:tc>
          <w:tcPr>
            <w:tcW w:type="dxa" w:w="5227"/>
          </w:tcPr>
          <w:p>
            <w:pPr>
              <w:spacing w:after="0"/>
            </w:pPr>
            <w:r>
              <w:rPr>
                <w:sz w:val="11"/>
              </w:rPr>
              <w:t>Exercise evidence.</w:t>
            </w:r>
          </w:p>
        </w:tc>
      </w:tr>
      <w:tr>
        <w:tc>
          <w:tcPr>
            <w:tcW w:type="dxa" w:w="5227"/>
          </w:tcPr>
          <w:p>
            <w:pPr>
              <w:spacing w:after="0"/>
            </w:pPr>
            <w:r>
              <w:rPr>
                <w:sz w:val="11"/>
              </w:rPr>
              <w:t>Capacity</w:t>
            </w:r>
          </w:p>
        </w:tc>
        <w:tc>
          <w:tcPr>
            <w:tcW w:type="dxa" w:w="5227"/>
          </w:tcPr>
          <w:p>
            <w:pPr>
              <w:spacing w:after="0"/>
            </w:pPr>
            <w:r>
              <w:rPr>
                <w:sz w:val="11"/>
              </w:rPr>
              <w:t>Headroom/trend.</w:t>
            </w:r>
          </w:p>
        </w:tc>
      </w:tr>
    </w:tbl>
    <w:p>
      <w:pPr>
        <w:pStyle w:val="Heading1"/>
      </w:pPr>
      <w:r>
        <w:t>86. NFR Requirement Catalogue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0"/>
              </w:rPr>
              <w:t>ID</w:t>
            </w:r>
          </w:p>
        </w:tc>
        <w:tc>
          <w:tcPr>
            <w:tcW w:type="dxa" w:w="5227"/>
          </w:tcPr>
          <w:p>
            <w:pPr>
              <w:spacing w:after="0"/>
            </w:pPr>
            <w:r>
              <w:rPr>
                <w:b/>
                <w:sz w:val="10"/>
              </w:rPr>
              <w:t>Requirement</w:t>
            </w:r>
          </w:p>
        </w:tc>
      </w:tr>
      <w:tr>
        <w:tc>
          <w:tcPr>
            <w:tcW w:type="dxa" w:w="5227"/>
          </w:tcPr>
          <w:p>
            <w:pPr>
              <w:spacing w:after="0"/>
            </w:pPr>
            <w:r>
              <w:rPr>
                <w:sz w:val="10"/>
              </w:rPr>
              <w:t>NFR-001</w:t>
            </w:r>
          </w:p>
        </w:tc>
        <w:tc>
          <w:tcPr>
            <w:tcW w:type="dxa" w:w="5227"/>
          </w:tcPr>
          <w:p>
            <w:pPr>
              <w:spacing w:after="0"/>
            </w:pPr>
            <w:r>
              <w:rPr>
                <w:sz w:val="10"/>
              </w:rPr>
              <w:t>C0/C1 services SHALL have explicit production SLOs and monitoring.</w:t>
            </w:r>
          </w:p>
        </w:tc>
      </w:tr>
      <w:tr>
        <w:tc>
          <w:tcPr>
            <w:tcW w:type="dxa" w:w="5227"/>
          </w:tcPr>
          <w:p>
            <w:pPr>
              <w:spacing w:after="0"/>
            </w:pPr>
            <w:r>
              <w:rPr>
                <w:sz w:val="10"/>
              </w:rPr>
              <w:t>NFR-002</w:t>
            </w:r>
          </w:p>
        </w:tc>
        <w:tc>
          <w:tcPr>
            <w:tcW w:type="dxa" w:w="5227"/>
          </w:tcPr>
          <w:p>
            <w:pPr>
              <w:spacing w:after="0"/>
            </w:pPr>
            <w:r>
              <w:rPr>
                <w:sz w:val="10"/>
              </w:rPr>
              <w:t>Common clinical API reads SHALL target p95 ≤1.5 s under the validated normal-load envelope.</w:t>
            </w:r>
          </w:p>
        </w:tc>
      </w:tr>
      <w:tr>
        <w:tc>
          <w:tcPr>
            <w:tcW w:type="dxa" w:w="5227"/>
          </w:tcPr>
          <w:p>
            <w:pPr>
              <w:spacing w:after="0"/>
            </w:pPr>
            <w:r>
              <w:rPr>
                <w:sz w:val="10"/>
              </w:rPr>
              <w:t>NFR-003</w:t>
            </w:r>
          </w:p>
        </w:tc>
        <w:tc>
          <w:tcPr>
            <w:tcW w:type="dxa" w:w="5227"/>
          </w:tcPr>
          <w:p>
            <w:pPr>
              <w:spacing w:after="0"/>
            </w:pPr>
            <w:r>
              <w:rPr>
                <w:sz w:val="10"/>
              </w:rPr>
              <w:t>Common durable transactional writes SHALL target p95 ≤2.0 s under the validated normal-load envelope.</w:t>
            </w:r>
          </w:p>
        </w:tc>
      </w:tr>
      <w:tr>
        <w:tc>
          <w:tcPr>
            <w:tcW w:type="dxa" w:w="5227"/>
          </w:tcPr>
          <w:p>
            <w:pPr>
              <w:spacing w:after="0"/>
            </w:pPr>
            <w:r>
              <w:rPr>
                <w:sz w:val="10"/>
              </w:rPr>
              <w:t>NFR-004</w:t>
            </w:r>
          </w:p>
        </w:tc>
        <w:tc>
          <w:tcPr>
            <w:tcW w:type="dxa" w:w="5227"/>
          </w:tcPr>
          <w:p>
            <w:pPr>
              <w:spacing w:after="0"/>
            </w:pPr>
            <w:r>
              <w:rPr>
                <w:sz w:val="10"/>
              </w:rPr>
              <w:t>Clinical success SHALL NOT be displayed before durable acceptance or explicit offline-queued state.</w:t>
            </w:r>
          </w:p>
        </w:tc>
      </w:tr>
      <w:tr>
        <w:tc>
          <w:tcPr>
            <w:tcW w:type="dxa" w:w="5227"/>
          </w:tcPr>
          <w:p>
            <w:pPr>
              <w:spacing w:after="0"/>
            </w:pPr>
            <w:r>
              <w:rPr>
                <w:sz w:val="10"/>
              </w:rPr>
              <w:t>NFR-005</w:t>
            </w:r>
          </w:p>
        </w:tc>
        <w:tc>
          <w:tcPr>
            <w:tcW w:type="dxa" w:w="5227"/>
          </w:tcPr>
          <w:p>
            <w:pPr>
              <w:spacing w:after="0"/>
            </w:pPr>
            <w:r>
              <w:rPr>
                <w:sz w:val="10"/>
              </w:rPr>
              <w:t>Performance acceptance SHALL record concurrency, workload, dataset, environment and percentiles.</w:t>
            </w:r>
          </w:p>
        </w:tc>
      </w:tr>
      <w:tr>
        <w:tc>
          <w:tcPr>
            <w:tcW w:type="dxa" w:w="5227"/>
          </w:tcPr>
          <w:p>
            <w:pPr>
              <w:spacing w:after="0"/>
            </w:pPr>
            <w:r>
              <w:rPr>
                <w:sz w:val="10"/>
              </w:rPr>
              <w:t>NFR-006</w:t>
            </w:r>
          </w:p>
        </w:tc>
        <w:tc>
          <w:tcPr>
            <w:tcW w:type="dxa" w:w="5227"/>
          </w:tcPr>
          <w:p>
            <w:pPr>
              <w:spacing w:after="0"/>
            </w:pPr>
            <w:r>
              <w:rPr>
                <w:sz w:val="10"/>
              </w:rPr>
              <w:t>Critical writes SHALL be idempotent or otherwise protected against duplicate retry.</w:t>
            </w:r>
          </w:p>
        </w:tc>
      </w:tr>
      <w:tr>
        <w:tc>
          <w:tcPr>
            <w:tcW w:type="dxa" w:w="5227"/>
          </w:tcPr>
          <w:p>
            <w:pPr>
              <w:spacing w:after="0"/>
            </w:pPr>
            <w:r>
              <w:rPr>
                <w:sz w:val="10"/>
              </w:rPr>
              <w:t>NFR-007</w:t>
            </w:r>
          </w:p>
        </w:tc>
        <w:tc>
          <w:tcPr>
            <w:tcW w:type="dxa" w:w="5227"/>
          </w:tcPr>
          <w:p>
            <w:pPr>
              <w:spacing w:after="0"/>
            </w:pPr>
            <w:r>
              <w:rPr>
                <w:sz w:val="10"/>
              </w:rPr>
              <w:t>C0/C1 dependency failures SHALL have defined safe degradation or downtime procedure.</w:t>
            </w:r>
          </w:p>
        </w:tc>
      </w:tr>
      <w:tr>
        <w:tc>
          <w:tcPr>
            <w:tcW w:type="dxa" w:w="5227"/>
          </w:tcPr>
          <w:p>
            <w:pPr>
              <w:spacing w:after="0"/>
            </w:pPr>
            <w:r>
              <w:rPr>
                <w:sz w:val="10"/>
              </w:rPr>
              <w:t>NFR-008</w:t>
            </w:r>
          </w:p>
        </w:tc>
        <w:tc>
          <w:tcPr>
            <w:tcW w:type="dxa" w:w="5227"/>
          </w:tcPr>
          <w:p>
            <w:pPr>
              <w:spacing w:after="0"/>
            </w:pPr>
            <w:r>
              <w:rPr>
                <w:sz w:val="10"/>
              </w:rPr>
              <w:t>Acknowledged C0/C1 transactions SHALL target near-zero data loss for covered failure scenarios.</w:t>
            </w:r>
          </w:p>
        </w:tc>
      </w:tr>
      <w:tr>
        <w:tc>
          <w:tcPr>
            <w:tcW w:type="dxa" w:w="5227"/>
          </w:tcPr>
          <w:p>
            <w:pPr>
              <w:spacing w:after="0"/>
            </w:pPr>
            <w:r>
              <w:rPr>
                <w:sz w:val="10"/>
              </w:rPr>
              <w:t>NFR-009</w:t>
            </w:r>
          </w:p>
        </w:tc>
        <w:tc>
          <w:tcPr>
            <w:tcW w:type="dxa" w:w="5227"/>
          </w:tcPr>
          <w:p>
            <w:pPr>
              <w:spacing w:after="0"/>
            </w:pPr>
            <w:r>
              <w:rPr>
                <w:sz w:val="10"/>
              </w:rPr>
              <w:t>Backup restoration SHALL be tested and measured.</w:t>
            </w:r>
          </w:p>
        </w:tc>
      </w:tr>
      <w:tr>
        <w:tc>
          <w:tcPr>
            <w:tcW w:type="dxa" w:w="5227"/>
          </w:tcPr>
          <w:p>
            <w:pPr>
              <w:spacing w:after="0"/>
            </w:pPr>
            <w:r>
              <w:rPr>
                <w:sz w:val="10"/>
              </w:rPr>
              <w:t>NFR-010</w:t>
            </w:r>
          </w:p>
        </w:tc>
        <w:tc>
          <w:tcPr>
            <w:tcW w:type="dxa" w:w="5227"/>
          </w:tcPr>
          <w:p>
            <w:pPr>
              <w:spacing w:after="0"/>
            </w:pPr>
            <w:r>
              <w:rPr>
                <w:sz w:val="10"/>
              </w:rPr>
              <w:t>Offline/edge mode SHALL persist acknowledged local transactions across restart.</w:t>
            </w:r>
          </w:p>
        </w:tc>
      </w:tr>
      <w:tr>
        <w:tc>
          <w:tcPr>
            <w:tcW w:type="dxa" w:w="5227"/>
          </w:tcPr>
          <w:p>
            <w:pPr>
              <w:spacing w:after="0"/>
            </w:pPr>
            <w:r>
              <w:rPr>
                <w:sz w:val="10"/>
              </w:rPr>
              <w:t>NFR-011</w:t>
            </w:r>
          </w:p>
        </w:tc>
        <w:tc>
          <w:tcPr>
            <w:tcW w:type="dxa" w:w="5227"/>
          </w:tcPr>
          <w:p>
            <w:pPr>
              <w:spacing w:after="0"/>
            </w:pPr>
            <w:r>
              <w:rPr>
                <w:sz w:val="10"/>
              </w:rPr>
              <w:t>Offline synchronization SHALL NOT use blind last-write-wins for signed clinical facts.</w:t>
            </w:r>
          </w:p>
        </w:tc>
      </w:tr>
      <w:tr>
        <w:tc>
          <w:tcPr>
            <w:tcW w:type="dxa" w:w="5227"/>
          </w:tcPr>
          <w:p>
            <w:pPr>
              <w:spacing w:after="0"/>
            </w:pPr>
            <w:r>
              <w:rPr>
                <w:sz w:val="10"/>
              </w:rPr>
              <w:t>NFR-012</w:t>
            </w:r>
          </w:p>
        </w:tc>
        <w:tc>
          <w:tcPr>
            <w:tcW w:type="dxa" w:w="5227"/>
          </w:tcPr>
          <w:p>
            <w:pPr>
              <w:spacing w:after="0"/>
            </w:pPr>
            <w:r>
              <w:rPr>
                <w:sz w:val="10"/>
              </w:rPr>
              <w:t>Critical service observability SHALL include latency, errors, traffic and saturation.</w:t>
            </w:r>
          </w:p>
        </w:tc>
      </w:tr>
      <w:tr>
        <w:tc>
          <w:tcPr>
            <w:tcW w:type="dxa" w:w="5227"/>
          </w:tcPr>
          <w:p>
            <w:pPr>
              <w:spacing w:after="0"/>
            </w:pPr>
            <w:r>
              <w:rPr>
                <w:sz w:val="10"/>
              </w:rPr>
              <w:t>NFR-013</w:t>
            </w:r>
          </w:p>
        </w:tc>
        <w:tc>
          <w:tcPr>
            <w:tcW w:type="dxa" w:w="5227"/>
          </w:tcPr>
          <w:p>
            <w:pPr>
              <w:spacing w:after="0"/>
            </w:pPr>
            <w:r>
              <w:rPr>
                <w:sz w:val="10"/>
              </w:rPr>
              <w:t>Queue-based workflows SHALL expose backlog age, failures and dead-letter state.</w:t>
            </w:r>
          </w:p>
        </w:tc>
      </w:tr>
      <w:tr>
        <w:tc>
          <w:tcPr>
            <w:tcW w:type="dxa" w:w="5227"/>
          </w:tcPr>
          <w:p>
            <w:pPr>
              <w:spacing w:after="0"/>
            </w:pPr>
            <w:r>
              <w:rPr>
                <w:sz w:val="10"/>
              </w:rPr>
              <w:t>NFR-014</w:t>
            </w:r>
          </w:p>
        </w:tc>
        <w:tc>
          <w:tcPr>
            <w:tcW w:type="dxa" w:w="5227"/>
          </w:tcPr>
          <w:p>
            <w:pPr>
              <w:spacing w:after="0"/>
            </w:pPr>
            <w:r>
              <w:rPr>
                <w:sz w:val="10"/>
              </w:rPr>
              <w:t>Analytics/bulk workloads SHALL be isolated from critical clinical transaction capacity.</w:t>
            </w:r>
          </w:p>
        </w:tc>
      </w:tr>
      <w:tr>
        <w:tc>
          <w:tcPr>
            <w:tcW w:type="dxa" w:w="5227"/>
          </w:tcPr>
          <w:p>
            <w:pPr>
              <w:spacing w:after="0"/>
            </w:pPr>
            <w:r>
              <w:rPr>
                <w:sz w:val="10"/>
              </w:rPr>
              <w:t>NFR-015</w:t>
            </w:r>
          </w:p>
        </w:tc>
        <w:tc>
          <w:tcPr>
            <w:tcW w:type="dxa" w:w="5227"/>
          </w:tcPr>
          <w:p>
            <w:pPr>
              <w:spacing w:after="0"/>
            </w:pPr>
            <w:r>
              <w:rPr>
                <w:sz w:val="10"/>
              </w:rPr>
              <w:t>Production capacity SHALL maintain defined headroom at validated peak load.</w:t>
            </w:r>
          </w:p>
        </w:tc>
      </w:tr>
      <w:tr>
        <w:tc>
          <w:tcPr>
            <w:tcW w:type="dxa" w:w="5227"/>
          </w:tcPr>
          <w:p>
            <w:pPr>
              <w:spacing w:after="0"/>
            </w:pPr>
            <w:r>
              <w:rPr>
                <w:sz w:val="10"/>
              </w:rPr>
              <w:t>NFR-016</w:t>
            </w:r>
          </w:p>
        </w:tc>
        <w:tc>
          <w:tcPr>
            <w:tcW w:type="dxa" w:w="5227"/>
          </w:tcPr>
          <w:p>
            <w:pPr>
              <w:spacing w:after="0"/>
            </w:pPr>
            <w:r>
              <w:rPr>
                <w:sz w:val="10"/>
              </w:rPr>
              <w:t>Patient search SHALL be capacity-tested against representative patient volume.</w:t>
            </w:r>
          </w:p>
        </w:tc>
      </w:tr>
      <w:tr>
        <w:tc>
          <w:tcPr>
            <w:tcW w:type="dxa" w:w="5227"/>
          </w:tcPr>
          <w:p>
            <w:pPr>
              <w:spacing w:after="0"/>
            </w:pPr>
            <w:r>
              <w:rPr>
                <w:sz w:val="10"/>
              </w:rPr>
              <w:t>NFR-017</w:t>
            </w:r>
          </w:p>
        </w:tc>
        <w:tc>
          <w:tcPr>
            <w:tcW w:type="dxa" w:w="5227"/>
          </w:tcPr>
          <w:p>
            <w:pPr>
              <w:spacing w:after="0"/>
            </w:pPr>
            <w:r>
              <w:rPr>
                <w:sz w:val="10"/>
              </w:rPr>
              <w:t>FHIR and partner APIs SHALL publish rate, size and pagination limits.</w:t>
            </w:r>
          </w:p>
        </w:tc>
      </w:tr>
      <w:tr>
        <w:tc>
          <w:tcPr>
            <w:tcW w:type="dxa" w:w="5227"/>
          </w:tcPr>
          <w:p>
            <w:pPr>
              <w:spacing w:after="0"/>
            </w:pPr>
            <w:r>
              <w:rPr>
                <w:sz w:val="10"/>
              </w:rPr>
              <w:t>NFR-018</w:t>
            </w:r>
          </w:p>
        </w:tc>
        <w:tc>
          <w:tcPr>
            <w:tcW w:type="dxa" w:w="5227"/>
          </w:tcPr>
          <w:p>
            <w:pPr>
              <w:spacing w:after="0"/>
            </w:pPr>
            <w:r>
              <w:rPr>
                <w:sz w:val="10"/>
              </w:rPr>
              <w:t>The UI SHALL provide explicit feedback for operations whose response is not immediate.</w:t>
            </w:r>
          </w:p>
        </w:tc>
      </w:tr>
      <w:tr>
        <w:tc>
          <w:tcPr>
            <w:tcW w:type="dxa" w:w="5227"/>
          </w:tcPr>
          <w:p>
            <w:pPr>
              <w:spacing w:after="0"/>
            </w:pPr>
            <w:r>
              <w:rPr>
                <w:sz w:val="10"/>
              </w:rPr>
              <w:t>NFR-019</w:t>
            </w:r>
          </w:p>
        </w:tc>
        <w:tc>
          <w:tcPr>
            <w:tcW w:type="dxa" w:w="5227"/>
          </w:tcPr>
          <w:p>
            <w:pPr>
              <w:spacing w:after="0"/>
            </w:pPr>
            <w:r>
              <w:rPr>
                <w:sz w:val="10"/>
              </w:rPr>
              <w:t>Core web workflows SHALL target WCAG 2.2 AA-aligned accessibility.</w:t>
            </w:r>
          </w:p>
        </w:tc>
      </w:tr>
      <w:tr>
        <w:tc>
          <w:tcPr>
            <w:tcW w:type="dxa" w:w="5227"/>
          </w:tcPr>
          <w:p>
            <w:pPr>
              <w:spacing w:after="0"/>
            </w:pPr>
            <w:r>
              <w:rPr>
                <w:sz w:val="10"/>
              </w:rPr>
              <w:t>NFR-020</w:t>
            </w:r>
          </w:p>
        </w:tc>
        <w:tc>
          <w:tcPr>
            <w:tcW w:type="dxa" w:w="5227"/>
          </w:tcPr>
          <w:p>
            <w:pPr>
              <w:spacing w:after="0"/>
            </w:pPr>
            <w:r>
              <w:rPr>
                <w:sz w:val="10"/>
              </w:rPr>
              <w:t>Critical workflows SHALL be keyboard-operable where workstation use is expected.</w:t>
            </w:r>
          </w:p>
        </w:tc>
      </w:tr>
      <w:tr>
        <w:tc>
          <w:tcPr>
            <w:tcW w:type="dxa" w:w="5227"/>
          </w:tcPr>
          <w:p>
            <w:pPr>
              <w:spacing w:after="0"/>
            </w:pPr>
            <w:r>
              <w:rPr>
                <w:sz w:val="10"/>
              </w:rPr>
              <w:t>NFR-021</w:t>
            </w:r>
          </w:p>
        </w:tc>
        <w:tc>
          <w:tcPr>
            <w:tcW w:type="dxa" w:w="5227"/>
          </w:tcPr>
          <w:p>
            <w:pPr>
              <w:spacing w:after="0"/>
            </w:pPr>
            <w:r>
              <w:rPr>
                <w:sz w:val="10"/>
              </w:rPr>
              <w:t>Time-sensitive records SHALL preserve effective, recorded and source timestamps.</w:t>
            </w:r>
          </w:p>
        </w:tc>
      </w:tr>
      <w:tr>
        <w:tc>
          <w:tcPr>
            <w:tcW w:type="dxa" w:w="5227"/>
          </w:tcPr>
          <w:p>
            <w:pPr>
              <w:spacing w:after="0"/>
            </w:pPr>
            <w:r>
              <w:rPr>
                <w:sz w:val="10"/>
              </w:rPr>
              <w:t>NFR-022</w:t>
            </w:r>
          </w:p>
        </w:tc>
        <w:tc>
          <w:tcPr>
            <w:tcW w:type="dxa" w:w="5227"/>
          </w:tcPr>
          <w:p>
            <w:pPr>
              <w:spacing w:after="0"/>
            </w:pPr>
            <w:r>
              <w:rPr>
                <w:sz w:val="10"/>
              </w:rPr>
              <w:t>Search/index/analytics freshness SHALL be measured and displayed where staleness affects interpretation.</w:t>
            </w:r>
          </w:p>
        </w:tc>
      </w:tr>
      <w:tr>
        <w:tc>
          <w:tcPr>
            <w:tcW w:type="dxa" w:w="5227"/>
          </w:tcPr>
          <w:p>
            <w:pPr>
              <w:spacing w:after="0"/>
            </w:pPr>
            <w:r>
              <w:rPr>
                <w:sz w:val="10"/>
              </w:rPr>
              <w:t>NFR-023</w:t>
            </w:r>
          </w:p>
        </w:tc>
        <w:tc>
          <w:tcPr>
            <w:tcW w:type="dxa" w:w="5227"/>
          </w:tcPr>
          <w:p>
            <w:pPr>
              <w:spacing w:after="0"/>
            </w:pPr>
            <w:r>
              <w:rPr>
                <w:sz w:val="10"/>
              </w:rPr>
              <w:t>External dependency timeouts/retries SHALL be bounded.</w:t>
            </w:r>
          </w:p>
        </w:tc>
      </w:tr>
      <w:tr>
        <w:tc>
          <w:tcPr>
            <w:tcW w:type="dxa" w:w="5227"/>
          </w:tcPr>
          <w:p>
            <w:pPr>
              <w:spacing w:after="0"/>
            </w:pPr>
            <w:r>
              <w:rPr>
                <w:sz w:val="10"/>
              </w:rPr>
              <w:t>NFR-024</w:t>
            </w:r>
          </w:p>
        </w:tc>
        <w:tc>
          <w:tcPr>
            <w:tcW w:type="dxa" w:w="5227"/>
          </w:tcPr>
          <w:p>
            <w:pPr>
              <w:spacing w:after="0"/>
            </w:pPr>
            <w:r>
              <w:rPr>
                <w:sz w:val="10"/>
              </w:rPr>
              <w:t>Service scaling SHALL preserve authorization, idempotency and domain invariants.</w:t>
            </w:r>
          </w:p>
        </w:tc>
      </w:tr>
      <w:tr>
        <w:tc>
          <w:tcPr>
            <w:tcW w:type="dxa" w:w="5227"/>
          </w:tcPr>
          <w:p>
            <w:pPr>
              <w:spacing w:after="0"/>
            </w:pPr>
            <w:r>
              <w:rPr>
                <w:sz w:val="10"/>
              </w:rPr>
              <w:t>NFR-025</w:t>
            </w:r>
          </w:p>
        </w:tc>
        <w:tc>
          <w:tcPr>
            <w:tcW w:type="dxa" w:w="5227"/>
          </w:tcPr>
          <w:p>
            <w:pPr>
              <w:spacing w:after="0"/>
            </w:pPr>
            <w:r>
              <w:rPr>
                <w:sz w:val="10"/>
              </w:rPr>
              <w:t>Production releases SHALL declare supported browser/client/integration versions.</w:t>
            </w:r>
          </w:p>
        </w:tc>
      </w:tr>
      <w:tr>
        <w:tc>
          <w:tcPr>
            <w:tcW w:type="dxa" w:w="5227"/>
          </w:tcPr>
          <w:p>
            <w:pPr>
              <w:spacing w:after="0"/>
            </w:pPr>
            <w:r>
              <w:rPr>
                <w:sz w:val="10"/>
              </w:rPr>
              <w:t>NFR-026</w:t>
            </w:r>
          </w:p>
        </w:tc>
        <w:tc>
          <w:tcPr>
            <w:tcW w:type="dxa" w:w="5227"/>
          </w:tcPr>
          <w:p>
            <w:pPr>
              <w:spacing w:after="0"/>
            </w:pPr>
            <w:r>
              <w:rPr>
                <w:sz w:val="10"/>
              </w:rPr>
              <w:t>Data/storage capacity SHALL be forecast before defined saturation thresholds.</w:t>
            </w:r>
          </w:p>
        </w:tc>
      </w:tr>
      <w:tr>
        <w:tc>
          <w:tcPr>
            <w:tcW w:type="dxa" w:w="5227"/>
          </w:tcPr>
          <w:p>
            <w:pPr>
              <w:spacing w:after="0"/>
            </w:pPr>
            <w:r>
              <w:rPr>
                <w:sz w:val="10"/>
              </w:rPr>
              <w:t>NFR-027</w:t>
            </w:r>
          </w:p>
        </w:tc>
        <w:tc>
          <w:tcPr>
            <w:tcW w:type="dxa" w:w="5227"/>
          </w:tcPr>
          <w:p>
            <w:pPr>
              <w:spacing w:after="0"/>
            </w:pPr>
            <w:r>
              <w:rPr>
                <w:sz w:val="10"/>
              </w:rPr>
              <w:t>Facility edge capacity SHALL be sized for the agreed disconnected operating window.</w:t>
            </w:r>
          </w:p>
        </w:tc>
      </w:tr>
      <w:tr>
        <w:tc>
          <w:tcPr>
            <w:tcW w:type="dxa" w:w="5227"/>
          </w:tcPr>
          <w:p>
            <w:pPr>
              <w:spacing w:after="0"/>
            </w:pPr>
            <w:r>
              <w:rPr>
                <w:sz w:val="10"/>
              </w:rPr>
              <w:t>NFR-028</w:t>
            </w:r>
          </w:p>
        </w:tc>
        <w:tc>
          <w:tcPr>
            <w:tcW w:type="dxa" w:w="5227"/>
          </w:tcPr>
          <w:p>
            <w:pPr>
              <w:spacing w:after="0"/>
            </w:pPr>
            <w:r>
              <w:rPr>
                <w:sz w:val="10"/>
              </w:rPr>
              <w:t>SLO breaches SHALL be reviewable through retained monitoring evidence.</w:t>
            </w:r>
          </w:p>
        </w:tc>
      </w:tr>
      <w:tr>
        <w:tc>
          <w:tcPr>
            <w:tcW w:type="dxa" w:w="5227"/>
          </w:tcPr>
          <w:p>
            <w:pPr>
              <w:spacing w:after="0"/>
            </w:pPr>
            <w:r>
              <w:rPr>
                <w:sz w:val="10"/>
              </w:rPr>
              <w:t>NFR-029</w:t>
            </w:r>
          </w:p>
        </w:tc>
        <w:tc>
          <w:tcPr>
            <w:tcW w:type="dxa" w:w="5227"/>
          </w:tcPr>
          <w:p>
            <w:pPr>
              <w:spacing w:after="0"/>
            </w:pPr>
            <w:r>
              <w:rPr>
                <w:sz w:val="10"/>
              </w:rPr>
              <w:t>Recovery testing SHALL include representative clinical data-integrity verification.</w:t>
            </w:r>
          </w:p>
        </w:tc>
      </w:tr>
      <w:tr>
        <w:tc>
          <w:tcPr>
            <w:tcW w:type="dxa" w:w="5227"/>
          </w:tcPr>
          <w:p>
            <w:pPr>
              <w:spacing w:after="0"/>
            </w:pPr>
            <w:r>
              <w:rPr>
                <w:sz w:val="10"/>
              </w:rPr>
              <w:t>NFR-030</w:t>
            </w:r>
          </w:p>
        </w:tc>
        <w:tc>
          <w:tcPr>
            <w:tcW w:type="dxa" w:w="5227"/>
          </w:tcPr>
          <w:p>
            <w:pPr>
              <w:spacing w:after="0"/>
            </w:pPr>
            <w:r>
              <w:rPr>
                <w:sz w:val="10"/>
              </w:rPr>
              <w:t>A release SHALL NOT claim NFR compliance solely from unit tests; production-like performance/resilience evidence is required.</w:t>
            </w:r>
          </w:p>
        </w:tc>
      </w:tr>
    </w:tbl>
    <w:p>
      <w:pPr>
        <w:pStyle w:val="Heading1"/>
      </w:pPr>
      <w:r>
        <w:t>87. NFR Traceability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Requirement family</w:t>
            </w:r>
          </w:p>
        </w:tc>
        <w:tc>
          <w:tcPr>
            <w:tcW w:type="dxa" w:w="5227"/>
          </w:tcPr>
          <w:p>
            <w:pPr>
              <w:spacing w:after="0"/>
            </w:pPr>
            <w:r>
              <w:rPr>
                <w:b/>
                <w:sz w:val="11"/>
              </w:rPr>
              <w:t>Primary evidence</w:t>
            </w:r>
          </w:p>
        </w:tc>
      </w:tr>
      <w:tr>
        <w:tc>
          <w:tcPr>
            <w:tcW w:type="dxa" w:w="5227"/>
          </w:tcPr>
          <w:p>
            <w:pPr>
              <w:spacing w:after="0"/>
            </w:pPr>
            <w:r>
              <w:rPr>
                <w:sz w:val="11"/>
              </w:rPr>
              <w:t>Availability</w:t>
            </w:r>
          </w:p>
        </w:tc>
        <w:tc>
          <w:tcPr>
            <w:tcW w:type="dxa" w:w="5227"/>
          </w:tcPr>
          <w:p>
            <w:pPr>
              <w:spacing w:after="0"/>
            </w:pPr>
            <w:r>
              <w:rPr>
                <w:sz w:val="11"/>
              </w:rPr>
              <w:t>SLI dashboard + outage record.</w:t>
            </w:r>
          </w:p>
        </w:tc>
      </w:tr>
      <w:tr>
        <w:tc>
          <w:tcPr>
            <w:tcW w:type="dxa" w:w="5227"/>
          </w:tcPr>
          <w:p>
            <w:pPr>
              <w:spacing w:after="0"/>
            </w:pPr>
            <w:r>
              <w:rPr>
                <w:sz w:val="11"/>
              </w:rPr>
              <w:t>Performance</w:t>
            </w:r>
          </w:p>
        </w:tc>
        <w:tc>
          <w:tcPr>
            <w:tcW w:type="dxa" w:w="5227"/>
          </w:tcPr>
          <w:p>
            <w:pPr>
              <w:spacing w:after="0"/>
            </w:pPr>
            <w:r>
              <w:rPr>
                <w:sz w:val="11"/>
              </w:rPr>
              <w:t>Load test report.</w:t>
            </w:r>
          </w:p>
        </w:tc>
      </w:tr>
      <w:tr>
        <w:tc>
          <w:tcPr>
            <w:tcW w:type="dxa" w:w="5227"/>
          </w:tcPr>
          <w:p>
            <w:pPr>
              <w:spacing w:after="0"/>
            </w:pPr>
            <w:r>
              <w:rPr>
                <w:sz w:val="11"/>
              </w:rPr>
              <w:t>Scalability</w:t>
            </w:r>
          </w:p>
        </w:tc>
        <w:tc>
          <w:tcPr>
            <w:tcW w:type="dxa" w:w="5227"/>
          </w:tcPr>
          <w:p>
            <w:pPr>
              <w:spacing w:after="0"/>
            </w:pPr>
            <w:r>
              <w:rPr>
                <w:sz w:val="11"/>
              </w:rPr>
              <w:t>Stress/scale test.</w:t>
            </w:r>
          </w:p>
        </w:tc>
      </w:tr>
      <w:tr>
        <w:tc>
          <w:tcPr>
            <w:tcW w:type="dxa" w:w="5227"/>
          </w:tcPr>
          <w:p>
            <w:pPr>
              <w:spacing w:after="0"/>
            </w:pPr>
            <w:r>
              <w:rPr>
                <w:sz w:val="11"/>
              </w:rPr>
              <w:t>Reliability</w:t>
            </w:r>
          </w:p>
        </w:tc>
        <w:tc>
          <w:tcPr>
            <w:tcW w:type="dxa" w:w="5227"/>
          </w:tcPr>
          <w:p>
            <w:pPr>
              <w:spacing w:after="0"/>
            </w:pPr>
            <w:r>
              <w:rPr>
                <w:sz w:val="11"/>
              </w:rPr>
              <w:t>Failure/retry tests.</w:t>
            </w:r>
          </w:p>
        </w:tc>
      </w:tr>
      <w:tr>
        <w:tc>
          <w:tcPr>
            <w:tcW w:type="dxa" w:w="5227"/>
          </w:tcPr>
          <w:p>
            <w:pPr>
              <w:spacing w:after="0"/>
            </w:pPr>
            <w:r>
              <w:rPr>
                <w:sz w:val="11"/>
              </w:rPr>
              <w:t>Durability</w:t>
            </w:r>
          </w:p>
        </w:tc>
        <w:tc>
          <w:tcPr>
            <w:tcW w:type="dxa" w:w="5227"/>
          </w:tcPr>
          <w:p>
            <w:pPr>
              <w:spacing w:after="0"/>
            </w:pPr>
            <w:r>
              <w:rPr>
                <w:sz w:val="11"/>
              </w:rPr>
              <w:t>Crash/recovery test.</w:t>
            </w:r>
          </w:p>
        </w:tc>
      </w:tr>
      <w:tr>
        <w:tc>
          <w:tcPr>
            <w:tcW w:type="dxa" w:w="5227"/>
          </w:tcPr>
          <w:p>
            <w:pPr>
              <w:spacing w:after="0"/>
            </w:pPr>
            <w:r>
              <w:rPr>
                <w:sz w:val="11"/>
              </w:rPr>
              <w:t>RPO/RTO</w:t>
            </w:r>
          </w:p>
        </w:tc>
        <w:tc>
          <w:tcPr>
            <w:tcW w:type="dxa" w:w="5227"/>
          </w:tcPr>
          <w:p>
            <w:pPr>
              <w:spacing w:after="0"/>
            </w:pPr>
            <w:r>
              <w:rPr>
                <w:sz w:val="11"/>
              </w:rPr>
              <w:t>DR exercise.</w:t>
            </w:r>
          </w:p>
        </w:tc>
      </w:tr>
      <w:tr>
        <w:tc>
          <w:tcPr>
            <w:tcW w:type="dxa" w:w="5227"/>
          </w:tcPr>
          <w:p>
            <w:pPr>
              <w:spacing w:after="0"/>
            </w:pPr>
            <w:r>
              <w:rPr>
                <w:sz w:val="11"/>
              </w:rPr>
              <w:t>Offline</w:t>
            </w:r>
          </w:p>
        </w:tc>
        <w:tc>
          <w:tcPr>
            <w:tcW w:type="dxa" w:w="5227"/>
          </w:tcPr>
          <w:p>
            <w:pPr>
              <w:spacing w:after="0"/>
            </w:pPr>
            <w:r>
              <w:rPr>
                <w:sz w:val="11"/>
              </w:rPr>
              <w:t>Disconnect/reconnect test.</w:t>
            </w:r>
          </w:p>
        </w:tc>
      </w:tr>
      <w:tr>
        <w:tc>
          <w:tcPr>
            <w:tcW w:type="dxa" w:w="5227"/>
          </w:tcPr>
          <w:p>
            <w:pPr>
              <w:spacing w:after="0"/>
            </w:pPr>
            <w:r>
              <w:rPr>
                <w:sz w:val="11"/>
              </w:rPr>
              <w:t>Accessibility</w:t>
            </w:r>
          </w:p>
        </w:tc>
        <w:tc>
          <w:tcPr>
            <w:tcW w:type="dxa" w:w="5227"/>
          </w:tcPr>
          <w:p>
            <w:pPr>
              <w:spacing w:after="0"/>
            </w:pPr>
            <w:r>
              <w:rPr>
                <w:sz w:val="11"/>
              </w:rPr>
              <w:t>Automated/manual audit.</w:t>
            </w:r>
          </w:p>
        </w:tc>
      </w:tr>
      <w:tr>
        <w:tc>
          <w:tcPr>
            <w:tcW w:type="dxa" w:w="5227"/>
          </w:tcPr>
          <w:p>
            <w:pPr>
              <w:spacing w:after="0"/>
            </w:pPr>
            <w:r>
              <w:rPr>
                <w:sz w:val="11"/>
              </w:rPr>
              <w:t>Usability</w:t>
            </w:r>
          </w:p>
        </w:tc>
        <w:tc>
          <w:tcPr>
            <w:tcW w:type="dxa" w:w="5227"/>
          </w:tcPr>
          <w:p>
            <w:pPr>
              <w:spacing w:after="0"/>
            </w:pPr>
            <w:r>
              <w:rPr>
                <w:sz w:val="11"/>
              </w:rPr>
              <w:t>Role-based clinical usability test.</w:t>
            </w:r>
          </w:p>
        </w:tc>
      </w:tr>
      <w:tr>
        <w:tc>
          <w:tcPr>
            <w:tcW w:type="dxa" w:w="5227"/>
          </w:tcPr>
          <w:p>
            <w:pPr>
              <w:spacing w:after="0"/>
            </w:pPr>
            <w:r>
              <w:rPr>
                <w:sz w:val="11"/>
              </w:rPr>
              <w:t>Interoperability</w:t>
            </w:r>
          </w:p>
        </w:tc>
        <w:tc>
          <w:tcPr>
            <w:tcW w:type="dxa" w:w="5227"/>
          </w:tcPr>
          <w:p>
            <w:pPr>
              <w:spacing w:after="0"/>
            </w:pPr>
            <w:r>
              <w:rPr>
                <w:sz w:val="11"/>
              </w:rPr>
              <w:t>Conformance/performance test.</w:t>
            </w:r>
          </w:p>
        </w:tc>
      </w:tr>
      <w:tr>
        <w:tc>
          <w:tcPr>
            <w:tcW w:type="dxa" w:w="5227"/>
          </w:tcPr>
          <w:p>
            <w:pPr>
              <w:spacing w:after="0"/>
            </w:pPr>
            <w:r>
              <w:rPr>
                <w:sz w:val="11"/>
              </w:rPr>
              <w:t>Maintainability</w:t>
            </w:r>
          </w:p>
        </w:tc>
        <w:tc>
          <w:tcPr>
            <w:tcW w:type="dxa" w:w="5227"/>
          </w:tcPr>
          <w:p>
            <w:pPr>
              <w:spacing w:after="0"/>
            </w:pPr>
            <w:r>
              <w:rPr>
                <w:sz w:val="11"/>
              </w:rPr>
              <w:t>CI/architecture metrics.</w:t>
            </w:r>
          </w:p>
        </w:tc>
      </w:tr>
      <w:tr>
        <w:tc>
          <w:tcPr>
            <w:tcW w:type="dxa" w:w="5227"/>
          </w:tcPr>
          <w:p>
            <w:pPr>
              <w:spacing w:after="0"/>
            </w:pPr>
            <w:r>
              <w:rPr>
                <w:sz w:val="11"/>
              </w:rPr>
              <w:t>Observability</w:t>
            </w:r>
          </w:p>
        </w:tc>
        <w:tc>
          <w:tcPr>
            <w:tcW w:type="dxa" w:w="5227"/>
          </w:tcPr>
          <w:p>
            <w:pPr>
              <w:spacing w:after="0"/>
            </w:pPr>
            <w:r>
              <w:rPr>
                <w:sz w:val="11"/>
              </w:rPr>
              <w:t>Dashboard/alert/runbook.</w:t>
            </w:r>
          </w:p>
        </w:tc>
      </w:tr>
      <w:tr>
        <w:tc>
          <w:tcPr>
            <w:tcW w:type="dxa" w:w="5227"/>
          </w:tcPr>
          <w:p>
            <w:pPr>
              <w:spacing w:after="0"/>
            </w:pPr>
            <w:r>
              <w:rPr>
                <w:sz w:val="11"/>
              </w:rPr>
              <w:t>Capacity</w:t>
            </w:r>
          </w:p>
        </w:tc>
        <w:tc>
          <w:tcPr>
            <w:tcW w:type="dxa" w:w="5227"/>
          </w:tcPr>
          <w:p>
            <w:pPr>
              <w:spacing w:after="0"/>
            </w:pPr>
            <w:r>
              <w:rPr>
                <w:sz w:val="11"/>
              </w:rPr>
              <w:t>Forecast + headroom report.</w:t>
            </w:r>
          </w:p>
        </w:tc>
      </w:tr>
    </w:tbl>
    <w:p>
      <w:pPr>
        <w:pStyle w:val="Heading1"/>
      </w:pPr>
      <w:r>
        <w:t>88. Release Gates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Gate</w:t>
            </w:r>
          </w:p>
        </w:tc>
        <w:tc>
          <w:tcPr>
            <w:tcW w:type="dxa" w:w="5227"/>
          </w:tcPr>
          <w:p>
            <w:pPr>
              <w:spacing w:after="0"/>
            </w:pPr>
            <w:r>
              <w:rPr>
                <w:b/>
                <w:sz w:val="11"/>
              </w:rPr>
              <w:t>Evidence</w:t>
            </w:r>
          </w:p>
        </w:tc>
      </w:tr>
      <w:tr>
        <w:tc>
          <w:tcPr>
            <w:tcW w:type="dxa" w:w="5227"/>
          </w:tcPr>
          <w:p>
            <w:pPr>
              <w:spacing w:after="0"/>
            </w:pPr>
            <w:r>
              <w:rPr>
                <w:sz w:val="11"/>
              </w:rPr>
              <w:t>NFR definition</w:t>
            </w:r>
          </w:p>
        </w:tc>
        <w:tc>
          <w:tcPr>
            <w:tcW w:type="dxa" w:w="5227"/>
          </w:tcPr>
          <w:p>
            <w:pPr>
              <w:spacing w:after="0"/>
            </w:pPr>
            <w:r>
              <w:rPr>
                <w:sz w:val="11"/>
              </w:rPr>
              <w:t>Relevant NFRs selected for release.</w:t>
            </w:r>
          </w:p>
        </w:tc>
      </w:tr>
      <w:tr>
        <w:tc>
          <w:tcPr>
            <w:tcW w:type="dxa" w:w="5227"/>
          </w:tcPr>
          <w:p>
            <w:pPr>
              <w:spacing w:after="0"/>
            </w:pPr>
            <w:r>
              <w:rPr>
                <w:sz w:val="11"/>
              </w:rPr>
              <w:t>Performance</w:t>
            </w:r>
          </w:p>
        </w:tc>
        <w:tc>
          <w:tcPr>
            <w:tcW w:type="dxa" w:w="5227"/>
          </w:tcPr>
          <w:p>
            <w:pPr>
              <w:spacing w:after="0"/>
            </w:pPr>
            <w:r>
              <w:rPr>
                <w:sz w:val="11"/>
              </w:rPr>
              <w:t>Critical paths within target.</w:t>
            </w:r>
          </w:p>
        </w:tc>
      </w:tr>
      <w:tr>
        <w:tc>
          <w:tcPr>
            <w:tcW w:type="dxa" w:w="5227"/>
          </w:tcPr>
          <w:p>
            <w:pPr>
              <w:spacing w:after="0"/>
            </w:pPr>
            <w:r>
              <w:rPr>
                <w:sz w:val="11"/>
              </w:rPr>
              <w:t>Load</w:t>
            </w:r>
          </w:p>
        </w:tc>
        <w:tc>
          <w:tcPr>
            <w:tcW w:type="dxa" w:w="5227"/>
          </w:tcPr>
          <w:p>
            <w:pPr>
              <w:spacing w:after="0"/>
            </w:pPr>
            <w:r>
              <w:rPr>
                <w:sz w:val="11"/>
              </w:rPr>
              <w:t>Expected peak + headroom validated.</w:t>
            </w:r>
          </w:p>
        </w:tc>
      </w:tr>
      <w:tr>
        <w:tc>
          <w:tcPr>
            <w:tcW w:type="dxa" w:w="5227"/>
          </w:tcPr>
          <w:p>
            <w:pPr>
              <w:spacing w:after="0"/>
            </w:pPr>
            <w:r>
              <w:rPr>
                <w:sz w:val="11"/>
              </w:rPr>
              <w:t>Resilience</w:t>
            </w:r>
          </w:p>
        </w:tc>
        <w:tc>
          <w:tcPr>
            <w:tcW w:type="dxa" w:w="5227"/>
          </w:tcPr>
          <w:p>
            <w:pPr>
              <w:spacing w:after="0"/>
            </w:pPr>
            <w:r>
              <w:rPr>
                <w:sz w:val="11"/>
              </w:rPr>
              <w:t>Failure scenarios pass.</w:t>
            </w:r>
          </w:p>
        </w:tc>
      </w:tr>
      <w:tr>
        <w:tc>
          <w:tcPr>
            <w:tcW w:type="dxa" w:w="5227"/>
          </w:tcPr>
          <w:p>
            <w:pPr>
              <w:spacing w:after="0"/>
            </w:pPr>
            <w:r>
              <w:rPr>
                <w:sz w:val="11"/>
              </w:rPr>
              <w:t>Recovery</w:t>
            </w:r>
          </w:p>
        </w:tc>
        <w:tc>
          <w:tcPr>
            <w:tcW w:type="dxa" w:w="5227"/>
          </w:tcPr>
          <w:p>
            <w:pPr>
              <w:spacing w:after="0"/>
            </w:pPr>
            <w:r>
              <w:rPr>
                <w:sz w:val="11"/>
              </w:rPr>
              <w:t>Backup/restore current.</w:t>
            </w:r>
          </w:p>
        </w:tc>
      </w:tr>
      <w:tr>
        <w:tc>
          <w:tcPr>
            <w:tcW w:type="dxa" w:w="5227"/>
          </w:tcPr>
          <w:p>
            <w:pPr>
              <w:spacing w:after="0"/>
            </w:pPr>
            <w:r>
              <w:rPr>
                <w:sz w:val="11"/>
              </w:rPr>
              <w:t>Accessibility</w:t>
            </w:r>
          </w:p>
        </w:tc>
        <w:tc>
          <w:tcPr>
            <w:tcW w:type="dxa" w:w="5227"/>
          </w:tcPr>
          <w:p>
            <w:pPr>
              <w:spacing w:after="0"/>
            </w:pPr>
            <w:r>
              <w:rPr>
                <w:sz w:val="11"/>
              </w:rPr>
              <w:t>Core flow checks pass.</w:t>
            </w:r>
          </w:p>
        </w:tc>
      </w:tr>
      <w:tr>
        <w:tc>
          <w:tcPr>
            <w:tcW w:type="dxa" w:w="5227"/>
          </w:tcPr>
          <w:p>
            <w:pPr>
              <w:spacing w:after="0"/>
            </w:pPr>
            <w:r>
              <w:rPr>
                <w:sz w:val="11"/>
              </w:rPr>
              <w:t>Observability</w:t>
            </w:r>
          </w:p>
        </w:tc>
        <w:tc>
          <w:tcPr>
            <w:tcW w:type="dxa" w:w="5227"/>
          </w:tcPr>
          <w:p>
            <w:pPr>
              <w:spacing w:after="0"/>
            </w:pPr>
            <w:r>
              <w:rPr>
                <w:sz w:val="11"/>
              </w:rPr>
              <w:t>Metrics/alerts deployed.</w:t>
            </w:r>
          </w:p>
        </w:tc>
      </w:tr>
      <w:tr>
        <w:tc>
          <w:tcPr>
            <w:tcW w:type="dxa" w:w="5227"/>
          </w:tcPr>
          <w:p>
            <w:pPr>
              <w:spacing w:after="0"/>
            </w:pPr>
            <w:r>
              <w:rPr>
                <w:sz w:val="11"/>
              </w:rPr>
              <w:t>Capacity</w:t>
            </w:r>
          </w:p>
        </w:tc>
        <w:tc>
          <w:tcPr>
            <w:tcW w:type="dxa" w:w="5227"/>
          </w:tcPr>
          <w:p>
            <w:pPr>
              <w:spacing w:after="0"/>
            </w:pPr>
            <w:r>
              <w:rPr>
                <w:sz w:val="11"/>
              </w:rPr>
              <w:t>Production sizing approved.</w:t>
            </w:r>
          </w:p>
        </w:tc>
      </w:tr>
      <w:tr>
        <w:tc>
          <w:tcPr>
            <w:tcW w:type="dxa" w:w="5227"/>
          </w:tcPr>
          <w:p>
            <w:pPr>
              <w:spacing w:after="0"/>
            </w:pPr>
            <w:r>
              <w:rPr>
                <w:sz w:val="11"/>
              </w:rPr>
              <w:t>Dependencies</w:t>
            </w:r>
          </w:p>
        </w:tc>
        <w:tc>
          <w:tcPr>
            <w:tcW w:type="dxa" w:w="5227"/>
          </w:tcPr>
          <w:p>
            <w:pPr>
              <w:spacing w:after="0"/>
            </w:pPr>
            <w:r>
              <w:rPr>
                <w:sz w:val="11"/>
              </w:rPr>
              <w:t>Timeout/limits verified.</w:t>
            </w:r>
          </w:p>
        </w:tc>
      </w:tr>
      <w:tr>
        <w:tc>
          <w:tcPr>
            <w:tcW w:type="dxa" w:w="5227"/>
          </w:tcPr>
          <w:p>
            <w:pPr>
              <w:spacing w:after="0"/>
            </w:pPr>
            <w:r>
              <w:rPr>
                <w:sz w:val="11"/>
              </w:rPr>
              <w:t>Clinical safety</w:t>
            </w:r>
          </w:p>
        </w:tc>
        <w:tc>
          <w:tcPr>
            <w:tcW w:type="dxa" w:w="5227"/>
          </w:tcPr>
          <w:p>
            <w:pPr>
              <w:spacing w:after="0"/>
            </w:pPr>
            <w:r>
              <w:rPr>
                <w:sz w:val="11"/>
              </w:rPr>
              <w:t>No unresolved performance failure creating unsafe workflow.</w:t>
            </w:r>
          </w:p>
        </w:tc>
      </w:tr>
    </w:tbl>
    <w:p>
      <w:pPr>
        <w:pStyle w:val="Heading1"/>
      </w:pPr>
      <w:r>
        <w:t>89. Production Readiness Review</w:t>
      </w:r>
    </w:p>
    <w:p>
      <w:pPr>
        <w:pStyle w:val="ListNumber"/>
      </w:pPr>
      <w:r>
        <w:t>Confirm service criticality tier.</w:t>
      </w:r>
    </w:p>
    <w:p>
      <w:pPr>
        <w:pStyle w:val="ListNumber"/>
      </w:pPr>
      <w:r>
        <w:t>Confirm SLOs/SLIs.</w:t>
      </w:r>
    </w:p>
    <w:p>
      <w:pPr>
        <w:pStyle w:val="ListNumber"/>
      </w:pPr>
      <w:r>
        <w:t>Review capacity/load evidence.</w:t>
      </w:r>
    </w:p>
    <w:p>
      <w:pPr>
        <w:pStyle w:val="ListNumber"/>
      </w:pPr>
      <w:r>
        <w:t>Review dependency limits.</w:t>
      </w:r>
    </w:p>
    <w:p>
      <w:pPr>
        <w:pStyle w:val="ListNumber"/>
      </w:pPr>
      <w:r>
        <w:t>Review scaling/failover.</w:t>
      </w:r>
    </w:p>
    <w:p>
      <w:pPr>
        <w:pStyle w:val="ListNumber"/>
      </w:pPr>
      <w:r>
        <w:t>Review backup/DR.</w:t>
      </w:r>
    </w:p>
    <w:p>
      <w:pPr>
        <w:pStyle w:val="ListNumber"/>
      </w:pPr>
      <w:r>
        <w:t>Review edge/offline behavior.</w:t>
      </w:r>
    </w:p>
    <w:p>
      <w:pPr>
        <w:pStyle w:val="ListNumber"/>
      </w:pPr>
      <w:r>
        <w:t>Review dashboards/alerts.</w:t>
      </w:r>
    </w:p>
    <w:p>
      <w:pPr>
        <w:pStyle w:val="ListNumber"/>
      </w:pPr>
      <w:r>
        <w:t>Review runbooks/on-call.</w:t>
      </w:r>
    </w:p>
    <w:p>
      <w:pPr>
        <w:pStyle w:val="ListNumber"/>
      </w:pPr>
      <w:r>
        <w:t>Review security/privacy NFR interactions.</w:t>
      </w:r>
    </w:p>
    <w:p>
      <w:pPr>
        <w:pStyle w:val="ListNumber"/>
      </w:pPr>
      <w:r>
        <w:t>Review known limitations.</w:t>
      </w:r>
    </w:p>
    <w:p>
      <w:pPr>
        <w:pStyle w:val="ListNumber"/>
      </w:pPr>
      <w:r>
        <w:t>Approve or record time-bound exception.</w:t>
      </w:r>
    </w:p>
    <w:p>
      <w:pPr>
        <w:pStyle w:val="Heading1"/>
      </w:pPr>
      <w:r>
        <w:t>90. NFR Exception Process</w:t>
      </w:r>
    </w:p>
    <w:p>
      <w:pPr>
        <w:pStyle w:val="ListBullet"/>
      </w:pPr>
      <w:r>
        <w:t>Requirement ID.</w:t>
      </w:r>
    </w:p>
    <w:p>
      <w:pPr>
        <w:pStyle w:val="ListBullet"/>
      </w:pPr>
      <w:r>
        <w:t>Reason unmet.</w:t>
      </w:r>
    </w:p>
    <w:p>
      <w:pPr>
        <w:pStyle w:val="ListBullet"/>
      </w:pPr>
      <w:r>
        <w:t>Measured current behavior.</w:t>
      </w:r>
    </w:p>
    <w:p>
      <w:pPr>
        <w:pStyle w:val="ListBullet"/>
      </w:pPr>
      <w:r>
        <w:t>Patient/operational/security impact.</w:t>
      </w:r>
    </w:p>
    <w:p>
      <w:pPr>
        <w:pStyle w:val="ListBullet"/>
      </w:pPr>
      <w:r>
        <w:t>Compensating control.</w:t>
      </w:r>
    </w:p>
    <w:p>
      <w:pPr>
        <w:pStyle w:val="ListBullet"/>
      </w:pPr>
      <w:r>
        <w:t>Owner.</w:t>
      </w:r>
    </w:p>
    <w:p>
      <w:pPr>
        <w:pStyle w:val="ListBullet"/>
      </w:pPr>
      <w:r>
        <w:t>Expiry.</w:t>
      </w:r>
    </w:p>
    <w:p>
      <w:pPr>
        <w:pStyle w:val="ListBullet"/>
      </w:pPr>
      <w:r>
        <w:t>Remediation plan.</w:t>
      </w:r>
    </w:p>
    <w:p>
      <w:pPr>
        <w:pStyle w:val="ListBullet"/>
      </w:pPr>
      <w:r>
        <w:t>Approval authority.</w:t>
      </w:r>
    </w:p>
    <w:p>
      <w:pPr>
        <w:pStyle w:val="ListBullet"/>
      </w:pPr>
      <w:r>
        <w:t>Monitoring until closure.</w:t>
      </w:r>
    </w:p>
    <w:tbl>
      <w:tblPr>
        <w:tblStyle w:val="TableGrid"/>
        <w:tblW w:type="auto" w:w="0"/>
        <w:tblLook w:firstColumn="1" w:firstRow="1" w:lastColumn="0" w:lastRow="0" w:noHBand="0" w:noVBand="1" w:val="04A0"/>
      </w:tblPr>
      <w:tblGrid>
        <w:gridCol w:w="10454"/>
      </w:tblGrid>
      <w:tr>
        <w:tc>
          <w:tcPr>
            <w:tcW w:type="dxa" w:w="10454"/>
          </w:tcPr>
          <w:p>
            <w:r>
              <w:t>QUALITY INVARIANT — A performance or availability exception cannot silently redefine the requirement after a failed test.</w:t>
            </w:r>
          </w:p>
        </w:tc>
      </w:tr>
    </w:tbl>
    <w:p>
      <w:pPr>
        <w:pStyle w:val="Heading1"/>
      </w:pPr>
      <w:r>
        <w:t>91. Release-1 Baseline</w:t>
      </w:r>
    </w:p>
    <w:p>
      <w:pPr>
        <w:pStyle w:val="ListBullet"/>
      </w:pPr>
      <w:r>
        <w:t>C0–C3 criticality classification.</w:t>
      </w:r>
    </w:p>
    <w:p>
      <w:pPr>
        <w:pStyle w:val="ListBullet"/>
      </w:pPr>
      <w:r>
        <w:t>Core latency SLOs.</w:t>
      </w:r>
    </w:p>
    <w:p>
      <w:pPr>
        <w:pStyle w:val="ListBullet"/>
      </w:pPr>
      <w:r>
        <w:t>Availability measurement.</w:t>
      </w:r>
    </w:p>
    <w:p>
      <w:pPr>
        <w:pStyle w:val="ListBullet"/>
      </w:pPr>
      <w:r>
        <w:t>Capacity profile and peak-load test.</w:t>
      </w:r>
    </w:p>
    <w:p>
      <w:pPr>
        <w:pStyle w:val="ListBullet"/>
      </w:pPr>
      <w:r>
        <w:t>Durable write semantics.</w:t>
      </w:r>
    </w:p>
    <w:p>
      <w:pPr>
        <w:pStyle w:val="ListBullet"/>
      </w:pPr>
      <w:r>
        <w:t>Queue/event observability.</w:t>
      </w:r>
    </w:p>
    <w:p>
      <w:pPr>
        <w:pStyle w:val="ListBullet"/>
      </w:pPr>
      <w:r>
        <w:t>Backup and restore test.</w:t>
      </w:r>
    </w:p>
    <w:p>
      <w:pPr>
        <w:pStyle w:val="ListBullet"/>
      </w:pPr>
      <w:r>
        <w:t>Offline/edge test where deployed.</w:t>
      </w:r>
    </w:p>
    <w:p>
      <w:pPr>
        <w:pStyle w:val="ListBullet"/>
      </w:pPr>
      <w:r>
        <w:t>FHIR/API limits.</w:t>
      </w:r>
    </w:p>
    <w:p>
      <w:pPr>
        <w:pStyle w:val="ListBullet"/>
      </w:pPr>
      <w:r>
        <w:t>Browser matrix.</w:t>
      </w:r>
    </w:p>
    <w:p>
      <w:pPr>
        <w:pStyle w:val="ListBullet"/>
      </w:pPr>
      <w:r>
        <w:t>Accessibility baseline.</w:t>
      </w:r>
    </w:p>
    <w:p>
      <w:pPr>
        <w:pStyle w:val="ListBullet"/>
      </w:pPr>
      <w:r>
        <w:t>Clinical usability tests.</w:t>
      </w:r>
    </w:p>
    <w:p>
      <w:pPr>
        <w:pStyle w:val="ListBullet"/>
      </w:pPr>
      <w:r>
        <w:t>SLO dashboard.</w:t>
      </w:r>
    </w:p>
    <w:p>
      <w:pPr>
        <w:pStyle w:val="ListBullet"/>
      </w:pPr>
      <w:r>
        <w:t>NFR-001 through NFR-030.</w:t>
      </w:r>
    </w:p>
    <w:p>
      <w:pPr>
        <w:pStyle w:val="Heading1"/>
      </w:pPr>
      <w:r>
        <w:t>92. Definition of Done</w:t>
      </w:r>
    </w:p>
    <w:p>
      <w:pPr>
        <w:pStyle w:val="ListBullet"/>
      </w:pPr>
      <w:r>
        <w:t>Every critical workflow has measurable quality criteria.</w:t>
      </w:r>
    </w:p>
    <w:p>
      <w:pPr>
        <w:pStyle w:val="ListBullet"/>
      </w:pPr>
      <w:r>
        <w:t>Normal and peak workload assumptions are documented.</w:t>
      </w:r>
    </w:p>
    <w:p>
      <w:pPr>
        <w:pStyle w:val="ListBullet"/>
      </w:pPr>
      <w:r>
        <w:t>p95/p99 latency evidence exists for critical paths.</w:t>
      </w:r>
    </w:p>
    <w:p>
      <w:pPr>
        <w:pStyle w:val="ListBullet"/>
      </w:pPr>
      <w:r>
        <w:t>Capacity headroom is known.</w:t>
      </w:r>
    </w:p>
    <w:p>
      <w:pPr>
        <w:pStyle w:val="ListBullet"/>
      </w:pPr>
      <w:r>
        <w:t>Dependency failures degrade safely.</w:t>
      </w:r>
    </w:p>
    <w:p>
      <w:pPr>
        <w:pStyle w:val="ListBullet"/>
      </w:pPr>
      <w:r>
        <w:t>No acknowledged clinical write is lost in tested covered failures.</w:t>
      </w:r>
    </w:p>
    <w:p>
      <w:pPr>
        <w:pStyle w:val="ListBullet"/>
      </w:pPr>
      <w:r>
        <w:t>Backup restore and DR evidence is current.</w:t>
      </w:r>
    </w:p>
    <w:p>
      <w:pPr>
        <w:pStyle w:val="ListBullet"/>
      </w:pPr>
      <w:r>
        <w:t>Offline mode has been tested through disconnect, restart and reconnect.</w:t>
      </w:r>
    </w:p>
    <w:p>
      <w:pPr>
        <w:pStyle w:val="ListBullet"/>
      </w:pPr>
      <w:r>
        <w:t>Analytics/bulk workloads cannot starve clinical transactions.</w:t>
      </w:r>
    </w:p>
    <w:p>
      <w:pPr>
        <w:pStyle w:val="ListBullet"/>
      </w:pPr>
      <w:r>
        <w:t>Accessibility/usability acceptance is completed for core roles.</w:t>
      </w:r>
    </w:p>
    <w:p>
      <w:pPr>
        <w:pStyle w:val="ListBullet"/>
      </w:pPr>
      <w:r>
        <w:t>Operational dashboards measure the defined SLIs.</w:t>
      </w:r>
    </w:p>
    <w:p>
      <w:pPr>
        <w:pStyle w:val="ListBullet"/>
      </w:pPr>
      <w:r>
        <w:t>Known NFR deviations have explicit owners and expiry.</w:t>
      </w:r>
    </w:p>
    <w:p>
      <w:pPr>
        <w:pStyle w:val="Heading1"/>
      </w:pPr>
      <w:r>
        <w:t>Appendix A — Example Service-Level Matrix</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Pr>
          <w:p>
            <w:pPr>
              <w:spacing w:after="0"/>
            </w:pPr>
            <w:r>
              <w:rPr>
                <w:b/>
                <w:sz w:val="11"/>
              </w:rPr>
              <w:t>Service</w:t>
            </w:r>
          </w:p>
        </w:tc>
        <w:tc>
          <w:tcPr>
            <w:tcW w:type="dxa" w:w="2613"/>
          </w:tcPr>
          <w:p>
            <w:pPr>
              <w:spacing w:after="0"/>
            </w:pPr>
            <w:r>
              <w:rPr>
                <w:b/>
                <w:sz w:val="11"/>
              </w:rPr>
              <w:t>Tier</w:t>
            </w:r>
          </w:p>
        </w:tc>
        <w:tc>
          <w:tcPr>
            <w:tcW w:type="dxa" w:w="2613"/>
          </w:tcPr>
          <w:p>
            <w:pPr>
              <w:spacing w:after="0"/>
            </w:pPr>
            <w:r>
              <w:rPr>
                <w:b/>
                <w:sz w:val="11"/>
              </w:rPr>
              <w:t>SLI</w:t>
            </w:r>
          </w:p>
        </w:tc>
        <w:tc>
          <w:tcPr>
            <w:tcW w:type="dxa" w:w="2613"/>
          </w:tcPr>
          <w:p>
            <w:pPr>
              <w:spacing w:after="0"/>
            </w:pPr>
            <w:r>
              <w:rPr>
                <w:b/>
                <w:sz w:val="11"/>
              </w:rPr>
              <w:t>Design objective</w:t>
            </w:r>
          </w:p>
        </w:tc>
      </w:tr>
      <w:tr>
        <w:tc>
          <w:tcPr>
            <w:tcW w:type="dxa" w:w="2613"/>
          </w:tcPr>
          <w:p>
            <w:pPr>
              <w:spacing w:after="0"/>
            </w:pPr>
            <w:r>
              <w:rPr>
                <w:sz w:val="11"/>
              </w:rPr>
              <w:t>Patient/Encounter API</w:t>
            </w:r>
          </w:p>
        </w:tc>
        <w:tc>
          <w:tcPr>
            <w:tcW w:type="dxa" w:w="2613"/>
          </w:tcPr>
          <w:p>
            <w:pPr>
              <w:spacing w:after="0"/>
            </w:pPr>
            <w:r>
              <w:rPr>
                <w:sz w:val="11"/>
              </w:rPr>
              <w:t>C1</w:t>
            </w:r>
          </w:p>
        </w:tc>
        <w:tc>
          <w:tcPr>
            <w:tcW w:type="dxa" w:w="2613"/>
          </w:tcPr>
          <w:p>
            <w:pPr>
              <w:spacing w:after="0"/>
            </w:pPr>
            <w:r>
              <w:rPr>
                <w:sz w:val="11"/>
              </w:rPr>
              <w:t>Successful request availability</w:t>
            </w:r>
          </w:p>
        </w:tc>
        <w:tc>
          <w:tcPr>
            <w:tcW w:type="dxa" w:w="2613"/>
          </w:tcPr>
          <w:p>
            <w:pPr>
              <w:spacing w:after="0"/>
            </w:pPr>
            <w:r>
              <w:rPr>
                <w:sz w:val="11"/>
              </w:rPr>
              <w:t>≥99.9% monthly target.</w:t>
            </w:r>
          </w:p>
        </w:tc>
      </w:tr>
      <w:tr>
        <w:tc>
          <w:tcPr>
            <w:tcW w:type="dxa" w:w="2613"/>
          </w:tcPr>
          <w:p>
            <w:pPr>
              <w:spacing w:after="0"/>
            </w:pPr>
            <w:r>
              <w:rPr>
                <w:sz w:val="11"/>
              </w:rPr>
              <w:t>Medication Administration</w:t>
            </w:r>
          </w:p>
        </w:tc>
        <w:tc>
          <w:tcPr>
            <w:tcW w:type="dxa" w:w="2613"/>
          </w:tcPr>
          <w:p>
            <w:pPr>
              <w:spacing w:after="0"/>
            </w:pPr>
            <w:r>
              <w:rPr>
                <w:sz w:val="11"/>
              </w:rPr>
              <w:t>C0</w:t>
            </w:r>
          </w:p>
        </w:tc>
        <w:tc>
          <w:tcPr>
            <w:tcW w:type="dxa" w:w="2613"/>
          </w:tcPr>
          <w:p>
            <w:pPr>
              <w:spacing w:after="0"/>
            </w:pPr>
            <w:r>
              <w:rPr>
                <w:sz w:val="11"/>
              </w:rPr>
              <w:t>Durable commit availability</w:t>
            </w:r>
          </w:p>
        </w:tc>
        <w:tc>
          <w:tcPr>
            <w:tcW w:type="dxa" w:w="2613"/>
          </w:tcPr>
          <w:p>
            <w:pPr>
              <w:spacing w:after="0"/>
            </w:pPr>
            <w:r>
              <w:rPr>
                <w:sz w:val="11"/>
              </w:rPr>
              <w:t>≥99.95% target + offline path.</w:t>
            </w:r>
          </w:p>
        </w:tc>
      </w:tr>
      <w:tr>
        <w:tc>
          <w:tcPr>
            <w:tcW w:type="dxa" w:w="2613"/>
          </w:tcPr>
          <w:p>
            <w:pPr>
              <w:spacing w:after="0"/>
            </w:pPr>
            <w:r>
              <w:rPr>
                <w:sz w:val="11"/>
              </w:rPr>
              <w:t>Lab Results</w:t>
            </w:r>
          </w:p>
        </w:tc>
        <w:tc>
          <w:tcPr>
            <w:tcW w:type="dxa" w:w="2613"/>
          </w:tcPr>
          <w:p>
            <w:pPr>
              <w:spacing w:after="0"/>
            </w:pPr>
            <w:r>
              <w:rPr>
                <w:sz w:val="11"/>
              </w:rPr>
              <w:t>C1</w:t>
            </w:r>
          </w:p>
        </w:tc>
        <w:tc>
          <w:tcPr>
            <w:tcW w:type="dxa" w:w="2613"/>
          </w:tcPr>
          <w:p>
            <w:pPr>
              <w:spacing w:after="0"/>
            </w:pPr>
            <w:r>
              <w:rPr>
                <w:sz w:val="11"/>
              </w:rPr>
              <w:t>Read/write availability</w:t>
            </w:r>
          </w:p>
        </w:tc>
        <w:tc>
          <w:tcPr>
            <w:tcW w:type="dxa" w:w="2613"/>
          </w:tcPr>
          <w:p>
            <w:pPr>
              <w:spacing w:after="0"/>
            </w:pPr>
            <w:r>
              <w:rPr>
                <w:sz w:val="11"/>
              </w:rPr>
              <w:t>≥99.9% target.</w:t>
            </w:r>
          </w:p>
        </w:tc>
      </w:tr>
      <w:tr>
        <w:tc>
          <w:tcPr>
            <w:tcW w:type="dxa" w:w="2613"/>
          </w:tcPr>
          <w:p>
            <w:pPr>
              <w:spacing w:after="0"/>
            </w:pPr>
            <w:r>
              <w:rPr>
                <w:sz w:val="11"/>
              </w:rPr>
              <w:t>Referral Exchange</w:t>
            </w:r>
          </w:p>
        </w:tc>
        <w:tc>
          <w:tcPr>
            <w:tcW w:type="dxa" w:w="2613"/>
          </w:tcPr>
          <w:p>
            <w:pPr>
              <w:spacing w:after="0"/>
            </w:pPr>
            <w:r>
              <w:rPr>
                <w:sz w:val="11"/>
              </w:rPr>
              <w:t>C1/C2</w:t>
            </w:r>
          </w:p>
        </w:tc>
        <w:tc>
          <w:tcPr>
            <w:tcW w:type="dxa" w:w="2613"/>
          </w:tcPr>
          <w:p>
            <w:pPr>
              <w:spacing w:after="0"/>
            </w:pPr>
            <w:r>
              <w:rPr>
                <w:sz w:val="11"/>
              </w:rPr>
              <w:t>Case operation availability</w:t>
            </w:r>
          </w:p>
        </w:tc>
        <w:tc>
          <w:tcPr>
            <w:tcW w:type="dxa" w:w="2613"/>
          </w:tcPr>
          <w:p>
            <w:pPr>
              <w:spacing w:after="0"/>
            </w:pPr>
            <w:r>
              <w:rPr>
                <w:sz w:val="11"/>
              </w:rPr>
              <w:t>≥99.9% target.</w:t>
            </w:r>
          </w:p>
        </w:tc>
      </w:tr>
      <w:tr>
        <w:tc>
          <w:tcPr>
            <w:tcW w:type="dxa" w:w="2613"/>
          </w:tcPr>
          <w:p>
            <w:pPr>
              <w:spacing w:after="0"/>
            </w:pPr>
            <w:r>
              <w:rPr>
                <w:sz w:val="11"/>
              </w:rPr>
              <w:t>Billing</w:t>
            </w:r>
          </w:p>
        </w:tc>
        <w:tc>
          <w:tcPr>
            <w:tcW w:type="dxa" w:w="2613"/>
          </w:tcPr>
          <w:p>
            <w:pPr>
              <w:spacing w:after="0"/>
            </w:pPr>
            <w:r>
              <w:rPr>
                <w:sz w:val="11"/>
              </w:rPr>
              <w:t>C2</w:t>
            </w:r>
          </w:p>
        </w:tc>
        <w:tc>
          <w:tcPr>
            <w:tcW w:type="dxa" w:w="2613"/>
          </w:tcPr>
          <w:p>
            <w:pPr>
              <w:spacing w:after="0"/>
            </w:pPr>
            <w:r>
              <w:rPr>
                <w:sz w:val="11"/>
              </w:rPr>
              <w:t>Transaction availability</w:t>
            </w:r>
          </w:p>
        </w:tc>
        <w:tc>
          <w:tcPr>
            <w:tcW w:type="dxa" w:w="2613"/>
          </w:tcPr>
          <w:p>
            <w:pPr>
              <w:spacing w:after="0"/>
            </w:pPr>
            <w:r>
              <w:rPr>
                <w:sz w:val="11"/>
              </w:rPr>
              <w:t>≥99.5% target.</w:t>
            </w:r>
          </w:p>
        </w:tc>
      </w:tr>
      <w:tr>
        <w:tc>
          <w:tcPr>
            <w:tcW w:type="dxa" w:w="2613"/>
          </w:tcPr>
          <w:p>
            <w:pPr>
              <w:spacing w:after="0"/>
            </w:pPr>
            <w:r>
              <w:rPr>
                <w:sz w:val="11"/>
              </w:rPr>
              <w:t>Analytics</w:t>
            </w:r>
          </w:p>
        </w:tc>
        <w:tc>
          <w:tcPr>
            <w:tcW w:type="dxa" w:w="2613"/>
          </w:tcPr>
          <w:p>
            <w:pPr>
              <w:spacing w:after="0"/>
            </w:pPr>
            <w:r>
              <w:rPr>
                <w:sz w:val="11"/>
              </w:rPr>
              <w:t>C3</w:t>
            </w:r>
          </w:p>
        </w:tc>
        <w:tc>
          <w:tcPr>
            <w:tcW w:type="dxa" w:w="2613"/>
          </w:tcPr>
          <w:p>
            <w:pPr>
              <w:spacing w:after="0"/>
            </w:pPr>
            <w:r>
              <w:rPr>
                <w:sz w:val="11"/>
              </w:rPr>
              <w:t>Dashboard availability</w:t>
            </w:r>
          </w:p>
        </w:tc>
        <w:tc>
          <w:tcPr>
            <w:tcW w:type="dxa" w:w="2613"/>
          </w:tcPr>
          <w:p>
            <w:pPr>
              <w:spacing w:after="0"/>
            </w:pPr>
            <w:r>
              <w:rPr>
                <w:sz w:val="11"/>
              </w:rPr>
              <w:t>≥99.0% target.</w:t>
            </w:r>
          </w:p>
        </w:tc>
      </w:tr>
      <w:tr>
        <w:tc>
          <w:tcPr>
            <w:tcW w:type="dxa" w:w="2613"/>
          </w:tcPr>
          <w:p>
            <w:pPr>
              <w:spacing w:after="0"/>
            </w:pPr>
            <w:r>
              <w:rPr>
                <w:sz w:val="11"/>
              </w:rPr>
              <w:t>FHIR Gateway</w:t>
            </w:r>
          </w:p>
        </w:tc>
        <w:tc>
          <w:tcPr>
            <w:tcW w:type="dxa" w:w="2613"/>
          </w:tcPr>
          <w:p>
            <w:pPr>
              <w:spacing w:after="0"/>
            </w:pPr>
            <w:r>
              <w:rPr>
                <w:sz w:val="11"/>
              </w:rPr>
              <w:t>C1/C2</w:t>
            </w:r>
          </w:p>
        </w:tc>
        <w:tc>
          <w:tcPr>
            <w:tcW w:type="dxa" w:w="2613"/>
          </w:tcPr>
          <w:p>
            <w:pPr>
              <w:spacing w:after="0"/>
            </w:pPr>
            <w:r>
              <w:rPr>
                <w:sz w:val="11"/>
              </w:rPr>
              <w:t>Partner API availability</w:t>
            </w:r>
          </w:p>
        </w:tc>
        <w:tc>
          <w:tcPr>
            <w:tcW w:type="dxa" w:w="2613"/>
          </w:tcPr>
          <w:p>
            <w:pPr>
              <w:spacing w:after="0"/>
            </w:pPr>
            <w:r>
              <w:rPr>
                <w:sz w:val="11"/>
              </w:rPr>
              <w:t>Deployment-specific.</w:t>
            </w:r>
          </w:p>
        </w:tc>
      </w:tr>
    </w:tbl>
    <w:p>
      <w:pPr>
        <w:pStyle w:val="Heading1"/>
      </w:pPr>
      <w:r>
        <w:t>Appendix B — Example Capacity Worksheet</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Input</w:t>
            </w:r>
          </w:p>
        </w:tc>
        <w:tc>
          <w:tcPr>
            <w:tcW w:type="dxa" w:w="5227"/>
          </w:tcPr>
          <w:p>
            <w:pPr>
              <w:spacing w:after="0"/>
            </w:pPr>
            <w:r>
              <w:rPr>
                <w:b/>
                <w:sz w:val="11"/>
              </w:rPr>
              <w:t>Example field</w:t>
            </w:r>
          </w:p>
        </w:tc>
      </w:tr>
      <w:tr>
        <w:tc>
          <w:tcPr>
            <w:tcW w:type="dxa" w:w="5227"/>
          </w:tcPr>
          <w:p>
            <w:pPr>
              <w:spacing w:after="0"/>
            </w:pPr>
            <w:r>
              <w:rPr>
                <w:sz w:val="11"/>
              </w:rPr>
              <w:t>Facilities</w:t>
            </w:r>
          </w:p>
        </w:tc>
        <w:tc>
          <w:tcPr>
            <w:tcW w:type="dxa" w:w="5227"/>
          </w:tcPr>
          <w:p>
            <w:pPr>
              <w:spacing w:after="0"/>
            </w:pPr>
            <w:r>
              <w:rPr>
                <w:sz w:val="11"/>
              </w:rPr>
              <w:t>Count.</w:t>
            </w:r>
          </w:p>
        </w:tc>
      </w:tr>
      <w:tr>
        <w:tc>
          <w:tcPr>
            <w:tcW w:type="dxa" w:w="5227"/>
          </w:tcPr>
          <w:p>
            <w:pPr>
              <w:spacing w:after="0"/>
            </w:pPr>
            <w:r>
              <w:rPr>
                <w:sz w:val="11"/>
              </w:rPr>
              <w:t>Beds</w:t>
            </w:r>
          </w:p>
        </w:tc>
        <w:tc>
          <w:tcPr>
            <w:tcW w:type="dxa" w:w="5227"/>
          </w:tcPr>
          <w:p>
            <w:pPr>
              <w:spacing w:after="0"/>
            </w:pPr>
            <w:r>
              <w:rPr>
                <w:sz w:val="11"/>
              </w:rPr>
              <w:t>Count/facility.</w:t>
            </w:r>
          </w:p>
        </w:tc>
      </w:tr>
      <w:tr>
        <w:tc>
          <w:tcPr>
            <w:tcW w:type="dxa" w:w="5227"/>
          </w:tcPr>
          <w:p>
            <w:pPr>
              <w:spacing w:after="0"/>
            </w:pPr>
            <w:r>
              <w:rPr>
                <w:sz w:val="11"/>
              </w:rPr>
              <w:t>Peak active users</w:t>
            </w:r>
          </w:p>
        </w:tc>
        <w:tc>
          <w:tcPr>
            <w:tcW w:type="dxa" w:w="5227"/>
          </w:tcPr>
          <w:p>
            <w:pPr>
              <w:spacing w:after="0"/>
            </w:pPr>
            <w:r>
              <w:rPr>
                <w:sz w:val="11"/>
              </w:rPr>
              <w:t>By facility/role.</w:t>
            </w:r>
          </w:p>
        </w:tc>
      </w:tr>
      <w:tr>
        <w:tc>
          <w:tcPr>
            <w:tcW w:type="dxa" w:w="5227"/>
          </w:tcPr>
          <w:p>
            <w:pPr>
              <w:spacing w:after="0"/>
            </w:pPr>
            <w:r>
              <w:rPr>
                <w:sz w:val="11"/>
              </w:rPr>
              <w:t>Peak patient arrivals/hour</w:t>
            </w:r>
          </w:p>
        </w:tc>
        <w:tc>
          <w:tcPr>
            <w:tcW w:type="dxa" w:w="5227"/>
          </w:tcPr>
          <w:p>
            <w:pPr>
              <w:spacing w:after="0"/>
            </w:pPr>
            <w:r>
              <w:rPr>
                <w:sz w:val="11"/>
              </w:rPr>
              <w:t>Count.</w:t>
            </w:r>
          </w:p>
        </w:tc>
      </w:tr>
      <w:tr>
        <w:tc>
          <w:tcPr>
            <w:tcW w:type="dxa" w:w="5227"/>
          </w:tcPr>
          <w:p>
            <w:pPr>
              <w:spacing w:after="0"/>
            </w:pPr>
            <w:r>
              <w:rPr>
                <w:sz w:val="11"/>
              </w:rPr>
              <w:t>Orders/hour</w:t>
            </w:r>
          </w:p>
        </w:tc>
        <w:tc>
          <w:tcPr>
            <w:tcW w:type="dxa" w:w="5227"/>
          </w:tcPr>
          <w:p>
            <w:pPr>
              <w:spacing w:after="0"/>
            </w:pPr>
            <w:r>
              <w:rPr>
                <w:sz w:val="11"/>
              </w:rPr>
              <w:t>Lab/imaging/medication.</w:t>
            </w:r>
          </w:p>
        </w:tc>
      </w:tr>
      <w:tr>
        <w:tc>
          <w:tcPr>
            <w:tcW w:type="dxa" w:w="5227"/>
          </w:tcPr>
          <w:p>
            <w:pPr>
              <w:spacing w:after="0"/>
            </w:pPr>
            <w:r>
              <w:rPr>
                <w:sz w:val="11"/>
              </w:rPr>
              <w:t>Clinical writes/minute</w:t>
            </w:r>
          </w:p>
        </w:tc>
        <w:tc>
          <w:tcPr>
            <w:tcW w:type="dxa" w:w="5227"/>
          </w:tcPr>
          <w:p>
            <w:pPr>
              <w:spacing w:after="0"/>
            </w:pPr>
            <w:r>
              <w:rPr>
                <w:sz w:val="11"/>
              </w:rPr>
              <w:t>Count.</w:t>
            </w:r>
          </w:p>
        </w:tc>
      </w:tr>
      <w:tr>
        <w:tc>
          <w:tcPr>
            <w:tcW w:type="dxa" w:w="5227"/>
          </w:tcPr>
          <w:p>
            <w:pPr>
              <w:spacing w:after="0"/>
            </w:pPr>
            <w:r>
              <w:rPr>
                <w:sz w:val="11"/>
              </w:rPr>
              <w:t>API RPS</w:t>
            </w:r>
          </w:p>
        </w:tc>
        <w:tc>
          <w:tcPr>
            <w:tcW w:type="dxa" w:w="5227"/>
          </w:tcPr>
          <w:p>
            <w:pPr>
              <w:spacing w:after="0"/>
            </w:pPr>
            <w:r>
              <w:rPr>
                <w:sz w:val="11"/>
              </w:rPr>
              <w:t>Internal/partner.</w:t>
            </w:r>
          </w:p>
        </w:tc>
      </w:tr>
      <w:tr>
        <w:tc>
          <w:tcPr>
            <w:tcW w:type="dxa" w:w="5227"/>
          </w:tcPr>
          <w:p>
            <w:pPr>
              <w:spacing w:after="0"/>
            </w:pPr>
            <w:r>
              <w:rPr>
                <w:sz w:val="11"/>
              </w:rPr>
              <w:t>Documents/day</w:t>
            </w:r>
          </w:p>
        </w:tc>
        <w:tc>
          <w:tcPr>
            <w:tcW w:type="dxa" w:w="5227"/>
          </w:tcPr>
          <w:p>
            <w:pPr>
              <w:spacing w:after="0"/>
            </w:pPr>
            <w:r>
              <w:rPr>
                <w:sz w:val="11"/>
              </w:rPr>
              <w:t>Count + average MB.</w:t>
            </w:r>
          </w:p>
        </w:tc>
      </w:tr>
      <w:tr>
        <w:tc>
          <w:tcPr>
            <w:tcW w:type="dxa" w:w="5227"/>
          </w:tcPr>
          <w:p>
            <w:pPr>
              <w:spacing w:after="0"/>
            </w:pPr>
            <w:r>
              <w:rPr>
                <w:sz w:val="11"/>
              </w:rPr>
              <w:t>DICOM studies/day</w:t>
            </w:r>
          </w:p>
        </w:tc>
        <w:tc>
          <w:tcPr>
            <w:tcW w:type="dxa" w:w="5227"/>
          </w:tcPr>
          <w:p>
            <w:pPr>
              <w:spacing w:after="0"/>
            </w:pPr>
            <w:r>
              <w:rPr>
                <w:sz w:val="11"/>
              </w:rPr>
              <w:t>Count/GB; PACS sizing.</w:t>
            </w:r>
          </w:p>
        </w:tc>
      </w:tr>
      <w:tr>
        <w:tc>
          <w:tcPr>
            <w:tcW w:type="dxa" w:w="5227"/>
          </w:tcPr>
          <w:p>
            <w:pPr>
              <w:spacing w:after="0"/>
            </w:pPr>
            <w:r>
              <w:rPr>
                <w:sz w:val="11"/>
              </w:rPr>
              <w:t>Offline hours</w:t>
            </w:r>
          </w:p>
        </w:tc>
        <w:tc>
          <w:tcPr>
            <w:tcW w:type="dxa" w:w="5227"/>
          </w:tcPr>
          <w:p>
            <w:pPr>
              <w:spacing w:after="0"/>
            </w:pPr>
            <w:r>
              <w:rPr>
                <w:sz w:val="11"/>
              </w:rPr>
              <w:t>Maximum expected.</w:t>
            </w:r>
          </w:p>
        </w:tc>
      </w:tr>
      <w:tr>
        <w:tc>
          <w:tcPr>
            <w:tcW w:type="dxa" w:w="5227"/>
          </w:tcPr>
          <w:p>
            <w:pPr>
              <w:spacing w:after="0"/>
            </w:pPr>
            <w:r>
              <w:rPr>
                <w:sz w:val="11"/>
              </w:rPr>
              <w:t>Growth/year</w:t>
            </w:r>
          </w:p>
        </w:tc>
        <w:tc>
          <w:tcPr>
            <w:tcW w:type="dxa" w:w="5227"/>
          </w:tcPr>
          <w:p>
            <w:pPr>
              <w:spacing w:after="0"/>
            </w:pPr>
            <w:r>
              <w:rPr>
                <w:sz w:val="11"/>
              </w:rPr>
              <w:t>Percentage.</w:t>
            </w:r>
          </w:p>
        </w:tc>
      </w:tr>
      <w:tr>
        <w:tc>
          <w:tcPr>
            <w:tcW w:type="dxa" w:w="5227"/>
          </w:tcPr>
          <w:p>
            <w:pPr>
              <w:spacing w:after="0"/>
            </w:pPr>
            <w:r>
              <w:rPr>
                <w:sz w:val="11"/>
              </w:rPr>
              <w:t>Headroom</w:t>
            </w:r>
          </w:p>
        </w:tc>
        <w:tc>
          <w:tcPr>
            <w:tcW w:type="dxa" w:w="5227"/>
          </w:tcPr>
          <w:p>
            <w:pPr>
              <w:spacing w:after="0"/>
            </w:pPr>
            <w:r>
              <w:rPr>
                <w:sz w:val="11"/>
              </w:rPr>
              <w:t>Percentage.</w:t>
            </w:r>
          </w:p>
        </w:tc>
      </w:tr>
    </w:tbl>
    <w:p>
      <w:pPr>
        <w:pStyle w:val="Heading1"/>
      </w:pPr>
      <w:r>
        <w:t>Appendix C — Example Performance Test Scenario</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Dataset: production-scale synthetic patient history</w:t>
            </w:r>
          </w:p>
        </w:tc>
      </w:tr>
      <w:tr>
        <w:tc>
          <w:tcPr>
            <w:tcW w:type="dxa" w:w="10454"/>
          </w:tcPr>
          <w:p>
            <w:pPr>
              <w:jc w:val="center"/>
            </w:pPr>
            <w:r>
              <w:rPr>
                <w:rFonts w:ascii="Consolas" w:hAnsi="Consolas"/>
                <w:sz w:val="13"/>
              </w:rPr>
              <w:t>Concurrent users: validated peak + 30% headroom</w:t>
            </w:r>
          </w:p>
        </w:tc>
      </w:tr>
      <w:tr>
        <w:tc>
          <w:tcPr>
            <w:tcW w:type="dxa" w:w="10454"/>
          </w:tcPr>
          <w:p>
            <w:pPr>
              <w:jc w:val="center"/>
            </w:pPr>
            <w:r>
              <w:rPr>
                <w:rFonts w:ascii="Consolas" w:hAnsi="Consolas"/>
                <w:sz w:val="13"/>
              </w:rPr>
              <w:t>Workload mix:</w:t>
            </w:r>
          </w:p>
        </w:tc>
      </w:tr>
      <w:tr>
        <w:tc>
          <w:tcPr>
            <w:tcW w:type="dxa" w:w="10454"/>
          </w:tcPr>
          <w:p>
            <w:pPr>
              <w:jc w:val="center"/>
            </w:pPr>
            <w:r>
              <w:rPr>
                <w:rFonts w:ascii="Consolas" w:hAnsi="Consolas"/>
                <w:sz w:val="13"/>
              </w:rPr>
              <w:t>35% chart reads</w:t>
            </w:r>
          </w:p>
        </w:tc>
      </w:tr>
      <w:tr>
        <w:tc>
          <w:tcPr>
            <w:tcW w:type="dxa" w:w="10454"/>
          </w:tcPr>
          <w:p>
            <w:pPr>
              <w:jc w:val="center"/>
            </w:pPr>
            <w:r>
              <w:rPr>
                <w:rFonts w:ascii="Consolas" w:hAnsi="Consolas"/>
                <w:sz w:val="13"/>
              </w:rPr>
              <w:t>20% clinical writes</w:t>
            </w:r>
          </w:p>
        </w:tc>
      </w:tr>
      <w:tr>
        <w:tc>
          <w:tcPr>
            <w:tcW w:type="dxa" w:w="10454"/>
          </w:tcPr>
          <w:p>
            <w:pPr>
              <w:jc w:val="center"/>
            </w:pPr>
            <w:r>
              <w:rPr>
                <w:rFonts w:ascii="Consolas" w:hAnsi="Consolas"/>
                <w:sz w:val="13"/>
              </w:rPr>
              <w:t>15% patient search</w:t>
            </w:r>
          </w:p>
        </w:tc>
      </w:tr>
      <w:tr>
        <w:tc>
          <w:tcPr>
            <w:tcW w:type="dxa" w:w="10454"/>
          </w:tcPr>
          <w:p>
            <w:pPr>
              <w:jc w:val="center"/>
            </w:pPr>
            <w:r>
              <w:rPr>
                <w:rFonts w:ascii="Consolas" w:hAnsi="Consolas"/>
                <w:sz w:val="13"/>
              </w:rPr>
              <w:t>10% orders</w:t>
            </w:r>
          </w:p>
        </w:tc>
      </w:tr>
      <w:tr>
        <w:tc>
          <w:tcPr>
            <w:tcW w:type="dxa" w:w="10454"/>
          </w:tcPr>
          <w:p>
            <w:pPr>
              <w:jc w:val="center"/>
            </w:pPr>
            <w:r>
              <w:rPr>
                <w:rFonts w:ascii="Consolas" w:hAnsi="Consolas"/>
                <w:sz w:val="13"/>
              </w:rPr>
              <w:t>10% medication</w:t>
            </w:r>
          </w:p>
        </w:tc>
      </w:tr>
      <w:tr>
        <w:tc>
          <w:tcPr>
            <w:tcW w:type="dxa" w:w="10454"/>
          </w:tcPr>
          <w:p>
            <w:pPr>
              <w:jc w:val="center"/>
            </w:pPr>
            <w:r>
              <w:rPr>
                <w:rFonts w:ascii="Consolas" w:hAnsi="Consolas"/>
                <w:sz w:val="13"/>
              </w:rPr>
              <w:t>5% billing</w:t>
            </w:r>
          </w:p>
        </w:tc>
      </w:tr>
      <w:tr>
        <w:tc>
          <w:tcPr>
            <w:tcW w:type="dxa" w:w="10454"/>
          </w:tcPr>
          <w:p>
            <w:pPr>
              <w:jc w:val="center"/>
            </w:pPr>
            <w:r>
              <w:rPr>
                <w:rFonts w:ascii="Consolas" w:hAnsi="Consolas"/>
                <w:sz w:val="13"/>
              </w:rPr>
              <w:t>5% integrations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Run warm-up + sustained test</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Measure p50 / p95 / p99 + TPS + errors + saturation</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Pass only if correctness and latency both meet target</w:t>
            </w:r>
          </w:p>
        </w:tc>
      </w:tr>
    </w:tbl>
    <w:p>
      <w:pPr>
        <w:pStyle w:val="Heading1"/>
      </w:pPr>
      <w:r>
        <w:t>Appendix D — Example Recovery Validation</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Simulate covered failure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Declare outage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Activate failover/downtime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Restore/fail over</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Verify service health</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Verify representative clinical records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Reconcile queues/offline events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Measure actual RTO/RPO</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Record evidence + corrective actions</w:t>
            </w:r>
          </w:p>
        </w:tc>
      </w:tr>
    </w:tbl>
    <w:p>
      <w:pPr>
        <w:pStyle w:val="Heading1"/>
      </w:pPr>
      <w:r>
        <w:t>Appendix E — Required Follow-On Artifacts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Artifact</w:t>
            </w:r>
          </w:p>
        </w:tc>
        <w:tc>
          <w:tcPr>
            <w:tcW w:type="dxa" w:w="5227"/>
          </w:tcPr>
          <w:p>
            <w:pPr>
              <w:spacing w:after="0"/>
            </w:pPr>
            <w:r>
              <w:rPr>
                <w:b/>
                <w:sz w:val="11"/>
              </w:rPr>
              <w:t>Purpose</w:t>
            </w:r>
          </w:p>
        </w:tc>
      </w:tr>
      <w:tr>
        <w:tc>
          <w:tcPr>
            <w:tcW w:type="dxa" w:w="5227"/>
          </w:tcPr>
          <w:p>
            <w:pPr>
              <w:spacing w:after="0"/>
            </w:pPr>
            <w:r>
              <w:rPr>
                <w:sz w:val="11"/>
              </w:rPr>
              <w:t>Deployment sizing workbook</w:t>
            </w:r>
          </w:p>
        </w:tc>
        <w:tc>
          <w:tcPr>
            <w:tcW w:type="dxa" w:w="5227"/>
          </w:tcPr>
          <w:p>
            <w:pPr>
              <w:spacing w:after="0"/>
            </w:pPr>
            <w:r>
              <w:rPr>
                <w:sz w:val="11"/>
              </w:rPr>
              <w:t>Facility-specific capacity.</w:t>
            </w:r>
          </w:p>
        </w:tc>
      </w:tr>
      <w:tr>
        <w:tc>
          <w:tcPr>
            <w:tcW w:type="dxa" w:w="5227"/>
          </w:tcPr>
          <w:p>
            <w:pPr>
              <w:spacing w:after="0"/>
            </w:pPr>
            <w:r>
              <w:rPr>
                <w:sz w:val="11"/>
              </w:rPr>
              <w:t>SLO catalogue</w:t>
            </w:r>
          </w:p>
        </w:tc>
        <w:tc>
          <w:tcPr>
            <w:tcW w:type="dxa" w:w="5227"/>
          </w:tcPr>
          <w:p>
            <w:pPr>
              <w:spacing w:after="0"/>
            </w:pPr>
            <w:r>
              <w:rPr>
                <w:sz w:val="11"/>
              </w:rPr>
              <w:t>Production service objectives.</w:t>
            </w:r>
          </w:p>
        </w:tc>
      </w:tr>
      <w:tr>
        <w:tc>
          <w:tcPr>
            <w:tcW w:type="dxa" w:w="5227"/>
          </w:tcPr>
          <w:p>
            <w:pPr>
              <w:spacing w:after="0"/>
            </w:pPr>
            <w:r>
              <w:rPr>
                <w:sz w:val="11"/>
              </w:rPr>
              <w:t>Load-test suite</w:t>
            </w:r>
          </w:p>
        </w:tc>
        <w:tc>
          <w:tcPr>
            <w:tcW w:type="dxa" w:w="5227"/>
          </w:tcPr>
          <w:p>
            <w:pPr>
              <w:spacing w:after="0"/>
            </w:pPr>
            <w:r>
              <w:rPr>
                <w:sz w:val="11"/>
              </w:rPr>
              <w:t>Automated performance validation.</w:t>
            </w:r>
          </w:p>
        </w:tc>
      </w:tr>
      <w:tr>
        <w:tc>
          <w:tcPr>
            <w:tcW w:type="dxa" w:w="5227"/>
          </w:tcPr>
          <w:p>
            <w:pPr>
              <w:spacing w:after="0"/>
            </w:pPr>
            <w:r>
              <w:rPr>
                <w:sz w:val="11"/>
              </w:rPr>
              <w:t>Resilience test suite</w:t>
            </w:r>
          </w:p>
        </w:tc>
        <w:tc>
          <w:tcPr>
            <w:tcW w:type="dxa" w:w="5227"/>
          </w:tcPr>
          <w:p>
            <w:pPr>
              <w:spacing w:after="0"/>
            </w:pPr>
            <w:r>
              <w:rPr>
                <w:sz w:val="11"/>
              </w:rPr>
              <w:t>Failure injection.</w:t>
            </w:r>
          </w:p>
        </w:tc>
      </w:tr>
      <w:tr>
        <w:tc>
          <w:tcPr>
            <w:tcW w:type="dxa" w:w="5227"/>
          </w:tcPr>
          <w:p>
            <w:pPr>
              <w:spacing w:after="0"/>
            </w:pPr>
            <w:r>
              <w:rPr>
                <w:sz w:val="11"/>
              </w:rPr>
              <w:t>DR exercise plan</w:t>
            </w:r>
          </w:p>
        </w:tc>
        <w:tc>
          <w:tcPr>
            <w:tcW w:type="dxa" w:w="5227"/>
          </w:tcPr>
          <w:p>
            <w:pPr>
              <w:spacing w:after="0"/>
            </w:pPr>
            <w:r>
              <w:rPr>
                <w:sz w:val="11"/>
              </w:rPr>
              <w:t>RTO/RPO validation.</w:t>
            </w:r>
          </w:p>
        </w:tc>
      </w:tr>
      <w:tr>
        <w:tc>
          <w:tcPr>
            <w:tcW w:type="dxa" w:w="5227"/>
          </w:tcPr>
          <w:p>
            <w:pPr>
              <w:spacing w:after="0"/>
            </w:pPr>
            <w:r>
              <w:rPr>
                <w:sz w:val="11"/>
              </w:rPr>
              <w:t>Accessibility test plan</w:t>
            </w:r>
          </w:p>
        </w:tc>
        <w:tc>
          <w:tcPr>
            <w:tcW w:type="dxa" w:w="5227"/>
          </w:tcPr>
          <w:p>
            <w:pPr>
              <w:spacing w:after="0"/>
            </w:pPr>
            <w:r>
              <w:rPr>
                <w:sz w:val="11"/>
              </w:rPr>
              <w:t>WCAG/human factors.</w:t>
            </w:r>
          </w:p>
        </w:tc>
      </w:tr>
      <w:tr>
        <w:tc>
          <w:tcPr>
            <w:tcW w:type="dxa" w:w="5227"/>
          </w:tcPr>
          <w:p>
            <w:pPr>
              <w:spacing w:after="0"/>
            </w:pPr>
            <w:r>
              <w:rPr>
                <w:sz w:val="11"/>
              </w:rPr>
              <w:t>Browser/device matrix</w:t>
            </w:r>
          </w:p>
        </w:tc>
        <w:tc>
          <w:tcPr>
            <w:tcW w:type="dxa" w:w="5227"/>
          </w:tcPr>
          <w:p>
            <w:pPr>
              <w:spacing w:after="0"/>
            </w:pPr>
            <w:r>
              <w:rPr>
                <w:sz w:val="11"/>
              </w:rPr>
              <w:t>Supported clients.</w:t>
            </w:r>
          </w:p>
        </w:tc>
      </w:tr>
      <w:tr>
        <w:tc>
          <w:tcPr>
            <w:tcW w:type="dxa" w:w="5227"/>
          </w:tcPr>
          <w:p>
            <w:pPr>
              <w:spacing w:after="0"/>
            </w:pPr>
            <w:r>
              <w:rPr>
                <w:sz w:val="11"/>
              </w:rPr>
              <w:t>Capacity dashboard</w:t>
            </w:r>
          </w:p>
        </w:tc>
        <w:tc>
          <w:tcPr>
            <w:tcW w:type="dxa" w:w="5227"/>
          </w:tcPr>
          <w:p>
            <w:pPr>
              <w:spacing w:after="0"/>
            </w:pPr>
            <w:r>
              <w:rPr>
                <w:sz w:val="11"/>
              </w:rPr>
              <w:t>Headroom/growth.</w:t>
            </w:r>
          </w:p>
        </w:tc>
      </w:tr>
      <w:tr>
        <w:tc>
          <w:tcPr>
            <w:tcW w:type="dxa" w:w="5227"/>
          </w:tcPr>
          <w:p>
            <w:pPr>
              <w:spacing w:after="0"/>
            </w:pPr>
            <w:r>
              <w:rPr>
                <w:sz w:val="11"/>
              </w:rPr>
              <w:t>Performance dashboard</w:t>
            </w:r>
          </w:p>
        </w:tc>
        <w:tc>
          <w:tcPr>
            <w:tcW w:type="dxa" w:w="5227"/>
          </w:tcPr>
          <w:p>
            <w:pPr>
              <w:spacing w:after="0"/>
            </w:pPr>
            <w:r>
              <w:rPr>
                <w:sz w:val="11"/>
              </w:rPr>
              <w:t>Latency/errors/saturation.</w:t>
            </w:r>
          </w:p>
        </w:tc>
      </w:tr>
      <w:tr>
        <w:tc>
          <w:tcPr>
            <w:tcW w:type="dxa" w:w="5227"/>
          </w:tcPr>
          <w:p>
            <w:pPr>
              <w:spacing w:after="0"/>
            </w:pPr>
            <w:r>
              <w:rPr>
                <w:sz w:val="11"/>
              </w:rPr>
              <w:t>NFR traceability matrix</w:t>
            </w:r>
          </w:p>
        </w:tc>
        <w:tc>
          <w:tcPr>
            <w:tcW w:type="dxa" w:w="5227"/>
          </w:tcPr>
          <w:p>
            <w:pPr>
              <w:spacing w:after="0"/>
            </w:pPr>
            <w:r>
              <w:rPr>
                <w:sz w:val="11"/>
              </w:rPr>
              <w:t>Requirement → test → evidence.</w:t>
            </w:r>
          </w:p>
        </w:tc>
      </w:tr>
    </w:tbl>
    <w:p>
      <w:pPr>
        <w:pStyle w:val="Heading1"/>
      </w:pPr>
      <w:r>
        <w:t>Appendix F — Architectural Boundary</w:t>
      </w:r>
    </w:p>
    <w:p>
      <w:r>
        <w:t>PULSE-NFR-001 defines measurable quality and service characteristics. It does not replace domain correctness, clinical safety, security, privacy or operational procedures. Where an NFR conflicts with a safety invariant, the system must preserve safe clinical behavior and explicitly surface degraded performance rather than bypassing the invariant.</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Pulse Health Platform • Confidential • Engineering Quality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PULSE-NFR-001  |  NON-FUNCTIONAL REQUIREMENTS, SLO/SLA &amp; CAPACITY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