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sz w:val="62"/>
        </w:rPr>
        <w:t>PULSE-PRIV-001</w:t>
      </w:r>
    </w:p>
    <w:p>
      <w:pPr>
        <w:jc w:val="center"/>
      </w:pPr>
      <w:r>
        <w:rPr>
          <w:b/>
          <w:sz w:val="33"/>
        </w:rPr>
        <w:t>Privacy, Data Protection, DPIA &amp; Healthcare Data Governance Framework</w:t>
      </w:r>
    </w:p>
    <w:p>
      <w:pPr>
        <w:jc w:val="center"/>
      </w:pPr>
      <w:r>
        <w:rPr>
          <w:b/>
        </w:rPr>
        <w:t>Pulse Health Platform</w:t>
      </w:r>
    </w:p>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3"/>
              </w:rPr>
              <w:t>Document Control</w:t>
            </w:r>
          </w:p>
        </w:tc>
        <w:tc>
          <w:tcPr>
            <w:tcW w:type="dxa" w:w="5227"/>
          </w:tcPr>
          <w:p>
            <w:pPr>
              <w:spacing w:after="0"/>
            </w:pPr>
            <w:r>
              <w:rPr>
                <w:b/>
                <w:sz w:val="13"/>
              </w:rPr>
              <w:t>Value</w:t>
            </w:r>
          </w:p>
        </w:tc>
      </w:tr>
      <w:tr>
        <w:tc>
          <w:tcPr>
            <w:tcW w:type="dxa" w:w="5227"/>
          </w:tcPr>
          <w:p>
            <w:pPr>
              <w:spacing w:after="0"/>
            </w:pPr>
            <w:r>
              <w:rPr>
                <w:sz w:val="13"/>
              </w:rPr>
              <w:t>Parent documents</w:t>
            </w:r>
          </w:p>
        </w:tc>
        <w:tc>
          <w:tcPr>
            <w:tcW w:type="dxa" w:w="5227"/>
          </w:tcPr>
          <w:p>
            <w:pPr>
              <w:spacing w:after="0"/>
            </w:pPr>
            <w:r>
              <w:rPr>
                <w:sz w:val="13"/>
              </w:rPr>
              <w:t>Pulse Master Blueprint; PULSE-ARCH-001; PULSE-SAFE-001; PULSE-IAM-001; PULSE-FHIR-001; PULSE-SEC-001</w:t>
            </w:r>
          </w:p>
        </w:tc>
      </w:tr>
      <w:tr>
        <w:tc>
          <w:tcPr>
            <w:tcW w:type="dxa" w:w="5227"/>
          </w:tcPr>
          <w:p>
            <w:pPr>
              <w:spacing w:after="0"/>
            </w:pPr>
            <w:r>
              <w:rPr>
                <w:sz w:val="13"/>
              </w:rPr>
              <w:t>Version</w:t>
            </w:r>
          </w:p>
        </w:tc>
        <w:tc>
          <w:tcPr>
            <w:tcW w:type="dxa" w:w="5227"/>
          </w:tcPr>
          <w:p>
            <w:pPr>
              <w:spacing w:after="0"/>
            </w:pPr>
            <w:r>
              <w:rPr>
                <w:sz w:val="13"/>
              </w:rPr>
              <w:t>1.0</w:t>
            </w:r>
          </w:p>
        </w:tc>
      </w:tr>
      <w:tr>
        <w:tc>
          <w:tcPr>
            <w:tcW w:type="dxa" w:w="5227"/>
          </w:tcPr>
          <w:p>
            <w:pPr>
              <w:spacing w:after="0"/>
            </w:pPr>
            <w:r>
              <w:rPr>
                <w:sz w:val="13"/>
              </w:rPr>
              <w:t>Status</w:t>
            </w:r>
          </w:p>
        </w:tc>
        <w:tc>
          <w:tcPr>
            <w:tcW w:type="dxa" w:w="5227"/>
          </w:tcPr>
          <w:p>
            <w:pPr>
              <w:spacing w:after="0"/>
            </w:pPr>
            <w:r>
              <w:rPr>
                <w:sz w:val="13"/>
              </w:rPr>
              <w:t>Privacy &amp; Healthcare Data Governance Baseline</w:t>
            </w:r>
          </w:p>
        </w:tc>
      </w:tr>
      <w:tr>
        <w:tc>
          <w:tcPr>
            <w:tcW w:type="dxa" w:w="5227"/>
          </w:tcPr>
          <w:p>
            <w:pPr>
              <w:spacing w:after="0"/>
            </w:pPr>
            <w:r>
              <w:rPr>
                <w:sz w:val="13"/>
              </w:rPr>
              <w:t>Scope</w:t>
            </w:r>
          </w:p>
        </w:tc>
        <w:tc>
          <w:tcPr>
            <w:tcW w:type="dxa" w:w="5227"/>
          </w:tcPr>
          <w:p>
            <w:pPr>
              <w:spacing w:after="0"/>
            </w:pPr>
            <w:r>
              <w:rPr>
                <w:sz w:val="13"/>
              </w:rPr>
              <w:t>Patient, workforce, caregiver, partner, research, operational and derived data across cloud, on-premises, hybrid and inter-facility exchange.</w:t>
            </w:r>
          </w:p>
        </w:tc>
      </w:tr>
      <w:tr>
        <w:tc>
          <w:tcPr>
            <w:tcW w:type="dxa" w:w="5227"/>
          </w:tcPr>
          <w:p>
            <w:pPr>
              <w:spacing w:after="0"/>
            </w:pPr>
            <w:r>
              <w:rPr>
                <w:sz w:val="13"/>
              </w:rPr>
              <w:t>Audience</w:t>
            </w:r>
          </w:p>
        </w:tc>
        <w:tc>
          <w:tcPr>
            <w:tcW w:type="dxa" w:w="5227"/>
          </w:tcPr>
          <w:p>
            <w:pPr>
              <w:spacing w:after="0"/>
            </w:pPr>
            <w:r>
              <w:rPr>
                <w:sz w:val="13"/>
              </w:rPr>
              <w:t>Privacy, Legal, Governance, Clinical Leadership, Security, Engineering, Product, Research, Audit, Hospital Management, Vendors</w:t>
            </w:r>
          </w:p>
        </w:tc>
      </w:tr>
      <w:tr>
        <w:tc>
          <w:tcPr>
            <w:tcW w:type="dxa" w:w="5227"/>
          </w:tcPr>
          <w:p>
            <w:pPr>
              <w:spacing w:after="0"/>
            </w:pPr>
            <w:r>
              <w:rPr>
                <w:sz w:val="13"/>
              </w:rPr>
              <w:t>Purpose</w:t>
            </w:r>
          </w:p>
        </w:tc>
        <w:tc>
          <w:tcPr>
            <w:tcW w:type="dxa" w:w="5227"/>
          </w:tcPr>
          <w:p>
            <w:pPr>
              <w:spacing w:after="0"/>
            </w:pPr>
            <w:r>
              <w:rPr>
                <w:sz w:val="13"/>
              </w:rPr>
              <w:t>Define privacy principles, processing governance, disclosure rules, data lifecycle controls, DPIA methodology, rights handling and accountability.</w:t>
            </w:r>
          </w:p>
        </w:tc>
      </w:tr>
      <w:tr>
        <w:tc>
          <w:tcPr>
            <w:tcW w:type="dxa" w:w="5227"/>
          </w:tcPr>
          <w:p>
            <w:pPr>
              <w:spacing w:after="0"/>
            </w:pPr>
            <w:r>
              <w:rPr>
                <w:sz w:val="13"/>
              </w:rPr>
              <w:t>Regulatory posture</w:t>
            </w:r>
          </w:p>
        </w:tc>
        <w:tc>
          <w:tcPr>
            <w:tcW w:type="dxa" w:w="5227"/>
          </w:tcPr>
          <w:p>
            <w:pPr>
              <w:spacing w:after="0"/>
            </w:pPr>
            <w:r>
              <w:rPr>
                <w:sz w:val="13"/>
              </w:rPr>
              <w:t>Nigeria-first framework designed to be mapped to applicable law, regulator guidance, contracts and deployment-specific obligations. Legal counsel validates final statutory interpretation.</w:t>
            </w:r>
          </w:p>
        </w:tc>
      </w:tr>
      <w:tr>
        <w:tc>
          <w:tcPr>
            <w:tcW w:type="dxa" w:w="5227"/>
          </w:tcPr>
          <w:p>
            <w:pPr>
              <w:spacing w:after="0"/>
            </w:pPr>
            <w:r>
              <w:rPr>
                <w:sz w:val="13"/>
              </w:rPr>
              <w:t>Core rule</w:t>
            </w:r>
          </w:p>
        </w:tc>
        <w:tc>
          <w:tcPr>
            <w:tcW w:type="dxa" w:w="5227"/>
          </w:tcPr>
          <w:p>
            <w:pPr>
              <w:spacing w:after="0"/>
            </w:pPr>
            <w:r>
              <w:rPr>
                <w:sz w:val="13"/>
              </w:rPr>
              <w:t>Clinical access, privacy permission, security capability and technical availability are separate questions; all applicable controls must permit an action before protected data is disclosed.</w:t>
            </w:r>
          </w:p>
        </w:tc>
      </w:tr>
    </w:tbl>
    <w:p>
      <w:r>
        <w:br w:type="page"/>
      </w:r>
    </w:p>
    <w:p>
      <w:pPr>
        <w:pStyle w:val="Heading1"/>
      </w:pPr>
      <w:r>
        <w:t>1. Purpose and Scope</w:t>
      </w:r>
    </w:p>
    <w:p>
      <w:r>
        <w:t>This framework governs how Pulse processes health and related personal data throughout collection, care delivery, referral, billing, operations, analytics, research, support, archival and disposal. It complements IAM and cybersecurity controls with rules about why data may be processed, for what purpose, by whom, for how long and under what accountability.</w:t>
      </w:r>
    </w:p>
    <w:p>
      <w:r>
        <w:t>It is an implementation governance specification, not legal advice. Each deployment must map these controls to the applicable Nigerian legal/regulatory environment, contractual obligations, professional duties and any cross-border requirements.</w:t>
      </w:r>
    </w:p>
    <w:p>
      <w:pPr>
        <w:pStyle w:val="Heading1"/>
      </w:pPr>
      <w:r>
        <w:t>2. Privacy Objectives</w:t>
      </w:r>
    </w:p>
    <w:p>
      <w:pPr>
        <w:pStyle w:val="ListBullet"/>
      </w:pPr>
      <w:r>
        <w:t>Protect patient dignity, confidentiality and autonomy while preserving safe care delivery.</w:t>
      </w:r>
    </w:p>
    <w:p>
      <w:pPr>
        <w:pStyle w:val="ListBullet"/>
      </w:pPr>
      <w:r>
        <w:t>Make processing purposes explicit and accountable.</w:t>
      </w:r>
    </w:p>
    <w:p>
      <w:pPr>
        <w:pStyle w:val="ListBullet"/>
      </w:pPr>
      <w:r>
        <w:t>Collect and disclose only data reasonably necessary for the approved purpose.</w:t>
      </w:r>
    </w:p>
    <w:p>
      <w:pPr>
        <w:pStyle w:val="ListBullet"/>
      </w:pPr>
      <w:r>
        <w:t>Preserve data quality and provenance.</w:t>
      </w:r>
    </w:p>
    <w:p>
      <w:pPr>
        <w:pStyle w:val="ListBullet"/>
      </w:pPr>
      <w:r>
        <w:t>Enable legitimate continuity of care without creating unrestricted institutional browsing.</w:t>
      </w:r>
    </w:p>
    <w:p>
      <w:pPr>
        <w:pStyle w:val="ListBullet"/>
      </w:pPr>
      <w:r>
        <w:t>Provide auditable mechanisms for rights, disclosures, exceptions and incidents.</w:t>
      </w:r>
    </w:p>
    <w:p>
      <w:pPr>
        <w:pStyle w:val="ListBullet"/>
      </w:pPr>
      <w:r>
        <w:t>Separate direct care, operations, billing, research and secondary-use purposes.</w:t>
      </w:r>
    </w:p>
    <w:p>
      <w:pPr>
        <w:pStyle w:val="Heading1"/>
      </w:pPr>
      <w:r>
        <w:t>3. Privacy Principles</w:t>
      </w:r>
    </w:p>
    <w:p>
      <w:pPr>
        <w:pStyle w:val="ListBullet"/>
      </w:pPr>
      <w:r>
        <w:t>Purpose limitation</w:t>
      </w:r>
    </w:p>
    <w:p>
      <w:pPr>
        <w:pStyle w:val="ListBullet"/>
      </w:pPr>
      <w:r>
        <w:t>Data minimisation</w:t>
      </w:r>
    </w:p>
    <w:p>
      <w:pPr>
        <w:pStyle w:val="ListBullet"/>
      </w:pPr>
      <w:r>
        <w:t>Transparency</w:t>
      </w:r>
    </w:p>
    <w:p>
      <w:pPr>
        <w:pStyle w:val="ListBullet"/>
      </w:pPr>
      <w:r>
        <w:t>Fairness</w:t>
      </w:r>
    </w:p>
    <w:p>
      <w:pPr>
        <w:pStyle w:val="ListBullet"/>
      </w:pPr>
      <w:r>
        <w:t>Accuracy</w:t>
      </w:r>
    </w:p>
    <w:p>
      <w:pPr>
        <w:pStyle w:val="ListBullet"/>
      </w:pPr>
      <w:r>
        <w:t>Storage limitation</w:t>
      </w:r>
    </w:p>
    <w:p>
      <w:pPr>
        <w:pStyle w:val="ListBullet"/>
      </w:pPr>
      <w:r>
        <w:t>Integrity and confidentiality</w:t>
      </w:r>
    </w:p>
    <w:p>
      <w:pPr>
        <w:pStyle w:val="ListBullet"/>
      </w:pPr>
      <w:r>
        <w:t>Accountability</w:t>
      </w:r>
    </w:p>
    <w:p>
      <w:pPr>
        <w:pStyle w:val="ListBullet"/>
      </w:pPr>
      <w:r>
        <w:t>Privacy by design and default</w:t>
      </w:r>
    </w:p>
    <w:p>
      <w:pPr>
        <w:pStyle w:val="ListBullet"/>
      </w:pPr>
      <w:r>
        <w:t>Need-to-know access</w:t>
      </w:r>
    </w:p>
    <w:p>
      <w:pPr>
        <w:pStyle w:val="ListBullet"/>
      </w:pPr>
      <w:r>
        <w:t>Minimum necessary disclosure</w:t>
      </w:r>
    </w:p>
    <w:p>
      <w:pPr>
        <w:pStyle w:val="ListBullet"/>
      </w:pPr>
      <w:r>
        <w:t>Traceable secondary use</w:t>
      </w:r>
    </w:p>
    <w:p>
      <w:pPr>
        <w:pStyle w:val="ListBullet"/>
      </w:pPr>
      <w:r>
        <w:t>No silent repurposing of clinical data.</w:t>
      </w:r>
    </w:p>
    <w:tbl>
      <w:tblPr>
        <w:tblStyle w:val="TableGrid"/>
        <w:tblW w:type="auto" w:w="0"/>
        <w:tblLook w:firstColumn="1" w:firstRow="1" w:lastColumn="0" w:lastRow="0" w:noHBand="0" w:noVBand="1" w:val="04A0"/>
      </w:tblPr>
      <w:tblGrid>
        <w:gridCol w:w="10454"/>
      </w:tblGrid>
      <w:tr>
        <w:tc>
          <w:tcPr>
            <w:tcW w:type="dxa" w:w="10454"/>
          </w:tcPr>
          <w:p>
            <w:r>
              <w:t>PRIVACY INVARIANT — Technical ability to access data SHALL NOT be treated as permission to use or disclose it.</w:t>
            </w:r>
          </w:p>
        </w:tc>
      </w:tr>
    </w:tbl>
    <w:p>
      <w:pPr>
        <w:pStyle w:val="Heading1"/>
      </w:pPr>
      <w:r>
        <w:t>4. Data Governance Model</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Board / Executive Governance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Privacy &amp; Data Governance Committee</w:t>
            </w:r>
          </w:p>
        </w:tc>
      </w:tr>
      <w:tr>
        <w:tc>
          <w:tcPr>
            <w:tcW w:type="dxa" w:w="10454"/>
          </w:tcPr>
          <w:p>
            <w:pPr>
              <w:jc w:val="center"/>
            </w:pPr>
            <w:r>
              <w:rPr>
                <w:rFonts w:ascii="Consolas" w:hAnsi="Consolas"/>
                <w:sz w:val="13"/>
              </w:rPr>
              <w:t>├── Clinical Governance</w:t>
            </w:r>
          </w:p>
        </w:tc>
      </w:tr>
      <w:tr>
        <w:tc>
          <w:tcPr>
            <w:tcW w:type="dxa" w:w="10454"/>
          </w:tcPr>
          <w:p>
            <w:pPr>
              <w:jc w:val="center"/>
            </w:pPr>
            <w:r>
              <w:rPr>
                <w:rFonts w:ascii="Consolas" w:hAnsi="Consolas"/>
                <w:sz w:val="13"/>
              </w:rPr>
              <w:t>├── Security / IAM</w:t>
            </w:r>
          </w:p>
        </w:tc>
      </w:tr>
      <w:tr>
        <w:tc>
          <w:tcPr>
            <w:tcW w:type="dxa" w:w="10454"/>
          </w:tcPr>
          <w:p>
            <w:pPr>
              <w:jc w:val="center"/>
            </w:pPr>
            <w:r>
              <w:rPr>
                <w:rFonts w:ascii="Consolas" w:hAnsi="Consolas"/>
                <w:sz w:val="13"/>
              </w:rPr>
              <w:t>├── Data Stewardship</w:t>
            </w:r>
          </w:p>
        </w:tc>
      </w:tr>
      <w:tr>
        <w:tc>
          <w:tcPr>
            <w:tcW w:type="dxa" w:w="10454"/>
          </w:tcPr>
          <w:p>
            <w:pPr>
              <w:jc w:val="center"/>
            </w:pPr>
            <w:r>
              <w:rPr>
                <w:rFonts w:ascii="Consolas" w:hAnsi="Consolas"/>
                <w:sz w:val="13"/>
              </w:rPr>
              <w:t>├── Research Governance</w:t>
            </w:r>
          </w:p>
        </w:tc>
      </w:tr>
      <w:tr>
        <w:tc>
          <w:tcPr>
            <w:tcW w:type="dxa" w:w="10454"/>
          </w:tcPr>
          <w:p>
            <w:pPr>
              <w:jc w:val="center"/>
            </w:pPr>
            <w:r>
              <w:rPr>
                <w:rFonts w:ascii="Consolas" w:hAnsi="Consolas"/>
                <w:sz w:val="13"/>
              </w:rPr>
              <w:t>└── Legal / Compliance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Domain Data Owners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Data Stewards / Custodians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Authorised Users, Systems &amp; Processors</w:t>
            </w:r>
          </w:p>
        </w:tc>
      </w:tr>
    </w:tbl>
    <w:p>
      <w:pPr>
        <w:pStyle w:val="Heading1"/>
      </w:pPr>
      <w:r>
        <w:t>5. Governance Roles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Role</w:t>
            </w:r>
          </w:p>
        </w:tc>
        <w:tc>
          <w:tcPr>
            <w:tcW w:type="dxa" w:w="5227"/>
          </w:tcPr>
          <w:p>
            <w:pPr>
              <w:spacing w:after="0"/>
            </w:pPr>
            <w:r>
              <w:rPr>
                <w:b/>
                <w:sz w:val="11"/>
              </w:rPr>
              <w:t>Accountability</w:t>
            </w:r>
          </w:p>
        </w:tc>
      </w:tr>
      <w:tr>
        <w:tc>
          <w:tcPr>
            <w:tcW w:type="dxa" w:w="5227"/>
          </w:tcPr>
          <w:p>
            <w:pPr>
              <w:spacing w:after="0"/>
            </w:pPr>
            <w:r>
              <w:rPr>
                <w:sz w:val="11"/>
              </w:rPr>
              <w:t>Data Controller / responsible organisation</w:t>
            </w:r>
          </w:p>
        </w:tc>
        <w:tc>
          <w:tcPr>
            <w:tcW w:type="dxa" w:w="5227"/>
          </w:tcPr>
          <w:p>
            <w:pPr>
              <w:spacing w:after="0"/>
            </w:pPr>
            <w:r>
              <w:rPr>
                <w:sz w:val="11"/>
              </w:rPr>
              <w:t>Determines purposes/means as applicable to deployment.</w:t>
            </w:r>
          </w:p>
        </w:tc>
      </w:tr>
      <w:tr>
        <w:tc>
          <w:tcPr>
            <w:tcW w:type="dxa" w:w="5227"/>
          </w:tcPr>
          <w:p>
            <w:pPr>
              <w:spacing w:after="0"/>
            </w:pPr>
            <w:r>
              <w:rPr>
                <w:sz w:val="11"/>
              </w:rPr>
              <w:t>Processor/service provider</w:t>
            </w:r>
          </w:p>
        </w:tc>
        <w:tc>
          <w:tcPr>
            <w:tcW w:type="dxa" w:w="5227"/>
          </w:tcPr>
          <w:p>
            <w:pPr>
              <w:spacing w:after="0"/>
            </w:pPr>
            <w:r>
              <w:rPr>
                <w:sz w:val="11"/>
              </w:rPr>
              <w:t>Processes data under documented instructions and safeguards.</w:t>
            </w:r>
          </w:p>
        </w:tc>
      </w:tr>
      <w:tr>
        <w:tc>
          <w:tcPr>
            <w:tcW w:type="dxa" w:w="5227"/>
          </w:tcPr>
          <w:p>
            <w:pPr>
              <w:spacing w:after="0"/>
            </w:pPr>
            <w:r>
              <w:rPr>
                <w:sz w:val="11"/>
              </w:rPr>
              <w:t>Privacy lead/DPO-equivalent function</w:t>
            </w:r>
          </w:p>
        </w:tc>
        <w:tc>
          <w:tcPr>
            <w:tcW w:type="dxa" w:w="5227"/>
          </w:tcPr>
          <w:p>
            <w:pPr>
              <w:spacing w:after="0"/>
            </w:pPr>
            <w:r>
              <w:rPr>
                <w:sz w:val="11"/>
              </w:rPr>
              <w:t>Privacy programme, advice, monitoring, DPIA oversight and escalation.</w:t>
            </w:r>
          </w:p>
        </w:tc>
      </w:tr>
      <w:tr>
        <w:tc>
          <w:tcPr>
            <w:tcW w:type="dxa" w:w="5227"/>
          </w:tcPr>
          <w:p>
            <w:pPr>
              <w:spacing w:after="0"/>
            </w:pPr>
            <w:r>
              <w:rPr>
                <w:sz w:val="11"/>
              </w:rPr>
              <w:t>Data owner</w:t>
            </w:r>
          </w:p>
        </w:tc>
        <w:tc>
          <w:tcPr>
            <w:tcW w:type="dxa" w:w="5227"/>
          </w:tcPr>
          <w:p>
            <w:pPr>
              <w:spacing w:after="0"/>
            </w:pPr>
            <w:r>
              <w:rPr>
                <w:sz w:val="11"/>
              </w:rPr>
              <w:t>Accountable for domain data use, quality and access rules.</w:t>
            </w:r>
          </w:p>
        </w:tc>
      </w:tr>
      <w:tr>
        <w:tc>
          <w:tcPr>
            <w:tcW w:type="dxa" w:w="5227"/>
          </w:tcPr>
          <w:p>
            <w:pPr>
              <w:spacing w:after="0"/>
            </w:pPr>
            <w:r>
              <w:rPr>
                <w:sz w:val="11"/>
              </w:rPr>
              <w:t>Data steward</w:t>
            </w:r>
          </w:p>
        </w:tc>
        <w:tc>
          <w:tcPr>
            <w:tcW w:type="dxa" w:w="5227"/>
          </w:tcPr>
          <w:p>
            <w:pPr>
              <w:spacing w:after="0"/>
            </w:pPr>
            <w:r>
              <w:rPr>
                <w:sz w:val="11"/>
              </w:rPr>
              <w:t>Definitions, quality, classification, lineage and operational governance.</w:t>
            </w:r>
          </w:p>
        </w:tc>
      </w:tr>
      <w:tr>
        <w:tc>
          <w:tcPr>
            <w:tcW w:type="dxa" w:w="5227"/>
          </w:tcPr>
          <w:p>
            <w:pPr>
              <w:spacing w:after="0"/>
            </w:pPr>
            <w:r>
              <w:rPr>
                <w:sz w:val="11"/>
              </w:rPr>
              <w:t>Custodian/IT</w:t>
            </w:r>
          </w:p>
        </w:tc>
        <w:tc>
          <w:tcPr>
            <w:tcW w:type="dxa" w:w="5227"/>
          </w:tcPr>
          <w:p>
            <w:pPr>
              <w:spacing w:after="0"/>
            </w:pPr>
            <w:r>
              <w:rPr>
                <w:sz w:val="11"/>
              </w:rPr>
              <w:t>Technical protection and availability.</w:t>
            </w:r>
          </w:p>
        </w:tc>
      </w:tr>
      <w:tr>
        <w:tc>
          <w:tcPr>
            <w:tcW w:type="dxa" w:w="5227"/>
          </w:tcPr>
          <w:p>
            <w:pPr>
              <w:spacing w:after="0"/>
            </w:pPr>
            <w:r>
              <w:rPr>
                <w:sz w:val="11"/>
              </w:rPr>
              <w:t>Clinical governance</w:t>
            </w:r>
          </w:p>
        </w:tc>
        <w:tc>
          <w:tcPr>
            <w:tcW w:type="dxa" w:w="5227"/>
          </w:tcPr>
          <w:p>
            <w:pPr>
              <w:spacing w:after="0"/>
            </w:pPr>
            <w:r>
              <w:rPr>
                <w:sz w:val="11"/>
              </w:rPr>
              <w:t>Clinical necessity, safety and professional use.</w:t>
            </w:r>
          </w:p>
        </w:tc>
      </w:tr>
      <w:tr>
        <w:tc>
          <w:tcPr>
            <w:tcW w:type="dxa" w:w="5227"/>
          </w:tcPr>
          <w:p>
            <w:pPr>
              <w:spacing w:after="0"/>
            </w:pPr>
            <w:r>
              <w:rPr>
                <w:sz w:val="11"/>
              </w:rPr>
              <w:t>Security/IAM</w:t>
            </w:r>
          </w:p>
        </w:tc>
        <w:tc>
          <w:tcPr>
            <w:tcW w:type="dxa" w:w="5227"/>
          </w:tcPr>
          <w:p>
            <w:pPr>
              <w:spacing w:after="0"/>
            </w:pPr>
            <w:r>
              <w:rPr>
                <w:sz w:val="11"/>
              </w:rPr>
              <w:t>Identity, authorization, detection and technical safeguards.</w:t>
            </w:r>
          </w:p>
        </w:tc>
      </w:tr>
      <w:tr>
        <w:tc>
          <w:tcPr>
            <w:tcW w:type="dxa" w:w="5227"/>
          </w:tcPr>
          <w:p>
            <w:pPr>
              <w:spacing w:after="0"/>
            </w:pPr>
            <w:r>
              <w:rPr>
                <w:sz w:val="11"/>
              </w:rPr>
              <w:t>Research governance</w:t>
            </w:r>
          </w:p>
        </w:tc>
        <w:tc>
          <w:tcPr>
            <w:tcW w:type="dxa" w:w="5227"/>
          </w:tcPr>
          <w:p>
            <w:pPr>
              <w:spacing w:after="0"/>
            </w:pPr>
            <w:r>
              <w:rPr>
                <w:sz w:val="11"/>
              </w:rPr>
              <w:t>Approves research/secondary use.</w:t>
            </w:r>
          </w:p>
        </w:tc>
      </w:tr>
      <w:tr>
        <w:tc>
          <w:tcPr>
            <w:tcW w:type="dxa" w:w="5227"/>
          </w:tcPr>
          <w:p>
            <w:pPr>
              <w:spacing w:after="0"/>
            </w:pPr>
            <w:r>
              <w:rPr>
                <w:sz w:val="11"/>
              </w:rPr>
              <w:t>User</w:t>
            </w:r>
          </w:p>
        </w:tc>
        <w:tc>
          <w:tcPr>
            <w:tcW w:type="dxa" w:w="5227"/>
          </w:tcPr>
          <w:p>
            <w:pPr>
              <w:spacing w:after="0"/>
            </w:pPr>
            <w:r>
              <w:rPr>
                <w:sz w:val="11"/>
              </w:rPr>
              <w:t>Uses data only for authorised purpose.</w:t>
            </w:r>
          </w:p>
        </w:tc>
      </w:tr>
    </w:tbl>
    <w:p>
      <w:pPr>
        <w:pStyle w:val="Heading1"/>
      </w:pPr>
      <w:r>
        <w:t>6. Data Categories</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pPr>
              <w:spacing w:after="0"/>
            </w:pPr>
            <w:r>
              <w:rPr>
                <w:b/>
                <w:sz w:val="11"/>
              </w:rPr>
              <w:t>Class</w:t>
            </w:r>
          </w:p>
        </w:tc>
        <w:tc>
          <w:tcPr>
            <w:tcW w:type="dxa" w:w="3485"/>
          </w:tcPr>
          <w:p>
            <w:pPr>
              <w:spacing w:after="0"/>
            </w:pPr>
            <w:r>
              <w:rPr>
                <w:b/>
                <w:sz w:val="11"/>
              </w:rPr>
              <w:t>Examples</w:t>
            </w:r>
          </w:p>
        </w:tc>
        <w:tc>
          <w:tcPr>
            <w:tcW w:type="dxa" w:w="3485"/>
          </w:tcPr>
          <w:p>
            <w:pPr>
              <w:spacing w:after="0"/>
            </w:pPr>
            <w:r>
              <w:rPr>
                <w:b/>
                <w:sz w:val="11"/>
              </w:rPr>
              <w:t>Default sensitivity</w:t>
            </w:r>
          </w:p>
        </w:tc>
      </w:tr>
      <w:tr>
        <w:tc>
          <w:tcPr>
            <w:tcW w:type="dxa" w:w="3485"/>
          </w:tcPr>
          <w:p>
            <w:pPr>
              <w:spacing w:after="0"/>
            </w:pPr>
            <w:r>
              <w:rPr>
                <w:sz w:val="11"/>
              </w:rPr>
              <w:t>Clinical</w:t>
            </w:r>
          </w:p>
        </w:tc>
        <w:tc>
          <w:tcPr>
            <w:tcW w:type="dxa" w:w="3485"/>
          </w:tcPr>
          <w:p>
            <w:pPr>
              <w:spacing w:after="0"/>
            </w:pPr>
            <w:r>
              <w:rPr>
                <w:sz w:val="11"/>
              </w:rPr>
              <w:t>Notes, diagnoses, medications, labs, imaging, procedures</w:t>
            </w:r>
          </w:p>
        </w:tc>
        <w:tc>
          <w:tcPr>
            <w:tcW w:type="dxa" w:w="3485"/>
          </w:tcPr>
          <w:p>
            <w:pPr>
              <w:spacing w:after="0"/>
            </w:pPr>
            <w:r>
              <w:rPr>
                <w:sz w:val="11"/>
              </w:rPr>
              <w:t>Restricted/health data</w:t>
            </w:r>
          </w:p>
        </w:tc>
      </w:tr>
      <w:tr>
        <w:tc>
          <w:tcPr>
            <w:tcW w:type="dxa" w:w="3485"/>
          </w:tcPr>
          <w:p>
            <w:pPr>
              <w:spacing w:after="0"/>
            </w:pPr>
            <w:r>
              <w:rPr>
                <w:sz w:val="11"/>
              </w:rPr>
              <w:t>Identity</w:t>
            </w:r>
          </w:p>
        </w:tc>
        <w:tc>
          <w:tcPr>
            <w:tcW w:type="dxa" w:w="3485"/>
          </w:tcPr>
          <w:p>
            <w:pPr>
              <w:spacing w:after="0"/>
            </w:pPr>
            <w:r>
              <w:rPr>
                <w:sz w:val="11"/>
              </w:rPr>
              <w:t>Name, DOB, identifiers, biometrics if deployed</w:t>
            </w:r>
          </w:p>
        </w:tc>
        <w:tc>
          <w:tcPr>
            <w:tcW w:type="dxa" w:w="3485"/>
          </w:tcPr>
          <w:p>
            <w:pPr>
              <w:spacing w:after="0"/>
            </w:pPr>
            <w:r>
              <w:rPr>
                <w:sz w:val="11"/>
              </w:rPr>
              <w:t>Restricted</w:t>
            </w:r>
          </w:p>
        </w:tc>
      </w:tr>
      <w:tr>
        <w:tc>
          <w:tcPr>
            <w:tcW w:type="dxa" w:w="3485"/>
          </w:tcPr>
          <w:p>
            <w:pPr>
              <w:spacing w:after="0"/>
            </w:pPr>
            <w:r>
              <w:rPr>
                <w:sz w:val="11"/>
              </w:rPr>
              <w:t>Contact</w:t>
            </w:r>
          </w:p>
        </w:tc>
        <w:tc>
          <w:tcPr>
            <w:tcW w:type="dxa" w:w="3485"/>
          </w:tcPr>
          <w:p>
            <w:pPr>
              <w:spacing w:after="0"/>
            </w:pPr>
            <w:r>
              <w:rPr>
                <w:sz w:val="11"/>
              </w:rPr>
              <w:t>Phone, email, address</w:t>
            </w:r>
          </w:p>
        </w:tc>
        <w:tc>
          <w:tcPr>
            <w:tcW w:type="dxa" w:w="3485"/>
          </w:tcPr>
          <w:p>
            <w:pPr>
              <w:spacing w:after="0"/>
            </w:pPr>
            <w:r>
              <w:rPr>
                <w:sz w:val="11"/>
              </w:rPr>
              <w:t>Confidential/Restricted</w:t>
            </w:r>
          </w:p>
        </w:tc>
      </w:tr>
      <w:tr>
        <w:tc>
          <w:tcPr>
            <w:tcW w:type="dxa" w:w="3485"/>
          </w:tcPr>
          <w:p>
            <w:pPr>
              <w:spacing w:after="0"/>
            </w:pPr>
            <w:r>
              <w:rPr>
                <w:sz w:val="11"/>
              </w:rPr>
              <w:t>Financial</w:t>
            </w:r>
          </w:p>
        </w:tc>
        <w:tc>
          <w:tcPr>
            <w:tcW w:type="dxa" w:w="3485"/>
          </w:tcPr>
          <w:p>
            <w:pPr>
              <w:spacing w:after="0"/>
            </w:pPr>
            <w:r>
              <w:rPr>
                <w:sz w:val="11"/>
              </w:rPr>
              <w:t>Bills, payments, insurance</w:t>
            </w:r>
          </w:p>
        </w:tc>
        <w:tc>
          <w:tcPr>
            <w:tcW w:type="dxa" w:w="3485"/>
          </w:tcPr>
          <w:p>
            <w:pPr>
              <w:spacing w:after="0"/>
            </w:pPr>
            <w:r>
              <w:rPr>
                <w:sz w:val="11"/>
              </w:rPr>
              <w:t>Restricted</w:t>
            </w:r>
          </w:p>
        </w:tc>
      </w:tr>
      <w:tr>
        <w:tc>
          <w:tcPr>
            <w:tcW w:type="dxa" w:w="3485"/>
          </w:tcPr>
          <w:p>
            <w:pPr>
              <w:spacing w:after="0"/>
            </w:pPr>
            <w:r>
              <w:rPr>
                <w:sz w:val="11"/>
              </w:rPr>
              <w:t>Referral</w:t>
            </w:r>
          </w:p>
        </w:tc>
        <w:tc>
          <w:tcPr>
            <w:tcW w:type="dxa" w:w="3485"/>
          </w:tcPr>
          <w:p>
            <w:pPr>
              <w:spacing w:after="0"/>
            </w:pPr>
            <w:r>
              <w:rPr>
                <w:sz w:val="11"/>
              </w:rPr>
              <w:t>Clinical package, destination, transfer status</w:t>
            </w:r>
          </w:p>
        </w:tc>
        <w:tc>
          <w:tcPr>
            <w:tcW w:type="dxa" w:w="3485"/>
          </w:tcPr>
          <w:p>
            <w:pPr>
              <w:spacing w:after="0"/>
            </w:pPr>
            <w:r>
              <w:rPr>
                <w:sz w:val="11"/>
              </w:rPr>
              <w:t>Restricted</w:t>
            </w:r>
          </w:p>
        </w:tc>
      </w:tr>
      <w:tr>
        <w:tc>
          <w:tcPr>
            <w:tcW w:type="dxa" w:w="3485"/>
          </w:tcPr>
          <w:p>
            <w:pPr>
              <w:spacing w:after="0"/>
            </w:pPr>
            <w:r>
              <w:rPr>
                <w:sz w:val="11"/>
              </w:rPr>
              <w:t>Consent/privacy</w:t>
            </w:r>
          </w:p>
        </w:tc>
        <w:tc>
          <w:tcPr>
            <w:tcW w:type="dxa" w:w="3485"/>
          </w:tcPr>
          <w:p>
            <w:pPr>
              <w:spacing w:after="0"/>
            </w:pPr>
            <w:r>
              <w:rPr>
                <w:sz w:val="11"/>
              </w:rPr>
              <w:t>Preferences, authorisations, disclosure evidence</w:t>
            </w:r>
          </w:p>
        </w:tc>
        <w:tc>
          <w:tcPr>
            <w:tcW w:type="dxa" w:w="3485"/>
          </w:tcPr>
          <w:p>
            <w:pPr>
              <w:spacing w:after="0"/>
            </w:pPr>
            <w:r>
              <w:rPr>
                <w:sz w:val="11"/>
              </w:rPr>
              <w:t>Restricted</w:t>
            </w:r>
          </w:p>
        </w:tc>
      </w:tr>
      <w:tr>
        <w:tc>
          <w:tcPr>
            <w:tcW w:type="dxa" w:w="3485"/>
          </w:tcPr>
          <w:p>
            <w:pPr>
              <w:spacing w:after="0"/>
            </w:pPr>
            <w:r>
              <w:rPr>
                <w:sz w:val="11"/>
              </w:rPr>
              <w:t>Workforce</w:t>
            </w:r>
          </w:p>
        </w:tc>
        <w:tc>
          <w:tcPr>
            <w:tcW w:type="dxa" w:w="3485"/>
          </w:tcPr>
          <w:p>
            <w:pPr>
              <w:spacing w:after="0"/>
            </w:pPr>
            <w:r>
              <w:rPr>
                <w:sz w:val="11"/>
              </w:rPr>
              <w:t>Staff identity, credential, audit</w:t>
            </w:r>
          </w:p>
        </w:tc>
        <w:tc>
          <w:tcPr>
            <w:tcW w:type="dxa" w:w="3485"/>
          </w:tcPr>
          <w:p>
            <w:pPr>
              <w:spacing w:after="0"/>
            </w:pPr>
            <w:r>
              <w:rPr>
                <w:sz w:val="11"/>
              </w:rPr>
              <w:t>Confidential/Restricted</w:t>
            </w:r>
          </w:p>
        </w:tc>
      </w:tr>
      <w:tr>
        <w:tc>
          <w:tcPr>
            <w:tcW w:type="dxa" w:w="3485"/>
          </w:tcPr>
          <w:p>
            <w:pPr>
              <w:spacing w:after="0"/>
            </w:pPr>
            <w:r>
              <w:rPr>
                <w:sz w:val="11"/>
              </w:rPr>
              <w:t>Security</w:t>
            </w:r>
          </w:p>
        </w:tc>
        <w:tc>
          <w:tcPr>
            <w:tcW w:type="dxa" w:w="3485"/>
          </w:tcPr>
          <w:p>
            <w:pPr>
              <w:spacing w:after="0"/>
            </w:pPr>
            <w:r>
              <w:rPr>
                <w:sz w:val="11"/>
              </w:rPr>
              <w:t>Logs, device/IP/session data</w:t>
            </w:r>
          </w:p>
        </w:tc>
        <w:tc>
          <w:tcPr>
            <w:tcW w:type="dxa" w:w="3485"/>
          </w:tcPr>
          <w:p>
            <w:pPr>
              <w:spacing w:after="0"/>
            </w:pPr>
            <w:r>
              <w:rPr>
                <w:sz w:val="11"/>
              </w:rPr>
              <w:t>Confidential</w:t>
            </w:r>
          </w:p>
        </w:tc>
      </w:tr>
      <w:tr>
        <w:tc>
          <w:tcPr>
            <w:tcW w:type="dxa" w:w="3485"/>
          </w:tcPr>
          <w:p>
            <w:pPr>
              <w:spacing w:after="0"/>
            </w:pPr>
            <w:r>
              <w:rPr>
                <w:sz w:val="11"/>
              </w:rPr>
              <w:t>Research</w:t>
            </w:r>
          </w:p>
        </w:tc>
        <w:tc>
          <w:tcPr>
            <w:tcW w:type="dxa" w:w="3485"/>
          </w:tcPr>
          <w:p>
            <w:pPr>
              <w:spacing w:after="0"/>
            </w:pPr>
            <w:r>
              <w:rPr>
                <w:sz w:val="11"/>
              </w:rPr>
              <w:t>Coded/de-identified datasets</w:t>
            </w:r>
          </w:p>
        </w:tc>
        <w:tc>
          <w:tcPr>
            <w:tcW w:type="dxa" w:w="3485"/>
          </w:tcPr>
          <w:p>
            <w:pPr>
              <w:spacing w:after="0"/>
            </w:pPr>
            <w:r>
              <w:rPr>
                <w:sz w:val="11"/>
              </w:rPr>
              <w:t>Classification depends on re-identification risk</w:t>
            </w:r>
          </w:p>
        </w:tc>
      </w:tr>
      <w:tr>
        <w:tc>
          <w:tcPr>
            <w:tcW w:type="dxa" w:w="3485"/>
          </w:tcPr>
          <w:p>
            <w:pPr>
              <w:spacing w:after="0"/>
            </w:pPr>
            <w:r>
              <w:rPr>
                <w:sz w:val="11"/>
              </w:rPr>
              <w:t>Operational</w:t>
            </w:r>
          </w:p>
        </w:tc>
        <w:tc>
          <w:tcPr>
            <w:tcW w:type="dxa" w:w="3485"/>
          </w:tcPr>
          <w:p>
            <w:pPr>
              <w:spacing w:after="0"/>
            </w:pPr>
            <w:r>
              <w:rPr>
                <w:sz w:val="11"/>
              </w:rPr>
              <w:t>Queues, schedules, service metrics</w:t>
            </w:r>
          </w:p>
        </w:tc>
        <w:tc>
          <w:tcPr>
            <w:tcW w:type="dxa" w:w="3485"/>
          </w:tcPr>
          <w:p>
            <w:pPr>
              <w:spacing w:after="0"/>
            </w:pPr>
            <w:r>
              <w:rPr>
                <w:sz w:val="11"/>
              </w:rPr>
              <w:t>Confidential; may contain PHI</w:t>
            </w:r>
          </w:p>
        </w:tc>
      </w:tr>
      <w:tr>
        <w:tc>
          <w:tcPr>
            <w:tcW w:type="dxa" w:w="3485"/>
          </w:tcPr>
          <w:p>
            <w:pPr>
              <w:spacing w:after="0"/>
            </w:pPr>
            <w:r>
              <w:rPr>
                <w:sz w:val="11"/>
              </w:rPr>
              <w:t>Public</w:t>
            </w:r>
          </w:p>
        </w:tc>
        <w:tc>
          <w:tcPr>
            <w:tcW w:type="dxa" w:w="3485"/>
          </w:tcPr>
          <w:p>
            <w:pPr>
              <w:spacing w:after="0"/>
            </w:pPr>
            <w:r>
              <w:rPr>
                <w:sz w:val="11"/>
              </w:rPr>
              <w:t>Published facility/service information</w:t>
            </w:r>
          </w:p>
        </w:tc>
        <w:tc>
          <w:tcPr>
            <w:tcW w:type="dxa" w:w="3485"/>
          </w:tcPr>
          <w:p>
            <w:pPr>
              <w:spacing w:after="0"/>
            </w:pPr>
            <w:r>
              <w:rPr>
                <w:sz w:val="11"/>
              </w:rPr>
              <w:t>Public</w:t>
            </w:r>
          </w:p>
        </w:tc>
      </w:tr>
    </w:tbl>
    <w:p>
      <w:pPr>
        <w:pStyle w:val="Heading1"/>
      </w:pPr>
      <w:r>
        <w:t>7. Data Classification</w:t>
      </w:r>
    </w:p>
    <w:p>
      <w:pPr>
        <w:pStyle w:val="ListBullet"/>
      </w:pPr>
      <w:r>
        <w:t>Public: approved for unrestricted release.</w:t>
      </w:r>
    </w:p>
    <w:p>
      <w:pPr>
        <w:pStyle w:val="ListBullet"/>
      </w:pPr>
      <w:r>
        <w:t>Internal: non-public operational information with low privacy impact.</w:t>
      </w:r>
    </w:p>
    <w:p>
      <w:pPr>
        <w:pStyle w:val="ListBullet"/>
      </w:pPr>
      <w:r>
        <w:t>Confidential: business/workforce information requiring controlled access.</w:t>
      </w:r>
    </w:p>
    <w:p>
      <w:pPr>
        <w:pStyle w:val="ListBullet"/>
      </w:pPr>
      <w:r>
        <w:t>Restricted: patient/health, identity, financial, credential, consent and other high-impact data.</w:t>
      </w:r>
    </w:p>
    <w:p>
      <w:pPr>
        <w:pStyle w:val="ListBullet"/>
      </w:pPr>
      <w:r>
        <w:t>Highly Restricted: exceptional subsets requiring enhanced controls under policy, e.g. specially protected programmes or highly sensitive investigations where applicable.</w:t>
      </w:r>
    </w:p>
    <w:p>
      <w:pPr>
        <w:pStyle w:val="Heading1"/>
      </w:pPr>
      <w:r>
        <w:t>8. Data Inventory and Record of Processing</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Field</w:t>
            </w:r>
          </w:p>
        </w:tc>
        <w:tc>
          <w:tcPr>
            <w:tcW w:type="dxa" w:w="5227"/>
          </w:tcPr>
          <w:p>
            <w:pPr>
              <w:spacing w:after="0"/>
            </w:pPr>
            <w:r>
              <w:rPr>
                <w:b/>
                <w:sz w:val="11"/>
              </w:rPr>
              <w:t>Required</w:t>
            </w:r>
          </w:p>
        </w:tc>
      </w:tr>
      <w:tr>
        <w:tc>
          <w:tcPr>
            <w:tcW w:type="dxa" w:w="5227"/>
          </w:tcPr>
          <w:p>
            <w:pPr>
              <w:spacing w:after="0"/>
            </w:pPr>
            <w:r>
              <w:rPr>
                <w:sz w:val="11"/>
              </w:rPr>
              <w:t>Processing activity</w:t>
            </w:r>
          </w:p>
        </w:tc>
        <w:tc>
          <w:tcPr>
            <w:tcW w:type="dxa" w:w="5227"/>
          </w:tcPr>
          <w:p>
            <w:pPr>
              <w:spacing w:after="0"/>
            </w:pPr>
            <w:r>
              <w:rPr>
                <w:sz w:val="11"/>
              </w:rPr>
              <w:t>Named business/clinical process.</w:t>
            </w:r>
          </w:p>
        </w:tc>
      </w:tr>
      <w:tr>
        <w:tc>
          <w:tcPr>
            <w:tcW w:type="dxa" w:w="5227"/>
          </w:tcPr>
          <w:p>
            <w:pPr>
              <w:spacing w:after="0"/>
            </w:pPr>
            <w:r>
              <w:rPr>
                <w:sz w:val="11"/>
              </w:rPr>
              <w:t>Purpose</w:t>
            </w:r>
          </w:p>
        </w:tc>
        <w:tc>
          <w:tcPr>
            <w:tcW w:type="dxa" w:w="5227"/>
          </w:tcPr>
          <w:p>
            <w:pPr>
              <w:spacing w:after="0"/>
            </w:pPr>
            <w:r>
              <w:rPr>
                <w:sz w:val="11"/>
              </w:rPr>
              <w:t>Why processing occurs.</w:t>
            </w:r>
          </w:p>
        </w:tc>
      </w:tr>
      <w:tr>
        <w:tc>
          <w:tcPr>
            <w:tcW w:type="dxa" w:w="5227"/>
          </w:tcPr>
          <w:p>
            <w:pPr>
              <w:spacing w:after="0"/>
            </w:pPr>
            <w:r>
              <w:rPr>
                <w:sz w:val="11"/>
              </w:rPr>
              <w:t>Data subjects</w:t>
            </w:r>
          </w:p>
        </w:tc>
        <w:tc>
          <w:tcPr>
            <w:tcW w:type="dxa" w:w="5227"/>
          </w:tcPr>
          <w:p>
            <w:pPr>
              <w:spacing w:after="0"/>
            </w:pPr>
            <w:r>
              <w:rPr>
                <w:sz w:val="11"/>
              </w:rPr>
              <w:t>Patients, caregivers, workforce, etc.</w:t>
            </w:r>
          </w:p>
        </w:tc>
      </w:tr>
      <w:tr>
        <w:tc>
          <w:tcPr>
            <w:tcW w:type="dxa" w:w="5227"/>
          </w:tcPr>
          <w:p>
            <w:pPr>
              <w:spacing w:after="0"/>
            </w:pPr>
            <w:r>
              <w:rPr>
                <w:sz w:val="11"/>
              </w:rPr>
              <w:t>Data categories</w:t>
            </w:r>
          </w:p>
        </w:tc>
        <w:tc>
          <w:tcPr>
            <w:tcW w:type="dxa" w:w="5227"/>
          </w:tcPr>
          <w:p>
            <w:pPr>
              <w:spacing w:after="0"/>
            </w:pPr>
            <w:r>
              <w:rPr>
                <w:sz w:val="11"/>
              </w:rPr>
              <w:t>Clinical/identity/financial/etc.</w:t>
            </w:r>
          </w:p>
        </w:tc>
      </w:tr>
      <w:tr>
        <w:tc>
          <w:tcPr>
            <w:tcW w:type="dxa" w:w="5227"/>
          </w:tcPr>
          <w:p>
            <w:pPr>
              <w:spacing w:after="0"/>
            </w:pPr>
            <w:r>
              <w:rPr>
                <w:sz w:val="11"/>
              </w:rPr>
              <w:t>Source</w:t>
            </w:r>
          </w:p>
        </w:tc>
        <w:tc>
          <w:tcPr>
            <w:tcW w:type="dxa" w:w="5227"/>
          </w:tcPr>
          <w:p>
            <w:pPr>
              <w:spacing w:after="0"/>
            </w:pPr>
            <w:r>
              <w:rPr>
                <w:sz w:val="11"/>
              </w:rPr>
              <w:t>Patient, clinician, partner, device, payer.</w:t>
            </w:r>
          </w:p>
        </w:tc>
      </w:tr>
      <w:tr>
        <w:tc>
          <w:tcPr>
            <w:tcW w:type="dxa" w:w="5227"/>
          </w:tcPr>
          <w:p>
            <w:pPr>
              <w:spacing w:after="0"/>
            </w:pPr>
            <w:r>
              <w:rPr>
                <w:sz w:val="11"/>
              </w:rPr>
              <w:t>Recipients</w:t>
            </w:r>
          </w:p>
        </w:tc>
        <w:tc>
          <w:tcPr>
            <w:tcW w:type="dxa" w:w="5227"/>
          </w:tcPr>
          <w:p>
            <w:pPr>
              <w:spacing w:after="0"/>
            </w:pPr>
            <w:r>
              <w:rPr>
                <w:sz w:val="11"/>
              </w:rPr>
              <w:t>Internal/external categories.</w:t>
            </w:r>
          </w:p>
        </w:tc>
      </w:tr>
      <w:tr>
        <w:tc>
          <w:tcPr>
            <w:tcW w:type="dxa" w:w="5227"/>
          </w:tcPr>
          <w:p>
            <w:pPr>
              <w:spacing w:after="0"/>
            </w:pPr>
            <w:r>
              <w:rPr>
                <w:sz w:val="11"/>
              </w:rPr>
              <w:t>Processing basis</w:t>
            </w:r>
          </w:p>
        </w:tc>
        <w:tc>
          <w:tcPr>
            <w:tcW w:type="dxa" w:w="5227"/>
          </w:tcPr>
          <w:p>
            <w:pPr>
              <w:spacing w:after="0"/>
            </w:pPr>
            <w:r>
              <w:rPr>
                <w:sz w:val="11"/>
              </w:rPr>
              <w:t>Deployment-approved basis/authority.</w:t>
            </w:r>
          </w:p>
        </w:tc>
      </w:tr>
      <w:tr>
        <w:tc>
          <w:tcPr>
            <w:tcW w:type="dxa" w:w="5227"/>
          </w:tcPr>
          <w:p>
            <w:pPr>
              <w:spacing w:after="0"/>
            </w:pPr>
            <w:r>
              <w:rPr>
                <w:sz w:val="11"/>
              </w:rPr>
              <w:t>Systems/locations</w:t>
            </w:r>
          </w:p>
        </w:tc>
        <w:tc>
          <w:tcPr>
            <w:tcW w:type="dxa" w:w="5227"/>
          </w:tcPr>
          <w:p>
            <w:pPr>
              <w:spacing w:after="0"/>
            </w:pPr>
            <w:r>
              <w:rPr>
                <w:sz w:val="11"/>
              </w:rPr>
              <w:t>Where processed/stored.</w:t>
            </w:r>
          </w:p>
        </w:tc>
      </w:tr>
      <w:tr>
        <w:tc>
          <w:tcPr>
            <w:tcW w:type="dxa" w:w="5227"/>
          </w:tcPr>
          <w:p>
            <w:pPr>
              <w:spacing w:after="0"/>
            </w:pPr>
            <w:r>
              <w:rPr>
                <w:sz w:val="11"/>
              </w:rPr>
              <w:t>Retention</w:t>
            </w:r>
          </w:p>
        </w:tc>
        <w:tc>
          <w:tcPr>
            <w:tcW w:type="dxa" w:w="5227"/>
          </w:tcPr>
          <w:p>
            <w:pPr>
              <w:spacing w:after="0"/>
            </w:pPr>
            <w:r>
              <w:rPr>
                <w:sz w:val="11"/>
              </w:rPr>
              <w:t>Rule/trigger.</w:t>
            </w:r>
          </w:p>
        </w:tc>
      </w:tr>
      <w:tr>
        <w:tc>
          <w:tcPr>
            <w:tcW w:type="dxa" w:w="5227"/>
          </w:tcPr>
          <w:p>
            <w:pPr>
              <w:spacing w:after="0"/>
            </w:pPr>
            <w:r>
              <w:rPr>
                <w:sz w:val="11"/>
              </w:rPr>
              <w:t>Transfers</w:t>
            </w:r>
          </w:p>
        </w:tc>
        <w:tc>
          <w:tcPr>
            <w:tcW w:type="dxa" w:w="5227"/>
          </w:tcPr>
          <w:p>
            <w:pPr>
              <w:spacing w:after="0"/>
            </w:pPr>
            <w:r>
              <w:rPr>
                <w:sz w:val="11"/>
              </w:rPr>
              <w:t>Cross-facility/cross-border if any.</w:t>
            </w:r>
          </w:p>
        </w:tc>
      </w:tr>
      <w:tr>
        <w:tc>
          <w:tcPr>
            <w:tcW w:type="dxa" w:w="5227"/>
          </w:tcPr>
          <w:p>
            <w:pPr>
              <w:spacing w:after="0"/>
            </w:pPr>
            <w:r>
              <w:rPr>
                <w:sz w:val="11"/>
              </w:rPr>
              <w:t>Security</w:t>
            </w:r>
          </w:p>
        </w:tc>
        <w:tc>
          <w:tcPr>
            <w:tcW w:type="dxa" w:w="5227"/>
          </w:tcPr>
          <w:p>
            <w:pPr>
              <w:spacing w:after="0"/>
            </w:pPr>
            <w:r>
              <w:rPr>
                <w:sz w:val="11"/>
              </w:rPr>
              <w:t>Applicable safeguards.</w:t>
            </w:r>
          </w:p>
        </w:tc>
      </w:tr>
      <w:tr>
        <w:tc>
          <w:tcPr>
            <w:tcW w:type="dxa" w:w="5227"/>
          </w:tcPr>
          <w:p>
            <w:pPr>
              <w:spacing w:after="0"/>
            </w:pPr>
            <w:r>
              <w:rPr>
                <w:sz w:val="11"/>
              </w:rPr>
              <w:t>Owner</w:t>
            </w:r>
          </w:p>
        </w:tc>
        <w:tc>
          <w:tcPr>
            <w:tcW w:type="dxa" w:w="5227"/>
          </w:tcPr>
          <w:p>
            <w:pPr>
              <w:spacing w:after="0"/>
            </w:pPr>
            <w:r>
              <w:rPr>
                <w:sz w:val="11"/>
              </w:rPr>
              <w:t>Accountable business owner.</w:t>
            </w:r>
          </w:p>
        </w:tc>
      </w:tr>
      <w:tr>
        <w:tc>
          <w:tcPr>
            <w:tcW w:type="dxa" w:w="5227"/>
          </w:tcPr>
          <w:p>
            <w:pPr>
              <w:spacing w:after="0"/>
            </w:pPr>
            <w:r>
              <w:rPr>
                <w:sz w:val="11"/>
              </w:rPr>
              <w:t>DPIA</w:t>
            </w:r>
          </w:p>
        </w:tc>
        <w:tc>
          <w:tcPr>
            <w:tcW w:type="dxa" w:w="5227"/>
          </w:tcPr>
          <w:p>
            <w:pPr>
              <w:spacing w:after="0"/>
            </w:pPr>
            <w:r>
              <w:rPr>
                <w:sz w:val="11"/>
              </w:rPr>
              <w:t>Required/status where applicable.</w:t>
            </w:r>
          </w:p>
        </w:tc>
      </w:tr>
    </w:tbl>
    <w:p>
      <w:pPr>
        <w:pStyle w:val="Heading1"/>
      </w:pPr>
      <w:r>
        <w:t>9. Processing Purpose Taxonomy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Purpose</w:t>
            </w:r>
          </w:p>
        </w:tc>
        <w:tc>
          <w:tcPr>
            <w:tcW w:type="dxa" w:w="5227"/>
          </w:tcPr>
          <w:p>
            <w:pPr>
              <w:spacing w:after="0"/>
            </w:pPr>
            <w:r>
              <w:rPr>
                <w:b/>
                <w:sz w:val="11"/>
              </w:rPr>
              <w:t>Examples</w:t>
            </w:r>
          </w:p>
        </w:tc>
      </w:tr>
      <w:tr>
        <w:tc>
          <w:tcPr>
            <w:tcW w:type="dxa" w:w="5227"/>
          </w:tcPr>
          <w:p>
            <w:pPr>
              <w:spacing w:after="0"/>
            </w:pPr>
            <w:r>
              <w:rPr>
                <w:sz w:val="11"/>
              </w:rPr>
              <w:t>Direct care</w:t>
            </w:r>
          </w:p>
        </w:tc>
        <w:tc>
          <w:tcPr>
            <w:tcW w:type="dxa" w:w="5227"/>
          </w:tcPr>
          <w:p>
            <w:pPr>
              <w:spacing w:after="0"/>
            </w:pPr>
            <w:r>
              <w:rPr>
                <w:sz w:val="11"/>
              </w:rPr>
              <w:t>Diagnosis, treatment, nursing, pharmacy, diagnostics.</w:t>
            </w:r>
          </w:p>
        </w:tc>
      </w:tr>
      <w:tr>
        <w:tc>
          <w:tcPr>
            <w:tcW w:type="dxa" w:w="5227"/>
          </w:tcPr>
          <w:p>
            <w:pPr>
              <w:spacing w:after="0"/>
            </w:pPr>
            <w:r>
              <w:rPr>
                <w:sz w:val="11"/>
              </w:rPr>
              <w:t>Care coordination</w:t>
            </w:r>
          </w:p>
        </w:tc>
        <w:tc>
          <w:tcPr>
            <w:tcW w:type="dxa" w:w="5227"/>
          </w:tcPr>
          <w:p>
            <w:pPr>
              <w:spacing w:after="0"/>
            </w:pPr>
            <w:r>
              <w:rPr>
                <w:sz w:val="11"/>
              </w:rPr>
              <w:t>Referral, handover, transfer, follow-up.</w:t>
            </w:r>
          </w:p>
        </w:tc>
      </w:tr>
      <w:tr>
        <w:tc>
          <w:tcPr>
            <w:tcW w:type="dxa" w:w="5227"/>
          </w:tcPr>
          <w:p>
            <w:pPr>
              <w:spacing w:after="0"/>
            </w:pPr>
            <w:r>
              <w:rPr>
                <w:sz w:val="11"/>
              </w:rPr>
              <w:t>Operations</w:t>
            </w:r>
          </w:p>
        </w:tc>
        <w:tc>
          <w:tcPr>
            <w:tcW w:type="dxa" w:w="5227"/>
          </w:tcPr>
          <w:p>
            <w:pPr>
              <w:spacing w:after="0"/>
            </w:pPr>
            <w:r>
              <w:rPr>
                <w:sz w:val="11"/>
              </w:rPr>
              <w:t>Scheduling, bed management, service delivery.</w:t>
            </w:r>
          </w:p>
        </w:tc>
      </w:tr>
      <w:tr>
        <w:tc>
          <w:tcPr>
            <w:tcW w:type="dxa" w:w="5227"/>
          </w:tcPr>
          <w:p>
            <w:pPr>
              <w:spacing w:after="0"/>
            </w:pPr>
            <w:r>
              <w:rPr>
                <w:sz w:val="11"/>
              </w:rPr>
              <w:t>Revenue</w:t>
            </w:r>
          </w:p>
        </w:tc>
        <w:tc>
          <w:tcPr>
            <w:tcW w:type="dxa" w:w="5227"/>
          </w:tcPr>
          <w:p>
            <w:pPr>
              <w:spacing w:after="0"/>
            </w:pPr>
            <w:r>
              <w:rPr>
                <w:sz w:val="11"/>
              </w:rPr>
              <w:t>Billing, eligibility, claims, reconciliation.</w:t>
            </w:r>
          </w:p>
        </w:tc>
      </w:tr>
      <w:tr>
        <w:tc>
          <w:tcPr>
            <w:tcW w:type="dxa" w:w="5227"/>
          </w:tcPr>
          <w:p>
            <w:pPr>
              <w:spacing w:after="0"/>
            </w:pPr>
            <w:r>
              <w:rPr>
                <w:sz w:val="11"/>
              </w:rPr>
              <w:t>Quality/safety</w:t>
            </w:r>
          </w:p>
        </w:tc>
        <w:tc>
          <w:tcPr>
            <w:tcW w:type="dxa" w:w="5227"/>
          </w:tcPr>
          <w:p>
            <w:pPr>
              <w:spacing w:after="0"/>
            </w:pPr>
            <w:r>
              <w:rPr>
                <w:sz w:val="11"/>
              </w:rPr>
              <w:t>Incident review, clinical audit, quality improvement.</w:t>
            </w:r>
          </w:p>
        </w:tc>
      </w:tr>
      <w:tr>
        <w:tc>
          <w:tcPr>
            <w:tcW w:type="dxa" w:w="5227"/>
          </w:tcPr>
          <w:p>
            <w:pPr>
              <w:spacing w:after="0"/>
            </w:pPr>
            <w:r>
              <w:rPr>
                <w:sz w:val="11"/>
              </w:rPr>
              <w:t>Public health/statutory reporting</w:t>
            </w:r>
          </w:p>
        </w:tc>
        <w:tc>
          <w:tcPr>
            <w:tcW w:type="dxa" w:w="5227"/>
          </w:tcPr>
          <w:p>
            <w:pPr>
              <w:spacing w:after="0"/>
            </w:pPr>
            <w:r>
              <w:rPr>
                <w:sz w:val="11"/>
              </w:rPr>
              <w:t>Only where applicable authority exists.</w:t>
            </w:r>
          </w:p>
        </w:tc>
      </w:tr>
      <w:tr>
        <w:tc>
          <w:tcPr>
            <w:tcW w:type="dxa" w:w="5227"/>
          </w:tcPr>
          <w:p>
            <w:pPr>
              <w:spacing w:after="0"/>
            </w:pPr>
            <w:r>
              <w:rPr>
                <w:sz w:val="11"/>
              </w:rPr>
              <w:t>Research</w:t>
            </w:r>
          </w:p>
        </w:tc>
        <w:tc>
          <w:tcPr>
            <w:tcW w:type="dxa" w:w="5227"/>
          </w:tcPr>
          <w:p>
            <w:pPr>
              <w:spacing w:after="0"/>
            </w:pPr>
            <w:r>
              <w:rPr>
                <w:sz w:val="11"/>
              </w:rPr>
              <w:t>Approved research protocol.</w:t>
            </w:r>
          </w:p>
        </w:tc>
      </w:tr>
      <w:tr>
        <w:tc>
          <w:tcPr>
            <w:tcW w:type="dxa" w:w="5227"/>
          </w:tcPr>
          <w:p>
            <w:pPr>
              <w:spacing w:after="0"/>
            </w:pPr>
            <w:r>
              <w:rPr>
                <w:sz w:val="11"/>
              </w:rPr>
              <w:t>Analytics/planning</w:t>
            </w:r>
          </w:p>
        </w:tc>
        <w:tc>
          <w:tcPr>
            <w:tcW w:type="dxa" w:w="5227"/>
          </w:tcPr>
          <w:p>
            <w:pPr>
              <w:spacing w:after="0"/>
            </w:pPr>
            <w:r>
              <w:rPr>
                <w:sz w:val="11"/>
              </w:rPr>
              <w:t>Governed operational/population analysis.</w:t>
            </w:r>
          </w:p>
        </w:tc>
      </w:tr>
      <w:tr>
        <w:tc>
          <w:tcPr>
            <w:tcW w:type="dxa" w:w="5227"/>
          </w:tcPr>
          <w:p>
            <w:pPr>
              <w:spacing w:after="0"/>
            </w:pPr>
            <w:r>
              <w:rPr>
                <w:sz w:val="11"/>
              </w:rPr>
              <w:t>Security/fraud</w:t>
            </w:r>
          </w:p>
        </w:tc>
        <w:tc>
          <w:tcPr>
            <w:tcW w:type="dxa" w:w="5227"/>
          </w:tcPr>
          <w:p>
            <w:pPr>
              <w:spacing w:after="0"/>
            </w:pPr>
            <w:r>
              <w:rPr>
                <w:sz w:val="11"/>
              </w:rPr>
              <w:t>Detection, investigation, system protection.</w:t>
            </w:r>
          </w:p>
        </w:tc>
      </w:tr>
      <w:tr>
        <w:tc>
          <w:tcPr>
            <w:tcW w:type="dxa" w:w="5227"/>
          </w:tcPr>
          <w:p>
            <w:pPr>
              <w:spacing w:after="0"/>
            </w:pPr>
            <w:r>
              <w:rPr>
                <w:sz w:val="11"/>
              </w:rPr>
              <w:t>Support/maintenance</w:t>
            </w:r>
          </w:p>
        </w:tc>
        <w:tc>
          <w:tcPr>
            <w:tcW w:type="dxa" w:w="5227"/>
          </w:tcPr>
          <w:p>
            <w:pPr>
              <w:spacing w:after="0"/>
            </w:pPr>
            <w:r>
              <w:rPr>
                <w:sz w:val="11"/>
              </w:rPr>
              <w:t>Controlled technical support.</w:t>
            </w:r>
          </w:p>
        </w:tc>
      </w:tr>
      <w:tr>
        <w:tc>
          <w:tcPr>
            <w:tcW w:type="dxa" w:w="5227"/>
          </w:tcPr>
          <w:p>
            <w:pPr>
              <w:spacing w:after="0"/>
            </w:pPr>
            <w:r>
              <w:rPr>
                <w:sz w:val="11"/>
              </w:rPr>
              <w:t>Patient engagement</w:t>
            </w:r>
          </w:p>
        </w:tc>
        <w:tc>
          <w:tcPr>
            <w:tcW w:type="dxa" w:w="5227"/>
          </w:tcPr>
          <w:p>
            <w:pPr>
              <w:spacing w:after="0"/>
            </w:pPr>
            <w:r>
              <w:rPr>
                <w:sz w:val="11"/>
              </w:rPr>
              <w:t>Portal, reminders, communications.</w:t>
            </w:r>
          </w:p>
        </w:tc>
      </w:tr>
    </w:tbl>
    <w:p>
      <w:pPr>
        <w:pStyle w:val="Heading1"/>
      </w:pPr>
      <w:r>
        <w:t>10. Processing Authority and Consent</w:t>
      </w:r>
    </w:p>
    <w:p>
      <w:r>
        <w:t>Pulse must not encode a simplistic rule that every processing activity requires patient consent, nor that clinical care permits every use. The applicable processing authority is determined by purpose, organisational role, applicable law/policy and deployment context. Consent is captured where consent is the appropriate authority or where patient choice must be respected.</w:t>
      </w:r>
    </w:p>
    <w:p>
      <w:pPr>
        <w:pStyle w:val="ListBullet"/>
      </w:pPr>
      <w:r>
        <w:t>Record the approved processing basis/authority for each processing activity.</w:t>
      </w:r>
    </w:p>
    <w:p>
      <w:pPr>
        <w:pStyle w:val="ListBullet"/>
      </w:pPr>
      <w:r>
        <w:t>Do not use consent as a blanket substitute for governance.</w:t>
      </w:r>
    </w:p>
    <w:p>
      <w:pPr>
        <w:pStyle w:val="ListBullet"/>
      </w:pPr>
      <w:r>
        <w:t>Withdrawal of consent affects processing governed by that consent; it does not automatically erase legally/clinically required records.</w:t>
      </w:r>
    </w:p>
    <w:p>
      <w:pPr>
        <w:pStyle w:val="ListBullet"/>
      </w:pPr>
      <w:r>
        <w:t>Emergency exceptions are explicit, narrow and reviewed.</w:t>
      </w:r>
    </w:p>
    <w:p>
      <w:pPr>
        <w:pStyle w:val="ListBullet"/>
      </w:pPr>
      <w:r>
        <w:t>Secondary use requires separate governance from ordinary direct care.</w:t>
      </w:r>
    </w:p>
    <w:p>
      <w:pPr>
        <w:pStyle w:val="Heading1"/>
      </w:pPr>
      <w:r>
        <w:t>11. Consent Model</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Attribute</w:t>
            </w:r>
          </w:p>
        </w:tc>
        <w:tc>
          <w:tcPr>
            <w:tcW w:type="dxa" w:w="5227"/>
          </w:tcPr>
          <w:p>
            <w:pPr>
              <w:spacing w:after="0"/>
            </w:pPr>
            <w:r>
              <w:rPr>
                <w:b/>
                <w:sz w:val="11"/>
              </w:rPr>
              <w:t>Requirement</w:t>
            </w:r>
          </w:p>
        </w:tc>
      </w:tr>
      <w:tr>
        <w:tc>
          <w:tcPr>
            <w:tcW w:type="dxa" w:w="5227"/>
          </w:tcPr>
          <w:p>
            <w:pPr>
              <w:spacing w:after="0"/>
            </w:pPr>
            <w:r>
              <w:rPr>
                <w:sz w:val="11"/>
              </w:rPr>
              <w:t>Subject</w:t>
            </w:r>
          </w:p>
        </w:tc>
        <w:tc>
          <w:tcPr>
            <w:tcW w:type="dxa" w:w="5227"/>
          </w:tcPr>
          <w:p>
            <w:pPr>
              <w:spacing w:after="0"/>
            </w:pPr>
            <w:r>
              <w:rPr>
                <w:sz w:val="11"/>
              </w:rPr>
              <w:t>Patient/data subject.</w:t>
            </w:r>
          </w:p>
        </w:tc>
      </w:tr>
      <w:tr>
        <w:tc>
          <w:tcPr>
            <w:tcW w:type="dxa" w:w="5227"/>
          </w:tcPr>
          <w:p>
            <w:pPr>
              <w:spacing w:after="0"/>
            </w:pPr>
            <w:r>
              <w:rPr>
                <w:sz w:val="11"/>
              </w:rPr>
              <w:t>Grantor</w:t>
            </w:r>
          </w:p>
        </w:tc>
        <w:tc>
          <w:tcPr>
            <w:tcW w:type="dxa" w:w="5227"/>
          </w:tcPr>
          <w:p>
            <w:pPr>
              <w:spacing w:after="0"/>
            </w:pPr>
            <w:r>
              <w:rPr>
                <w:sz w:val="11"/>
              </w:rPr>
              <w:t>Patient/proxy/guardian as applicable.</w:t>
            </w:r>
          </w:p>
        </w:tc>
      </w:tr>
      <w:tr>
        <w:tc>
          <w:tcPr>
            <w:tcW w:type="dxa" w:w="5227"/>
          </w:tcPr>
          <w:p>
            <w:pPr>
              <w:spacing w:after="0"/>
            </w:pPr>
            <w:r>
              <w:rPr>
                <w:sz w:val="11"/>
              </w:rPr>
              <w:t>Purpose</w:t>
            </w:r>
          </w:p>
        </w:tc>
        <w:tc>
          <w:tcPr>
            <w:tcW w:type="dxa" w:w="5227"/>
          </w:tcPr>
          <w:p>
            <w:pPr>
              <w:spacing w:after="0"/>
            </w:pPr>
            <w:r>
              <w:rPr>
                <w:sz w:val="11"/>
              </w:rPr>
              <w:t>Specific processing/disclosure purpose.</w:t>
            </w:r>
          </w:p>
        </w:tc>
      </w:tr>
      <w:tr>
        <w:tc>
          <w:tcPr>
            <w:tcW w:type="dxa" w:w="5227"/>
          </w:tcPr>
          <w:p>
            <w:pPr>
              <w:spacing w:after="0"/>
            </w:pPr>
            <w:r>
              <w:rPr>
                <w:sz w:val="11"/>
              </w:rPr>
              <w:t>Recipient/category</w:t>
            </w:r>
          </w:p>
        </w:tc>
        <w:tc>
          <w:tcPr>
            <w:tcW w:type="dxa" w:w="5227"/>
          </w:tcPr>
          <w:p>
            <w:pPr>
              <w:spacing w:after="0"/>
            </w:pPr>
            <w:r>
              <w:rPr>
                <w:sz w:val="11"/>
              </w:rPr>
              <w:t>Who may receive.</w:t>
            </w:r>
          </w:p>
        </w:tc>
      </w:tr>
      <w:tr>
        <w:tc>
          <w:tcPr>
            <w:tcW w:type="dxa" w:w="5227"/>
          </w:tcPr>
          <w:p>
            <w:pPr>
              <w:spacing w:after="0"/>
            </w:pPr>
            <w:r>
              <w:rPr>
                <w:sz w:val="11"/>
              </w:rPr>
              <w:t>Data scope</w:t>
            </w:r>
          </w:p>
        </w:tc>
        <w:tc>
          <w:tcPr>
            <w:tcW w:type="dxa" w:w="5227"/>
          </w:tcPr>
          <w:p>
            <w:pPr>
              <w:spacing w:after="0"/>
            </w:pPr>
            <w:r>
              <w:rPr>
                <w:sz w:val="11"/>
              </w:rPr>
              <w:t>What information.</w:t>
            </w:r>
          </w:p>
        </w:tc>
      </w:tr>
      <w:tr>
        <w:tc>
          <w:tcPr>
            <w:tcW w:type="dxa" w:w="5227"/>
          </w:tcPr>
          <w:p>
            <w:pPr>
              <w:spacing w:after="0"/>
            </w:pPr>
            <w:r>
              <w:rPr>
                <w:sz w:val="11"/>
              </w:rPr>
              <w:t>Action</w:t>
            </w:r>
          </w:p>
        </w:tc>
        <w:tc>
          <w:tcPr>
            <w:tcW w:type="dxa" w:w="5227"/>
          </w:tcPr>
          <w:p>
            <w:pPr>
              <w:spacing w:after="0"/>
            </w:pPr>
            <w:r>
              <w:rPr>
                <w:sz w:val="11"/>
              </w:rPr>
              <w:t>Collect/use/disclose/research/etc.</w:t>
            </w:r>
          </w:p>
        </w:tc>
      </w:tr>
      <w:tr>
        <w:tc>
          <w:tcPr>
            <w:tcW w:type="dxa" w:w="5227"/>
          </w:tcPr>
          <w:p>
            <w:pPr>
              <w:spacing w:after="0"/>
            </w:pPr>
            <w:r>
              <w:rPr>
                <w:sz w:val="11"/>
              </w:rPr>
              <w:t>Period</w:t>
            </w:r>
          </w:p>
        </w:tc>
        <w:tc>
          <w:tcPr>
            <w:tcW w:type="dxa" w:w="5227"/>
          </w:tcPr>
          <w:p>
            <w:pPr>
              <w:spacing w:after="0"/>
            </w:pPr>
            <w:r>
              <w:rPr>
                <w:sz w:val="11"/>
              </w:rPr>
              <w:t>Effective/expiry.</w:t>
            </w:r>
          </w:p>
        </w:tc>
      </w:tr>
      <w:tr>
        <w:tc>
          <w:tcPr>
            <w:tcW w:type="dxa" w:w="5227"/>
          </w:tcPr>
          <w:p>
            <w:pPr>
              <w:spacing w:after="0"/>
            </w:pPr>
            <w:r>
              <w:rPr>
                <w:sz w:val="11"/>
              </w:rPr>
              <w:t>Decision</w:t>
            </w:r>
          </w:p>
        </w:tc>
        <w:tc>
          <w:tcPr>
            <w:tcW w:type="dxa" w:w="5227"/>
          </w:tcPr>
          <w:p>
            <w:pPr>
              <w:spacing w:after="0"/>
            </w:pPr>
            <w:r>
              <w:rPr>
                <w:sz w:val="11"/>
              </w:rPr>
              <w:t>Permit/deny.</w:t>
            </w:r>
          </w:p>
        </w:tc>
      </w:tr>
      <w:tr>
        <w:tc>
          <w:tcPr>
            <w:tcW w:type="dxa" w:w="5227"/>
          </w:tcPr>
          <w:p>
            <w:pPr>
              <w:spacing w:after="0"/>
            </w:pPr>
            <w:r>
              <w:rPr>
                <w:sz w:val="11"/>
              </w:rPr>
              <w:t>Evidence</w:t>
            </w:r>
          </w:p>
        </w:tc>
        <w:tc>
          <w:tcPr>
            <w:tcW w:type="dxa" w:w="5227"/>
          </w:tcPr>
          <w:p>
            <w:pPr>
              <w:spacing w:after="0"/>
            </w:pPr>
            <w:r>
              <w:rPr>
                <w:sz w:val="11"/>
              </w:rPr>
              <w:t>How captured.</w:t>
            </w:r>
          </w:p>
        </w:tc>
      </w:tr>
      <w:tr>
        <w:tc>
          <w:tcPr>
            <w:tcW w:type="dxa" w:w="5227"/>
          </w:tcPr>
          <w:p>
            <w:pPr>
              <w:spacing w:after="0"/>
            </w:pPr>
            <w:r>
              <w:rPr>
                <w:sz w:val="11"/>
              </w:rPr>
              <w:t>Version</w:t>
            </w:r>
          </w:p>
        </w:tc>
        <w:tc>
          <w:tcPr>
            <w:tcW w:type="dxa" w:w="5227"/>
          </w:tcPr>
          <w:p>
            <w:pPr>
              <w:spacing w:after="0"/>
            </w:pPr>
            <w:r>
              <w:rPr>
                <w:sz w:val="11"/>
              </w:rPr>
              <w:t>Policy/form version.</w:t>
            </w:r>
          </w:p>
        </w:tc>
      </w:tr>
      <w:tr>
        <w:tc>
          <w:tcPr>
            <w:tcW w:type="dxa" w:w="5227"/>
          </w:tcPr>
          <w:p>
            <w:pPr>
              <w:spacing w:after="0"/>
            </w:pPr>
            <w:r>
              <w:rPr>
                <w:sz w:val="11"/>
              </w:rPr>
              <w:t>Withdrawal</w:t>
            </w:r>
          </w:p>
        </w:tc>
        <w:tc>
          <w:tcPr>
            <w:tcW w:type="dxa" w:w="5227"/>
          </w:tcPr>
          <w:p>
            <w:pPr>
              <w:spacing w:after="0"/>
            </w:pPr>
            <w:r>
              <w:rPr>
                <w:sz w:val="11"/>
              </w:rPr>
              <w:t>Time/effect.</w:t>
            </w:r>
          </w:p>
        </w:tc>
      </w:tr>
      <w:tr>
        <w:tc>
          <w:tcPr>
            <w:tcW w:type="dxa" w:w="5227"/>
          </w:tcPr>
          <w:p>
            <w:pPr>
              <w:spacing w:after="0"/>
            </w:pPr>
            <w:r>
              <w:rPr>
                <w:sz w:val="11"/>
              </w:rPr>
              <w:t>Recorder</w:t>
            </w:r>
          </w:p>
        </w:tc>
        <w:tc>
          <w:tcPr>
            <w:tcW w:type="dxa" w:w="5227"/>
          </w:tcPr>
          <w:p>
            <w:pPr>
              <w:spacing w:after="0"/>
            </w:pPr>
            <w:r>
              <w:rPr>
                <w:sz w:val="11"/>
              </w:rPr>
              <w:t>Attribution.</w:t>
            </w:r>
          </w:p>
        </w:tc>
      </w:tr>
    </w:tbl>
    <w:tbl>
      <w:tblPr>
        <w:tblStyle w:val="TableGrid"/>
        <w:tblW w:type="auto" w:w="0"/>
        <w:tblLook w:firstColumn="1" w:firstRow="1" w:lastColumn="0" w:lastRow="0" w:noHBand="0" w:noVBand="1" w:val="04A0"/>
      </w:tblPr>
      <w:tblGrid>
        <w:gridCol w:w="10454"/>
      </w:tblGrid>
      <w:tr>
        <w:tc>
          <w:tcPr>
            <w:tcW w:type="dxa" w:w="10454"/>
          </w:tcPr>
          <w:p>
            <w:r>
              <w:t>PRIVACY INVARIANT — Consent SHALL be versioned and contextual; a single permanent boolean “consent=true” is insufficient for complex healthcare processing.</w:t>
            </w:r>
          </w:p>
        </w:tc>
      </w:tr>
    </w:tbl>
    <w:p>
      <w:pPr>
        <w:pStyle w:val="Heading1"/>
      </w:pPr>
      <w:r>
        <w:t>12. Proxy, Guardian and Representative Decisions</w:t>
      </w:r>
    </w:p>
    <w:p>
      <w:pPr>
        <w:pStyle w:val="ListBullet"/>
      </w:pPr>
      <w:r>
        <w:t>Representative identity and authority are verified.</w:t>
      </w:r>
    </w:p>
    <w:p>
      <w:pPr>
        <w:pStyle w:val="ListBullet"/>
      </w:pPr>
      <w:r>
        <w:t>Relationship and scope are recorded.</w:t>
      </w:r>
    </w:p>
    <w:p>
      <w:pPr>
        <w:pStyle w:val="ListBullet"/>
      </w:pPr>
      <w:r>
        <w:t>Authority may differ by decision type and time.</w:t>
      </w:r>
    </w:p>
    <w:p>
      <w:pPr>
        <w:pStyle w:val="ListBullet"/>
      </w:pPr>
      <w:r>
        <w:t>Patient capacity/status and local policy determine when proxy authority applies.</w:t>
      </w:r>
    </w:p>
    <w:p>
      <w:pPr>
        <w:pStyle w:val="ListBullet"/>
      </w:pPr>
      <w:r>
        <w:t>Proxy access does not automatically include every sensitive category.</w:t>
      </w:r>
    </w:p>
    <w:p>
      <w:pPr>
        <w:pStyle w:val="ListBullet"/>
      </w:pPr>
      <w:r>
        <w:t>Changes/revocation of representative authority are effective and auditable.</w:t>
      </w:r>
    </w:p>
    <w:p>
      <w:pPr>
        <w:pStyle w:val="Heading1"/>
      </w:pPr>
      <w:r>
        <w:t>13. Minors</w:t>
      </w:r>
    </w:p>
    <w:p>
      <w:r>
        <w:t>Minor access, guardian authority, adolescent confidentiality and transition to independent control require deployment-specific policy and legal validation. The platform must support age/context-dependent rules rather than hard-coding one universal age or disclosure model.</w:t>
      </w:r>
    </w:p>
    <w:p>
      <w:pPr>
        <w:pStyle w:val="Heading1"/>
      </w:pPr>
      <w:r>
        <w:t>14. Emergency Processing</w:t>
      </w:r>
    </w:p>
    <w:p>
      <w:pPr>
        <w:pStyle w:val="ListBullet"/>
      </w:pPr>
      <w:r>
        <w:t>Emergency access must be clinically justified.</w:t>
      </w:r>
    </w:p>
    <w:p>
      <w:pPr>
        <w:pStyle w:val="ListBullet"/>
      </w:pPr>
      <w:r>
        <w:t>Only necessary information is exposed.</w:t>
      </w:r>
    </w:p>
    <w:p>
      <w:pPr>
        <w:pStyle w:val="ListBullet"/>
      </w:pPr>
      <w:r>
        <w:t>Break-glass use is attributable and time-bounded.</w:t>
      </w:r>
    </w:p>
    <w:p>
      <w:pPr>
        <w:pStyle w:val="ListBullet"/>
      </w:pPr>
      <w:r>
        <w:t>Emergency use is reviewed after the event.</w:t>
      </w:r>
    </w:p>
    <w:p>
      <w:pPr>
        <w:pStyle w:val="ListBullet"/>
      </w:pPr>
      <w:r>
        <w:t>Emergency processing is not a general bypass for administrative convenience.</w:t>
      </w:r>
    </w:p>
    <w:p>
      <w:pPr>
        <w:pStyle w:val="ListBullet"/>
      </w:pPr>
      <w:r>
        <w:t>PULSE-IAM-001 governs technical break-glass authorization.</w:t>
      </w:r>
    </w:p>
    <w:p>
      <w:pPr>
        <w:pStyle w:val="Heading1"/>
      </w:pPr>
      <w:r>
        <w:t>15. Minimum Necessary</w:t>
      </w:r>
    </w:p>
    <w:p>
      <w:r>
        <w:t>1.  Identify purpose.</w:t>
      </w:r>
    </w:p>
    <w:p>
      <w:r>
        <w:t>2.  Identify minimum data elements required.</w:t>
      </w:r>
    </w:p>
    <w:p>
      <w:r>
        <w:t>3.  Restrict recipient and duration.</w:t>
      </w:r>
    </w:p>
    <w:p>
      <w:r>
        <w:t>4.  Prefer structured summary over unrestricted chart access.</w:t>
      </w:r>
    </w:p>
    <w:p>
      <w:r>
        <w:t>5.  Exclude unrelated sensitive content where feasible.</w:t>
      </w:r>
    </w:p>
    <w:p>
      <w:r>
        <w:t>6.  Log disclosure/access.</w:t>
      </w:r>
    </w:p>
    <w:p>
      <w:r>
        <w:t>7.  Review recurring disclosures periodically.</w:t>
      </w:r>
    </w:p>
    <w:p>
      <w:pPr>
        <w:pStyle w:val="Heading1"/>
      </w:pPr>
      <w:r>
        <w:t>16. Direct Care Access</w:t>
      </w:r>
    </w:p>
    <w:p>
      <w:pPr>
        <w:pStyle w:val="ListBullet"/>
      </w:pPr>
      <w:r>
        <w:t>Care relationship/context required according to IAM policy.</w:t>
      </w:r>
    </w:p>
    <w:p>
      <w:pPr>
        <w:pStyle w:val="ListBullet"/>
      </w:pPr>
      <w:r>
        <w:t>Access limited to role and clinical privilege.</w:t>
      </w:r>
    </w:p>
    <w:p>
      <w:pPr>
        <w:pStyle w:val="ListBullet"/>
      </w:pPr>
      <w:r>
        <w:t>Cross-department access follows care need.</w:t>
      </w:r>
    </w:p>
    <w:p>
      <w:pPr>
        <w:pStyle w:val="ListBullet"/>
      </w:pPr>
      <w:r>
        <w:t>Historical data may be accessed when relevant to care.</w:t>
      </w:r>
    </w:p>
    <w:p>
      <w:pPr>
        <w:pStyle w:val="ListBullet"/>
      </w:pPr>
      <w:r>
        <w:t>Curiosity access is prohibited even for licensed clinicians.</w:t>
      </w:r>
    </w:p>
    <w:p>
      <w:pPr>
        <w:pStyle w:val="ListBullet"/>
      </w:pPr>
      <w:r>
        <w:t>Direct-care access and secondary-use access are distinct.</w:t>
      </w:r>
    </w:p>
    <w:p>
      <w:pPr>
        <w:pStyle w:val="Heading1"/>
      </w:pPr>
      <w:r>
        <w:t>17. Cross-Facility Referral Privacy</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Sending facility</w:t>
            </w:r>
          </w:p>
        </w:tc>
      </w:tr>
      <w:tr>
        <w:tc>
          <w:tcPr>
            <w:tcW w:type="dxa" w:w="10454"/>
          </w:tcPr>
          <w:p>
            <w:pPr>
              <w:jc w:val="center"/>
            </w:pPr>
            <w:r>
              <w:rPr>
                <w:rFonts w:ascii="Consolas" w:hAnsi="Consolas"/>
                <w:sz w:val="13"/>
              </w:rPr>
              <w:t>↓ selects case-scoped package</w:t>
            </w:r>
          </w:p>
        </w:tc>
      </w:tr>
      <w:tr>
        <w:tc>
          <w:tcPr>
            <w:tcW w:type="dxa" w:w="10454"/>
          </w:tcPr>
          <w:p>
            <w:pPr>
              <w:jc w:val="center"/>
            </w:pPr>
            <w:r>
              <w:rPr>
                <w:rFonts w:ascii="Consolas" w:hAnsi="Consolas"/>
                <w:sz w:val="13"/>
              </w:rPr>
              <w:t>Minimum necessary + consent/policy evaluation</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Referral Exchange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Receiving facility authorised referral team</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Acceptance / care transition</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Access changes with case state</w:t>
            </w:r>
          </w:p>
        </w:tc>
      </w:tr>
    </w:tbl>
    <w:tbl>
      <w:tblPr>
        <w:tblStyle w:val="TableGrid"/>
        <w:tblW w:type="auto" w:w="0"/>
        <w:tblLook w:firstColumn="1" w:firstRow="1" w:lastColumn="0" w:lastRow="0" w:noHBand="0" w:noVBand="1" w:val="04A0"/>
      </w:tblPr>
      <w:tblGrid>
        <w:gridCol w:w="10454"/>
      </w:tblGrid>
      <w:tr>
        <w:tc>
          <w:tcPr>
            <w:tcW w:type="dxa" w:w="10454"/>
          </w:tcPr>
          <w:p>
            <w:r>
              <w:t>PRIVACY INVARIANT — Referral exchange SHALL NOT create unrestricted remote browsing of the sending hospital record.</w:t>
            </w:r>
          </w:p>
        </w:tc>
      </w:tr>
    </w:tbl>
    <w:p>
      <w:pPr>
        <w:pStyle w:val="Heading1"/>
      </w:pPr>
      <w:r>
        <w:t>18. Disclosure Manifest</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Field</w:t>
            </w:r>
          </w:p>
        </w:tc>
        <w:tc>
          <w:tcPr>
            <w:tcW w:type="dxa" w:w="5227"/>
          </w:tcPr>
          <w:p>
            <w:pPr>
              <w:spacing w:after="0"/>
            </w:pPr>
            <w:r>
              <w:rPr>
                <w:b/>
                <w:sz w:val="11"/>
              </w:rPr>
              <w:t>Purpose</w:t>
            </w:r>
          </w:p>
        </w:tc>
      </w:tr>
      <w:tr>
        <w:tc>
          <w:tcPr>
            <w:tcW w:type="dxa" w:w="5227"/>
          </w:tcPr>
          <w:p>
            <w:pPr>
              <w:spacing w:after="0"/>
            </w:pPr>
            <w:r>
              <w:rPr>
                <w:sz w:val="11"/>
              </w:rPr>
              <w:t>Disclosure ID</w:t>
            </w:r>
          </w:p>
        </w:tc>
        <w:tc>
          <w:tcPr>
            <w:tcW w:type="dxa" w:w="5227"/>
          </w:tcPr>
          <w:p>
            <w:pPr>
              <w:spacing w:after="0"/>
            </w:pPr>
            <w:r>
              <w:rPr>
                <w:sz w:val="11"/>
              </w:rPr>
              <w:t>Unique evidence.</w:t>
            </w:r>
          </w:p>
        </w:tc>
      </w:tr>
      <w:tr>
        <w:tc>
          <w:tcPr>
            <w:tcW w:type="dxa" w:w="5227"/>
          </w:tcPr>
          <w:p>
            <w:pPr>
              <w:spacing w:after="0"/>
            </w:pPr>
            <w:r>
              <w:rPr>
                <w:sz w:val="11"/>
              </w:rPr>
              <w:t>Patient</w:t>
            </w:r>
          </w:p>
        </w:tc>
        <w:tc>
          <w:tcPr>
            <w:tcW w:type="dxa" w:w="5227"/>
          </w:tcPr>
          <w:p>
            <w:pPr>
              <w:spacing w:after="0"/>
            </w:pPr>
            <w:r>
              <w:rPr>
                <w:sz w:val="11"/>
              </w:rPr>
              <w:t>Subject.</w:t>
            </w:r>
          </w:p>
        </w:tc>
      </w:tr>
      <w:tr>
        <w:tc>
          <w:tcPr>
            <w:tcW w:type="dxa" w:w="5227"/>
          </w:tcPr>
          <w:p>
            <w:pPr>
              <w:spacing w:after="0"/>
            </w:pPr>
            <w:r>
              <w:rPr>
                <w:sz w:val="11"/>
              </w:rPr>
              <w:t>Sender</w:t>
            </w:r>
          </w:p>
        </w:tc>
        <w:tc>
          <w:tcPr>
            <w:tcW w:type="dxa" w:w="5227"/>
          </w:tcPr>
          <w:p>
            <w:pPr>
              <w:spacing w:after="0"/>
            </w:pPr>
            <w:r>
              <w:rPr>
                <w:sz w:val="11"/>
              </w:rPr>
              <w:t>Disclosing organisation.</w:t>
            </w:r>
          </w:p>
        </w:tc>
      </w:tr>
      <w:tr>
        <w:tc>
          <w:tcPr>
            <w:tcW w:type="dxa" w:w="5227"/>
          </w:tcPr>
          <w:p>
            <w:pPr>
              <w:spacing w:after="0"/>
            </w:pPr>
            <w:r>
              <w:rPr>
                <w:sz w:val="11"/>
              </w:rPr>
              <w:t>Recipient</w:t>
            </w:r>
          </w:p>
        </w:tc>
        <w:tc>
          <w:tcPr>
            <w:tcW w:type="dxa" w:w="5227"/>
          </w:tcPr>
          <w:p>
            <w:pPr>
              <w:spacing w:after="0"/>
            </w:pPr>
            <w:r>
              <w:rPr>
                <w:sz w:val="11"/>
              </w:rPr>
              <w:t>Receiving organisation/person/system.</w:t>
            </w:r>
          </w:p>
        </w:tc>
      </w:tr>
      <w:tr>
        <w:tc>
          <w:tcPr>
            <w:tcW w:type="dxa" w:w="5227"/>
          </w:tcPr>
          <w:p>
            <w:pPr>
              <w:spacing w:after="0"/>
            </w:pPr>
            <w:r>
              <w:rPr>
                <w:sz w:val="11"/>
              </w:rPr>
              <w:t>Purpose</w:t>
            </w:r>
          </w:p>
        </w:tc>
        <w:tc>
          <w:tcPr>
            <w:tcW w:type="dxa" w:w="5227"/>
          </w:tcPr>
          <w:p>
            <w:pPr>
              <w:spacing w:after="0"/>
            </w:pPr>
            <w:r>
              <w:rPr>
                <w:sz w:val="11"/>
              </w:rPr>
              <w:t>Reason for disclosure.</w:t>
            </w:r>
          </w:p>
        </w:tc>
      </w:tr>
      <w:tr>
        <w:tc>
          <w:tcPr>
            <w:tcW w:type="dxa" w:w="5227"/>
          </w:tcPr>
          <w:p>
            <w:pPr>
              <w:spacing w:after="0"/>
            </w:pPr>
            <w:r>
              <w:rPr>
                <w:sz w:val="11"/>
              </w:rPr>
              <w:t>Authority</w:t>
            </w:r>
          </w:p>
        </w:tc>
        <w:tc>
          <w:tcPr>
            <w:tcW w:type="dxa" w:w="5227"/>
          </w:tcPr>
          <w:p>
            <w:pPr>
              <w:spacing w:after="0"/>
            </w:pPr>
            <w:r>
              <w:rPr>
                <w:sz w:val="11"/>
              </w:rPr>
              <w:t>Policy/consent/legal authority reference.</w:t>
            </w:r>
          </w:p>
        </w:tc>
      </w:tr>
      <w:tr>
        <w:tc>
          <w:tcPr>
            <w:tcW w:type="dxa" w:w="5227"/>
          </w:tcPr>
          <w:p>
            <w:pPr>
              <w:spacing w:after="0"/>
            </w:pPr>
            <w:r>
              <w:rPr>
                <w:sz w:val="11"/>
              </w:rPr>
              <w:t>Data items</w:t>
            </w:r>
          </w:p>
        </w:tc>
        <w:tc>
          <w:tcPr>
            <w:tcW w:type="dxa" w:w="5227"/>
          </w:tcPr>
          <w:p>
            <w:pPr>
              <w:spacing w:after="0"/>
            </w:pPr>
            <w:r>
              <w:rPr>
                <w:sz w:val="11"/>
              </w:rPr>
              <w:t>Exact resources/documents/categories.</w:t>
            </w:r>
          </w:p>
        </w:tc>
      </w:tr>
      <w:tr>
        <w:tc>
          <w:tcPr>
            <w:tcW w:type="dxa" w:w="5227"/>
          </w:tcPr>
          <w:p>
            <w:pPr>
              <w:spacing w:after="0"/>
            </w:pPr>
            <w:r>
              <w:rPr>
                <w:sz w:val="11"/>
              </w:rPr>
              <w:t>Time</w:t>
            </w:r>
          </w:p>
        </w:tc>
        <w:tc>
          <w:tcPr>
            <w:tcW w:type="dxa" w:w="5227"/>
          </w:tcPr>
          <w:p>
            <w:pPr>
              <w:spacing w:after="0"/>
            </w:pPr>
            <w:r>
              <w:rPr>
                <w:sz w:val="11"/>
              </w:rPr>
              <w:t>Release timestamp.</w:t>
            </w:r>
          </w:p>
        </w:tc>
      </w:tr>
      <w:tr>
        <w:tc>
          <w:tcPr>
            <w:tcW w:type="dxa" w:w="5227"/>
          </w:tcPr>
          <w:p>
            <w:pPr>
              <w:spacing w:after="0"/>
            </w:pPr>
            <w:r>
              <w:rPr>
                <w:sz w:val="11"/>
              </w:rPr>
              <w:t>Actor</w:t>
            </w:r>
          </w:p>
        </w:tc>
        <w:tc>
          <w:tcPr>
            <w:tcW w:type="dxa" w:w="5227"/>
          </w:tcPr>
          <w:p>
            <w:pPr>
              <w:spacing w:after="0"/>
            </w:pPr>
            <w:r>
              <w:rPr>
                <w:sz w:val="11"/>
              </w:rPr>
              <w:t>Who authorised/released.</w:t>
            </w:r>
          </w:p>
        </w:tc>
      </w:tr>
      <w:tr>
        <w:tc>
          <w:tcPr>
            <w:tcW w:type="dxa" w:w="5227"/>
          </w:tcPr>
          <w:p>
            <w:pPr>
              <w:spacing w:after="0"/>
            </w:pPr>
            <w:r>
              <w:rPr>
                <w:sz w:val="11"/>
              </w:rPr>
              <w:t>Delivery</w:t>
            </w:r>
          </w:p>
        </w:tc>
        <w:tc>
          <w:tcPr>
            <w:tcW w:type="dxa" w:w="5227"/>
          </w:tcPr>
          <w:p>
            <w:pPr>
              <w:spacing w:after="0"/>
            </w:pPr>
            <w:r>
              <w:rPr>
                <w:sz w:val="11"/>
              </w:rPr>
              <w:t>Channel/outcome.</w:t>
            </w:r>
          </w:p>
        </w:tc>
      </w:tr>
      <w:tr>
        <w:tc>
          <w:tcPr>
            <w:tcW w:type="dxa" w:w="5227"/>
          </w:tcPr>
          <w:p>
            <w:pPr>
              <w:spacing w:after="0"/>
            </w:pPr>
            <w:r>
              <w:rPr>
                <w:sz w:val="11"/>
              </w:rPr>
              <w:t>Expiry/revocation</w:t>
            </w:r>
          </w:p>
        </w:tc>
        <w:tc>
          <w:tcPr>
            <w:tcW w:type="dxa" w:w="5227"/>
          </w:tcPr>
          <w:p>
            <w:pPr>
              <w:spacing w:after="0"/>
            </w:pPr>
            <w:r>
              <w:rPr>
                <w:sz w:val="11"/>
              </w:rPr>
              <w:t>Where applicable.</w:t>
            </w:r>
          </w:p>
        </w:tc>
      </w:tr>
      <w:tr>
        <w:tc>
          <w:tcPr>
            <w:tcW w:type="dxa" w:w="5227"/>
          </w:tcPr>
          <w:p>
            <w:pPr>
              <w:spacing w:after="0"/>
            </w:pPr>
            <w:r>
              <w:rPr>
                <w:sz w:val="11"/>
              </w:rPr>
              <w:t>Hash/version</w:t>
            </w:r>
          </w:p>
        </w:tc>
        <w:tc>
          <w:tcPr>
            <w:tcW w:type="dxa" w:w="5227"/>
          </w:tcPr>
          <w:p>
            <w:pPr>
              <w:spacing w:after="0"/>
            </w:pPr>
            <w:r>
              <w:rPr>
                <w:sz w:val="11"/>
              </w:rPr>
              <w:t>Evidence of exact package where feasible.</w:t>
            </w:r>
          </w:p>
        </w:tc>
      </w:tr>
    </w:tbl>
    <w:p>
      <w:pPr>
        <w:pStyle w:val="Heading1"/>
      </w:pPr>
      <w:r>
        <w:t>19. Patient Portal Privacy</w:t>
      </w:r>
    </w:p>
    <w:p>
      <w:pPr>
        <w:pStyle w:val="ListBullet"/>
      </w:pPr>
      <w:r>
        <w:t>Patient authentication and account recovery are strong.</w:t>
      </w:r>
    </w:p>
    <w:p>
      <w:pPr>
        <w:pStyle w:val="ListBullet"/>
      </w:pPr>
      <w:r>
        <w:t>Proxy access is separately granted and visible.</w:t>
      </w:r>
    </w:p>
    <w:p>
      <w:pPr>
        <w:pStyle w:val="ListBullet"/>
      </w:pPr>
      <w:r>
        <w:t>Sensitive results may follow configured release rules.</w:t>
      </w:r>
    </w:p>
    <w:p>
      <w:pPr>
        <w:pStyle w:val="ListBullet"/>
      </w:pPr>
      <w:r>
        <w:t>Portal notifications avoid excessive PHI on lock screens/email/SMS.</w:t>
      </w:r>
    </w:p>
    <w:p>
      <w:pPr>
        <w:pStyle w:val="ListBullet"/>
      </w:pPr>
      <w:r>
        <w:t>Downloads/exports warn users about local-device responsibility.</w:t>
      </w:r>
    </w:p>
    <w:p>
      <w:pPr>
        <w:pStyle w:val="ListBullet"/>
      </w:pPr>
      <w:r>
        <w:t>Session/device history may be visible where supported.</w:t>
      </w:r>
    </w:p>
    <w:p>
      <w:pPr>
        <w:pStyle w:val="Heading1"/>
      </w:pPr>
      <w:r>
        <w:t>20. Communications Privacy</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Channel</w:t>
            </w:r>
          </w:p>
        </w:tc>
        <w:tc>
          <w:tcPr>
            <w:tcW w:type="dxa" w:w="5227"/>
          </w:tcPr>
          <w:p>
            <w:pPr>
              <w:spacing w:after="0"/>
            </w:pPr>
            <w:r>
              <w:rPr>
                <w:b/>
                <w:sz w:val="11"/>
              </w:rPr>
              <w:t>Rule</w:t>
            </w:r>
          </w:p>
        </w:tc>
      </w:tr>
      <w:tr>
        <w:tc>
          <w:tcPr>
            <w:tcW w:type="dxa" w:w="5227"/>
          </w:tcPr>
          <w:p>
            <w:pPr>
              <w:spacing w:after="0"/>
            </w:pPr>
            <w:r>
              <w:rPr>
                <w:sz w:val="11"/>
              </w:rPr>
              <w:t>SMS</w:t>
            </w:r>
          </w:p>
        </w:tc>
        <w:tc>
          <w:tcPr>
            <w:tcW w:type="dxa" w:w="5227"/>
          </w:tcPr>
          <w:p>
            <w:pPr>
              <w:spacing w:after="0"/>
            </w:pPr>
            <w:r>
              <w:rPr>
                <w:sz w:val="11"/>
              </w:rPr>
              <w:t>Minimal content; avoid detailed diagnoses/results.</w:t>
            </w:r>
          </w:p>
        </w:tc>
      </w:tr>
      <w:tr>
        <w:tc>
          <w:tcPr>
            <w:tcW w:type="dxa" w:w="5227"/>
          </w:tcPr>
          <w:p>
            <w:pPr>
              <w:spacing w:after="0"/>
            </w:pPr>
            <w:r>
              <w:rPr>
                <w:sz w:val="11"/>
              </w:rPr>
              <w:t>Email</w:t>
            </w:r>
          </w:p>
        </w:tc>
        <w:tc>
          <w:tcPr>
            <w:tcW w:type="dxa" w:w="5227"/>
          </w:tcPr>
          <w:p>
            <w:pPr>
              <w:spacing w:after="0"/>
            </w:pPr>
            <w:r>
              <w:rPr>
                <w:sz w:val="11"/>
              </w:rPr>
              <w:t>Use approved secure patterns; minimise PHI.</w:t>
            </w:r>
          </w:p>
        </w:tc>
      </w:tr>
      <w:tr>
        <w:tc>
          <w:tcPr>
            <w:tcW w:type="dxa" w:w="5227"/>
          </w:tcPr>
          <w:p>
            <w:pPr>
              <w:spacing w:after="0"/>
            </w:pPr>
            <w:r>
              <w:rPr>
                <w:sz w:val="11"/>
              </w:rPr>
              <w:t>Push notification</w:t>
            </w:r>
          </w:p>
        </w:tc>
        <w:tc>
          <w:tcPr>
            <w:tcW w:type="dxa" w:w="5227"/>
          </w:tcPr>
          <w:p>
            <w:pPr>
              <w:spacing w:after="0"/>
            </w:pPr>
            <w:r>
              <w:rPr>
                <w:sz w:val="11"/>
              </w:rPr>
              <w:t>Generic prompt where lock-screen exposure is possible.</w:t>
            </w:r>
          </w:p>
        </w:tc>
      </w:tr>
      <w:tr>
        <w:tc>
          <w:tcPr>
            <w:tcW w:type="dxa" w:w="5227"/>
          </w:tcPr>
          <w:p>
            <w:pPr>
              <w:spacing w:after="0"/>
            </w:pPr>
            <w:r>
              <w:rPr>
                <w:sz w:val="11"/>
              </w:rPr>
              <w:t>In-app</w:t>
            </w:r>
          </w:p>
        </w:tc>
        <w:tc>
          <w:tcPr>
            <w:tcW w:type="dxa" w:w="5227"/>
          </w:tcPr>
          <w:p>
            <w:pPr>
              <w:spacing w:after="0"/>
            </w:pPr>
            <w:r>
              <w:rPr>
                <w:sz w:val="11"/>
              </w:rPr>
              <w:t>Authenticated detailed communication.</w:t>
            </w:r>
          </w:p>
        </w:tc>
      </w:tr>
      <w:tr>
        <w:tc>
          <w:tcPr>
            <w:tcW w:type="dxa" w:w="5227"/>
          </w:tcPr>
          <w:p>
            <w:pPr>
              <w:spacing w:after="0"/>
            </w:pPr>
            <w:r>
              <w:rPr>
                <w:sz w:val="11"/>
              </w:rPr>
              <w:t>Phone</w:t>
            </w:r>
          </w:p>
        </w:tc>
        <w:tc>
          <w:tcPr>
            <w:tcW w:type="dxa" w:w="5227"/>
          </w:tcPr>
          <w:p>
            <w:pPr>
              <w:spacing w:after="0"/>
            </w:pPr>
            <w:r>
              <w:rPr>
                <w:sz w:val="11"/>
              </w:rPr>
              <w:t>Identity verification appropriate to disclosure.</w:t>
            </w:r>
          </w:p>
        </w:tc>
      </w:tr>
      <w:tr>
        <w:tc>
          <w:tcPr>
            <w:tcW w:type="dxa" w:w="5227"/>
          </w:tcPr>
          <w:p>
            <w:pPr>
              <w:spacing w:after="0"/>
            </w:pPr>
            <w:r>
              <w:rPr>
                <w:sz w:val="11"/>
              </w:rPr>
              <w:t>Printed letter</w:t>
            </w:r>
          </w:p>
        </w:tc>
        <w:tc>
          <w:tcPr>
            <w:tcW w:type="dxa" w:w="5227"/>
          </w:tcPr>
          <w:p>
            <w:pPr>
              <w:spacing w:after="0"/>
            </w:pPr>
            <w:r>
              <w:rPr>
                <w:sz w:val="11"/>
              </w:rPr>
              <w:t>Address/recipient verification and controlled printing.</w:t>
            </w:r>
          </w:p>
        </w:tc>
      </w:tr>
      <w:tr>
        <w:tc>
          <w:tcPr>
            <w:tcW w:type="dxa" w:w="5227"/>
          </w:tcPr>
          <w:p>
            <w:pPr>
              <w:spacing w:after="0"/>
            </w:pPr>
            <w:r>
              <w:rPr>
                <w:sz w:val="11"/>
              </w:rPr>
              <w:t>Messaging integration</w:t>
            </w:r>
          </w:p>
        </w:tc>
        <w:tc>
          <w:tcPr>
            <w:tcW w:type="dxa" w:w="5227"/>
          </w:tcPr>
          <w:p>
            <w:pPr>
              <w:spacing w:after="0"/>
            </w:pPr>
            <w:r>
              <w:rPr>
                <w:sz w:val="11"/>
              </w:rPr>
              <w:t>Approved platform and retention/access controls.</w:t>
            </w:r>
          </w:p>
        </w:tc>
      </w:tr>
    </w:tbl>
    <w:p>
      <w:pPr>
        <w:pStyle w:val="Heading1"/>
      </w:pPr>
      <w:r>
        <w:t>21. Data Collection</w:t>
      </w:r>
    </w:p>
    <w:p>
      <w:pPr>
        <w:pStyle w:val="ListBullet"/>
      </w:pPr>
      <w:r>
        <w:t>Collect data necessary for care/approved purpose.</w:t>
      </w:r>
    </w:p>
    <w:p>
      <w:pPr>
        <w:pStyle w:val="ListBullet"/>
      </w:pPr>
      <w:r>
        <w:t>Explain collection through notices/workflows as applicable.</w:t>
      </w:r>
    </w:p>
    <w:p>
      <w:pPr>
        <w:pStyle w:val="ListBullet"/>
      </w:pPr>
      <w:r>
        <w:t>Do not require optional data as mandatory without justification.</w:t>
      </w:r>
    </w:p>
    <w:p>
      <w:pPr>
        <w:pStyle w:val="ListBullet"/>
      </w:pPr>
      <w:r>
        <w:t>Source and recorder are retained for material clinical facts.</w:t>
      </w:r>
    </w:p>
    <w:p>
      <w:pPr>
        <w:pStyle w:val="ListBullet"/>
      </w:pPr>
      <w:r>
        <w:t>Device/imported data is labelled by source.</w:t>
      </w:r>
    </w:p>
    <w:p>
      <w:pPr>
        <w:pStyle w:val="ListBullet"/>
      </w:pPr>
      <w:r>
        <w:t>Free text should not be used to bypass structured privacy controls.</w:t>
      </w:r>
    </w:p>
    <w:p>
      <w:pPr>
        <w:pStyle w:val="Heading1"/>
      </w:pPr>
      <w:r>
        <w:t>22. Data Quality and Accuracy</w:t>
      </w:r>
    </w:p>
    <w:p>
      <w:pPr>
        <w:pStyle w:val="ListBullet"/>
      </w:pPr>
      <w:r>
        <w:t>Correction does not erase clinical history improperly.</w:t>
      </w:r>
    </w:p>
    <w:p>
      <w:pPr>
        <w:pStyle w:val="ListBullet"/>
      </w:pPr>
      <w:r>
        <w:t>Source data and locally verified data remain distinguishable.</w:t>
      </w:r>
    </w:p>
    <w:p>
      <w:pPr>
        <w:pStyle w:val="ListBullet"/>
      </w:pPr>
      <w:r>
        <w:t>Patient-reported corrections enter governed review where clinical records are involved.</w:t>
      </w:r>
    </w:p>
    <w:p>
      <w:pPr>
        <w:pStyle w:val="ListBullet"/>
      </w:pPr>
      <w:r>
        <w:t>Demographic correction propagates through identity governance.</w:t>
      </w:r>
    </w:p>
    <w:p>
      <w:pPr>
        <w:pStyle w:val="ListBullet"/>
      </w:pPr>
      <w:r>
        <w:t>Derived data retains source lineage.</w:t>
      </w:r>
    </w:p>
    <w:p>
      <w:pPr>
        <w:pStyle w:val="ListBullet"/>
      </w:pPr>
      <w:r>
        <w:t>Known quality limitations are visible to downstream users.</w:t>
      </w:r>
    </w:p>
    <w:p>
      <w:pPr>
        <w:pStyle w:val="Heading1"/>
      </w:pPr>
      <w:r>
        <w:t>23. Correction and Amendment</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Data type</w:t>
            </w:r>
          </w:p>
        </w:tc>
        <w:tc>
          <w:tcPr>
            <w:tcW w:type="dxa" w:w="5227"/>
          </w:tcPr>
          <w:p>
            <w:pPr>
              <w:spacing w:after="0"/>
            </w:pPr>
            <w:r>
              <w:rPr>
                <w:b/>
                <w:sz w:val="11"/>
              </w:rPr>
              <w:t>Approach</w:t>
            </w:r>
          </w:p>
        </w:tc>
      </w:tr>
      <w:tr>
        <w:tc>
          <w:tcPr>
            <w:tcW w:type="dxa" w:w="5227"/>
          </w:tcPr>
          <w:p>
            <w:pPr>
              <w:spacing w:after="0"/>
            </w:pPr>
            <w:r>
              <w:rPr>
                <w:sz w:val="11"/>
              </w:rPr>
              <w:t>Demographic error</w:t>
            </w:r>
          </w:p>
        </w:tc>
        <w:tc>
          <w:tcPr>
            <w:tcW w:type="dxa" w:w="5227"/>
          </w:tcPr>
          <w:p>
            <w:pPr>
              <w:spacing w:after="0"/>
            </w:pPr>
            <w:r>
              <w:rPr>
                <w:sz w:val="11"/>
              </w:rPr>
              <w:t>Correct with audit/history.</w:t>
            </w:r>
          </w:p>
        </w:tc>
      </w:tr>
      <w:tr>
        <w:tc>
          <w:tcPr>
            <w:tcW w:type="dxa" w:w="5227"/>
          </w:tcPr>
          <w:p>
            <w:pPr>
              <w:spacing w:after="0"/>
            </w:pPr>
            <w:r>
              <w:rPr>
                <w:sz w:val="11"/>
              </w:rPr>
              <w:t>Unsigned draft</w:t>
            </w:r>
          </w:p>
        </w:tc>
        <w:tc>
          <w:tcPr>
            <w:tcW w:type="dxa" w:w="5227"/>
          </w:tcPr>
          <w:p>
            <w:pPr>
              <w:spacing w:after="0"/>
            </w:pPr>
            <w:r>
              <w:rPr>
                <w:sz w:val="11"/>
              </w:rPr>
              <w:t>Edit according to workflow.</w:t>
            </w:r>
          </w:p>
        </w:tc>
      </w:tr>
      <w:tr>
        <w:tc>
          <w:tcPr>
            <w:tcW w:type="dxa" w:w="5227"/>
          </w:tcPr>
          <w:p>
            <w:pPr>
              <w:spacing w:after="0"/>
            </w:pPr>
            <w:r>
              <w:rPr>
                <w:sz w:val="11"/>
              </w:rPr>
              <w:t>Signed clinical note</w:t>
            </w:r>
          </w:p>
        </w:tc>
        <w:tc>
          <w:tcPr>
            <w:tcW w:type="dxa" w:w="5227"/>
          </w:tcPr>
          <w:p>
            <w:pPr>
              <w:spacing w:after="0"/>
            </w:pPr>
            <w:r>
              <w:rPr>
                <w:sz w:val="11"/>
              </w:rPr>
              <w:t>Addendum/correction; preserve original.</w:t>
            </w:r>
          </w:p>
        </w:tc>
      </w:tr>
      <w:tr>
        <w:tc>
          <w:tcPr>
            <w:tcW w:type="dxa" w:w="5227"/>
          </w:tcPr>
          <w:p>
            <w:pPr>
              <w:spacing w:after="0"/>
            </w:pPr>
            <w:r>
              <w:rPr>
                <w:sz w:val="11"/>
              </w:rPr>
              <w:t>Final diagnostic result</w:t>
            </w:r>
          </w:p>
        </w:tc>
        <w:tc>
          <w:tcPr>
            <w:tcW w:type="dxa" w:w="5227"/>
          </w:tcPr>
          <w:p>
            <w:pPr>
              <w:spacing w:after="0"/>
            </w:pPr>
            <w:r>
              <w:rPr>
                <w:sz w:val="11"/>
              </w:rPr>
              <w:t>Corrected/amended result.</w:t>
            </w:r>
          </w:p>
        </w:tc>
      </w:tr>
      <w:tr>
        <w:tc>
          <w:tcPr>
            <w:tcW w:type="dxa" w:w="5227"/>
          </w:tcPr>
          <w:p>
            <w:pPr>
              <w:spacing w:after="0"/>
            </w:pPr>
            <w:r>
              <w:rPr>
                <w:sz w:val="11"/>
              </w:rPr>
              <w:t>Medication administration</w:t>
            </w:r>
          </w:p>
        </w:tc>
        <w:tc>
          <w:tcPr>
            <w:tcW w:type="dxa" w:w="5227"/>
          </w:tcPr>
          <w:p>
            <w:pPr>
              <w:spacing w:after="0"/>
            </w:pPr>
            <w:r>
              <w:rPr>
                <w:sz w:val="11"/>
              </w:rPr>
              <w:t>Correction event; preserve original.</w:t>
            </w:r>
          </w:p>
        </w:tc>
      </w:tr>
      <w:tr>
        <w:tc>
          <w:tcPr>
            <w:tcW w:type="dxa" w:w="5227"/>
          </w:tcPr>
          <w:p>
            <w:pPr>
              <w:spacing w:after="0"/>
            </w:pPr>
            <w:r>
              <w:rPr>
                <w:sz w:val="11"/>
              </w:rPr>
              <w:t>Financial ledger</w:t>
            </w:r>
          </w:p>
        </w:tc>
        <w:tc>
          <w:tcPr>
            <w:tcW w:type="dxa" w:w="5227"/>
          </w:tcPr>
          <w:p>
            <w:pPr>
              <w:spacing w:after="0"/>
            </w:pPr>
            <w:r>
              <w:rPr>
                <w:sz w:val="11"/>
              </w:rPr>
              <w:t>Reversal/adjustment.</w:t>
            </w:r>
          </w:p>
        </w:tc>
      </w:tr>
      <w:tr>
        <w:tc>
          <w:tcPr>
            <w:tcW w:type="dxa" w:w="5227"/>
          </w:tcPr>
          <w:p>
            <w:pPr>
              <w:spacing w:after="0"/>
            </w:pPr>
            <w:r>
              <w:rPr>
                <w:sz w:val="11"/>
              </w:rPr>
              <w:t>Audit log</w:t>
            </w:r>
          </w:p>
        </w:tc>
        <w:tc>
          <w:tcPr>
            <w:tcW w:type="dxa" w:w="5227"/>
          </w:tcPr>
          <w:p>
            <w:pPr>
              <w:spacing w:after="0"/>
            </w:pPr>
            <w:r>
              <w:rPr>
                <w:sz w:val="11"/>
              </w:rPr>
              <w:t>Never ordinary edit/delete.</w:t>
            </w:r>
          </w:p>
        </w:tc>
      </w:tr>
      <w:tr>
        <w:tc>
          <w:tcPr>
            <w:tcW w:type="dxa" w:w="5227"/>
          </w:tcPr>
          <w:p>
            <w:pPr>
              <w:spacing w:after="0"/>
            </w:pPr>
            <w:r>
              <w:rPr>
                <w:sz w:val="11"/>
              </w:rPr>
              <w:t>External source</w:t>
            </w:r>
          </w:p>
        </w:tc>
        <w:tc>
          <w:tcPr>
            <w:tcW w:type="dxa" w:w="5227"/>
          </w:tcPr>
          <w:p>
            <w:pPr>
              <w:spacing w:after="0"/>
            </w:pPr>
            <w:r>
              <w:rPr>
                <w:sz w:val="11"/>
              </w:rPr>
              <w:t>Record correction locally and communicate through governed process where needed.</w:t>
            </w:r>
          </w:p>
        </w:tc>
      </w:tr>
    </w:tbl>
    <w:p>
      <w:pPr>
        <w:pStyle w:val="Heading1"/>
      </w:pPr>
      <w:r>
        <w:t>24. Retention Framework</w:t>
      </w:r>
    </w:p>
    <w:p>
      <w:r>
        <w:t>Retention is defined by record category, clinical/legal/business requirement, contractual obligations and deployment policy. The platform must support configurable schedules rather than embedding an unsupported universal retention period.</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Category</w:t>
            </w:r>
          </w:p>
        </w:tc>
        <w:tc>
          <w:tcPr>
            <w:tcW w:type="dxa" w:w="5227"/>
          </w:tcPr>
          <w:p>
            <w:pPr>
              <w:spacing w:after="0"/>
            </w:pPr>
            <w:r>
              <w:rPr>
                <w:b/>
                <w:sz w:val="11"/>
              </w:rPr>
              <w:t>Retention trigger/examples</w:t>
            </w:r>
          </w:p>
        </w:tc>
      </w:tr>
      <w:tr>
        <w:tc>
          <w:tcPr>
            <w:tcW w:type="dxa" w:w="5227"/>
          </w:tcPr>
          <w:p>
            <w:pPr>
              <w:spacing w:after="0"/>
            </w:pPr>
            <w:r>
              <w:rPr>
                <w:sz w:val="11"/>
              </w:rPr>
              <w:t>Clinical record</w:t>
            </w:r>
          </w:p>
        </w:tc>
        <w:tc>
          <w:tcPr>
            <w:tcW w:type="dxa" w:w="5227"/>
          </w:tcPr>
          <w:p>
            <w:pPr>
              <w:spacing w:after="0"/>
            </w:pPr>
            <w:r>
              <w:rPr>
                <w:sz w:val="11"/>
              </w:rPr>
              <w:t>Encounter/episode/patient lifecycle according to approved schedule.</w:t>
            </w:r>
          </w:p>
        </w:tc>
      </w:tr>
      <w:tr>
        <w:tc>
          <w:tcPr>
            <w:tcW w:type="dxa" w:w="5227"/>
          </w:tcPr>
          <w:p>
            <w:pPr>
              <w:spacing w:after="0"/>
            </w:pPr>
            <w:r>
              <w:rPr>
                <w:sz w:val="11"/>
              </w:rPr>
              <w:t>Diagnostic images</w:t>
            </w:r>
          </w:p>
        </w:tc>
        <w:tc>
          <w:tcPr>
            <w:tcW w:type="dxa" w:w="5227"/>
          </w:tcPr>
          <w:p>
            <w:pPr>
              <w:spacing w:after="0"/>
            </w:pPr>
            <w:r>
              <w:rPr>
                <w:sz w:val="11"/>
              </w:rPr>
              <w:t>Study/date and clinical policy.</w:t>
            </w:r>
          </w:p>
        </w:tc>
      </w:tr>
      <w:tr>
        <w:tc>
          <w:tcPr>
            <w:tcW w:type="dxa" w:w="5227"/>
          </w:tcPr>
          <w:p>
            <w:pPr>
              <w:spacing w:after="0"/>
            </w:pPr>
            <w:r>
              <w:rPr>
                <w:sz w:val="11"/>
              </w:rPr>
              <w:t>Audit/security logs</w:t>
            </w:r>
          </w:p>
        </w:tc>
        <w:tc>
          <w:tcPr>
            <w:tcW w:type="dxa" w:w="5227"/>
          </w:tcPr>
          <w:p>
            <w:pPr>
              <w:spacing w:after="0"/>
            </w:pPr>
            <w:r>
              <w:rPr>
                <w:sz w:val="11"/>
              </w:rPr>
              <w:t>Security/privacy evidence schedule.</w:t>
            </w:r>
          </w:p>
        </w:tc>
      </w:tr>
      <w:tr>
        <w:tc>
          <w:tcPr>
            <w:tcW w:type="dxa" w:w="5227"/>
          </w:tcPr>
          <w:p>
            <w:pPr>
              <w:spacing w:after="0"/>
            </w:pPr>
            <w:r>
              <w:rPr>
                <w:sz w:val="11"/>
              </w:rPr>
              <w:t>Billing/claims</w:t>
            </w:r>
          </w:p>
        </w:tc>
        <w:tc>
          <w:tcPr>
            <w:tcW w:type="dxa" w:w="5227"/>
          </w:tcPr>
          <w:p>
            <w:pPr>
              <w:spacing w:after="0"/>
            </w:pPr>
            <w:r>
              <w:rPr>
                <w:sz w:val="11"/>
              </w:rPr>
              <w:t>Financial/contractual schedule.</w:t>
            </w:r>
          </w:p>
        </w:tc>
      </w:tr>
      <w:tr>
        <w:tc>
          <w:tcPr>
            <w:tcW w:type="dxa" w:w="5227"/>
          </w:tcPr>
          <w:p>
            <w:pPr>
              <w:spacing w:after="0"/>
            </w:pPr>
            <w:r>
              <w:rPr>
                <w:sz w:val="11"/>
              </w:rPr>
              <w:t>Consent</w:t>
            </w:r>
          </w:p>
        </w:tc>
        <w:tc>
          <w:tcPr>
            <w:tcW w:type="dxa" w:w="5227"/>
          </w:tcPr>
          <w:p>
            <w:pPr>
              <w:spacing w:after="0"/>
            </w:pPr>
            <w:r>
              <w:rPr>
                <w:sz w:val="11"/>
              </w:rPr>
              <w:t>Duration needed to evidence processing decision.</w:t>
            </w:r>
          </w:p>
        </w:tc>
      </w:tr>
      <w:tr>
        <w:tc>
          <w:tcPr>
            <w:tcW w:type="dxa" w:w="5227"/>
          </w:tcPr>
          <w:p>
            <w:pPr>
              <w:spacing w:after="0"/>
            </w:pPr>
            <w:r>
              <w:rPr>
                <w:sz w:val="11"/>
              </w:rPr>
              <w:t>Research</w:t>
            </w:r>
          </w:p>
        </w:tc>
        <w:tc>
          <w:tcPr>
            <w:tcW w:type="dxa" w:w="5227"/>
          </w:tcPr>
          <w:p>
            <w:pPr>
              <w:spacing w:after="0"/>
            </w:pPr>
            <w:r>
              <w:rPr>
                <w:sz w:val="11"/>
              </w:rPr>
              <w:t>Protocol/ethics/sponsor policy.</w:t>
            </w:r>
          </w:p>
        </w:tc>
      </w:tr>
      <w:tr>
        <w:tc>
          <w:tcPr>
            <w:tcW w:type="dxa" w:w="5227"/>
          </w:tcPr>
          <w:p>
            <w:pPr>
              <w:spacing w:after="0"/>
            </w:pPr>
            <w:r>
              <w:rPr>
                <w:sz w:val="11"/>
              </w:rPr>
              <w:t>Backups</w:t>
            </w:r>
          </w:p>
        </w:tc>
        <w:tc>
          <w:tcPr>
            <w:tcW w:type="dxa" w:w="5227"/>
          </w:tcPr>
          <w:p>
            <w:pPr>
              <w:spacing w:after="0"/>
            </w:pPr>
            <w:r>
              <w:rPr>
                <w:sz w:val="11"/>
              </w:rPr>
              <w:t>Backup cycle plus legal holds.</w:t>
            </w:r>
          </w:p>
        </w:tc>
      </w:tr>
      <w:tr>
        <w:tc>
          <w:tcPr>
            <w:tcW w:type="dxa" w:w="5227"/>
          </w:tcPr>
          <w:p>
            <w:pPr>
              <w:spacing w:after="0"/>
            </w:pPr>
            <w:r>
              <w:rPr>
                <w:sz w:val="11"/>
              </w:rPr>
              <w:t>Temporary exports</w:t>
            </w:r>
          </w:p>
        </w:tc>
        <w:tc>
          <w:tcPr>
            <w:tcW w:type="dxa" w:w="5227"/>
          </w:tcPr>
          <w:p>
            <w:pPr>
              <w:spacing w:after="0"/>
            </w:pPr>
            <w:r>
              <w:rPr>
                <w:sz w:val="11"/>
              </w:rPr>
              <w:t>Short explicit expiry.</w:t>
            </w:r>
          </w:p>
        </w:tc>
      </w:tr>
      <w:tr>
        <w:tc>
          <w:tcPr>
            <w:tcW w:type="dxa" w:w="5227"/>
          </w:tcPr>
          <w:p>
            <w:pPr>
              <w:spacing w:after="0"/>
            </w:pPr>
            <w:r>
              <w:rPr>
                <w:sz w:val="11"/>
              </w:rPr>
              <w:t>Support artifacts</w:t>
            </w:r>
          </w:p>
        </w:tc>
        <w:tc>
          <w:tcPr>
            <w:tcW w:type="dxa" w:w="5227"/>
          </w:tcPr>
          <w:p>
            <w:pPr>
              <w:spacing w:after="0"/>
            </w:pPr>
            <w:r>
              <w:rPr>
                <w:sz w:val="11"/>
              </w:rPr>
              <w:t>Minimum necessary support retention.</w:t>
            </w:r>
          </w:p>
        </w:tc>
      </w:tr>
    </w:tbl>
    <w:p>
      <w:pPr>
        <w:pStyle w:val="Heading1"/>
      </w:pPr>
      <w:r>
        <w:t>25. Legal/Clinical Hold</w:t>
      </w:r>
    </w:p>
    <w:p>
      <w:pPr>
        <w:pStyle w:val="ListBullet"/>
      </w:pPr>
      <w:r>
        <w:t>Hold overrides routine deletion where authorised.</w:t>
      </w:r>
    </w:p>
    <w:p>
      <w:pPr>
        <w:pStyle w:val="ListBullet"/>
      </w:pPr>
      <w:r>
        <w:t>Reason, scope, authority and start date recorded.</w:t>
      </w:r>
    </w:p>
    <w:p>
      <w:pPr>
        <w:pStyle w:val="ListBullet"/>
      </w:pPr>
      <w:r>
        <w:t>Held records protected from automated purge.</w:t>
      </w:r>
    </w:p>
    <w:p>
      <w:pPr>
        <w:pStyle w:val="ListBullet"/>
      </w:pPr>
      <w:r>
        <w:t>Access remains controlled.</w:t>
      </w:r>
    </w:p>
    <w:p>
      <w:pPr>
        <w:pStyle w:val="ListBullet"/>
      </w:pPr>
      <w:r>
        <w:t>Release of hold is authorised and audited.</w:t>
      </w:r>
    </w:p>
    <w:p>
      <w:pPr>
        <w:pStyle w:val="ListBullet"/>
      </w:pPr>
      <w:r>
        <w:t>Hold does not justify unrelated use.</w:t>
      </w:r>
    </w:p>
    <w:p>
      <w:pPr>
        <w:pStyle w:val="Heading1"/>
      </w:pPr>
      <w:r>
        <w:t>26. Secure Disposal</w:t>
      </w:r>
    </w:p>
    <w:p>
      <w:pPr>
        <w:pStyle w:val="ListBullet"/>
      </w:pPr>
      <w:r>
        <w:t>Deletion/erasure follows approved retention decision.</w:t>
      </w:r>
    </w:p>
    <w:p>
      <w:pPr>
        <w:pStyle w:val="ListBullet"/>
      </w:pPr>
      <w:r>
        <w:t>Replicas/caches/search indexes are included.</w:t>
      </w:r>
    </w:p>
    <w:p>
      <w:pPr>
        <w:pStyle w:val="ListBullet"/>
      </w:pPr>
      <w:r>
        <w:t>Backups expire through controlled lifecycle rather than ad-hoc destructive edits.</w:t>
      </w:r>
    </w:p>
    <w:p>
      <w:pPr>
        <w:pStyle w:val="ListBullet"/>
      </w:pPr>
      <w:r>
        <w:t>Physical media is securely erased/destroyed.</w:t>
      </w:r>
    </w:p>
    <w:p>
      <w:pPr>
        <w:pStyle w:val="ListBullet"/>
      </w:pPr>
      <w:r>
        <w:t>Third-party deletion obligations are tracked.</w:t>
      </w:r>
    </w:p>
    <w:p>
      <w:pPr>
        <w:pStyle w:val="ListBullet"/>
      </w:pPr>
      <w:r>
        <w:t>Deletion evidence is retained without retaining unnecessary content.</w:t>
      </w:r>
    </w:p>
    <w:p>
      <w:pPr>
        <w:pStyle w:val="Heading1"/>
      </w:pPr>
      <w:r>
        <w:t>27. Data Subject Rights Workflow</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Request received</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Identity verification</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Classify request</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Locate relevant data/systems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Assess applicable scope/exceptions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Clinical/legal review if needed</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Fulfil / partially fulfil / refuse with reason</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Audit response + deadline</w:t>
            </w:r>
          </w:p>
        </w:tc>
      </w:tr>
    </w:tbl>
    <w:p>
      <w:pPr>
        <w:pStyle w:val="ListBullet"/>
      </w:pPr>
      <w:r>
        <w:t>Rights handling is configurable to applicable law and organisational policy.</w:t>
      </w:r>
    </w:p>
    <w:p>
      <w:pPr>
        <w:pStyle w:val="ListBullet"/>
      </w:pPr>
      <w:r>
        <w:t>Identity verification is proportionate and does not collect excessive new data.</w:t>
      </w:r>
    </w:p>
    <w:p>
      <w:pPr>
        <w:pStyle w:val="ListBullet"/>
      </w:pPr>
      <w:r>
        <w:t>Requests are tracked with due dates and ownership.</w:t>
      </w:r>
    </w:p>
    <w:p>
      <w:pPr>
        <w:pStyle w:val="ListBullet"/>
      </w:pPr>
      <w:r>
        <w:t>Clinical safety/professional-record constraints are escalated rather than silently deleting data.</w:t>
      </w:r>
    </w:p>
    <w:p>
      <w:pPr>
        <w:pStyle w:val="Heading1"/>
      </w:pPr>
      <w:r>
        <w:t>28. Access Request / Record Copy</w:t>
      </w:r>
    </w:p>
    <w:p>
      <w:pPr>
        <w:pStyle w:val="ListBullet"/>
      </w:pPr>
      <w:r>
        <w:t>Define scope/date range.</w:t>
      </w:r>
    </w:p>
    <w:p>
      <w:pPr>
        <w:pStyle w:val="ListBullet"/>
      </w:pPr>
      <w:r>
        <w:t>Export understandable information.</w:t>
      </w:r>
    </w:p>
    <w:p>
      <w:pPr>
        <w:pStyle w:val="ListBullet"/>
      </w:pPr>
      <w:r>
        <w:t>Protect third-party information where required.</w:t>
      </w:r>
    </w:p>
    <w:p>
      <w:pPr>
        <w:pStyle w:val="ListBullet"/>
      </w:pPr>
      <w:r>
        <w:t>Preserve provenance and document context.</w:t>
      </w:r>
    </w:p>
    <w:p>
      <w:pPr>
        <w:pStyle w:val="ListBullet"/>
      </w:pPr>
      <w:r>
        <w:t>Use secure delivery.</w:t>
      </w:r>
    </w:p>
    <w:p>
      <w:pPr>
        <w:pStyle w:val="ListBullet"/>
      </w:pPr>
      <w:r>
        <w:t>Record what was disclosed and when.</w:t>
      </w:r>
    </w:p>
    <w:p>
      <w:pPr>
        <w:pStyle w:val="ListBullet"/>
      </w:pPr>
      <w:r>
        <w:t>Do not expose internal security secrets or unrelated records.</w:t>
      </w:r>
    </w:p>
    <w:p>
      <w:pPr>
        <w:pStyle w:val="Heading1"/>
      </w:pPr>
      <w:r>
        <w:t>29. Rectification Request</w:t>
      </w:r>
    </w:p>
    <w:p>
      <w:pPr>
        <w:pStyle w:val="ListBullet"/>
      </w:pPr>
      <w:r>
        <w:t>Separate demographic corrections from clinical opinion disputes.</w:t>
      </w:r>
    </w:p>
    <w:p>
      <w:pPr>
        <w:pStyle w:val="ListBullet"/>
      </w:pPr>
      <w:r>
        <w:t>Route clinical correction to responsible professional/governance.</w:t>
      </w:r>
    </w:p>
    <w:p>
      <w:pPr>
        <w:pStyle w:val="ListBullet"/>
      </w:pPr>
      <w:r>
        <w:t>Preserve original signed record where required.</w:t>
      </w:r>
    </w:p>
    <w:p>
      <w:pPr>
        <w:pStyle w:val="ListBullet"/>
      </w:pPr>
      <w:r>
        <w:t>Record patient statement/dispute where appropriate.</w:t>
      </w:r>
    </w:p>
    <w:p>
      <w:pPr>
        <w:pStyle w:val="ListBullet"/>
      </w:pPr>
      <w:r>
        <w:t>Propagate corrected identity data to dependent systems through governed interfaces.</w:t>
      </w:r>
    </w:p>
    <w:p>
      <w:pPr>
        <w:pStyle w:val="Heading1"/>
      </w:pPr>
      <w:r>
        <w:t>30. Restriction and Objection</w:t>
      </w:r>
    </w:p>
    <w:p>
      <w:r>
        <w:t>Pulse supports recording restrictions/objections and evaluating them at relevant processing points. The system must not promise that every requested restriction can legally or clinically be honoured; disposition and rationale are recorded.</w:t>
      </w:r>
    </w:p>
    <w:p>
      <w:pPr>
        <w:pStyle w:val="Heading1"/>
      </w:pPr>
      <w:r>
        <w:t>31. Portability / Structured Export</w:t>
      </w:r>
    </w:p>
    <w:p>
      <w:pPr>
        <w:pStyle w:val="ListBullet"/>
      </w:pPr>
      <w:r>
        <w:t>Use interoperable structured formats where applicable.</w:t>
      </w:r>
    </w:p>
    <w:p>
      <w:pPr>
        <w:pStyle w:val="ListBullet"/>
      </w:pPr>
      <w:r>
        <w:t>FHIR export may support healthcare portability.</w:t>
      </w:r>
    </w:p>
    <w:p>
      <w:pPr>
        <w:pStyle w:val="ListBullet"/>
      </w:pPr>
      <w:r>
        <w:t>Identity and authorization verified.</w:t>
      </w:r>
    </w:p>
    <w:p>
      <w:pPr>
        <w:pStyle w:val="ListBullet"/>
      </w:pPr>
      <w:r>
        <w:t>Scope is explicit.</w:t>
      </w:r>
    </w:p>
    <w:p>
      <w:pPr>
        <w:pStyle w:val="ListBullet"/>
      </w:pPr>
      <w:r>
        <w:t>Large exports are asynchronous and auditable.</w:t>
      </w:r>
    </w:p>
    <w:p>
      <w:pPr>
        <w:pStyle w:val="ListBullet"/>
      </w:pPr>
      <w:r>
        <w:t>Third-party destination risk is communicated where appropriate.</w:t>
      </w:r>
    </w:p>
    <w:p>
      <w:pPr>
        <w:pStyle w:val="Heading1"/>
      </w:pPr>
      <w:r>
        <w:t>32. Secondary Use</w:t>
      </w:r>
    </w:p>
    <w:tbl>
      <w:tblPr>
        <w:tblStyle w:val="TableGrid"/>
        <w:tblW w:type="auto" w:w="0"/>
        <w:tblLook w:firstColumn="1" w:firstRow="1" w:lastColumn="0" w:lastRow="0" w:noHBand="0" w:noVBand="1" w:val="04A0"/>
      </w:tblPr>
      <w:tblGrid>
        <w:gridCol w:w="10454"/>
      </w:tblGrid>
      <w:tr>
        <w:tc>
          <w:tcPr>
            <w:tcW w:type="dxa" w:w="10454"/>
          </w:tcPr>
          <w:p>
            <w:r>
              <w:t>PRIVACY INVARIANT — Data collected for care SHALL NOT silently become available for unrelated analytics, marketing, model training or research.</w:t>
            </w:r>
          </w:p>
        </w:tc>
      </w:tr>
    </w:tbl>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Secondary purpose</w:t>
            </w:r>
          </w:p>
        </w:tc>
        <w:tc>
          <w:tcPr>
            <w:tcW w:type="dxa" w:w="5227"/>
          </w:tcPr>
          <w:p>
            <w:pPr>
              <w:spacing w:after="0"/>
            </w:pPr>
            <w:r>
              <w:rPr>
                <w:b/>
                <w:sz w:val="11"/>
              </w:rPr>
              <w:t>Governance</w:t>
            </w:r>
          </w:p>
        </w:tc>
      </w:tr>
      <w:tr>
        <w:tc>
          <w:tcPr>
            <w:tcW w:type="dxa" w:w="5227"/>
          </w:tcPr>
          <w:p>
            <w:pPr>
              <w:spacing w:after="0"/>
            </w:pPr>
            <w:r>
              <w:rPr>
                <w:sz w:val="11"/>
              </w:rPr>
              <w:t>Quality improvement</w:t>
            </w:r>
          </w:p>
        </w:tc>
        <w:tc>
          <w:tcPr>
            <w:tcW w:type="dxa" w:w="5227"/>
          </w:tcPr>
          <w:p>
            <w:pPr>
              <w:spacing w:after="0"/>
            </w:pPr>
            <w:r>
              <w:rPr>
                <w:sz w:val="11"/>
              </w:rPr>
              <w:t>Approved quality governance and minimum necessary data.</w:t>
            </w:r>
          </w:p>
        </w:tc>
      </w:tr>
      <w:tr>
        <w:tc>
          <w:tcPr>
            <w:tcW w:type="dxa" w:w="5227"/>
          </w:tcPr>
          <w:p>
            <w:pPr>
              <w:spacing w:after="0"/>
            </w:pPr>
            <w:r>
              <w:rPr>
                <w:sz w:val="11"/>
              </w:rPr>
              <w:t>Operations analytics</w:t>
            </w:r>
          </w:p>
        </w:tc>
        <w:tc>
          <w:tcPr>
            <w:tcW w:type="dxa" w:w="5227"/>
          </w:tcPr>
          <w:p>
            <w:pPr>
              <w:spacing w:after="0"/>
            </w:pPr>
            <w:r>
              <w:rPr>
                <w:sz w:val="11"/>
              </w:rPr>
              <w:t>Role-based, preferably aggregated.</w:t>
            </w:r>
          </w:p>
        </w:tc>
      </w:tr>
      <w:tr>
        <w:tc>
          <w:tcPr>
            <w:tcW w:type="dxa" w:w="5227"/>
          </w:tcPr>
          <w:p>
            <w:pPr>
              <w:spacing w:after="0"/>
            </w:pPr>
            <w:r>
              <w:rPr>
                <w:sz w:val="11"/>
              </w:rPr>
              <w:t>Research</w:t>
            </w:r>
          </w:p>
        </w:tc>
        <w:tc>
          <w:tcPr>
            <w:tcW w:type="dxa" w:w="5227"/>
          </w:tcPr>
          <w:p>
            <w:pPr>
              <w:spacing w:after="0"/>
            </w:pPr>
            <w:r>
              <w:rPr>
                <w:sz w:val="11"/>
              </w:rPr>
              <w:t>Protocol/ethics/data governance approval.</w:t>
            </w:r>
          </w:p>
        </w:tc>
      </w:tr>
      <w:tr>
        <w:tc>
          <w:tcPr>
            <w:tcW w:type="dxa" w:w="5227"/>
          </w:tcPr>
          <w:p>
            <w:pPr>
              <w:spacing w:after="0"/>
            </w:pPr>
            <w:r>
              <w:rPr>
                <w:sz w:val="11"/>
              </w:rPr>
              <w:t>Education</w:t>
            </w:r>
          </w:p>
        </w:tc>
        <w:tc>
          <w:tcPr>
            <w:tcW w:type="dxa" w:w="5227"/>
          </w:tcPr>
          <w:p>
            <w:pPr>
              <w:spacing w:after="0"/>
            </w:pPr>
            <w:r>
              <w:rPr>
                <w:sz w:val="11"/>
              </w:rPr>
              <w:t>De-identified or authorised data.</w:t>
            </w:r>
          </w:p>
        </w:tc>
      </w:tr>
      <w:tr>
        <w:tc>
          <w:tcPr>
            <w:tcW w:type="dxa" w:w="5227"/>
          </w:tcPr>
          <w:p>
            <w:pPr>
              <w:spacing w:after="0"/>
            </w:pPr>
            <w:r>
              <w:rPr>
                <w:sz w:val="11"/>
              </w:rPr>
              <w:t>Product analytics</w:t>
            </w:r>
          </w:p>
        </w:tc>
        <w:tc>
          <w:tcPr>
            <w:tcW w:type="dxa" w:w="5227"/>
          </w:tcPr>
          <w:p>
            <w:pPr>
              <w:spacing w:after="0"/>
            </w:pPr>
            <w:r>
              <w:rPr>
                <w:sz w:val="11"/>
              </w:rPr>
              <w:t>Minimise PHI; separate telemetry from clinical content.</w:t>
            </w:r>
          </w:p>
        </w:tc>
      </w:tr>
      <w:tr>
        <w:tc>
          <w:tcPr>
            <w:tcW w:type="dxa" w:w="5227"/>
          </w:tcPr>
          <w:p>
            <w:pPr>
              <w:spacing w:after="0"/>
            </w:pPr>
            <w:r>
              <w:rPr>
                <w:sz w:val="11"/>
              </w:rPr>
              <w:t>AI development</w:t>
            </w:r>
          </w:p>
        </w:tc>
        <w:tc>
          <w:tcPr>
            <w:tcW w:type="dxa" w:w="5227"/>
          </w:tcPr>
          <w:p>
            <w:pPr>
              <w:spacing w:after="0"/>
            </w:pPr>
            <w:r>
              <w:rPr>
                <w:sz w:val="11"/>
              </w:rPr>
              <w:t>Explicit governance, provenance, dataset controls and safety review.</w:t>
            </w:r>
          </w:p>
        </w:tc>
      </w:tr>
      <w:tr>
        <w:tc>
          <w:tcPr>
            <w:tcW w:type="dxa" w:w="5227"/>
          </w:tcPr>
          <w:p>
            <w:pPr>
              <w:spacing w:after="0"/>
            </w:pPr>
            <w:r>
              <w:rPr>
                <w:sz w:val="11"/>
              </w:rPr>
              <w:t>Marketing</w:t>
            </w:r>
          </w:p>
        </w:tc>
        <w:tc>
          <w:tcPr>
            <w:tcW w:type="dxa" w:w="5227"/>
          </w:tcPr>
          <w:p>
            <w:pPr>
              <w:spacing w:after="0"/>
            </w:pPr>
            <w:r>
              <w:rPr>
                <w:sz w:val="11"/>
              </w:rPr>
              <w:t>Separate explicit policy/authority; never inferred from care relationship.</w:t>
            </w:r>
          </w:p>
        </w:tc>
      </w:tr>
    </w:tbl>
    <w:p>
      <w:pPr>
        <w:pStyle w:val="Heading1"/>
      </w:pPr>
      <w:r>
        <w:t>33. Research Governance</w:t>
      </w:r>
    </w:p>
    <w:p>
      <w:r>
        <w:t>1.  Define research question/protocol.</w:t>
      </w:r>
    </w:p>
    <w:p>
      <w:r>
        <w:t>2.  Identify dataset and necessity.</w:t>
      </w:r>
    </w:p>
    <w:p>
      <w:r>
        <w:t>3.  Determine identifiability level.</w:t>
      </w:r>
    </w:p>
    <w:p>
      <w:r>
        <w:t>4.  Obtain required governance/ethics approvals.</w:t>
      </w:r>
    </w:p>
    <w:p>
      <w:r>
        <w:t>5.  Document processing authority/consent model.</w:t>
      </w:r>
    </w:p>
    <w:p>
      <w:r>
        <w:t>6.  Create approved cohort/extract.</w:t>
      </w:r>
    </w:p>
    <w:p>
      <w:r>
        <w:t>7.  Apply pseudonymisation/de-identification controls.</w:t>
      </w:r>
    </w:p>
    <w:p>
      <w:r>
        <w:t>8.  Restrict environment/users.</w:t>
      </w:r>
    </w:p>
    <w:p>
      <w:r>
        <w:t>9.  Audit access/exports.</w:t>
      </w:r>
    </w:p>
    <w:p>
      <w:r>
        <w:t>10.  Manage publication/re-identification risk.</w:t>
      </w:r>
    </w:p>
    <w:p>
      <w:r>
        <w:t>11.  Close project and dispose/retain per protocol.</w:t>
      </w:r>
    </w:p>
    <w:p>
      <w:pPr>
        <w:pStyle w:val="Heading1"/>
      </w:pPr>
      <w:r>
        <w:t>34. De-identification</w:t>
      </w:r>
    </w:p>
    <w:p>
      <w:pPr>
        <w:pStyle w:val="ListBullet"/>
      </w:pPr>
      <w:r>
        <w:t>Remove direct identifiers where not required.</w:t>
      </w:r>
    </w:p>
    <w:p>
      <w:pPr>
        <w:pStyle w:val="ListBullet"/>
      </w:pPr>
      <w:r>
        <w:t>Generalise/suppress quasi-identifiers according to risk.</w:t>
      </w:r>
    </w:p>
    <w:p>
      <w:pPr>
        <w:pStyle w:val="ListBullet"/>
      </w:pPr>
      <w:r>
        <w:t>Assess small-cell/rare-condition risk.</w:t>
      </w:r>
    </w:p>
    <w:p>
      <w:pPr>
        <w:pStyle w:val="ListBullet"/>
      </w:pPr>
      <w:r>
        <w:t>Free text/images may contain identifiers and require special handling.</w:t>
      </w:r>
    </w:p>
    <w:p>
      <w:pPr>
        <w:pStyle w:val="ListBullet"/>
      </w:pPr>
      <w:r>
        <w:t>De-identification is a risk-reduction process, not merely deleting name/MRN.</w:t>
      </w:r>
    </w:p>
    <w:p>
      <w:pPr>
        <w:pStyle w:val="ListBullet"/>
      </w:pPr>
      <w:r>
        <w:t>Document method and residual re-identification risk.</w:t>
      </w:r>
    </w:p>
    <w:p>
      <w:pPr>
        <w:pStyle w:val="Heading1"/>
      </w:pPr>
      <w:r>
        <w:t>35. Pseudonymisation</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Element</w:t>
            </w:r>
          </w:p>
        </w:tc>
        <w:tc>
          <w:tcPr>
            <w:tcW w:type="dxa" w:w="5227"/>
          </w:tcPr>
          <w:p>
            <w:pPr>
              <w:spacing w:after="0"/>
            </w:pPr>
            <w:r>
              <w:rPr>
                <w:b/>
                <w:sz w:val="11"/>
              </w:rPr>
              <w:t>Rule</w:t>
            </w:r>
          </w:p>
        </w:tc>
      </w:tr>
      <w:tr>
        <w:tc>
          <w:tcPr>
            <w:tcW w:type="dxa" w:w="5227"/>
          </w:tcPr>
          <w:p>
            <w:pPr>
              <w:spacing w:after="0"/>
            </w:pPr>
            <w:r>
              <w:rPr>
                <w:sz w:val="11"/>
              </w:rPr>
              <w:t>Research ID</w:t>
            </w:r>
          </w:p>
        </w:tc>
        <w:tc>
          <w:tcPr>
            <w:tcW w:type="dxa" w:w="5227"/>
          </w:tcPr>
          <w:p>
            <w:pPr>
              <w:spacing w:after="0"/>
            </w:pPr>
            <w:r>
              <w:rPr>
                <w:sz w:val="11"/>
              </w:rPr>
              <w:t>Non-identifying project-specific identifier.</w:t>
            </w:r>
          </w:p>
        </w:tc>
      </w:tr>
      <w:tr>
        <w:tc>
          <w:tcPr>
            <w:tcW w:type="dxa" w:w="5227"/>
          </w:tcPr>
          <w:p>
            <w:pPr>
              <w:spacing w:after="0"/>
            </w:pPr>
            <w:r>
              <w:rPr>
                <w:sz w:val="11"/>
              </w:rPr>
              <w:t>Linkage key</w:t>
            </w:r>
          </w:p>
        </w:tc>
        <w:tc>
          <w:tcPr>
            <w:tcW w:type="dxa" w:w="5227"/>
          </w:tcPr>
          <w:p>
            <w:pPr>
              <w:spacing w:after="0"/>
            </w:pPr>
            <w:r>
              <w:rPr>
                <w:sz w:val="11"/>
              </w:rPr>
              <w:t>Stored separately with tighter access.</w:t>
            </w:r>
          </w:p>
        </w:tc>
      </w:tr>
      <w:tr>
        <w:tc>
          <w:tcPr>
            <w:tcW w:type="dxa" w:w="5227"/>
          </w:tcPr>
          <w:p>
            <w:pPr>
              <w:spacing w:after="0"/>
            </w:pPr>
            <w:r>
              <w:rPr>
                <w:sz w:val="11"/>
              </w:rPr>
              <w:t>Re-keying</w:t>
            </w:r>
          </w:p>
        </w:tc>
        <w:tc>
          <w:tcPr>
            <w:tcW w:type="dxa" w:w="5227"/>
          </w:tcPr>
          <w:p>
            <w:pPr>
              <w:spacing w:after="0"/>
            </w:pPr>
            <w:r>
              <w:rPr>
                <w:sz w:val="11"/>
              </w:rPr>
              <w:t>Possible under authorised process only.</w:t>
            </w:r>
          </w:p>
        </w:tc>
      </w:tr>
      <w:tr>
        <w:tc>
          <w:tcPr>
            <w:tcW w:type="dxa" w:w="5227"/>
          </w:tcPr>
          <w:p>
            <w:pPr>
              <w:spacing w:after="0"/>
            </w:pPr>
            <w:r>
              <w:rPr>
                <w:sz w:val="11"/>
              </w:rPr>
              <w:t>Dataset access</w:t>
            </w:r>
          </w:p>
        </w:tc>
        <w:tc>
          <w:tcPr>
            <w:tcW w:type="dxa" w:w="5227"/>
          </w:tcPr>
          <w:p>
            <w:pPr>
              <w:spacing w:after="0"/>
            </w:pPr>
            <w:r>
              <w:rPr>
                <w:sz w:val="11"/>
              </w:rPr>
              <w:t>Does not include linkage table by default.</w:t>
            </w:r>
          </w:p>
        </w:tc>
      </w:tr>
      <w:tr>
        <w:tc>
          <w:tcPr>
            <w:tcW w:type="dxa" w:w="5227"/>
          </w:tcPr>
          <w:p>
            <w:pPr>
              <w:spacing w:after="0"/>
            </w:pPr>
            <w:r>
              <w:rPr>
                <w:sz w:val="11"/>
              </w:rPr>
              <w:t>Audit</w:t>
            </w:r>
          </w:p>
        </w:tc>
        <w:tc>
          <w:tcPr>
            <w:tcW w:type="dxa" w:w="5227"/>
          </w:tcPr>
          <w:p>
            <w:pPr>
              <w:spacing w:after="0"/>
            </w:pPr>
            <w:r>
              <w:rPr>
                <w:sz w:val="11"/>
              </w:rPr>
              <w:t>Link/re-identification actions logged.</w:t>
            </w:r>
          </w:p>
        </w:tc>
      </w:tr>
      <w:tr>
        <w:tc>
          <w:tcPr>
            <w:tcW w:type="dxa" w:w="5227"/>
          </w:tcPr>
          <w:p>
            <w:pPr>
              <w:spacing w:after="0"/>
            </w:pPr>
            <w:r>
              <w:rPr>
                <w:sz w:val="11"/>
              </w:rPr>
              <w:t>Expiry</w:t>
            </w:r>
          </w:p>
        </w:tc>
        <w:tc>
          <w:tcPr>
            <w:tcW w:type="dxa" w:w="5227"/>
          </w:tcPr>
          <w:p>
            <w:pPr>
              <w:spacing w:after="0"/>
            </w:pPr>
            <w:r>
              <w:rPr>
                <w:sz w:val="11"/>
              </w:rPr>
              <w:t>Linkage retained only as necessary.</w:t>
            </w:r>
          </w:p>
        </w:tc>
      </w:tr>
    </w:tbl>
    <w:p>
      <w:pPr>
        <w:pStyle w:val="Heading1"/>
      </w:pPr>
      <w:r>
        <w:t>36. Anonymisation</w:t>
      </w:r>
    </w:p>
    <w:p>
      <w:r>
        <w:t>A dataset may be treated as anonymised only after a documented assessment concludes that re-identification risk is sufficiently controlled for the intended context. Simply replacing names with codes is pseudonymisation, not anonymisation.</w:t>
      </w:r>
    </w:p>
    <w:p>
      <w:pPr>
        <w:pStyle w:val="Heading1"/>
      </w:pPr>
      <w:r>
        <w:t>37. Analytics Data Governance</w:t>
      </w:r>
    </w:p>
    <w:p>
      <w:pPr>
        <w:pStyle w:val="ListBullet"/>
      </w:pPr>
      <w:r>
        <w:t>Use curated governed datasets rather than direct unrestricted production queries.</w:t>
      </w:r>
    </w:p>
    <w:p>
      <w:pPr>
        <w:pStyle w:val="ListBullet"/>
      </w:pPr>
      <w:r>
        <w:t>Apply row/column security.</w:t>
      </w:r>
    </w:p>
    <w:p>
      <w:pPr>
        <w:pStyle w:val="ListBullet"/>
      </w:pPr>
      <w:r>
        <w:t>Prefer aggregate metrics for management dashboards.</w:t>
      </w:r>
    </w:p>
    <w:p>
      <w:pPr>
        <w:pStyle w:val="ListBullet"/>
      </w:pPr>
      <w:r>
        <w:t>Suppress small cohorts where re-identification risk exists.</w:t>
      </w:r>
    </w:p>
    <w:p>
      <w:pPr>
        <w:pStyle w:val="ListBullet"/>
      </w:pPr>
      <w:r>
        <w:t>Track lineage from source to metric.</w:t>
      </w:r>
    </w:p>
    <w:p>
      <w:pPr>
        <w:pStyle w:val="ListBullet"/>
      </w:pPr>
      <w:r>
        <w:t>Define metric owner and definition.</w:t>
      </w:r>
    </w:p>
    <w:p>
      <w:pPr>
        <w:pStyle w:val="ListBullet"/>
      </w:pPr>
      <w:r>
        <w:t>Analysts receive purpose-limited access.</w:t>
      </w:r>
    </w:p>
    <w:p>
      <w:pPr>
        <w:pStyle w:val="Heading1"/>
      </w:pPr>
      <w:r>
        <w:t>38. AI and Machine Learning Data Governance</w:t>
      </w:r>
    </w:p>
    <w:p>
      <w:pPr>
        <w:pStyle w:val="ListBullet"/>
      </w:pPr>
      <w:r>
        <w:t>Dataset purpose and provenance documented.</w:t>
      </w:r>
    </w:p>
    <w:p>
      <w:pPr>
        <w:pStyle w:val="ListBullet"/>
      </w:pPr>
      <w:r>
        <w:t>Training/evaluation data access separately approved.</w:t>
      </w:r>
    </w:p>
    <w:p>
      <w:pPr>
        <w:pStyle w:val="ListBullet"/>
      </w:pPr>
      <w:r>
        <w:t>Patient data is not assumed available for model training merely because Pulse stores it.</w:t>
      </w:r>
    </w:p>
    <w:p>
      <w:pPr>
        <w:pStyle w:val="ListBullet"/>
      </w:pPr>
      <w:r>
        <w:t>De-identification/pseudonymisation assessed.</w:t>
      </w:r>
    </w:p>
    <w:p>
      <w:pPr>
        <w:pStyle w:val="ListBullet"/>
      </w:pPr>
      <w:r>
        <w:t>Bias/representativeness documented.</w:t>
      </w:r>
    </w:p>
    <w:p>
      <w:pPr>
        <w:pStyle w:val="ListBullet"/>
      </w:pPr>
      <w:r>
        <w:t>Model outputs do not become clinical fact without governed workflow.</w:t>
      </w:r>
    </w:p>
    <w:p>
      <w:pPr>
        <w:pStyle w:val="ListBullet"/>
      </w:pPr>
      <w:r>
        <w:t>Third-party AI services receive only approved minimum data.</w:t>
      </w:r>
    </w:p>
    <w:p>
      <w:pPr>
        <w:pStyle w:val="ListBullet"/>
      </w:pPr>
      <w:r>
        <w:t>Prompts/telemetry are treated as potential disclosures.</w:t>
      </w:r>
    </w:p>
    <w:p>
      <w:pPr>
        <w:pStyle w:val="Heading1"/>
      </w:pPr>
      <w:r>
        <w:t>39. Data Export Governance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Export type</w:t>
            </w:r>
          </w:p>
        </w:tc>
        <w:tc>
          <w:tcPr>
            <w:tcW w:type="dxa" w:w="5227"/>
          </w:tcPr>
          <w:p>
            <w:pPr>
              <w:spacing w:after="0"/>
            </w:pPr>
            <w:r>
              <w:rPr>
                <w:b/>
                <w:sz w:val="11"/>
              </w:rPr>
              <w:t>Controls</w:t>
            </w:r>
          </w:p>
        </w:tc>
      </w:tr>
      <w:tr>
        <w:tc>
          <w:tcPr>
            <w:tcW w:type="dxa" w:w="5227"/>
          </w:tcPr>
          <w:p>
            <w:pPr>
              <w:spacing w:after="0"/>
            </w:pPr>
            <w:r>
              <w:rPr>
                <w:sz w:val="11"/>
              </w:rPr>
              <w:t>Single patient record</w:t>
            </w:r>
          </w:p>
        </w:tc>
        <w:tc>
          <w:tcPr>
            <w:tcW w:type="dxa" w:w="5227"/>
          </w:tcPr>
          <w:p>
            <w:pPr>
              <w:spacing w:after="0"/>
            </w:pPr>
            <w:r>
              <w:rPr>
                <w:sz w:val="11"/>
              </w:rPr>
              <w:t>Authorised clinical/patient workflow.</w:t>
            </w:r>
          </w:p>
        </w:tc>
      </w:tr>
      <w:tr>
        <w:tc>
          <w:tcPr>
            <w:tcW w:type="dxa" w:w="5227"/>
          </w:tcPr>
          <w:p>
            <w:pPr>
              <w:spacing w:after="0"/>
            </w:pPr>
            <w:r>
              <w:rPr>
                <w:sz w:val="11"/>
              </w:rPr>
              <w:t>Referral package</w:t>
            </w:r>
          </w:p>
        </w:tc>
        <w:tc>
          <w:tcPr>
            <w:tcW w:type="dxa" w:w="5227"/>
          </w:tcPr>
          <w:p>
            <w:pPr>
              <w:spacing w:after="0"/>
            </w:pPr>
            <w:r>
              <w:rPr>
                <w:sz w:val="11"/>
              </w:rPr>
              <w:t>Case-scoped manifest.</w:t>
            </w:r>
          </w:p>
        </w:tc>
      </w:tr>
      <w:tr>
        <w:tc>
          <w:tcPr>
            <w:tcW w:type="dxa" w:w="5227"/>
          </w:tcPr>
          <w:p>
            <w:pPr>
              <w:spacing w:after="0"/>
            </w:pPr>
            <w:r>
              <w:rPr>
                <w:sz w:val="11"/>
              </w:rPr>
              <w:t>Operational report</w:t>
            </w:r>
          </w:p>
        </w:tc>
        <w:tc>
          <w:tcPr>
            <w:tcW w:type="dxa" w:w="5227"/>
          </w:tcPr>
          <w:p>
            <w:pPr>
              <w:spacing w:after="0"/>
            </w:pPr>
            <w:r>
              <w:rPr>
                <w:sz w:val="11"/>
              </w:rPr>
              <w:t>Role/purpose/aggregation.</w:t>
            </w:r>
          </w:p>
        </w:tc>
      </w:tr>
      <w:tr>
        <w:tc>
          <w:tcPr>
            <w:tcW w:type="dxa" w:w="5227"/>
          </w:tcPr>
          <w:p>
            <w:pPr>
              <w:spacing w:after="0"/>
            </w:pPr>
            <w:r>
              <w:rPr>
                <w:sz w:val="11"/>
              </w:rPr>
              <w:t>Bulk clinical export</w:t>
            </w:r>
          </w:p>
        </w:tc>
        <w:tc>
          <w:tcPr>
            <w:tcW w:type="dxa" w:w="5227"/>
          </w:tcPr>
          <w:p>
            <w:pPr>
              <w:spacing w:after="0"/>
            </w:pPr>
            <w:r>
              <w:rPr>
                <w:sz w:val="11"/>
              </w:rPr>
              <w:t>Special privilege + approval + audit.</w:t>
            </w:r>
          </w:p>
        </w:tc>
      </w:tr>
      <w:tr>
        <w:tc>
          <w:tcPr>
            <w:tcW w:type="dxa" w:w="5227"/>
          </w:tcPr>
          <w:p>
            <w:pPr>
              <w:spacing w:after="0"/>
            </w:pPr>
            <w:r>
              <w:rPr>
                <w:sz w:val="11"/>
              </w:rPr>
              <w:t>Research extract</w:t>
            </w:r>
          </w:p>
        </w:tc>
        <w:tc>
          <w:tcPr>
            <w:tcW w:type="dxa" w:w="5227"/>
          </w:tcPr>
          <w:p>
            <w:pPr>
              <w:spacing w:after="0"/>
            </w:pPr>
            <w:r>
              <w:rPr>
                <w:sz w:val="11"/>
              </w:rPr>
              <w:t>Approved dataset/environment.</w:t>
            </w:r>
          </w:p>
        </w:tc>
      </w:tr>
      <w:tr>
        <w:tc>
          <w:tcPr>
            <w:tcW w:type="dxa" w:w="5227"/>
          </w:tcPr>
          <w:p>
            <w:pPr>
              <w:spacing w:after="0"/>
            </w:pPr>
            <w:r>
              <w:rPr>
                <w:sz w:val="11"/>
              </w:rPr>
              <w:t>Support export</w:t>
            </w:r>
          </w:p>
        </w:tc>
        <w:tc>
          <w:tcPr>
            <w:tcW w:type="dxa" w:w="5227"/>
          </w:tcPr>
          <w:p>
            <w:pPr>
              <w:spacing w:after="0"/>
            </w:pPr>
            <w:r>
              <w:rPr>
                <w:sz w:val="11"/>
              </w:rPr>
              <w:t>Redacted/minimum necessary.</w:t>
            </w:r>
          </w:p>
        </w:tc>
      </w:tr>
      <w:tr>
        <w:tc>
          <w:tcPr>
            <w:tcW w:type="dxa" w:w="5227"/>
          </w:tcPr>
          <w:p>
            <w:pPr>
              <w:spacing w:after="0"/>
            </w:pPr>
            <w:r>
              <w:rPr>
                <w:sz w:val="11"/>
              </w:rPr>
              <w:t>Regulatory report</w:t>
            </w:r>
          </w:p>
        </w:tc>
        <w:tc>
          <w:tcPr>
            <w:tcW w:type="dxa" w:w="5227"/>
          </w:tcPr>
          <w:p>
            <w:pPr>
              <w:spacing w:after="0"/>
            </w:pPr>
            <w:r>
              <w:rPr>
                <w:sz w:val="11"/>
              </w:rPr>
              <w:t>Defined authority/specification.</w:t>
            </w:r>
          </w:p>
        </w:tc>
      </w:tr>
      <w:tr>
        <w:tc>
          <w:tcPr>
            <w:tcW w:type="dxa" w:w="5227"/>
          </w:tcPr>
          <w:p>
            <w:pPr>
              <w:spacing w:after="0"/>
            </w:pPr>
            <w:r>
              <w:rPr>
                <w:sz w:val="11"/>
              </w:rPr>
              <w:t>Backup</w:t>
            </w:r>
          </w:p>
        </w:tc>
        <w:tc>
          <w:tcPr>
            <w:tcW w:type="dxa" w:w="5227"/>
          </w:tcPr>
          <w:p>
            <w:pPr>
              <w:spacing w:after="0"/>
            </w:pPr>
            <w:r>
              <w:rPr>
                <w:sz w:val="11"/>
              </w:rPr>
              <w:t>Operational security controls; not general user access.</w:t>
            </w:r>
          </w:p>
        </w:tc>
      </w:tr>
    </w:tbl>
    <w:p>
      <w:pPr>
        <w:pStyle w:val="Heading1"/>
      </w:pPr>
      <w:r>
        <w:t>40. Printing</w:t>
      </w:r>
    </w:p>
    <w:p>
      <w:pPr>
        <w:pStyle w:val="ListBullet"/>
      </w:pPr>
      <w:r>
        <w:t>Print only where workflow requires.</w:t>
      </w:r>
    </w:p>
    <w:p>
      <w:pPr>
        <w:pStyle w:val="ListBullet"/>
      </w:pPr>
      <w:r>
        <w:t>Printers in controlled locations.</w:t>
      </w:r>
    </w:p>
    <w:p>
      <w:pPr>
        <w:pStyle w:val="ListBullet"/>
      </w:pPr>
      <w:r>
        <w:t>Sensitive print jobs collected promptly.</w:t>
      </w:r>
    </w:p>
    <w:p>
      <w:pPr>
        <w:pStyle w:val="ListBullet"/>
      </w:pPr>
      <w:r>
        <w:t>Patient identity on printouts is necessary but minimized to safe identification.</w:t>
      </w:r>
    </w:p>
    <w:p>
      <w:pPr>
        <w:pStyle w:val="ListBullet"/>
      </w:pPr>
      <w:r>
        <w:t>Reprints are auditable where practical.</w:t>
      </w:r>
    </w:p>
    <w:p>
      <w:pPr>
        <w:pStyle w:val="ListBullet"/>
      </w:pPr>
      <w:r>
        <w:t>Disposal uses confidential waste process.</w:t>
      </w:r>
    </w:p>
    <w:p>
      <w:pPr>
        <w:pStyle w:val="Heading1"/>
      </w:pPr>
      <w:r>
        <w:t>41. Screenshots and Photography</w:t>
      </w:r>
    </w:p>
    <w:p>
      <w:pPr>
        <w:pStyle w:val="ListBullet"/>
      </w:pPr>
      <w:r>
        <w:t>Screenshots containing PHI are treated as restricted data.</w:t>
      </w:r>
    </w:p>
    <w:p>
      <w:pPr>
        <w:pStyle w:val="ListBullet"/>
      </w:pPr>
      <w:r>
        <w:t>Support teams use redacted screenshots whenever possible.</w:t>
      </w:r>
    </w:p>
    <w:p>
      <w:pPr>
        <w:pStyle w:val="ListBullet"/>
      </w:pPr>
      <w:r>
        <w:t>Personal phones/cameras are not an approved default clinical documentation channel.</w:t>
      </w:r>
    </w:p>
    <w:p>
      <w:pPr>
        <w:pStyle w:val="ListBullet"/>
      </w:pPr>
      <w:r>
        <w:t>Clinical photographs use governed capture/storage with patient/context association.</w:t>
      </w:r>
    </w:p>
    <w:p>
      <w:pPr>
        <w:pStyle w:val="ListBullet"/>
      </w:pPr>
      <w:r>
        <w:t>Image metadata and consent/purpose are considered.</w:t>
      </w:r>
    </w:p>
    <w:p>
      <w:pPr>
        <w:pStyle w:val="Heading1"/>
      </w:pPr>
      <w:r>
        <w:t>42. Third-Party Processor Governance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Control</w:t>
            </w:r>
          </w:p>
        </w:tc>
        <w:tc>
          <w:tcPr>
            <w:tcW w:type="dxa" w:w="5227"/>
          </w:tcPr>
          <w:p>
            <w:pPr>
              <w:spacing w:after="0"/>
            </w:pPr>
            <w:r>
              <w:rPr>
                <w:b/>
                <w:sz w:val="11"/>
              </w:rPr>
              <w:t>Requirement</w:t>
            </w:r>
          </w:p>
        </w:tc>
      </w:tr>
      <w:tr>
        <w:tc>
          <w:tcPr>
            <w:tcW w:type="dxa" w:w="5227"/>
          </w:tcPr>
          <w:p>
            <w:pPr>
              <w:spacing w:after="0"/>
            </w:pPr>
            <w:r>
              <w:rPr>
                <w:sz w:val="11"/>
              </w:rPr>
              <w:t>Due diligence</w:t>
            </w:r>
          </w:p>
        </w:tc>
        <w:tc>
          <w:tcPr>
            <w:tcW w:type="dxa" w:w="5227"/>
          </w:tcPr>
          <w:p>
            <w:pPr>
              <w:spacing w:after="0"/>
            </w:pPr>
            <w:r>
              <w:rPr>
                <w:sz w:val="11"/>
              </w:rPr>
              <w:t>Security/privacy capability assessment.</w:t>
            </w:r>
          </w:p>
        </w:tc>
      </w:tr>
      <w:tr>
        <w:tc>
          <w:tcPr>
            <w:tcW w:type="dxa" w:w="5227"/>
          </w:tcPr>
          <w:p>
            <w:pPr>
              <w:spacing w:after="0"/>
            </w:pPr>
            <w:r>
              <w:rPr>
                <w:sz w:val="11"/>
              </w:rPr>
              <w:t>Contract</w:t>
            </w:r>
          </w:p>
        </w:tc>
        <w:tc>
          <w:tcPr>
            <w:tcW w:type="dxa" w:w="5227"/>
          </w:tcPr>
          <w:p>
            <w:pPr>
              <w:spacing w:after="0"/>
            </w:pPr>
            <w:r>
              <w:rPr>
                <w:sz w:val="11"/>
              </w:rPr>
              <w:t>Purpose, instructions, confidentiality, safeguards.</w:t>
            </w:r>
          </w:p>
        </w:tc>
      </w:tr>
      <w:tr>
        <w:tc>
          <w:tcPr>
            <w:tcW w:type="dxa" w:w="5227"/>
          </w:tcPr>
          <w:p>
            <w:pPr>
              <w:spacing w:after="0"/>
            </w:pPr>
            <w:r>
              <w:rPr>
                <w:sz w:val="11"/>
              </w:rPr>
              <w:t>Subprocessors</w:t>
            </w:r>
          </w:p>
        </w:tc>
        <w:tc>
          <w:tcPr>
            <w:tcW w:type="dxa" w:w="5227"/>
          </w:tcPr>
          <w:p>
            <w:pPr>
              <w:spacing w:after="0"/>
            </w:pPr>
            <w:r>
              <w:rPr>
                <w:sz w:val="11"/>
              </w:rPr>
              <w:t>Visibility/approval process as applicable.</w:t>
            </w:r>
          </w:p>
        </w:tc>
      </w:tr>
      <w:tr>
        <w:tc>
          <w:tcPr>
            <w:tcW w:type="dxa" w:w="5227"/>
          </w:tcPr>
          <w:p>
            <w:pPr>
              <w:spacing w:after="0"/>
            </w:pPr>
            <w:r>
              <w:rPr>
                <w:sz w:val="11"/>
              </w:rPr>
              <w:t>Location</w:t>
            </w:r>
          </w:p>
        </w:tc>
        <w:tc>
          <w:tcPr>
            <w:tcW w:type="dxa" w:w="5227"/>
          </w:tcPr>
          <w:p>
            <w:pPr>
              <w:spacing w:after="0"/>
            </w:pPr>
            <w:r>
              <w:rPr>
                <w:sz w:val="11"/>
              </w:rPr>
              <w:t>Processing/storage locations known.</w:t>
            </w:r>
          </w:p>
        </w:tc>
      </w:tr>
      <w:tr>
        <w:tc>
          <w:tcPr>
            <w:tcW w:type="dxa" w:w="5227"/>
          </w:tcPr>
          <w:p>
            <w:pPr>
              <w:spacing w:after="0"/>
            </w:pPr>
            <w:r>
              <w:rPr>
                <w:sz w:val="11"/>
              </w:rPr>
              <w:t>Incident</w:t>
            </w:r>
          </w:p>
        </w:tc>
        <w:tc>
          <w:tcPr>
            <w:tcW w:type="dxa" w:w="5227"/>
          </w:tcPr>
          <w:p>
            <w:pPr>
              <w:spacing w:after="0"/>
            </w:pPr>
            <w:r>
              <w:rPr>
                <w:sz w:val="11"/>
              </w:rPr>
              <w:t>Notification/escalation obligations.</w:t>
            </w:r>
          </w:p>
        </w:tc>
      </w:tr>
      <w:tr>
        <w:tc>
          <w:tcPr>
            <w:tcW w:type="dxa" w:w="5227"/>
          </w:tcPr>
          <w:p>
            <w:pPr>
              <w:spacing w:after="0"/>
            </w:pPr>
            <w:r>
              <w:rPr>
                <w:sz w:val="11"/>
              </w:rPr>
              <w:t>Rights support</w:t>
            </w:r>
          </w:p>
        </w:tc>
        <w:tc>
          <w:tcPr>
            <w:tcW w:type="dxa" w:w="5227"/>
          </w:tcPr>
          <w:p>
            <w:pPr>
              <w:spacing w:after="0"/>
            </w:pPr>
            <w:r>
              <w:rPr>
                <w:sz w:val="11"/>
              </w:rPr>
              <w:t>Ability to locate/export/correct/delete as applicable.</w:t>
            </w:r>
          </w:p>
        </w:tc>
      </w:tr>
      <w:tr>
        <w:tc>
          <w:tcPr>
            <w:tcW w:type="dxa" w:w="5227"/>
          </w:tcPr>
          <w:p>
            <w:pPr>
              <w:spacing w:after="0"/>
            </w:pPr>
            <w:r>
              <w:rPr>
                <w:sz w:val="11"/>
              </w:rPr>
              <w:t>Retention</w:t>
            </w:r>
          </w:p>
        </w:tc>
        <w:tc>
          <w:tcPr>
            <w:tcW w:type="dxa" w:w="5227"/>
          </w:tcPr>
          <w:p>
            <w:pPr>
              <w:spacing w:after="0"/>
            </w:pPr>
            <w:r>
              <w:rPr>
                <w:sz w:val="11"/>
              </w:rPr>
              <w:t>Return/deletion at end of service.</w:t>
            </w:r>
          </w:p>
        </w:tc>
      </w:tr>
      <w:tr>
        <w:tc>
          <w:tcPr>
            <w:tcW w:type="dxa" w:w="5227"/>
          </w:tcPr>
          <w:p>
            <w:pPr>
              <w:spacing w:after="0"/>
            </w:pPr>
            <w:r>
              <w:rPr>
                <w:sz w:val="11"/>
              </w:rPr>
              <w:t>Audit</w:t>
            </w:r>
          </w:p>
        </w:tc>
        <w:tc>
          <w:tcPr>
            <w:tcW w:type="dxa" w:w="5227"/>
          </w:tcPr>
          <w:p>
            <w:pPr>
              <w:spacing w:after="0"/>
            </w:pPr>
            <w:r>
              <w:rPr>
                <w:sz w:val="11"/>
              </w:rPr>
              <w:t>Evidence/assurance rights.</w:t>
            </w:r>
          </w:p>
        </w:tc>
      </w:tr>
      <w:tr>
        <w:tc>
          <w:tcPr>
            <w:tcW w:type="dxa" w:w="5227"/>
          </w:tcPr>
          <w:p>
            <w:pPr>
              <w:spacing w:after="0"/>
            </w:pPr>
            <w:r>
              <w:rPr>
                <w:sz w:val="11"/>
              </w:rPr>
              <w:t>Change</w:t>
            </w:r>
          </w:p>
        </w:tc>
        <w:tc>
          <w:tcPr>
            <w:tcW w:type="dxa" w:w="5227"/>
          </w:tcPr>
          <w:p>
            <w:pPr>
              <w:spacing w:after="0"/>
            </w:pPr>
            <w:r>
              <w:rPr>
                <w:sz w:val="11"/>
              </w:rPr>
              <w:t>Material changes reviewed.</w:t>
            </w:r>
          </w:p>
        </w:tc>
      </w:tr>
    </w:tbl>
    <w:p>
      <w:pPr>
        <w:pStyle w:val="Heading1"/>
      </w:pPr>
      <w:r>
        <w:t>43. Cross-Border Processing and Transfers</w:t>
      </w:r>
    </w:p>
    <w:p>
      <w:r>
        <w:t>Cross-border storage, support or disclosure must be identified during deployment and assessed under applicable transfer requirements. Pulse architecture must expose where data is hosted and which processors/subprocessors can access it so governance decisions are evidence-based.</w:t>
      </w:r>
    </w:p>
    <w:p>
      <w:pPr>
        <w:pStyle w:val="ListBullet"/>
      </w:pPr>
      <w:r>
        <w:t>Maintain data-location inventory.</w:t>
      </w:r>
    </w:p>
    <w:p>
      <w:pPr>
        <w:pStyle w:val="ListBullet"/>
      </w:pPr>
      <w:r>
        <w:t>Identify recipient country/entity.</w:t>
      </w:r>
    </w:p>
    <w:p>
      <w:pPr>
        <w:pStyle w:val="ListBullet"/>
      </w:pPr>
      <w:r>
        <w:t>Document transfer mechanism/authority where required.</w:t>
      </w:r>
    </w:p>
    <w:p>
      <w:pPr>
        <w:pStyle w:val="ListBullet"/>
      </w:pPr>
      <w:r>
        <w:t>Apply contractual and technical safeguards.</w:t>
      </w:r>
    </w:p>
    <w:p>
      <w:pPr>
        <w:pStyle w:val="ListBullet"/>
      </w:pPr>
      <w:r>
        <w:t>Minimise transferred data.</w:t>
      </w:r>
    </w:p>
    <w:p>
      <w:pPr>
        <w:pStyle w:val="ListBullet"/>
      </w:pPr>
      <w:r>
        <w:t>Reassess when hosting/subprocessors change.</w:t>
      </w:r>
    </w:p>
    <w:p>
      <w:pPr>
        <w:pStyle w:val="Heading1"/>
      </w:pPr>
      <w:r>
        <w:t>44. Inter-Hospital Data Sharing Agreements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Clause</w:t>
            </w:r>
          </w:p>
        </w:tc>
        <w:tc>
          <w:tcPr>
            <w:tcW w:type="dxa" w:w="5227"/>
          </w:tcPr>
          <w:p>
            <w:pPr>
              <w:spacing w:after="0"/>
            </w:pPr>
            <w:r>
              <w:rPr>
                <w:b/>
                <w:sz w:val="11"/>
              </w:rPr>
              <w:t>Purpose</w:t>
            </w:r>
          </w:p>
        </w:tc>
      </w:tr>
      <w:tr>
        <w:tc>
          <w:tcPr>
            <w:tcW w:type="dxa" w:w="5227"/>
          </w:tcPr>
          <w:p>
            <w:pPr>
              <w:spacing w:after="0"/>
            </w:pPr>
            <w:r>
              <w:rPr>
                <w:sz w:val="11"/>
              </w:rPr>
              <w:t>Participants</w:t>
            </w:r>
          </w:p>
        </w:tc>
        <w:tc>
          <w:tcPr>
            <w:tcW w:type="dxa" w:w="5227"/>
          </w:tcPr>
          <w:p>
            <w:pPr>
              <w:spacing w:after="0"/>
            </w:pPr>
            <w:r>
              <w:rPr>
                <w:sz w:val="11"/>
              </w:rPr>
              <w:t>Who shares/receives.</w:t>
            </w:r>
          </w:p>
        </w:tc>
      </w:tr>
      <w:tr>
        <w:tc>
          <w:tcPr>
            <w:tcW w:type="dxa" w:w="5227"/>
          </w:tcPr>
          <w:p>
            <w:pPr>
              <w:spacing w:after="0"/>
            </w:pPr>
            <w:r>
              <w:rPr>
                <w:sz w:val="11"/>
              </w:rPr>
              <w:t>Purpose</w:t>
            </w:r>
          </w:p>
        </w:tc>
        <w:tc>
          <w:tcPr>
            <w:tcW w:type="dxa" w:w="5227"/>
          </w:tcPr>
          <w:p>
            <w:pPr>
              <w:spacing w:after="0"/>
            </w:pPr>
            <w:r>
              <w:rPr>
                <w:sz w:val="11"/>
              </w:rPr>
              <w:t>Referral/care coordination/etc.</w:t>
            </w:r>
          </w:p>
        </w:tc>
      </w:tr>
      <w:tr>
        <w:tc>
          <w:tcPr>
            <w:tcW w:type="dxa" w:w="5227"/>
          </w:tcPr>
          <w:p>
            <w:pPr>
              <w:spacing w:after="0"/>
            </w:pPr>
            <w:r>
              <w:rPr>
                <w:sz w:val="11"/>
              </w:rPr>
              <w:t>Data scope</w:t>
            </w:r>
          </w:p>
        </w:tc>
        <w:tc>
          <w:tcPr>
            <w:tcW w:type="dxa" w:w="5227"/>
          </w:tcPr>
          <w:p>
            <w:pPr>
              <w:spacing w:after="0"/>
            </w:pPr>
            <w:r>
              <w:rPr>
                <w:sz w:val="11"/>
              </w:rPr>
              <w:t>Permitted categories.</w:t>
            </w:r>
          </w:p>
        </w:tc>
      </w:tr>
      <w:tr>
        <w:tc>
          <w:tcPr>
            <w:tcW w:type="dxa" w:w="5227"/>
          </w:tcPr>
          <w:p>
            <w:pPr>
              <w:spacing w:after="0"/>
            </w:pPr>
            <w:r>
              <w:rPr>
                <w:sz w:val="11"/>
              </w:rPr>
              <w:t>Roles</w:t>
            </w:r>
          </w:p>
        </w:tc>
        <w:tc>
          <w:tcPr>
            <w:tcW w:type="dxa" w:w="5227"/>
          </w:tcPr>
          <w:p>
            <w:pPr>
              <w:spacing w:after="0"/>
            </w:pPr>
            <w:r>
              <w:rPr>
                <w:sz w:val="11"/>
              </w:rPr>
              <w:t>Controller/processor/joint responsibilities as applicable.</w:t>
            </w:r>
          </w:p>
        </w:tc>
      </w:tr>
      <w:tr>
        <w:tc>
          <w:tcPr>
            <w:tcW w:type="dxa" w:w="5227"/>
          </w:tcPr>
          <w:p>
            <w:pPr>
              <w:spacing w:after="0"/>
            </w:pPr>
            <w:r>
              <w:rPr>
                <w:sz w:val="11"/>
              </w:rPr>
              <w:t>Identity matching</w:t>
            </w:r>
          </w:p>
        </w:tc>
        <w:tc>
          <w:tcPr>
            <w:tcW w:type="dxa" w:w="5227"/>
          </w:tcPr>
          <w:p>
            <w:pPr>
              <w:spacing w:after="0"/>
            </w:pPr>
            <w:r>
              <w:rPr>
                <w:sz w:val="11"/>
              </w:rPr>
              <w:t>Patient correlation rules.</w:t>
            </w:r>
          </w:p>
        </w:tc>
      </w:tr>
      <w:tr>
        <w:tc>
          <w:tcPr>
            <w:tcW w:type="dxa" w:w="5227"/>
          </w:tcPr>
          <w:p>
            <w:pPr>
              <w:spacing w:after="0"/>
            </w:pPr>
            <w:r>
              <w:rPr>
                <w:sz w:val="11"/>
              </w:rPr>
              <w:t>Security</w:t>
            </w:r>
          </w:p>
        </w:tc>
        <w:tc>
          <w:tcPr>
            <w:tcW w:type="dxa" w:w="5227"/>
          </w:tcPr>
          <w:p>
            <w:pPr>
              <w:spacing w:after="0"/>
            </w:pPr>
            <w:r>
              <w:rPr>
                <w:sz w:val="11"/>
              </w:rPr>
              <w:t>Authentication/encryption/audit.</w:t>
            </w:r>
          </w:p>
        </w:tc>
      </w:tr>
      <w:tr>
        <w:tc>
          <w:tcPr>
            <w:tcW w:type="dxa" w:w="5227"/>
          </w:tcPr>
          <w:p>
            <w:pPr>
              <w:spacing w:after="0"/>
            </w:pPr>
            <w:r>
              <w:rPr>
                <w:sz w:val="11"/>
              </w:rPr>
              <w:t>Consent/authority</w:t>
            </w:r>
          </w:p>
        </w:tc>
        <w:tc>
          <w:tcPr>
            <w:tcW w:type="dxa" w:w="5227"/>
          </w:tcPr>
          <w:p>
            <w:pPr>
              <w:spacing w:after="0"/>
            </w:pPr>
            <w:r>
              <w:rPr>
                <w:sz w:val="11"/>
              </w:rPr>
              <w:t>Decision rules.</w:t>
            </w:r>
          </w:p>
        </w:tc>
      </w:tr>
      <w:tr>
        <w:tc>
          <w:tcPr>
            <w:tcW w:type="dxa" w:w="5227"/>
          </w:tcPr>
          <w:p>
            <w:pPr>
              <w:spacing w:after="0"/>
            </w:pPr>
            <w:r>
              <w:rPr>
                <w:sz w:val="11"/>
              </w:rPr>
              <w:t>Retention</w:t>
            </w:r>
          </w:p>
        </w:tc>
        <w:tc>
          <w:tcPr>
            <w:tcW w:type="dxa" w:w="5227"/>
          </w:tcPr>
          <w:p>
            <w:pPr>
              <w:spacing w:after="0"/>
            </w:pPr>
            <w:r>
              <w:rPr>
                <w:sz w:val="11"/>
              </w:rPr>
              <w:t>Recipient obligations.</w:t>
            </w:r>
          </w:p>
        </w:tc>
      </w:tr>
      <w:tr>
        <w:tc>
          <w:tcPr>
            <w:tcW w:type="dxa" w:w="5227"/>
          </w:tcPr>
          <w:p>
            <w:pPr>
              <w:spacing w:after="0"/>
            </w:pPr>
            <w:r>
              <w:rPr>
                <w:sz w:val="11"/>
              </w:rPr>
              <w:t>Incident</w:t>
            </w:r>
          </w:p>
        </w:tc>
        <w:tc>
          <w:tcPr>
            <w:tcW w:type="dxa" w:w="5227"/>
          </w:tcPr>
          <w:p>
            <w:pPr>
              <w:spacing w:after="0"/>
            </w:pPr>
            <w:r>
              <w:rPr>
                <w:sz w:val="11"/>
              </w:rPr>
              <w:t>Joint response.</w:t>
            </w:r>
          </w:p>
        </w:tc>
      </w:tr>
      <w:tr>
        <w:tc>
          <w:tcPr>
            <w:tcW w:type="dxa" w:w="5227"/>
          </w:tcPr>
          <w:p>
            <w:pPr>
              <w:spacing w:after="0"/>
            </w:pPr>
            <w:r>
              <w:rPr>
                <w:sz w:val="11"/>
              </w:rPr>
              <w:t>Rights</w:t>
            </w:r>
          </w:p>
        </w:tc>
        <w:tc>
          <w:tcPr>
            <w:tcW w:type="dxa" w:w="5227"/>
          </w:tcPr>
          <w:p>
            <w:pPr>
              <w:spacing w:after="0"/>
            </w:pPr>
            <w:r>
              <w:rPr>
                <w:sz w:val="11"/>
              </w:rPr>
              <w:t>Routing patient requests.</w:t>
            </w:r>
          </w:p>
        </w:tc>
      </w:tr>
      <w:tr>
        <w:tc>
          <w:tcPr>
            <w:tcW w:type="dxa" w:w="5227"/>
          </w:tcPr>
          <w:p>
            <w:pPr>
              <w:spacing w:after="0"/>
            </w:pPr>
            <w:r>
              <w:rPr>
                <w:sz w:val="11"/>
              </w:rPr>
              <w:t>Termination</w:t>
            </w:r>
          </w:p>
        </w:tc>
        <w:tc>
          <w:tcPr>
            <w:tcW w:type="dxa" w:w="5227"/>
          </w:tcPr>
          <w:p>
            <w:pPr>
              <w:spacing w:after="0"/>
            </w:pPr>
            <w:r>
              <w:rPr>
                <w:sz w:val="11"/>
              </w:rPr>
              <w:t>Access/data handling after exit.</w:t>
            </w:r>
          </w:p>
        </w:tc>
      </w:tr>
    </w:tbl>
    <w:p>
      <w:pPr>
        <w:pStyle w:val="Heading1"/>
      </w:pPr>
      <w:r>
        <w:t>45. Sensitive Data Segmentation</w:t>
      </w:r>
    </w:p>
    <w:p>
      <w:pPr>
        <w:pStyle w:val="ListBullet"/>
      </w:pPr>
      <w:r>
        <w:t>Certain programmes/records may require enhanced access policy.</w:t>
      </w:r>
    </w:p>
    <w:p>
      <w:pPr>
        <w:pStyle w:val="ListBullet"/>
      </w:pPr>
      <w:r>
        <w:t>Segmentation uses explicit tags/categories, not hidden free text.</w:t>
      </w:r>
    </w:p>
    <w:p>
      <w:pPr>
        <w:pStyle w:val="ListBullet"/>
      </w:pPr>
      <w:r>
        <w:t>Emergency override behavior is defined.</w:t>
      </w:r>
    </w:p>
    <w:p>
      <w:pPr>
        <w:pStyle w:val="ListBullet"/>
      </w:pPr>
      <w:r>
        <w:t>Derived documents inherit appropriate sensitivity where necessary.</w:t>
      </w:r>
    </w:p>
    <w:p>
      <w:pPr>
        <w:pStyle w:val="ListBullet"/>
      </w:pPr>
      <w:r>
        <w:t>Search/index/cache layers preserve sensitivity labels.</w:t>
      </w:r>
    </w:p>
    <w:p>
      <w:pPr>
        <w:pStyle w:val="ListBullet"/>
      </w:pPr>
      <w:r>
        <w:t>Exports and referrals apply segmentation rules.</w:t>
      </w:r>
    </w:p>
    <w:p>
      <w:pPr>
        <w:pStyle w:val="Heading1"/>
      </w:pPr>
      <w:r>
        <w:t>46. Confidential Communications</w:t>
      </w:r>
    </w:p>
    <w:p>
      <w:pPr>
        <w:pStyle w:val="ListBullet"/>
      </w:pPr>
      <w:r>
        <w:t>Record patient communication preferences where operationally supported.</w:t>
      </w:r>
    </w:p>
    <w:p>
      <w:pPr>
        <w:pStyle w:val="ListBullet"/>
      </w:pPr>
      <w:r>
        <w:t>Do not reveal sensitive service names in generic notifications when avoidable.</w:t>
      </w:r>
    </w:p>
    <w:p>
      <w:pPr>
        <w:pStyle w:val="ListBullet"/>
      </w:pPr>
      <w:r>
        <w:t>Proxy communication authority is separate from proxy clinical access.</w:t>
      </w:r>
    </w:p>
    <w:p>
      <w:pPr>
        <w:pStyle w:val="ListBullet"/>
      </w:pPr>
      <w:r>
        <w:t>Wrong-recipient incidents are reportable through privacy incident workflow.</w:t>
      </w:r>
    </w:p>
    <w:p>
      <w:pPr>
        <w:pStyle w:val="Heading1"/>
      </w:pPr>
      <w:r>
        <w:t>47. Workforce Privacy</w:t>
      </w:r>
    </w:p>
    <w:p>
      <w:pPr>
        <w:pStyle w:val="ListBullet"/>
      </w:pPr>
      <w:r>
        <w:t>Collect workforce data for employment, credentialing, security and operations only as governed.</w:t>
      </w:r>
    </w:p>
    <w:p>
      <w:pPr>
        <w:pStyle w:val="ListBullet"/>
      </w:pPr>
      <w:r>
        <w:t>Clinical record access monitoring may use workforce identity and activity logs.</w:t>
      </w:r>
    </w:p>
    <w:p>
      <w:pPr>
        <w:pStyle w:val="ListBullet"/>
      </w:pPr>
      <w:r>
        <w:t>Managers do not receive unrestricted employee patient records.</w:t>
      </w:r>
    </w:p>
    <w:p>
      <w:pPr>
        <w:pStyle w:val="ListBullet"/>
      </w:pPr>
      <w:r>
        <w:t>Occupational/employee health records are segregated from ordinary HR access where applicable.</w:t>
      </w:r>
    </w:p>
    <w:p>
      <w:pPr>
        <w:pStyle w:val="Heading1"/>
      </w:pPr>
      <w:r>
        <w:t>48. Support and Troubleshooting Access</w:t>
      </w:r>
    </w:p>
    <w:p>
      <w:r>
        <w:t>1.  Ticket identifies issue and affected environment.</w:t>
      </w:r>
    </w:p>
    <w:p>
      <w:r>
        <w:t>2.  Use logs/metadata first.</w:t>
      </w:r>
    </w:p>
    <w:p>
      <w:r>
        <w:t>3.  Request minimum necessary patient context only if required.</w:t>
      </w:r>
    </w:p>
    <w:p>
      <w:r>
        <w:t>4.  Obtain approved elevated access.</w:t>
      </w:r>
    </w:p>
    <w:p>
      <w:r>
        <w:t>5.  Time-bound session.</w:t>
      </w:r>
    </w:p>
    <w:p>
      <w:r>
        <w:t>6.  Audit access/actions.</w:t>
      </w:r>
    </w:p>
    <w:p>
      <w:r>
        <w:t>7.  Redact exported artifacts.</w:t>
      </w:r>
    </w:p>
    <w:p>
      <w:r>
        <w:t>8.  Remove temporary files/access after resolution.</w:t>
      </w:r>
    </w:p>
    <w:p>
      <w:pPr>
        <w:pStyle w:val="Heading1"/>
      </w:pPr>
      <w:r>
        <w:t>49. Production Database Access</w:t>
      </w:r>
    </w:p>
    <w:tbl>
      <w:tblPr>
        <w:tblStyle w:val="TableGrid"/>
        <w:tblW w:type="auto" w:w="0"/>
        <w:tblLook w:firstColumn="1" w:firstRow="1" w:lastColumn="0" w:lastRow="0" w:noHBand="0" w:noVBand="1" w:val="04A0"/>
      </w:tblPr>
      <w:tblGrid>
        <w:gridCol w:w="10454"/>
      </w:tblGrid>
      <w:tr>
        <w:tc>
          <w:tcPr>
            <w:tcW w:type="dxa" w:w="10454"/>
          </w:tcPr>
          <w:p>
            <w:r>
              <w:t>PRIVACY INVARIANT — Direct database access is an exceptional operational capability, not an ordinary method of viewing patient information.</w:t>
            </w:r>
          </w:p>
        </w:tc>
      </w:tr>
    </w:tbl>
    <w:p>
      <w:pPr>
        <w:pStyle w:val="ListBullet"/>
      </w:pPr>
      <w:r>
        <w:t>Restricted to named privileged personnel.</w:t>
      </w:r>
    </w:p>
    <w:p>
      <w:pPr>
        <w:pStyle w:val="ListBullet"/>
      </w:pPr>
      <w:r>
        <w:t>Ticket/approval and purpose required.</w:t>
      </w:r>
    </w:p>
    <w:p>
      <w:pPr>
        <w:pStyle w:val="ListBullet"/>
      </w:pPr>
      <w:r>
        <w:t>Prefer audited read-only tools or controlled scripts.</w:t>
      </w:r>
    </w:p>
    <w:p>
      <w:pPr>
        <w:pStyle w:val="ListBullet"/>
      </w:pPr>
      <w:r>
        <w:t>Bulk extracts require separate export governance.</w:t>
      </w:r>
    </w:p>
    <w:p>
      <w:pPr>
        <w:pStyle w:val="ListBullet"/>
      </w:pPr>
      <w:r>
        <w:t>Data fixes preserve domain/audit rules.</w:t>
      </w:r>
    </w:p>
    <w:p>
      <w:pPr>
        <w:pStyle w:val="ListBullet"/>
      </w:pPr>
      <w:r>
        <w:t>Access is reviewed.</w:t>
      </w:r>
    </w:p>
    <w:p>
      <w:pPr>
        <w:pStyle w:val="Heading1"/>
      </w:pPr>
      <w:r>
        <w:t>50. Privacy Incident Definition</w:t>
      </w:r>
    </w:p>
    <w:p>
      <w:r>
        <w:t>A privacy incident includes suspected or confirmed unauthorised access, use, disclosure, alteration, loss, misdirection, inappropriate retention or other processing inconsistent with approved purpose/policy. Cybersecurity incidents may also be privacy incidents, but the two classifications are not identical.</w:t>
      </w:r>
    </w:p>
    <w:p>
      <w:pPr>
        <w:pStyle w:val="Heading1"/>
      </w:pPr>
      <w:r>
        <w:t>51. Privacy Incident Response</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Detect/report</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Contain disclosure/access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Preserve evidence</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Identify data subjects + data categories + recipients</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Assess sensitivity, volume, consequences and recoverability</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Risk/legal/privacy determination</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Notification/remediation as required</w:t>
            </w:r>
          </w:p>
        </w:tc>
      </w:tr>
      <w:tr>
        <w:tc>
          <w:tcPr>
            <w:tcW w:type="dxa" w:w="10454"/>
          </w:tcPr>
          <w:p>
            <w:pPr>
              <w:jc w:val="center"/>
            </w:pPr>
            <w:r>
              <w:rPr>
                <w:rFonts w:ascii="Consolas" w:hAnsi="Consolas"/>
                <w:sz w:val="13"/>
              </w:rPr>
              <w:t>↓</w:t>
            </w:r>
          </w:p>
        </w:tc>
      </w:tr>
      <w:tr>
        <w:tc>
          <w:tcPr>
            <w:tcW w:type="dxa" w:w="10454"/>
          </w:tcPr>
          <w:p>
            <w:pPr>
              <w:jc w:val="center"/>
            </w:pPr>
            <w:r>
              <w:rPr>
                <w:rFonts w:ascii="Consolas" w:hAnsi="Consolas"/>
                <w:sz w:val="13"/>
              </w:rPr>
              <w:t>CAPA + control improvement</w:t>
            </w:r>
          </w:p>
        </w:tc>
      </w:tr>
    </w:tbl>
    <w:p>
      <w:pPr>
        <w:pStyle w:val="Heading1"/>
      </w:pPr>
      <w:r>
        <w:t>52. Wrong-Patient / Wrong-Recipient Disclosure</w:t>
      </w:r>
    </w:p>
    <w:p>
      <w:pPr>
        <w:pStyle w:val="ListBullet"/>
      </w:pPr>
      <w:r>
        <w:t>Immediately stop/revoke access where possible.</w:t>
      </w:r>
    </w:p>
    <w:p>
      <w:pPr>
        <w:pStyle w:val="ListBullet"/>
      </w:pPr>
      <w:r>
        <w:t>Identify exact information disclosed.</w:t>
      </w:r>
    </w:p>
    <w:p>
      <w:pPr>
        <w:pStyle w:val="ListBullet"/>
      </w:pPr>
      <w:r>
        <w:t>Contact recipient through approved incident process.</w:t>
      </w:r>
    </w:p>
    <w:p>
      <w:pPr>
        <w:pStyle w:val="ListBullet"/>
      </w:pPr>
      <w:r>
        <w:t>Request secure deletion/return where appropriate.</w:t>
      </w:r>
    </w:p>
    <w:p>
      <w:pPr>
        <w:pStyle w:val="ListBullet"/>
      </w:pPr>
      <w:r>
        <w:t>Preserve disclosure evidence.</w:t>
      </w:r>
    </w:p>
    <w:p>
      <w:pPr>
        <w:pStyle w:val="ListBullet"/>
      </w:pPr>
      <w:r>
        <w:t>Assess patient impact and notification obligations.</w:t>
      </w:r>
    </w:p>
    <w:p>
      <w:pPr>
        <w:pStyle w:val="ListBullet"/>
      </w:pPr>
      <w:r>
        <w:t>Correct identity/workflow cause, not just the individual event.</w:t>
      </w:r>
    </w:p>
    <w:p>
      <w:pPr>
        <w:pStyle w:val="Heading1"/>
      </w:pPr>
      <w:r>
        <w:t>53. Breach Register</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Field</w:t>
            </w:r>
          </w:p>
        </w:tc>
        <w:tc>
          <w:tcPr>
            <w:tcW w:type="dxa" w:w="5227"/>
          </w:tcPr>
          <w:p>
            <w:pPr>
              <w:spacing w:after="0"/>
            </w:pPr>
            <w:r>
              <w:rPr>
                <w:b/>
                <w:sz w:val="11"/>
              </w:rPr>
              <w:t>Requirement</w:t>
            </w:r>
          </w:p>
        </w:tc>
      </w:tr>
      <w:tr>
        <w:tc>
          <w:tcPr>
            <w:tcW w:type="dxa" w:w="5227"/>
          </w:tcPr>
          <w:p>
            <w:pPr>
              <w:spacing w:after="0"/>
            </w:pPr>
            <w:r>
              <w:rPr>
                <w:sz w:val="11"/>
              </w:rPr>
              <w:t>Incident ID</w:t>
            </w:r>
          </w:p>
        </w:tc>
        <w:tc>
          <w:tcPr>
            <w:tcW w:type="dxa" w:w="5227"/>
          </w:tcPr>
          <w:p>
            <w:pPr>
              <w:spacing w:after="0"/>
            </w:pPr>
            <w:r>
              <w:rPr>
                <w:sz w:val="11"/>
              </w:rPr>
              <w:t>Unique.</w:t>
            </w:r>
          </w:p>
        </w:tc>
      </w:tr>
      <w:tr>
        <w:tc>
          <w:tcPr>
            <w:tcW w:type="dxa" w:w="5227"/>
          </w:tcPr>
          <w:p>
            <w:pPr>
              <w:spacing w:after="0"/>
            </w:pPr>
            <w:r>
              <w:rPr>
                <w:sz w:val="11"/>
              </w:rPr>
              <w:t>Detected</w:t>
            </w:r>
          </w:p>
        </w:tc>
        <w:tc>
          <w:tcPr>
            <w:tcW w:type="dxa" w:w="5227"/>
          </w:tcPr>
          <w:p>
            <w:pPr>
              <w:spacing w:after="0"/>
            </w:pPr>
            <w:r>
              <w:rPr>
                <w:sz w:val="11"/>
              </w:rPr>
              <w:t>Date/time/source.</w:t>
            </w:r>
          </w:p>
        </w:tc>
      </w:tr>
      <w:tr>
        <w:tc>
          <w:tcPr>
            <w:tcW w:type="dxa" w:w="5227"/>
          </w:tcPr>
          <w:p>
            <w:pPr>
              <w:spacing w:after="0"/>
            </w:pPr>
            <w:r>
              <w:rPr>
                <w:sz w:val="11"/>
              </w:rPr>
              <w:t>Data subjects</w:t>
            </w:r>
          </w:p>
        </w:tc>
        <w:tc>
          <w:tcPr>
            <w:tcW w:type="dxa" w:w="5227"/>
          </w:tcPr>
          <w:p>
            <w:pPr>
              <w:spacing w:after="0"/>
            </w:pPr>
            <w:r>
              <w:rPr>
                <w:sz w:val="11"/>
              </w:rPr>
              <w:t>Affected population.</w:t>
            </w:r>
          </w:p>
        </w:tc>
      </w:tr>
      <w:tr>
        <w:tc>
          <w:tcPr>
            <w:tcW w:type="dxa" w:w="5227"/>
          </w:tcPr>
          <w:p>
            <w:pPr>
              <w:spacing w:after="0"/>
            </w:pPr>
            <w:r>
              <w:rPr>
                <w:sz w:val="11"/>
              </w:rPr>
              <w:t>Data</w:t>
            </w:r>
          </w:p>
        </w:tc>
        <w:tc>
          <w:tcPr>
            <w:tcW w:type="dxa" w:w="5227"/>
          </w:tcPr>
          <w:p>
            <w:pPr>
              <w:spacing w:after="0"/>
            </w:pPr>
            <w:r>
              <w:rPr>
                <w:sz w:val="11"/>
              </w:rPr>
              <w:t>Categories/volume.</w:t>
            </w:r>
          </w:p>
        </w:tc>
      </w:tr>
      <w:tr>
        <w:tc>
          <w:tcPr>
            <w:tcW w:type="dxa" w:w="5227"/>
          </w:tcPr>
          <w:p>
            <w:pPr>
              <w:spacing w:after="0"/>
            </w:pPr>
            <w:r>
              <w:rPr>
                <w:sz w:val="11"/>
              </w:rPr>
              <w:t>Cause</w:t>
            </w:r>
          </w:p>
        </w:tc>
        <w:tc>
          <w:tcPr>
            <w:tcW w:type="dxa" w:w="5227"/>
          </w:tcPr>
          <w:p>
            <w:pPr>
              <w:spacing w:after="0"/>
            </w:pPr>
            <w:r>
              <w:rPr>
                <w:sz w:val="11"/>
              </w:rPr>
              <w:t>Technical/human/process.</w:t>
            </w:r>
          </w:p>
        </w:tc>
      </w:tr>
      <w:tr>
        <w:tc>
          <w:tcPr>
            <w:tcW w:type="dxa" w:w="5227"/>
          </w:tcPr>
          <w:p>
            <w:pPr>
              <w:spacing w:after="0"/>
            </w:pPr>
            <w:r>
              <w:rPr>
                <w:sz w:val="11"/>
              </w:rPr>
              <w:t>Recipients</w:t>
            </w:r>
          </w:p>
        </w:tc>
        <w:tc>
          <w:tcPr>
            <w:tcW w:type="dxa" w:w="5227"/>
          </w:tcPr>
          <w:p>
            <w:pPr>
              <w:spacing w:after="0"/>
            </w:pPr>
            <w:r>
              <w:rPr>
                <w:sz w:val="11"/>
              </w:rPr>
              <w:t>Known/possible.</w:t>
            </w:r>
          </w:p>
        </w:tc>
      </w:tr>
      <w:tr>
        <w:tc>
          <w:tcPr>
            <w:tcW w:type="dxa" w:w="5227"/>
          </w:tcPr>
          <w:p>
            <w:pPr>
              <w:spacing w:after="0"/>
            </w:pPr>
            <w:r>
              <w:rPr>
                <w:sz w:val="11"/>
              </w:rPr>
              <w:t>Containment</w:t>
            </w:r>
          </w:p>
        </w:tc>
        <w:tc>
          <w:tcPr>
            <w:tcW w:type="dxa" w:w="5227"/>
          </w:tcPr>
          <w:p>
            <w:pPr>
              <w:spacing w:after="0"/>
            </w:pPr>
            <w:r>
              <w:rPr>
                <w:sz w:val="11"/>
              </w:rPr>
              <w:t>Actions.</w:t>
            </w:r>
          </w:p>
        </w:tc>
      </w:tr>
      <w:tr>
        <w:tc>
          <w:tcPr>
            <w:tcW w:type="dxa" w:w="5227"/>
          </w:tcPr>
          <w:p>
            <w:pPr>
              <w:spacing w:after="0"/>
            </w:pPr>
            <w:r>
              <w:rPr>
                <w:sz w:val="11"/>
              </w:rPr>
              <w:t>Risk assessment</w:t>
            </w:r>
          </w:p>
        </w:tc>
        <w:tc>
          <w:tcPr>
            <w:tcW w:type="dxa" w:w="5227"/>
          </w:tcPr>
          <w:p>
            <w:pPr>
              <w:spacing w:after="0"/>
            </w:pPr>
            <w:r>
              <w:rPr>
                <w:sz w:val="11"/>
              </w:rPr>
              <w:t>Documented.</w:t>
            </w:r>
          </w:p>
        </w:tc>
      </w:tr>
      <w:tr>
        <w:tc>
          <w:tcPr>
            <w:tcW w:type="dxa" w:w="5227"/>
          </w:tcPr>
          <w:p>
            <w:pPr>
              <w:spacing w:after="0"/>
            </w:pPr>
            <w:r>
              <w:rPr>
                <w:sz w:val="11"/>
              </w:rPr>
              <w:t>Notification</w:t>
            </w:r>
          </w:p>
        </w:tc>
        <w:tc>
          <w:tcPr>
            <w:tcW w:type="dxa" w:w="5227"/>
          </w:tcPr>
          <w:p>
            <w:pPr>
              <w:spacing w:after="0"/>
            </w:pPr>
            <w:r>
              <w:rPr>
                <w:sz w:val="11"/>
              </w:rPr>
              <w:t>Decision/time/authority.</w:t>
            </w:r>
          </w:p>
        </w:tc>
      </w:tr>
      <w:tr>
        <w:tc>
          <w:tcPr>
            <w:tcW w:type="dxa" w:w="5227"/>
          </w:tcPr>
          <w:p>
            <w:pPr>
              <w:spacing w:after="0"/>
            </w:pPr>
            <w:r>
              <w:rPr>
                <w:sz w:val="11"/>
              </w:rPr>
              <w:t>Remediation</w:t>
            </w:r>
          </w:p>
        </w:tc>
        <w:tc>
          <w:tcPr>
            <w:tcW w:type="dxa" w:w="5227"/>
          </w:tcPr>
          <w:p>
            <w:pPr>
              <w:spacing w:after="0"/>
            </w:pPr>
            <w:r>
              <w:rPr>
                <w:sz w:val="11"/>
              </w:rPr>
              <w:t>Corrective action.</w:t>
            </w:r>
          </w:p>
        </w:tc>
      </w:tr>
      <w:tr>
        <w:tc>
          <w:tcPr>
            <w:tcW w:type="dxa" w:w="5227"/>
          </w:tcPr>
          <w:p>
            <w:pPr>
              <w:spacing w:after="0"/>
            </w:pPr>
            <w:r>
              <w:rPr>
                <w:sz w:val="11"/>
              </w:rPr>
              <w:t>Closure</w:t>
            </w:r>
          </w:p>
        </w:tc>
        <w:tc>
          <w:tcPr>
            <w:tcW w:type="dxa" w:w="5227"/>
          </w:tcPr>
          <w:p>
            <w:pPr>
              <w:spacing w:after="0"/>
            </w:pPr>
            <w:r>
              <w:rPr>
                <w:sz w:val="11"/>
              </w:rPr>
              <w:t>Approval/evidence.</w:t>
            </w:r>
          </w:p>
        </w:tc>
      </w:tr>
    </w:tbl>
    <w:p>
      <w:pPr>
        <w:pStyle w:val="Heading1"/>
      </w:pPr>
      <w:r>
        <w:t>54. DPIA Trigger Criteria</w:t>
      </w:r>
    </w:p>
    <w:p>
      <w:pPr>
        <w:pStyle w:val="ListBullet"/>
      </w:pPr>
      <w:r>
        <w:t>New high-volume health-data processing.</w:t>
      </w:r>
    </w:p>
    <w:p>
      <w:pPr>
        <w:pStyle w:val="ListBullet"/>
      </w:pPr>
      <w:r>
        <w:t>New cross-hospital data exchange.</w:t>
      </w:r>
    </w:p>
    <w:p>
      <w:pPr>
        <w:pStyle w:val="ListBullet"/>
      </w:pPr>
      <w:r>
        <w:t>New AI/automated profiling use.</w:t>
      </w:r>
    </w:p>
    <w:p>
      <w:pPr>
        <w:pStyle w:val="ListBullet"/>
      </w:pPr>
      <w:r>
        <w:t>New biometric or highly sensitive identity capability.</w:t>
      </w:r>
    </w:p>
    <w:p>
      <w:pPr>
        <w:pStyle w:val="ListBullet"/>
      </w:pPr>
      <w:r>
        <w:t>Large-scale monitoring/analytics.</w:t>
      </w:r>
    </w:p>
    <w:p>
      <w:pPr>
        <w:pStyle w:val="ListBullet"/>
      </w:pPr>
      <w:r>
        <w:t>New external processor/cloud geography.</w:t>
      </w:r>
    </w:p>
    <w:p>
      <w:pPr>
        <w:pStyle w:val="ListBullet"/>
      </w:pPr>
      <w:r>
        <w:t>New patient-facing data sharing.</w:t>
      </w:r>
    </w:p>
    <w:p>
      <w:pPr>
        <w:pStyle w:val="ListBullet"/>
      </w:pPr>
      <w:r>
        <w:t>Novel technology with uncertain privacy impact.</w:t>
      </w:r>
    </w:p>
    <w:p>
      <w:pPr>
        <w:pStyle w:val="ListBullet"/>
      </w:pPr>
      <w:r>
        <w:t>Material change in purpose or dataset.</w:t>
      </w:r>
    </w:p>
    <w:p>
      <w:pPr>
        <w:pStyle w:val="ListBullet"/>
      </w:pPr>
      <w:r>
        <w:t>Security/privacy incident revealing systemic risk.</w:t>
      </w:r>
    </w:p>
    <w:p>
      <w:pPr>
        <w:pStyle w:val="Heading1"/>
      </w:pPr>
      <w:r>
        <w:t>55. DPIA Method</w:t>
      </w:r>
    </w:p>
    <w:p>
      <w:r>
        <w:t>1.  Describe project/system/change.</w:t>
      </w:r>
    </w:p>
    <w:p>
      <w:r>
        <w:t>2.  Map data flows and actors.</w:t>
      </w:r>
    </w:p>
    <w:p>
      <w:r>
        <w:t>3.  Define purposes and necessity.</w:t>
      </w:r>
    </w:p>
    <w:p>
      <w:r>
        <w:t>4.  Identify data categories and subjects.</w:t>
      </w:r>
    </w:p>
    <w:p>
      <w:r>
        <w:t>5.  Identify processing authority/consent requirements.</w:t>
      </w:r>
    </w:p>
    <w:p>
      <w:r>
        <w:t>6.  Assess proportionality/minimisation.</w:t>
      </w:r>
    </w:p>
    <w:p>
      <w:r>
        <w:t>7.  Identify privacy harms and threat scenarios.</w:t>
      </w:r>
    </w:p>
    <w:p>
      <w:r>
        <w:t>8.  Assess likelihood/impact.</w:t>
      </w:r>
    </w:p>
    <w:p>
      <w:r>
        <w:t>9.  Define controls/alternatives.</w:t>
      </w:r>
    </w:p>
    <w:p>
      <w:r>
        <w:t>10.  Assess residual risk.</w:t>
      </w:r>
    </w:p>
    <w:p>
      <w:r>
        <w:t>11.  Consult stakeholders where required.</w:t>
      </w:r>
    </w:p>
    <w:p>
      <w:r>
        <w:t>12.  Approve/escalate before production.</w:t>
      </w:r>
    </w:p>
    <w:p>
      <w:r>
        <w:t>13.  Review after material change.</w:t>
      </w:r>
    </w:p>
    <w:p>
      <w:pPr>
        <w:pStyle w:val="Heading1"/>
      </w:pPr>
      <w:r>
        <w:t>56. DPIA Risk Scale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Impact</w:t>
            </w:r>
          </w:p>
        </w:tc>
        <w:tc>
          <w:tcPr>
            <w:tcW w:type="dxa" w:w="5227"/>
          </w:tcPr>
          <w:p>
            <w:pPr>
              <w:spacing w:after="0"/>
            </w:pPr>
            <w:r>
              <w:rPr>
                <w:b/>
                <w:sz w:val="11"/>
              </w:rPr>
              <w:t>Example</w:t>
            </w:r>
          </w:p>
        </w:tc>
      </w:tr>
      <w:tr>
        <w:tc>
          <w:tcPr>
            <w:tcW w:type="dxa" w:w="5227"/>
          </w:tcPr>
          <w:p>
            <w:pPr>
              <w:spacing w:after="0"/>
            </w:pPr>
            <w:r>
              <w:rPr>
                <w:sz w:val="11"/>
              </w:rPr>
              <w:t>1 Negligible</w:t>
            </w:r>
          </w:p>
        </w:tc>
        <w:tc>
          <w:tcPr>
            <w:tcW w:type="dxa" w:w="5227"/>
          </w:tcPr>
          <w:p>
            <w:pPr>
              <w:spacing w:after="0"/>
            </w:pPr>
            <w:r>
              <w:rPr>
                <w:sz w:val="11"/>
              </w:rPr>
              <w:t>Minor inconvenience; no meaningful disclosure.</w:t>
            </w:r>
          </w:p>
        </w:tc>
      </w:tr>
      <w:tr>
        <w:tc>
          <w:tcPr>
            <w:tcW w:type="dxa" w:w="5227"/>
          </w:tcPr>
          <w:p>
            <w:pPr>
              <w:spacing w:after="0"/>
            </w:pPr>
            <w:r>
              <w:rPr>
                <w:sz w:val="11"/>
              </w:rPr>
              <w:t>2 Low</w:t>
            </w:r>
          </w:p>
        </w:tc>
        <w:tc>
          <w:tcPr>
            <w:tcW w:type="dxa" w:w="5227"/>
          </w:tcPr>
          <w:p>
            <w:pPr>
              <w:spacing w:after="0"/>
            </w:pPr>
            <w:r>
              <w:rPr>
                <w:sz w:val="11"/>
              </w:rPr>
              <w:t>Limited exposure with low sensitivity.</w:t>
            </w:r>
          </w:p>
        </w:tc>
      </w:tr>
      <w:tr>
        <w:tc>
          <w:tcPr>
            <w:tcW w:type="dxa" w:w="5227"/>
          </w:tcPr>
          <w:p>
            <w:pPr>
              <w:spacing w:after="0"/>
            </w:pPr>
            <w:r>
              <w:rPr>
                <w:sz w:val="11"/>
              </w:rPr>
              <w:t>3 Moderate</w:t>
            </w:r>
          </w:p>
        </w:tc>
        <w:tc>
          <w:tcPr>
            <w:tcW w:type="dxa" w:w="5227"/>
          </w:tcPr>
          <w:p>
            <w:pPr>
              <w:spacing w:after="0"/>
            </w:pPr>
            <w:r>
              <w:rPr>
                <w:sz w:val="11"/>
              </w:rPr>
              <w:t>Material confidentiality/autonomy impact.</w:t>
            </w:r>
          </w:p>
        </w:tc>
      </w:tr>
      <w:tr>
        <w:tc>
          <w:tcPr>
            <w:tcW w:type="dxa" w:w="5227"/>
          </w:tcPr>
          <w:p>
            <w:pPr>
              <w:spacing w:after="0"/>
            </w:pPr>
            <w:r>
              <w:rPr>
                <w:sz w:val="11"/>
              </w:rPr>
              <w:t>4 High</w:t>
            </w:r>
          </w:p>
        </w:tc>
        <w:tc>
          <w:tcPr>
            <w:tcW w:type="dxa" w:w="5227"/>
          </w:tcPr>
          <w:p>
            <w:pPr>
              <w:spacing w:after="0"/>
            </w:pPr>
            <w:r>
              <w:rPr>
                <w:sz w:val="11"/>
              </w:rPr>
              <w:t>Significant health/financial/social harm possible.</w:t>
            </w:r>
          </w:p>
        </w:tc>
      </w:tr>
      <w:tr>
        <w:tc>
          <w:tcPr>
            <w:tcW w:type="dxa" w:w="5227"/>
          </w:tcPr>
          <w:p>
            <w:pPr>
              <w:spacing w:after="0"/>
            </w:pPr>
            <w:r>
              <w:rPr>
                <w:sz w:val="11"/>
              </w:rPr>
              <w:t>5 Severe</w:t>
            </w:r>
          </w:p>
        </w:tc>
        <w:tc>
          <w:tcPr>
            <w:tcW w:type="dxa" w:w="5227"/>
          </w:tcPr>
          <w:p>
            <w:pPr>
              <w:spacing w:after="0"/>
            </w:pPr>
            <w:r>
              <w:rPr>
                <w:sz w:val="11"/>
              </w:rPr>
              <w:t>Large-scale or highly sensitive harm, discrimination, safety or major rights impact.</w:t>
            </w:r>
          </w:p>
        </w:tc>
      </w:tr>
    </w:tbl>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Likelihood</w:t>
            </w:r>
          </w:p>
        </w:tc>
        <w:tc>
          <w:tcPr>
            <w:tcW w:type="dxa" w:w="5227"/>
          </w:tcPr>
          <w:p>
            <w:pPr>
              <w:spacing w:after="0"/>
            </w:pPr>
            <w:r>
              <w:rPr>
                <w:b/>
                <w:sz w:val="11"/>
              </w:rPr>
              <w:t>Meaning</w:t>
            </w:r>
          </w:p>
        </w:tc>
      </w:tr>
      <w:tr>
        <w:tc>
          <w:tcPr>
            <w:tcW w:type="dxa" w:w="5227"/>
          </w:tcPr>
          <w:p>
            <w:pPr>
              <w:spacing w:after="0"/>
            </w:pPr>
            <w:r>
              <w:rPr>
                <w:sz w:val="11"/>
              </w:rPr>
              <w:t>1 Rare</w:t>
            </w:r>
          </w:p>
        </w:tc>
        <w:tc>
          <w:tcPr>
            <w:tcW w:type="dxa" w:w="5227"/>
          </w:tcPr>
          <w:p>
            <w:pPr>
              <w:spacing w:after="0"/>
            </w:pPr>
            <w:r>
              <w:rPr>
                <w:sz w:val="11"/>
              </w:rPr>
              <w:t>Exceptional.</w:t>
            </w:r>
          </w:p>
        </w:tc>
      </w:tr>
      <w:tr>
        <w:tc>
          <w:tcPr>
            <w:tcW w:type="dxa" w:w="5227"/>
          </w:tcPr>
          <w:p>
            <w:pPr>
              <w:spacing w:after="0"/>
            </w:pPr>
            <w:r>
              <w:rPr>
                <w:sz w:val="11"/>
              </w:rPr>
              <w:t>2 Unlikely</w:t>
            </w:r>
          </w:p>
        </w:tc>
        <w:tc>
          <w:tcPr>
            <w:tcW w:type="dxa" w:w="5227"/>
          </w:tcPr>
          <w:p>
            <w:pPr>
              <w:spacing w:after="0"/>
            </w:pPr>
            <w:r>
              <w:rPr>
                <w:sz w:val="11"/>
              </w:rPr>
              <w:t>Possible but uncommon.</w:t>
            </w:r>
          </w:p>
        </w:tc>
      </w:tr>
      <w:tr>
        <w:tc>
          <w:tcPr>
            <w:tcW w:type="dxa" w:w="5227"/>
          </w:tcPr>
          <w:p>
            <w:pPr>
              <w:spacing w:after="0"/>
            </w:pPr>
            <w:r>
              <w:rPr>
                <w:sz w:val="11"/>
              </w:rPr>
              <w:t>3 Possible</w:t>
            </w:r>
          </w:p>
        </w:tc>
        <w:tc>
          <w:tcPr>
            <w:tcW w:type="dxa" w:w="5227"/>
          </w:tcPr>
          <w:p>
            <w:pPr>
              <w:spacing w:after="0"/>
            </w:pPr>
            <w:r>
              <w:rPr>
                <w:sz w:val="11"/>
              </w:rPr>
              <w:t>Credible occurrence.</w:t>
            </w:r>
          </w:p>
        </w:tc>
      </w:tr>
      <w:tr>
        <w:tc>
          <w:tcPr>
            <w:tcW w:type="dxa" w:w="5227"/>
          </w:tcPr>
          <w:p>
            <w:pPr>
              <w:spacing w:after="0"/>
            </w:pPr>
            <w:r>
              <w:rPr>
                <w:sz w:val="11"/>
              </w:rPr>
              <w:t>4 Likely</w:t>
            </w:r>
          </w:p>
        </w:tc>
        <w:tc>
          <w:tcPr>
            <w:tcW w:type="dxa" w:w="5227"/>
          </w:tcPr>
          <w:p>
            <w:pPr>
              <w:spacing w:after="0"/>
            </w:pPr>
            <w:r>
              <w:rPr>
                <w:sz w:val="11"/>
              </w:rPr>
              <w:t>Expected without strong controls.</w:t>
            </w:r>
          </w:p>
        </w:tc>
      </w:tr>
      <w:tr>
        <w:tc>
          <w:tcPr>
            <w:tcW w:type="dxa" w:w="5227"/>
          </w:tcPr>
          <w:p>
            <w:pPr>
              <w:spacing w:after="0"/>
            </w:pPr>
            <w:r>
              <w:rPr>
                <w:sz w:val="11"/>
              </w:rPr>
              <w:t>5 Almost certain</w:t>
            </w:r>
          </w:p>
        </w:tc>
        <w:tc>
          <w:tcPr>
            <w:tcW w:type="dxa" w:w="5227"/>
          </w:tcPr>
          <w:p>
            <w:pPr>
              <w:spacing w:after="0"/>
            </w:pPr>
            <w:r>
              <w:rPr>
                <w:sz w:val="11"/>
              </w:rPr>
              <w:t>Frequent/systemic.</w:t>
            </w:r>
          </w:p>
        </w:tc>
      </w:tr>
    </w:tbl>
    <w:p>
      <w:pPr>
        <w:pStyle w:val="Heading1"/>
      </w:pPr>
      <w:r>
        <w:t>57. DPIA Risk Register</w:t>
      </w:r>
    </w:p>
    <w:tbl>
      <w:tblPr>
        <w:tblStyle w:val="TableGrid"/>
        <w:tblW w:type="auto" w:w="0"/>
        <w:jc w:val="center"/>
        <w:tblLook w:firstColumn="1" w:firstRow="1" w:lastColumn="0" w:lastRow="0" w:noHBand="0" w:noVBand="1" w:val="04A0"/>
      </w:tblPr>
      <w:tblGrid>
        <w:gridCol w:w="3485"/>
        <w:gridCol w:w="3485"/>
        <w:gridCol w:w="3485"/>
      </w:tblGrid>
      <w:tr>
        <w:tc>
          <w:tcPr>
            <w:tcW w:type="dxa" w:w="3485"/>
          </w:tcPr>
          <w:p>
            <w:pPr>
              <w:spacing w:after="0"/>
            </w:pPr>
            <w:r>
              <w:rPr>
                <w:b/>
                <w:sz w:val="10"/>
              </w:rPr>
              <w:t>ID</w:t>
            </w:r>
          </w:p>
        </w:tc>
        <w:tc>
          <w:tcPr>
            <w:tcW w:type="dxa" w:w="3485"/>
          </w:tcPr>
          <w:p>
            <w:pPr>
              <w:spacing w:after="0"/>
            </w:pPr>
            <w:r>
              <w:rPr>
                <w:b/>
                <w:sz w:val="10"/>
              </w:rPr>
              <w:t>Risk scenario</w:t>
            </w:r>
          </w:p>
        </w:tc>
        <w:tc>
          <w:tcPr>
            <w:tcW w:type="dxa" w:w="3485"/>
          </w:tcPr>
          <w:p>
            <w:pPr>
              <w:spacing w:after="0"/>
            </w:pPr>
            <w:r>
              <w:rPr>
                <w:b/>
                <w:sz w:val="10"/>
              </w:rPr>
              <w:t>Control examples</w:t>
            </w:r>
          </w:p>
        </w:tc>
      </w:tr>
      <w:tr>
        <w:tc>
          <w:tcPr>
            <w:tcW w:type="dxa" w:w="3485"/>
          </w:tcPr>
          <w:p>
            <w:pPr>
              <w:spacing w:after="0"/>
            </w:pPr>
            <w:r>
              <w:rPr>
                <w:sz w:val="10"/>
              </w:rPr>
              <w:t>PRIV-R01</w:t>
            </w:r>
          </w:p>
        </w:tc>
        <w:tc>
          <w:tcPr>
            <w:tcW w:type="dxa" w:w="3485"/>
          </w:tcPr>
          <w:p>
            <w:pPr>
              <w:spacing w:after="0"/>
            </w:pPr>
            <w:r>
              <w:rPr>
                <w:sz w:val="10"/>
              </w:rPr>
              <w:t>Excessive chart access</w:t>
            </w:r>
          </w:p>
        </w:tc>
        <w:tc>
          <w:tcPr>
            <w:tcW w:type="dxa" w:w="3485"/>
          </w:tcPr>
          <w:p>
            <w:pPr>
              <w:spacing w:after="0"/>
            </w:pPr>
            <w:r>
              <w:rPr>
                <w:sz w:val="10"/>
              </w:rPr>
              <w:t>Context IAM, audit, anomaly detection.</w:t>
            </w:r>
          </w:p>
        </w:tc>
      </w:tr>
      <w:tr>
        <w:tc>
          <w:tcPr>
            <w:tcW w:type="dxa" w:w="3485"/>
          </w:tcPr>
          <w:p>
            <w:pPr>
              <w:spacing w:after="0"/>
            </w:pPr>
            <w:r>
              <w:rPr>
                <w:sz w:val="10"/>
              </w:rPr>
              <w:t>PRIV-R02</w:t>
            </w:r>
          </w:p>
        </w:tc>
        <w:tc>
          <w:tcPr>
            <w:tcW w:type="dxa" w:w="3485"/>
          </w:tcPr>
          <w:p>
            <w:pPr>
              <w:spacing w:after="0"/>
            </w:pPr>
            <w:r>
              <w:rPr>
                <w:sz w:val="10"/>
              </w:rPr>
              <w:t>Referral over-disclosure</w:t>
            </w:r>
          </w:p>
        </w:tc>
        <w:tc>
          <w:tcPr>
            <w:tcW w:type="dxa" w:w="3485"/>
          </w:tcPr>
          <w:p>
            <w:pPr>
              <w:spacing w:after="0"/>
            </w:pPr>
            <w:r>
              <w:rPr>
                <w:sz w:val="10"/>
              </w:rPr>
              <w:t>Case manifest/minimum necessary.</w:t>
            </w:r>
          </w:p>
        </w:tc>
      </w:tr>
      <w:tr>
        <w:tc>
          <w:tcPr>
            <w:tcW w:type="dxa" w:w="3485"/>
          </w:tcPr>
          <w:p>
            <w:pPr>
              <w:spacing w:after="0"/>
            </w:pPr>
            <w:r>
              <w:rPr>
                <w:sz w:val="10"/>
              </w:rPr>
              <w:t>PRIV-R03</w:t>
            </w:r>
          </w:p>
        </w:tc>
        <w:tc>
          <w:tcPr>
            <w:tcW w:type="dxa" w:w="3485"/>
          </w:tcPr>
          <w:p>
            <w:pPr>
              <w:spacing w:after="0"/>
            </w:pPr>
            <w:r>
              <w:rPr>
                <w:sz w:val="10"/>
              </w:rPr>
              <w:t>Wrong-patient merge</w:t>
            </w:r>
          </w:p>
        </w:tc>
        <w:tc>
          <w:tcPr>
            <w:tcW w:type="dxa" w:w="3485"/>
          </w:tcPr>
          <w:p>
            <w:pPr>
              <w:spacing w:after="0"/>
            </w:pPr>
            <w:r>
              <w:rPr>
                <w:sz w:val="10"/>
              </w:rPr>
              <w:t>Identity matching/review.</w:t>
            </w:r>
          </w:p>
        </w:tc>
      </w:tr>
      <w:tr>
        <w:tc>
          <w:tcPr>
            <w:tcW w:type="dxa" w:w="3485"/>
          </w:tcPr>
          <w:p>
            <w:pPr>
              <w:spacing w:after="0"/>
            </w:pPr>
            <w:r>
              <w:rPr>
                <w:sz w:val="10"/>
              </w:rPr>
              <w:t>PRIV-R04</w:t>
            </w:r>
          </w:p>
        </w:tc>
        <w:tc>
          <w:tcPr>
            <w:tcW w:type="dxa" w:w="3485"/>
          </w:tcPr>
          <w:p>
            <w:pPr>
              <w:spacing w:after="0"/>
            </w:pPr>
            <w:r>
              <w:rPr>
                <w:sz w:val="10"/>
              </w:rPr>
              <w:t>Wrong-recipient communication</w:t>
            </w:r>
          </w:p>
        </w:tc>
        <w:tc>
          <w:tcPr>
            <w:tcW w:type="dxa" w:w="3485"/>
          </w:tcPr>
          <w:p>
            <w:pPr>
              <w:spacing w:after="0"/>
            </w:pPr>
            <w:r>
              <w:rPr>
                <w:sz w:val="10"/>
              </w:rPr>
              <w:t>Recipient verification/minimal notifications.</w:t>
            </w:r>
          </w:p>
        </w:tc>
      </w:tr>
      <w:tr>
        <w:tc>
          <w:tcPr>
            <w:tcW w:type="dxa" w:w="3485"/>
          </w:tcPr>
          <w:p>
            <w:pPr>
              <w:spacing w:after="0"/>
            </w:pPr>
            <w:r>
              <w:rPr>
                <w:sz w:val="10"/>
              </w:rPr>
              <w:t>PRIV-R05</w:t>
            </w:r>
          </w:p>
        </w:tc>
        <w:tc>
          <w:tcPr>
            <w:tcW w:type="dxa" w:w="3485"/>
          </w:tcPr>
          <w:p>
            <w:pPr>
              <w:spacing w:after="0"/>
            </w:pPr>
            <w:r>
              <w:rPr>
                <w:sz w:val="10"/>
              </w:rPr>
              <w:t>Bulk export misuse</w:t>
            </w:r>
          </w:p>
        </w:tc>
        <w:tc>
          <w:tcPr>
            <w:tcW w:type="dxa" w:w="3485"/>
          </w:tcPr>
          <w:p>
            <w:pPr>
              <w:spacing w:after="0"/>
            </w:pPr>
            <w:r>
              <w:rPr>
                <w:sz w:val="10"/>
              </w:rPr>
              <w:t>Special privilege/approval/audit.</w:t>
            </w:r>
          </w:p>
        </w:tc>
      </w:tr>
      <w:tr>
        <w:tc>
          <w:tcPr>
            <w:tcW w:type="dxa" w:w="3485"/>
          </w:tcPr>
          <w:p>
            <w:pPr>
              <w:spacing w:after="0"/>
            </w:pPr>
            <w:r>
              <w:rPr>
                <w:sz w:val="10"/>
              </w:rPr>
              <w:t>PRIV-R06</w:t>
            </w:r>
          </w:p>
        </w:tc>
        <w:tc>
          <w:tcPr>
            <w:tcW w:type="dxa" w:w="3485"/>
          </w:tcPr>
          <w:p>
            <w:pPr>
              <w:spacing w:after="0"/>
            </w:pPr>
            <w:r>
              <w:rPr>
                <w:sz w:val="10"/>
              </w:rPr>
              <w:t>Research re-identification</w:t>
            </w:r>
          </w:p>
        </w:tc>
        <w:tc>
          <w:tcPr>
            <w:tcW w:type="dxa" w:w="3485"/>
          </w:tcPr>
          <w:p>
            <w:pPr>
              <w:spacing w:after="0"/>
            </w:pPr>
            <w:r>
              <w:rPr>
                <w:sz w:val="10"/>
              </w:rPr>
              <w:t>De-identification, secure environment.</w:t>
            </w:r>
          </w:p>
        </w:tc>
      </w:tr>
      <w:tr>
        <w:tc>
          <w:tcPr>
            <w:tcW w:type="dxa" w:w="3485"/>
          </w:tcPr>
          <w:p>
            <w:pPr>
              <w:spacing w:after="0"/>
            </w:pPr>
            <w:r>
              <w:rPr>
                <w:sz w:val="10"/>
              </w:rPr>
              <w:t>PRIV-R07</w:t>
            </w:r>
          </w:p>
        </w:tc>
        <w:tc>
          <w:tcPr>
            <w:tcW w:type="dxa" w:w="3485"/>
          </w:tcPr>
          <w:p>
            <w:pPr>
              <w:spacing w:after="0"/>
            </w:pPr>
            <w:r>
              <w:rPr>
                <w:sz w:val="10"/>
              </w:rPr>
              <w:t>Vendor secondary use</w:t>
            </w:r>
          </w:p>
        </w:tc>
        <w:tc>
          <w:tcPr>
            <w:tcW w:type="dxa" w:w="3485"/>
          </w:tcPr>
          <w:p>
            <w:pPr>
              <w:spacing w:after="0"/>
            </w:pPr>
            <w:r>
              <w:rPr>
                <w:sz w:val="10"/>
              </w:rPr>
              <w:t>Contract/purpose controls.</w:t>
            </w:r>
          </w:p>
        </w:tc>
      </w:tr>
      <w:tr>
        <w:tc>
          <w:tcPr>
            <w:tcW w:type="dxa" w:w="3485"/>
          </w:tcPr>
          <w:p>
            <w:pPr>
              <w:spacing w:after="0"/>
            </w:pPr>
            <w:r>
              <w:rPr>
                <w:sz w:val="10"/>
              </w:rPr>
              <w:t>PRIV-R08</w:t>
            </w:r>
          </w:p>
        </w:tc>
        <w:tc>
          <w:tcPr>
            <w:tcW w:type="dxa" w:w="3485"/>
          </w:tcPr>
          <w:p>
            <w:pPr>
              <w:spacing w:after="0"/>
            </w:pPr>
            <w:r>
              <w:rPr>
                <w:sz w:val="10"/>
              </w:rPr>
              <w:t>AI service data leakage</w:t>
            </w:r>
          </w:p>
        </w:tc>
        <w:tc>
          <w:tcPr>
            <w:tcW w:type="dxa" w:w="3485"/>
          </w:tcPr>
          <w:p>
            <w:pPr>
              <w:spacing w:after="0"/>
            </w:pPr>
            <w:r>
              <w:rPr>
                <w:sz w:val="10"/>
              </w:rPr>
              <w:t>Approved endpoints/minimisation/no hidden training.</w:t>
            </w:r>
          </w:p>
        </w:tc>
      </w:tr>
      <w:tr>
        <w:tc>
          <w:tcPr>
            <w:tcW w:type="dxa" w:w="3485"/>
          </w:tcPr>
          <w:p>
            <w:pPr>
              <w:spacing w:after="0"/>
            </w:pPr>
            <w:r>
              <w:rPr>
                <w:sz w:val="10"/>
              </w:rPr>
              <w:t>PRIV-R09</w:t>
            </w:r>
          </w:p>
        </w:tc>
        <w:tc>
          <w:tcPr>
            <w:tcW w:type="dxa" w:w="3485"/>
          </w:tcPr>
          <w:p>
            <w:pPr>
              <w:spacing w:after="0"/>
            </w:pPr>
            <w:r>
              <w:rPr>
                <w:sz w:val="10"/>
              </w:rPr>
              <w:t>Excess retention</w:t>
            </w:r>
          </w:p>
        </w:tc>
        <w:tc>
          <w:tcPr>
            <w:tcW w:type="dxa" w:w="3485"/>
          </w:tcPr>
          <w:p>
            <w:pPr>
              <w:spacing w:after="0"/>
            </w:pPr>
            <w:r>
              <w:rPr>
                <w:sz w:val="10"/>
              </w:rPr>
              <w:t>Retention engine/purge governance.</w:t>
            </w:r>
          </w:p>
        </w:tc>
      </w:tr>
      <w:tr>
        <w:tc>
          <w:tcPr>
            <w:tcW w:type="dxa" w:w="3485"/>
          </w:tcPr>
          <w:p>
            <w:pPr>
              <w:spacing w:after="0"/>
            </w:pPr>
            <w:r>
              <w:rPr>
                <w:sz w:val="10"/>
              </w:rPr>
              <w:t>PRIV-R10</w:t>
            </w:r>
          </w:p>
        </w:tc>
        <w:tc>
          <w:tcPr>
            <w:tcW w:type="dxa" w:w="3485"/>
          </w:tcPr>
          <w:p>
            <w:pPr>
              <w:spacing w:after="0"/>
            </w:pPr>
            <w:r>
              <w:rPr>
                <w:sz w:val="10"/>
              </w:rPr>
              <w:t>Premature deletion</w:t>
            </w:r>
          </w:p>
        </w:tc>
        <w:tc>
          <w:tcPr>
            <w:tcW w:type="dxa" w:w="3485"/>
          </w:tcPr>
          <w:p>
            <w:pPr>
              <w:spacing w:after="0"/>
            </w:pPr>
            <w:r>
              <w:rPr>
                <w:sz w:val="10"/>
              </w:rPr>
              <w:t>Hold/retention validation.</w:t>
            </w:r>
          </w:p>
        </w:tc>
      </w:tr>
      <w:tr>
        <w:tc>
          <w:tcPr>
            <w:tcW w:type="dxa" w:w="3485"/>
          </w:tcPr>
          <w:p>
            <w:pPr>
              <w:spacing w:after="0"/>
            </w:pPr>
            <w:r>
              <w:rPr>
                <w:sz w:val="10"/>
              </w:rPr>
              <w:t>PRIV-R11</w:t>
            </w:r>
          </w:p>
        </w:tc>
        <w:tc>
          <w:tcPr>
            <w:tcW w:type="dxa" w:w="3485"/>
          </w:tcPr>
          <w:p>
            <w:pPr>
              <w:spacing w:after="0"/>
            </w:pPr>
            <w:r>
              <w:rPr>
                <w:sz w:val="10"/>
              </w:rPr>
              <w:t>Proxy overreach</w:t>
            </w:r>
          </w:p>
        </w:tc>
        <w:tc>
          <w:tcPr>
            <w:tcW w:type="dxa" w:w="3485"/>
          </w:tcPr>
          <w:p>
            <w:pPr>
              <w:spacing w:after="0"/>
            </w:pPr>
            <w:r>
              <w:rPr>
                <w:sz w:val="10"/>
              </w:rPr>
              <w:t>Scoped proxy authority.</w:t>
            </w:r>
          </w:p>
        </w:tc>
      </w:tr>
      <w:tr>
        <w:tc>
          <w:tcPr>
            <w:tcW w:type="dxa" w:w="3485"/>
          </w:tcPr>
          <w:p>
            <w:pPr>
              <w:spacing w:after="0"/>
            </w:pPr>
            <w:r>
              <w:rPr>
                <w:sz w:val="10"/>
              </w:rPr>
              <w:t>PRIV-R12</w:t>
            </w:r>
          </w:p>
        </w:tc>
        <w:tc>
          <w:tcPr>
            <w:tcW w:type="dxa" w:w="3485"/>
          </w:tcPr>
          <w:p>
            <w:pPr>
              <w:spacing w:after="0"/>
            </w:pPr>
            <w:r>
              <w:rPr>
                <w:sz w:val="10"/>
              </w:rPr>
              <w:t>Cross-border uncontrolled access</w:t>
            </w:r>
          </w:p>
        </w:tc>
        <w:tc>
          <w:tcPr>
            <w:tcW w:type="dxa" w:w="3485"/>
          </w:tcPr>
          <w:p>
            <w:pPr>
              <w:spacing w:after="0"/>
            </w:pPr>
            <w:r>
              <w:rPr>
                <w:sz w:val="10"/>
              </w:rPr>
              <w:t>Transfer assessment/data-location inventory.</w:t>
            </w:r>
          </w:p>
        </w:tc>
      </w:tr>
      <w:tr>
        <w:tc>
          <w:tcPr>
            <w:tcW w:type="dxa" w:w="3485"/>
          </w:tcPr>
          <w:p>
            <w:pPr>
              <w:spacing w:after="0"/>
            </w:pPr>
            <w:r>
              <w:rPr>
                <w:sz w:val="10"/>
              </w:rPr>
              <w:t>PRIV-R13</w:t>
            </w:r>
          </w:p>
        </w:tc>
        <w:tc>
          <w:tcPr>
            <w:tcW w:type="dxa" w:w="3485"/>
          </w:tcPr>
          <w:p>
            <w:pPr>
              <w:spacing w:after="0"/>
            </w:pPr>
            <w:r>
              <w:rPr>
                <w:sz w:val="10"/>
              </w:rPr>
              <w:t>Support staff curiosity</w:t>
            </w:r>
          </w:p>
        </w:tc>
        <w:tc>
          <w:tcPr>
            <w:tcW w:type="dxa" w:w="3485"/>
          </w:tcPr>
          <w:p>
            <w:pPr>
              <w:spacing w:after="0"/>
            </w:pPr>
            <w:r>
              <w:rPr>
                <w:sz w:val="10"/>
              </w:rPr>
              <w:t>JIT access/audit.</w:t>
            </w:r>
          </w:p>
        </w:tc>
      </w:tr>
      <w:tr>
        <w:tc>
          <w:tcPr>
            <w:tcW w:type="dxa" w:w="3485"/>
          </w:tcPr>
          <w:p>
            <w:pPr>
              <w:spacing w:after="0"/>
            </w:pPr>
            <w:r>
              <w:rPr>
                <w:sz w:val="10"/>
              </w:rPr>
              <w:t>PRIV-R14</w:t>
            </w:r>
          </w:p>
        </w:tc>
        <w:tc>
          <w:tcPr>
            <w:tcW w:type="dxa" w:w="3485"/>
          </w:tcPr>
          <w:p>
            <w:pPr>
              <w:spacing w:after="0"/>
            </w:pPr>
            <w:r>
              <w:rPr>
                <w:sz w:val="10"/>
              </w:rPr>
              <w:t>Sensitive notification exposure</w:t>
            </w:r>
          </w:p>
        </w:tc>
        <w:tc>
          <w:tcPr>
            <w:tcW w:type="dxa" w:w="3485"/>
          </w:tcPr>
          <w:p>
            <w:pPr>
              <w:spacing w:after="0"/>
            </w:pPr>
            <w:r>
              <w:rPr>
                <w:sz w:val="10"/>
              </w:rPr>
              <w:t>Generic SMS/push content.</w:t>
            </w:r>
          </w:p>
        </w:tc>
      </w:tr>
      <w:tr>
        <w:tc>
          <w:tcPr>
            <w:tcW w:type="dxa" w:w="3485"/>
          </w:tcPr>
          <w:p>
            <w:pPr>
              <w:spacing w:after="0"/>
            </w:pPr>
            <w:r>
              <w:rPr>
                <w:sz w:val="10"/>
              </w:rPr>
              <w:t>PRIV-R15</w:t>
            </w:r>
          </w:p>
        </w:tc>
        <w:tc>
          <w:tcPr>
            <w:tcW w:type="dxa" w:w="3485"/>
          </w:tcPr>
          <w:p>
            <w:pPr>
              <w:spacing w:after="0"/>
            </w:pPr>
            <w:r>
              <w:rPr>
                <w:sz w:val="10"/>
              </w:rPr>
              <w:t>Analytics small-cell disclosure</w:t>
            </w:r>
          </w:p>
        </w:tc>
        <w:tc>
          <w:tcPr>
            <w:tcW w:type="dxa" w:w="3485"/>
          </w:tcPr>
          <w:p>
            <w:pPr>
              <w:spacing w:after="0"/>
            </w:pPr>
            <w:r>
              <w:rPr>
                <w:sz w:val="10"/>
              </w:rPr>
              <w:t>Aggregation/suppression.</w:t>
            </w:r>
          </w:p>
        </w:tc>
      </w:tr>
    </w:tbl>
    <w:p>
      <w:pPr>
        <w:pStyle w:val="Heading1"/>
      </w:pPr>
      <w:r>
        <w:t>58. Privacy by Design Lifecycle</w:t>
      </w:r>
    </w:p>
    <w:tbl>
      <w:tblPr>
        <w:tblStyle w:val="TableGrid"/>
        <w:tblW w:type="auto" w:w="0"/>
        <w:tblLook w:firstColumn="1" w:firstRow="1" w:lastColumn="0" w:lastRow="0" w:noHBand="0" w:noVBand="1" w:val="04A0"/>
      </w:tblPr>
      <w:tblGrid>
        <w:gridCol w:w="10454"/>
      </w:tblGrid>
      <w:tr>
        <w:tc>
          <w:tcPr>
            <w:tcW w:type="dxa" w:w="10454"/>
          </w:tcPr>
          <w:p>
            <w:pPr>
              <w:jc w:val="center"/>
            </w:pPr>
            <w:r>
              <w:rPr>
                <w:rFonts w:ascii="Consolas" w:hAnsi="Consolas"/>
                <w:sz w:val="13"/>
              </w:rPr>
              <w:t>IDEA</w:t>
            </w:r>
          </w:p>
        </w:tc>
      </w:tr>
      <w:tr>
        <w:tc>
          <w:tcPr>
            <w:tcW w:type="dxa" w:w="10454"/>
          </w:tcPr>
          <w:p>
            <w:pPr>
              <w:jc w:val="center"/>
            </w:pPr>
            <w:r>
              <w:rPr>
                <w:rFonts w:ascii="Consolas" w:hAnsi="Consolas"/>
                <w:sz w:val="13"/>
              </w:rPr>
              <w:t>↓ privacy trigger screening</w:t>
            </w:r>
          </w:p>
        </w:tc>
      </w:tr>
      <w:tr>
        <w:tc>
          <w:tcPr>
            <w:tcW w:type="dxa" w:w="10454"/>
          </w:tcPr>
          <w:p>
            <w:pPr>
              <w:jc w:val="center"/>
            </w:pPr>
            <w:r>
              <w:rPr>
                <w:rFonts w:ascii="Consolas" w:hAnsi="Consolas"/>
                <w:sz w:val="13"/>
              </w:rPr>
              <w:t>DESIGN</w:t>
            </w:r>
          </w:p>
        </w:tc>
      </w:tr>
      <w:tr>
        <w:tc>
          <w:tcPr>
            <w:tcW w:type="dxa" w:w="10454"/>
          </w:tcPr>
          <w:p>
            <w:pPr>
              <w:jc w:val="center"/>
            </w:pPr>
            <w:r>
              <w:rPr>
                <w:rFonts w:ascii="Consolas" w:hAnsi="Consolas"/>
                <w:sz w:val="13"/>
              </w:rPr>
              <w:t>↓ data flow + minimisation + DPIA</w:t>
            </w:r>
          </w:p>
        </w:tc>
      </w:tr>
      <w:tr>
        <w:tc>
          <w:tcPr>
            <w:tcW w:type="dxa" w:w="10454"/>
          </w:tcPr>
          <w:p>
            <w:pPr>
              <w:jc w:val="center"/>
            </w:pPr>
            <w:r>
              <w:rPr>
                <w:rFonts w:ascii="Consolas" w:hAnsi="Consolas"/>
                <w:sz w:val="13"/>
              </w:rPr>
              <w:t>BUILD</w:t>
            </w:r>
          </w:p>
        </w:tc>
      </w:tr>
      <w:tr>
        <w:tc>
          <w:tcPr>
            <w:tcW w:type="dxa" w:w="10454"/>
          </w:tcPr>
          <w:p>
            <w:pPr>
              <w:jc w:val="center"/>
            </w:pPr>
            <w:r>
              <w:rPr>
                <w:rFonts w:ascii="Consolas" w:hAnsi="Consolas"/>
                <w:sz w:val="13"/>
              </w:rPr>
              <w:t>↓ policy enforcement + tests</w:t>
            </w:r>
          </w:p>
        </w:tc>
      </w:tr>
      <w:tr>
        <w:tc>
          <w:tcPr>
            <w:tcW w:type="dxa" w:w="10454"/>
          </w:tcPr>
          <w:p>
            <w:pPr>
              <w:jc w:val="center"/>
            </w:pPr>
            <w:r>
              <w:rPr>
                <w:rFonts w:ascii="Consolas" w:hAnsi="Consolas"/>
                <w:sz w:val="13"/>
              </w:rPr>
              <w:t>TEST</w:t>
            </w:r>
          </w:p>
        </w:tc>
      </w:tr>
      <w:tr>
        <w:tc>
          <w:tcPr>
            <w:tcW w:type="dxa" w:w="10454"/>
          </w:tcPr>
          <w:p>
            <w:pPr>
              <w:jc w:val="center"/>
            </w:pPr>
            <w:r>
              <w:rPr>
                <w:rFonts w:ascii="Consolas" w:hAnsi="Consolas"/>
                <w:sz w:val="13"/>
              </w:rPr>
              <w:t>↓ privacy/security negative tests</w:t>
            </w:r>
          </w:p>
        </w:tc>
      </w:tr>
      <w:tr>
        <w:tc>
          <w:tcPr>
            <w:tcW w:type="dxa" w:w="10454"/>
          </w:tcPr>
          <w:p>
            <w:pPr>
              <w:jc w:val="center"/>
            </w:pPr>
            <w:r>
              <w:rPr>
                <w:rFonts w:ascii="Consolas" w:hAnsi="Consolas"/>
                <w:sz w:val="13"/>
              </w:rPr>
              <w:t>RELEASE</w:t>
            </w:r>
          </w:p>
        </w:tc>
      </w:tr>
      <w:tr>
        <w:tc>
          <w:tcPr>
            <w:tcW w:type="dxa" w:w="10454"/>
          </w:tcPr>
          <w:p>
            <w:pPr>
              <w:jc w:val="center"/>
            </w:pPr>
            <w:r>
              <w:rPr>
                <w:rFonts w:ascii="Consolas" w:hAnsi="Consolas"/>
                <w:sz w:val="13"/>
              </w:rPr>
              <w:t>↓ approval + notices + contracts</w:t>
            </w:r>
          </w:p>
        </w:tc>
      </w:tr>
      <w:tr>
        <w:tc>
          <w:tcPr>
            <w:tcW w:type="dxa" w:w="10454"/>
          </w:tcPr>
          <w:p>
            <w:pPr>
              <w:jc w:val="center"/>
            </w:pPr>
            <w:r>
              <w:rPr>
                <w:rFonts w:ascii="Consolas" w:hAnsi="Consolas"/>
                <w:sz w:val="13"/>
              </w:rPr>
              <w:t>OPERATE</w:t>
            </w:r>
          </w:p>
        </w:tc>
      </w:tr>
      <w:tr>
        <w:tc>
          <w:tcPr>
            <w:tcW w:type="dxa" w:w="10454"/>
          </w:tcPr>
          <w:p>
            <w:pPr>
              <w:jc w:val="center"/>
            </w:pPr>
            <w:r>
              <w:rPr>
                <w:rFonts w:ascii="Consolas" w:hAnsi="Consolas"/>
                <w:sz w:val="13"/>
              </w:rPr>
              <w:t>↓ monitoring/rights/incidents</w:t>
            </w:r>
          </w:p>
        </w:tc>
      </w:tr>
      <w:tr>
        <w:tc>
          <w:tcPr>
            <w:tcW w:type="dxa" w:w="10454"/>
          </w:tcPr>
          <w:p>
            <w:pPr>
              <w:jc w:val="center"/>
            </w:pPr>
            <w:r>
              <w:rPr>
                <w:rFonts w:ascii="Consolas" w:hAnsi="Consolas"/>
                <w:sz w:val="13"/>
              </w:rPr>
              <w:t>CHANGE</w:t>
            </w:r>
          </w:p>
        </w:tc>
      </w:tr>
      <w:tr>
        <w:tc>
          <w:tcPr>
            <w:tcW w:type="dxa" w:w="10454"/>
          </w:tcPr>
          <w:p>
            <w:pPr>
              <w:jc w:val="center"/>
            </w:pPr>
            <w:r>
              <w:rPr>
                <w:rFonts w:ascii="Consolas" w:hAnsi="Consolas"/>
                <w:sz w:val="13"/>
              </w:rPr>
              <w:t>↓ reassess DPIA</w:t>
            </w:r>
          </w:p>
        </w:tc>
      </w:tr>
      <w:tr>
        <w:tc>
          <w:tcPr>
            <w:tcW w:type="dxa" w:w="10454"/>
          </w:tcPr>
          <w:p>
            <w:pPr>
              <w:jc w:val="center"/>
            </w:pPr>
            <w:r>
              <w:rPr>
                <w:rFonts w:ascii="Consolas" w:hAnsi="Consolas"/>
                <w:sz w:val="13"/>
              </w:rPr>
              <w:t>RETIRE</w:t>
            </w:r>
          </w:p>
        </w:tc>
      </w:tr>
      <w:tr>
        <w:tc>
          <w:tcPr>
            <w:tcW w:type="dxa" w:w="10454"/>
          </w:tcPr>
          <w:p>
            <w:pPr>
              <w:jc w:val="center"/>
            </w:pPr>
            <w:r>
              <w:rPr>
                <w:rFonts w:ascii="Consolas" w:hAnsi="Consolas"/>
                <w:sz w:val="13"/>
              </w:rPr>
              <w:t>↓ retention + disposal</w:t>
            </w:r>
          </w:p>
        </w:tc>
      </w:tr>
    </w:tbl>
    <w:p>
      <w:pPr>
        <w:pStyle w:val="Heading1"/>
      </w:pPr>
      <w:r>
        <w:t>59. Product Requirement Privacy Review</w:t>
      </w:r>
    </w:p>
    <w:p>
      <w:pPr>
        <w:pStyle w:val="ListBullet"/>
      </w:pPr>
      <w:r>
        <w:t>What data is collected?</w:t>
      </w:r>
    </w:p>
    <w:p>
      <w:pPr>
        <w:pStyle w:val="ListBullet"/>
      </w:pPr>
      <w:r>
        <w:t>Why is each field needed?</w:t>
      </w:r>
    </w:p>
    <w:p>
      <w:pPr>
        <w:pStyle w:val="ListBullet"/>
      </w:pPr>
      <w:r>
        <w:t>Who can see it?</w:t>
      </w:r>
    </w:p>
    <w:p>
      <w:pPr>
        <w:pStyle w:val="ListBullet"/>
      </w:pPr>
      <w:r>
        <w:t>Is it shared externally?</w:t>
      </w:r>
    </w:p>
    <w:p>
      <w:pPr>
        <w:pStyle w:val="ListBullet"/>
      </w:pPr>
      <w:r>
        <w:t>What appears in notifications/logs/search?</w:t>
      </w:r>
    </w:p>
    <w:p>
      <w:pPr>
        <w:pStyle w:val="ListBullet"/>
      </w:pPr>
      <w:r>
        <w:t>How long is it retained?</w:t>
      </w:r>
    </w:p>
    <w:p>
      <w:pPr>
        <w:pStyle w:val="ListBullet"/>
      </w:pPr>
      <w:r>
        <w:t>Can patient/proxy access it?</w:t>
      </w:r>
    </w:p>
    <w:p>
      <w:pPr>
        <w:pStyle w:val="ListBullet"/>
      </w:pPr>
      <w:r>
        <w:t>What happens offline?</w:t>
      </w:r>
    </w:p>
    <w:p>
      <w:pPr>
        <w:pStyle w:val="ListBullet"/>
      </w:pPr>
      <w:r>
        <w:t>Does it create a new secondary use?</w:t>
      </w:r>
    </w:p>
    <w:p>
      <w:pPr>
        <w:pStyle w:val="ListBullet"/>
      </w:pPr>
      <w:r>
        <w:t>Does it require a DPIA/update?</w:t>
      </w:r>
    </w:p>
    <w:p>
      <w:pPr>
        <w:pStyle w:val="Heading1"/>
      </w:pPr>
      <w:r>
        <w:t>60. Privacy UX</w:t>
      </w:r>
    </w:p>
    <w:p>
      <w:pPr>
        <w:pStyle w:val="ListBullet"/>
      </w:pPr>
      <w:r>
        <w:t>Notices use understandable language.</w:t>
      </w:r>
    </w:p>
    <w:p>
      <w:pPr>
        <w:pStyle w:val="ListBullet"/>
      </w:pPr>
      <w:r>
        <w:t>Consent choices are not bundled unnecessarily.</w:t>
      </w:r>
    </w:p>
    <w:p>
      <w:pPr>
        <w:pStyle w:val="ListBullet"/>
      </w:pPr>
      <w:r>
        <w:t>No dark patterns to force optional data sharing.</w:t>
      </w:r>
    </w:p>
    <w:p>
      <w:pPr>
        <w:pStyle w:val="ListBullet"/>
      </w:pPr>
      <w:r>
        <w:t>Consequences of choices are clear.</w:t>
      </w:r>
    </w:p>
    <w:p>
      <w:pPr>
        <w:pStyle w:val="ListBullet"/>
      </w:pPr>
      <w:r>
        <w:t>Proxy/guardian status is visible.</w:t>
      </w:r>
    </w:p>
    <w:p>
      <w:pPr>
        <w:pStyle w:val="ListBullet"/>
      </w:pPr>
      <w:r>
        <w:t>Sensitive disclosure warnings appear at point of action.</w:t>
      </w:r>
    </w:p>
    <w:p>
      <w:pPr>
        <w:pStyle w:val="ListBullet"/>
      </w:pPr>
      <w:r>
        <w:t>Bulk export/referral confirmation summarizes recipient and scope.</w:t>
      </w:r>
    </w:p>
    <w:p>
      <w:pPr>
        <w:pStyle w:val="Heading1"/>
      </w:pPr>
      <w:r>
        <w:t>61. Data Lineage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Stage</w:t>
            </w:r>
          </w:p>
        </w:tc>
        <w:tc>
          <w:tcPr>
            <w:tcW w:type="dxa" w:w="5227"/>
          </w:tcPr>
          <w:p>
            <w:pPr>
              <w:spacing w:after="0"/>
            </w:pPr>
            <w:r>
              <w:rPr>
                <w:b/>
                <w:sz w:val="11"/>
              </w:rPr>
              <w:t>Evidence</w:t>
            </w:r>
          </w:p>
        </w:tc>
      </w:tr>
      <w:tr>
        <w:tc>
          <w:tcPr>
            <w:tcW w:type="dxa" w:w="5227"/>
          </w:tcPr>
          <w:p>
            <w:pPr>
              <w:spacing w:after="0"/>
            </w:pPr>
            <w:r>
              <w:rPr>
                <w:sz w:val="11"/>
              </w:rPr>
              <w:t>Origin</w:t>
            </w:r>
          </w:p>
        </w:tc>
        <w:tc>
          <w:tcPr>
            <w:tcW w:type="dxa" w:w="5227"/>
          </w:tcPr>
          <w:p>
            <w:pPr>
              <w:spacing w:after="0"/>
            </w:pPr>
            <w:r>
              <w:rPr>
                <w:sz w:val="11"/>
              </w:rPr>
              <w:t>Source system/person/device.</w:t>
            </w:r>
          </w:p>
        </w:tc>
      </w:tr>
      <w:tr>
        <w:tc>
          <w:tcPr>
            <w:tcW w:type="dxa" w:w="5227"/>
          </w:tcPr>
          <w:p>
            <w:pPr>
              <w:spacing w:after="0"/>
            </w:pPr>
            <w:r>
              <w:rPr>
                <w:sz w:val="11"/>
              </w:rPr>
              <w:t>Ingestion</w:t>
            </w:r>
          </w:p>
        </w:tc>
        <w:tc>
          <w:tcPr>
            <w:tcW w:type="dxa" w:w="5227"/>
          </w:tcPr>
          <w:p>
            <w:pPr>
              <w:spacing w:after="0"/>
            </w:pPr>
            <w:r>
              <w:rPr>
                <w:sz w:val="11"/>
              </w:rPr>
              <w:t>Received timestamp/interface.</w:t>
            </w:r>
          </w:p>
        </w:tc>
      </w:tr>
      <w:tr>
        <w:tc>
          <w:tcPr>
            <w:tcW w:type="dxa" w:w="5227"/>
          </w:tcPr>
          <w:p>
            <w:pPr>
              <w:spacing w:after="0"/>
            </w:pPr>
            <w:r>
              <w:rPr>
                <w:sz w:val="11"/>
              </w:rPr>
              <w:t>Transformation</w:t>
            </w:r>
          </w:p>
        </w:tc>
        <w:tc>
          <w:tcPr>
            <w:tcW w:type="dxa" w:w="5227"/>
          </w:tcPr>
          <w:p>
            <w:pPr>
              <w:spacing w:after="0"/>
            </w:pPr>
            <w:r>
              <w:rPr>
                <w:sz w:val="11"/>
              </w:rPr>
              <w:t>Mapping/version.</w:t>
            </w:r>
          </w:p>
        </w:tc>
      </w:tr>
      <w:tr>
        <w:tc>
          <w:tcPr>
            <w:tcW w:type="dxa" w:w="5227"/>
          </w:tcPr>
          <w:p>
            <w:pPr>
              <w:spacing w:after="0"/>
            </w:pPr>
            <w:r>
              <w:rPr>
                <w:sz w:val="11"/>
              </w:rPr>
              <w:t>Verification</w:t>
            </w:r>
          </w:p>
        </w:tc>
        <w:tc>
          <w:tcPr>
            <w:tcW w:type="dxa" w:w="5227"/>
          </w:tcPr>
          <w:p>
            <w:pPr>
              <w:spacing w:after="0"/>
            </w:pPr>
            <w:r>
              <w:rPr>
                <w:sz w:val="11"/>
              </w:rPr>
              <w:t>Human/system verification.</w:t>
            </w:r>
          </w:p>
        </w:tc>
      </w:tr>
      <w:tr>
        <w:tc>
          <w:tcPr>
            <w:tcW w:type="dxa" w:w="5227"/>
          </w:tcPr>
          <w:p>
            <w:pPr>
              <w:spacing w:after="0"/>
            </w:pPr>
            <w:r>
              <w:rPr>
                <w:sz w:val="11"/>
              </w:rPr>
              <w:t>Derived data</w:t>
            </w:r>
          </w:p>
        </w:tc>
        <w:tc>
          <w:tcPr>
            <w:tcW w:type="dxa" w:w="5227"/>
          </w:tcPr>
          <w:p>
            <w:pPr>
              <w:spacing w:after="0"/>
            </w:pPr>
            <w:r>
              <w:rPr>
                <w:sz w:val="11"/>
              </w:rPr>
              <w:t>Formula/model/source set.</w:t>
            </w:r>
          </w:p>
        </w:tc>
      </w:tr>
      <w:tr>
        <w:tc>
          <w:tcPr>
            <w:tcW w:type="dxa" w:w="5227"/>
          </w:tcPr>
          <w:p>
            <w:pPr>
              <w:spacing w:after="0"/>
            </w:pPr>
            <w:r>
              <w:rPr>
                <w:sz w:val="11"/>
              </w:rPr>
              <w:t>Disclosure</w:t>
            </w:r>
          </w:p>
        </w:tc>
        <w:tc>
          <w:tcPr>
            <w:tcW w:type="dxa" w:w="5227"/>
          </w:tcPr>
          <w:p>
            <w:pPr>
              <w:spacing w:after="0"/>
            </w:pPr>
            <w:r>
              <w:rPr>
                <w:sz w:val="11"/>
              </w:rPr>
              <w:t>Recipient/package.</w:t>
            </w:r>
          </w:p>
        </w:tc>
      </w:tr>
      <w:tr>
        <w:tc>
          <w:tcPr>
            <w:tcW w:type="dxa" w:w="5227"/>
          </w:tcPr>
          <w:p>
            <w:pPr>
              <w:spacing w:after="0"/>
            </w:pPr>
            <w:r>
              <w:rPr>
                <w:sz w:val="11"/>
              </w:rPr>
              <w:t>Archive</w:t>
            </w:r>
          </w:p>
        </w:tc>
        <w:tc>
          <w:tcPr>
            <w:tcW w:type="dxa" w:w="5227"/>
          </w:tcPr>
          <w:p>
            <w:pPr>
              <w:spacing w:after="0"/>
            </w:pPr>
            <w:r>
              <w:rPr>
                <w:sz w:val="11"/>
              </w:rPr>
              <w:t>Retention state.</w:t>
            </w:r>
          </w:p>
        </w:tc>
      </w:tr>
      <w:tr>
        <w:tc>
          <w:tcPr>
            <w:tcW w:type="dxa" w:w="5227"/>
          </w:tcPr>
          <w:p>
            <w:pPr>
              <w:spacing w:after="0"/>
            </w:pPr>
            <w:r>
              <w:rPr>
                <w:sz w:val="11"/>
              </w:rPr>
              <w:t>Deletion</w:t>
            </w:r>
          </w:p>
        </w:tc>
        <w:tc>
          <w:tcPr>
            <w:tcW w:type="dxa" w:w="5227"/>
          </w:tcPr>
          <w:p>
            <w:pPr>
              <w:spacing w:after="0"/>
            </w:pPr>
            <w:r>
              <w:rPr>
                <w:sz w:val="11"/>
              </w:rPr>
              <w:t>Disposition evidence.</w:t>
            </w:r>
          </w:p>
        </w:tc>
      </w:tr>
    </w:tbl>
    <w:p>
      <w:pPr>
        <w:pStyle w:val="Heading1"/>
      </w:pPr>
      <w:r>
        <w:t>62. Master Data Governance</w:t>
      </w:r>
    </w:p>
    <w:p>
      <w:pPr>
        <w:pStyle w:val="ListBullet"/>
      </w:pPr>
      <w:r>
        <w:t>Patient identity mastered through MPI/identity governance.</w:t>
      </w:r>
    </w:p>
    <w:p>
      <w:pPr>
        <w:pStyle w:val="ListBullet"/>
      </w:pPr>
      <w:r>
        <w:t>Organisation/facility/location codes have owners.</w:t>
      </w:r>
    </w:p>
    <w:p>
      <w:pPr>
        <w:pStyle w:val="ListBullet"/>
      </w:pPr>
      <w:r>
        <w:t>Terminology sets are versioned.</w:t>
      </w:r>
    </w:p>
    <w:p>
      <w:pPr>
        <w:pStyle w:val="ListBullet"/>
      </w:pPr>
      <w:r>
        <w:t>Medication/product catalogues are governed.</w:t>
      </w:r>
    </w:p>
    <w:p>
      <w:pPr>
        <w:pStyle w:val="ListBullet"/>
      </w:pPr>
      <w:r>
        <w:t>Payer/provider directories are sourced and dated.</w:t>
      </w:r>
    </w:p>
    <w:p>
      <w:pPr>
        <w:pStyle w:val="ListBullet"/>
      </w:pPr>
      <w:r>
        <w:t>Master-data corrections propagate without rewriting historical provenance.</w:t>
      </w:r>
    </w:p>
    <w:p>
      <w:pPr>
        <w:pStyle w:val="Heading1"/>
      </w:pPr>
      <w:r>
        <w:t>63. Metadata Governance</w:t>
      </w:r>
    </w:p>
    <w:p>
      <w:pPr>
        <w:pStyle w:val="ListBullet"/>
      </w:pPr>
      <w:r>
        <w:t>Every governed dataset has owner/steward.</w:t>
      </w:r>
    </w:p>
    <w:p>
      <w:pPr>
        <w:pStyle w:val="ListBullet"/>
      </w:pPr>
      <w:r>
        <w:t>Definitions and sensitivity classification are documented.</w:t>
      </w:r>
    </w:p>
    <w:p>
      <w:pPr>
        <w:pStyle w:val="ListBullet"/>
      </w:pPr>
      <w:r>
        <w:t>Source and refresh frequency are known.</w:t>
      </w:r>
    </w:p>
    <w:p>
      <w:pPr>
        <w:pStyle w:val="ListBullet"/>
      </w:pPr>
      <w:r>
        <w:t>Derived metrics have formulas.</w:t>
      </w:r>
    </w:p>
    <w:p>
      <w:pPr>
        <w:pStyle w:val="ListBullet"/>
      </w:pPr>
      <w:r>
        <w:t>Quality issues are recorded.</w:t>
      </w:r>
    </w:p>
    <w:p>
      <w:pPr>
        <w:pStyle w:val="ListBullet"/>
      </w:pPr>
      <w:r>
        <w:t>Access policy is attached to dataset.</w:t>
      </w:r>
    </w:p>
    <w:p>
      <w:pPr>
        <w:pStyle w:val="ListBullet"/>
      </w:pPr>
      <w:r>
        <w:t>Deprecated datasets are identified.</w:t>
      </w:r>
    </w:p>
    <w:p>
      <w:pPr>
        <w:pStyle w:val="Heading1"/>
      </w:pPr>
      <w:r>
        <w:t>64. Data Sharing Approval</w:t>
      </w:r>
    </w:p>
    <w:p>
      <w:r>
        <w:t>1.  Requester states purpose and recipient.</w:t>
      </w:r>
    </w:p>
    <w:p>
      <w:r>
        <w:t>2.  Data owner validates necessity.</w:t>
      </w:r>
    </w:p>
    <w:p>
      <w:r>
        <w:t>3.  Privacy reviews authority/minimisation.</w:t>
      </w:r>
    </w:p>
    <w:p>
      <w:r>
        <w:t>4.  Security reviews transfer mechanism where needed.</w:t>
      </w:r>
    </w:p>
    <w:p>
      <w:r>
        <w:t>5.  Clinical governance reviews clinical safety/context if applicable.</w:t>
      </w:r>
    </w:p>
    <w:p>
      <w:r>
        <w:t>6.  Research governance reviews research use.</w:t>
      </w:r>
    </w:p>
    <w:p>
      <w:r>
        <w:t>7.  Agreement/consent established where required.</w:t>
      </w:r>
    </w:p>
    <w:p>
      <w:r>
        <w:t>8.  Disclosure is executed and logged.</w:t>
      </w:r>
    </w:p>
    <w:p>
      <w:pPr>
        <w:pStyle w:val="Heading1"/>
      </w:pPr>
      <w:r>
        <w:t>65. External API Privacy</w:t>
      </w:r>
    </w:p>
    <w:p>
      <w:pPr>
        <w:pStyle w:val="ListBullet"/>
      </w:pPr>
      <w:r>
        <w:t>Scopes do not replace patient/resource authorization.</w:t>
      </w:r>
    </w:p>
    <w:p>
      <w:pPr>
        <w:pStyle w:val="ListBullet"/>
      </w:pPr>
      <w:r>
        <w:t>Responses return only fields/resources needed.</w:t>
      </w:r>
    </w:p>
    <w:p>
      <w:pPr>
        <w:pStyle w:val="ListBullet"/>
      </w:pPr>
      <w:r>
        <w:t>Partner receives organisation-specific credentials.</w:t>
      </w:r>
    </w:p>
    <w:p>
      <w:pPr>
        <w:pStyle w:val="ListBullet"/>
      </w:pPr>
      <w:r>
        <w:t>Search endpoints resist enumeration.</w:t>
      </w:r>
    </w:p>
    <w:p>
      <w:pPr>
        <w:pStyle w:val="ListBullet"/>
      </w:pPr>
      <w:r>
        <w:t>Bulk APIs require separate privilege.</w:t>
      </w:r>
    </w:p>
    <w:p>
      <w:pPr>
        <w:pStyle w:val="ListBullet"/>
      </w:pPr>
      <w:r>
        <w:t>API logs minimize PHI.</w:t>
      </w:r>
    </w:p>
    <w:p>
      <w:pPr>
        <w:pStyle w:val="ListBullet"/>
      </w:pPr>
      <w:r>
        <w:t>Revoked consent/policy affects subsequent access where applicable.</w:t>
      </w:r>
    </w:p>
    <w:p>
      <w:pPr>
        <w:pStyle w:val="Heading1"/>
      </w:pPr>
      <w:r>
        <w:t>66. FHIR Privacy Mapping</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Privacy concept</w:t>
            </w:r>
          </w:p>
        </w:tc>
        <w:tc>
          <w:tcPr>
            <w:tcW w:type="dxa" w:w="5227"/>
          </w:tcPr>
          <w:p>
            <w:pPr>
              <w:spacing w:after="0"/>
            </w:pPr>
            <w:r>
              <w:rPr>
                <w:b/>
                <w:sz w:val="11"/>
              </w:rPr>
              <w:t>FHIR-facing representation</w:t>
            </w:r>
          </w:p>
        </w:tc>
      </w:tr>
      <w:tr>
        <w:tc>
          <w:tcPr>
            <w:tcW w:type="dxa" w:w="5227"/>
          </w:tcPr>
          <w:p>
            <w:pPr>
              <w:spacing w:after="0"/>
            </w:pPr>
            <w:r>
              <w:rPr>
                <w:sz w:val="11"/>
              </w:rPr>
              <w:t>Consent</w:t>
            </w:r>
          </w:p>
        </w:tc>
        <w:tc>
          <w:tcPr>
            <w:tcW w:type="dxa" w:w="5227"/>
          </w:tcPr>
          <w:p>
            <w:pPr>
              <w:spacing w:after="0"/>
            </w:pPr>
            <w:r>
              <w:rPr>
                <w:sz w:val="11"/>
              </w:rPr>
              <w:t>Consent.</w:t>
            </w:r>
          </w:p>
        </w:tc>
      </w:tr>
      <w:tr>
        <w:tc>
          <w:tcPr>
            <w:tcW w:type="dxa" w:w="5227"/>
          </w:tcPr>
          <w:p>
            <w:pPr>
              <w:spacing w:after="0"/>
            </w:pPr>
            <w:r>
              <w:rPr>
                <w:sz w:val="11"/>
              </w:rPr>
              <w:t>Provenance</w:t>
            </w:r>
          </w:p>
        </w:tc>
        <w:tc>
          <w:tcPr>
            <w:tcW w:type="dxa" w:w="5227"/>
          </w:tcPr>
          <w:p>
            <w:pPr>
              <w:spacing w:after="0"/>
            </w:pPr>
            <w:r>
              <w:rPr>
                <w:sz w:val="11"/>
              </w:rPr>
              <w:t>Provenance.</w:t>
            </w:r>
          </w:p>
        </w:tc>
      </w:tr>
      <w:tr>
        <w:tc>
          <w:tcPr>
            <w:tcW w:type="dxa" w:w="5227"/>
          </w:tcPr>
          <w:p>
            <w:pPr>
              <w:spacing w:after="0"/>
            </w:pPr>
            <w:r>
              <w:rPr>
                <w:sz w:val="11"/>
              </w:rPr>
              <w:t>Security audit</w:t>
            </w:r>
          </w:p>
        </w:tc>
        <w:tc>
          <w:tcPr>
            <w:tcW w:type="dxa" w:w="5227"/>
          </w:tcPr>
          <w:p>
            <w:pPr>
              <w:spacing w:after="0"/>
            </w:pPr>
            <w:r>
              <w:rPr>
                <w:sz w:val="11"/>
              </w:rPr>
              <w:t>AuditEvent.</w:t>
            </w:r>
          </w:p>
        </w:tc>
      </w:tr>
      <w:tr>
        <w:tc>
          <w:tcPr>
            <w:tcW w:type="dxa" w:w="5227"/>
          </w:tcPr>
          <w:p>
            <w:pPr>
              <w:spacing w:after="0"/>
            </w:pPr>
            <w:r>
              <w:rPr>
                <w:sz w:val="11"/>
              </w:rPr>
              <w:t>Sensitive labels</w:t>
            </w:r>
          </w:p>
        </w:tc>
        <w:tc>
          <w:tcPr>
            <w:tcW w:type="dxa" w:w="5227"/>
          </w:tcPr>
          <w:p>
            <w:pPr>
              <w:spacing w:after="0"/>
            </w:pPr>
            <w:r>
              <w:rPr>
                <w:sz w:val="11"/>
              </w:rPr>
              <w:t>meta.security / governed security labels where profile defines.</w:t>
            </w:r>
          </w:p>
        </w:tc>
      </w:tr>
      <w:tr>
        <w:tc>
          <w:tcPr>
            <w:tcW w:type="dxa" w:w="5227"/>
          </w:tcPr>
          <w:p>
            <w:pPr>
              <w:spacing w:after="0"/>
            </w:pPr>
            <w:r>
              <w:rPr>
                <w:sz w:val="11"/>
              </w:rPr>
              <w:t>Patient</w:t>
            </w:r>
          </w:p>
        </w:tc>
        <w:tc>
          <w:tcPr>
            <w:tcW w:type="dxa" w:w="5227"/>
          </w:tcPr>
          <w:p>
            <w:pPr>
              <w:spacing w:after="0"/>
            </w:pPr>
            <w:r>
              <w:rPr>
                <w:sz w:val="11"/>
              </w:rPr>
              <w:t>Patient.</w:t>
            </w:r>
          </w:p>
        </w:tc>
      </w:tr>
      <w:tr>
        <w:tc>
          <w:tcPr>
            <w:tcW w:type="dxa" w:w="5227"/>
          </w:tcPr>
          <w:p>
            <w:pPr>
              <w:spacing w:after="0"/>
            </w:pPr>
            <w:r>
              <w:rPr>
                <w:sz w:val="11"/>
              </w:rPr>
              <w:t>Proxy/related person</w:t>
            </w:r>
          </w:p>
        </w:tc>
        <w:tc>
          <w:tcPr>
            <w:tcW w:type="dxa" w:w="5227"/>
          </w:tcPr>
          <w:p>
            <w:pPr>
              <w:spacing w:after="0"/>
            </w:pPr>
            <w:r>
              <w:rPr>
                <w:sz w:val="11"/>
              </w:rPr>
              <w:t>RelatedPerson where appropriate.</w:t>
            </w:r>
          </w:p>
        </w:tc>
      </w:tr>
      <w:tr>
        <w:tc>
          <w:tcPr>
            <w:tcW w:type="dxa" w:w="5227"/>
          </w:tcPr>
          <w:p>
            <w:pPr>
              <w:spacing w:after="0"/>
            </w:pPr>
            <w:r>
              <w:rPr>
                <w:sz w:val="11"/>
              </w:rPr>
              <w:t>Disclosure package</w:t>
            </w:r>
          </w:p>
        </w:tc>
        <w:tc>
          <w:tcPr>
            <w:tcW w:type="dxa" w:w="5227"/>
          </w:tcPr>
          <w:p>
            <w:pPr>
              <w:spacing w:after="0"/>
            </w:pPr>
            <w:r>
              <w:rPr>
                <w:sz w:val="11"/>
              </w:rPr>
              <w:t>Bundle/resources + manifest/provenance.</w:t>
            </w:r>
          </w:p>
        </w:tc>
      </w:tr>
      <w:tr>
        <w:tc>
          <w:tcPr>
            <w:tcW w:type="dxa" w:w="5227"/>
          </w:tcPr>
          <w:p>
            <w:pPr>
              <w:spacing w:after="0"/>
            </w:pPr>
            <w:r>
              <w:rPr>
                <w:sz w:val="11"/>
              </w:rPr>
              <w:t>Documents</w:t>
            </w:r>
          </w:p>
        </w:tc>
        <w:tc>
          <w:tcPr>
            <w:tcW w:type="dxa" w:w="5227"/>
          </w:tcPr>
          <w:p>
            <w:pPr>
              <w:spacing w:after="0"/>
            </w:pPr>
            <w:r>
              <w:rPr>
                <w:sz w:val="11"/>
              </w:rPr>
              <w:t>DocumentReference.</w:t>
            </w:r>
          </w:p>
        </w:tc>
      </w:tr>
      <w:tr>
        <w:tc>
          <w:tcPr>
            <w:tcW w:type="dxa" w:w="5227"/>
          </w:tcPr>
          <w:p>
            <w:pPr>
              <w:spacing w:after="0"/>
            </w:pPr>
            <w:r>
              <w:rPr>
                <w:sz w:val="11"/>
              </w:rPr>
              <w:t>Research subject</w:t>
            </w:r>
          </w:p>
        </w:tc>
        <w:tc>
          <w:tcPr>
            <w:tcW w:type="dxa" w:w="5227"/>
          </w:tcPr>
          <w:p>
            <w:pPr>
              <w:spacing w:after="0"/>
            </w:pPr>
            <w:r>
              <w:rPr>
                <w:sz w:val="11"/>
              </w:rPr>
              <w:t>ResearchSubject where deployed and appropriate.</w:t>
            </w:r>
          </w:p>
        </w:tc>
      </w:tr>
    </w:tbl>
    <w:p>
      <w:pPr>
        <w:pStyle w:val="Heading1"/>
      </w:pPr>
      <w:r>
        <w:t>67. Security Labels</w:t>
      </w:r>
    </w:p>
    <w:p>
      <w:pPr>
        <w:pStyle w:val="ListBullet"/>
      </w:pPr>
      <w:r>
        <w:t>Labels are governed codes with documented meaning.</w:t>
      </w:r>
    </w:p>
    <w:p>
      <w:pPr>
        <w:pStyle w:val="ListBullet"/>
      </w:pPr>
      <w:r>
        <w:t>Labels can drive access/disclosure policy.</w:t>
      </w:r>
    </w:p>
    <w:p>
      <w:pPr>
        <w:pStyle w:val="ListBullet"/>
      </w:pPr>
      <w:r>
        <w:t>Labels propagate to derived content where policy requires.</w:t>
      </w:r>
    </w:p>
    <w:p>
      <w:pPr>
        <w:pStyle w:val="ListBullet"/>
      </w:pPr>
      <w:r>
        <w:t>Unknown labels are handled conservatively.</w:t>
      </w:r>
    </w:p>
    <w:p>
      <w:pPr>
        <w:pStyle w:val="ListBullet"/>
      </w:pPr>
      <w:r>
        <w:t>Users cannot arbitrarily remove restrictive labels without privilege.</w:t>
      </w:r>
    </w:p>
    <w:p>
      <w:pPr>
        <w:pStyle w:val="ListBullet"/>
      </w:pPr>
      <w:r>
        <w:t>FHIR security labels do not replace IAM policy evaluation.</w:t>
      </w:r>
    </w:p>
    <w:p>
      <w:pPr>
        <w:pStyle w:val="Heading1"/>
      </w:pPr>
      <w:r>
        <w:t>68. Data Residency</w:t>
      </w:r>
    </w:p>
    <w:p>
      <w:r>
        <w:t>Deployment records where primary data, replicas, backups, logs, support systems and subprocessors are located. Residency is treated as an architectural attribute that can constrain deployment and vendor selection.</w:t>
      </w:r>
    </w:p>
    <w:p>
      <w:pPr>
        <w:pStyle w:val="Heading1"/>
      </w:pPr>
      <w:r>
        <w:t>69. Backup Privacy</w:t>
      </w:r>
    </w:p>
    <w:p>
      <w:pPr>
        <w:pStyle w:val="ListBullet"/>
      </w:pPr>
      <w:r>
        <w:t>Backups inherit source sensitivity.</w:t>
      </w:r>
    </w:p>
    <w:p>
      <w:pPr>
        <w:pStyle w:val="ListBullet"/>
      </w:pPr>
      <w:r>
        <w:t>Backup access is more restricted than routine production use.</w:t>
      </w:r>
    </w:p>
    <w:p>
      <w:pPr>
        <w:pStyle w:val="ListBullet"/>
      </w:pPr>
      <w:r>
        <w:t>Rights/deletion workflows account for practical backup lifecycle.</w:t>
      </w:r>
    </w:p>
    <w:p>
      <w:pPr>
        <w:pStyle w:val="ListBullet"/>
      </w:pPr>
      <w:r>
        <w:t>Restored backups reapply current access controls before user access.</w:t>
      </w:r>
    </w:p>
    <w:p>
      <w:pPr>
        <w:pStyle w:val="ListBullet"/>
      </w:pPr>
      <w:r>
        <w:t>Backup copies are not used for analytics/testing.</w:t>
      </w:r>
    </w:p>
    <w:p>
      <w:pPr>
        <w:pStyle w:val="Heading1"/>
      </w:pPr>
      <w:r>
        <w:t>70. Search and Index Privacy</w:t>
      </w:r>
    </w:p>
    <w:p>
      <w:pPr>
        <w:pStyle w:val="ListBullet"/>
      </w:pPr>
      <w:r>
        <w:t>Indexes preserve tenant/organisation scope.</w:t>
      </w:r>
    </w:p>
    <w:p>
      <w:pPr>
        <w:pStyle w:val="ListBullet"/>
      </w:pPr>
      <w:r>
        <w:t>Sensitive labels/authorization are enforced at query/result stage.</w:t>
      </w:r>
    </w:p>
    <w:p>
      <w:pPr>
        <w:pStyle w:val="ListBullet"/>
      </w:pPr>
      <w:r>
        <w:t>Autocomplete does not leak unrelated patient names.</w:t>
      </w:r>
    </w:p>
    <w:p>
      <w:pPr>
        <w:pStyle w:val="ListBullet"/>
      </w:pPr>
      <w:r>
        <w:t>Index snippets minimize sensitive content.</w:t>
      </w:r>
    </w:p>
    <w:p>
      <w:pPr>
        <w:pStyle w:val="ListBullet"/>
      </w:pPr>
      <w:r>
        <w:t>Deleted/restricted content is removed from active indexes through controlled workflow.</w:t>
      </w:r>
    </w:p>
    <w:p>
      <w:pPr>
        <w:pStyle w:val="ListBullet"/>
      </w:pPr>
      <w:r>
        <w:t>Search logs avoid unnecessary query PHI.</w:t>
      </w:r>
    </w:p>
    <w:p>
      <w:pPr>
        <w:pStyle w:val="Heading1"/>
      </w:pPr>
      <w:r>
        <w:t>71. Notification Privacy</w:t>
      </w:r>
    </w:p>
    <w:p>
      <w:pPr>
        <w:pStyle w:val="ListBullet"/>
      </w:pPr>
      <w:r>
        <w:t>Notification payload contains minimum information.</w:t>
      </w:r>
    </w:p>
    <w:p>
      <w:pPr>
        <w:pStyle w:val="ListBullet"/>
      </w:pPr>
      <w:r>
        <w:t>Detailed content requires authenticated app where possible.</w:t>
      </w:r>
    </w:p>
    <w:p>
      <w:pPr>
        <w:pStyle w:val="ListBullet"/>
      </w:pPr>
      <w:r>
        <w:t>Recipient contact must be current/verified according to workflow.</w:t>
      </w:r>
    </w:p>
    <w:p>
      <w:pPr>
        <w:pStyle w:val="ListBullet"/>
      </w:pPr>
      <w:r>
        <w:t>Shared phone/email risk is considered.</w:t>
      </w:r>
    </w:p>
    <w:p>
      <w:pPr>
        <w:pStyle w:val="ListBullet"/>
      </w:pPr>
      <w:r>
        <w:t>Delivery provider receives minimum content.</w:t>
      </w:r>
    </w:p>
    <w:p>
      <w:pPr>
        <w:pStyle w:val="ListBullet"/>
      </w:pPr>
      <w:r>
        <w:t>Delivery status does not prove patient receipt.</w:t>
      </w:r>
    </w:p>
    <w:p>
      <w:pPr>
        <w:pStyle w:val="Heading1"/>
      </w:pPr>
      <w:r>
        <w:t>72. Audit Transparency</w:t>
      </w:r>
    </w:p>
    <w:p>
      <w:r>
        <w:t>Audit exists primarily for accountability and security. Patient-facing access transparency may be provided according to policy, but internal security-sensitive details, staff investigations and protected third-party information require careful handling.</w:t>
      </w:r>
    </w:p>
    <w:p>
      <w:pPr>
        <w:pStyle w:val="Heading1"/>
      </w:pPr>
      <w:r>
        <w:t>73. Data Governance Committee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Responsibility</w:t>
            </w:r>
          </w:p>
        </w:tc>
        <w:tc>
          <w:tcPr>
            <w:tcW w:type="dxa" w:w="5227"/>
          </w:tcPr>
          <w:p>
            <w:pPr>
              <w:spacing w:after="0"/>
            </w:pPr>
            <w:r>
              <w:rPr>
                <w:b/>
                <w:sz w:val="11"/>
              </w:rPr>
              <w:t>Examples</w:t>
            </w:r>
          </w:p>
        </w:tc>
      </w:tr>
      <w:tr>
        <w:tc>
          <w:tcPr>
            <w:tcW w:type="dxa" w:w="5227"/>
          </w:tcPr>
          <w:p>
            <w:pPr>
              <w:spacing w:after="0"/>
            </w:pPr>
            <w:r>
              <w:rPr>
                <w:sz w:val="11"/>
              </w:rPr>
              <w:t>Policy</w:t>
            </w:r>
          </w:p>
        </w:tc>
        <w:tc>
          <w:tcPr>
            <w:tcW w:type="dxa" w:w="5227"/>
          </w:tcPr>
          <w:p>
            <w:pPr>
              <w:spacing w:after="0"/>
            </w:pPr>
            <w:r>
              <w:rPr>
                <w:sz w:val="11"/>
              </w:rPr>
              <w:t>Classification, retention, secondary use.</w:t>
            </w:r>
          </w:p>
        </w:tc>
      </w:tr>
      <w:tr>
        <w:tc>
          <w:tcPr>
            <w:tcW w:type="dxa" w:w="5227"/>
          </w:tcPr>
          <w:p>
            <w:pPr>
              <w:spacing w:after="0"/>
            </w:pPr>
            <w:r>
              <w:rPr>
                <w:sz w:val="11"/>
              </w:rPr>
              <w:t>Standards</w:t>
            </w:r>
          </w:p>
        </w:tc>
        <w:tc>
          <w:tcPr>
            <w:tcW w:type="dxa" w:w="5227"/>
          </w:tcPr>
          <w:p>
            <w:pPr>
              <w:spacing w:after="0"/>
            </w:pPr>
            <w:r>
              <w:rPr>
                <w:sz w:val="11"/>
              </w:rPr>
              <w:t>Definitions, quality, metadata.</w:t>
            </w:r>
          </w:p>
        </w:tc>
      </w:tr>
      <w:tr>
        <w:tc>
          <w:tcPr>
            <w:tcW w:type="dxa" w:w="5227"/>
          </w:tcPr>
          <w:p>
            <w:pPr>
              <w:spacing w:after="0"/>
            </w:pPr>
            <w:r>
              <w:rPr>
                <w:sz w:val="11"/>
              </w:rPr>
              <w:t>Exceptions</w:t>
            </w:r>
          </w:p>
        </w:tc>
        <w:tc>
          <w:tcPr>
            <w:tcW w:type="dxa" w:w="5227"/>
          </w:tcPr>
          <w:p>
            <w:pPr>
              <w:spacing w:after="0"/>
            </w:pPr>
            <w:r>
              <w:rPr>
                <w:sz w:val="11"/>
              </w:rPr>
              <w:t>High-risk data uses.</w:t>
            </w:r>
          </w:p>
        </w:tc>
      </w:tr>
      <w:tr>
        <w:tc>
          <w:tcPr>
            <w:tcW w:type="dxa" w:w="5227"/>
          </w:tcPr>
          <w:p>
            <w:pPr>
              <w:spacing w:after="0"/>
            </w:pPr>
            <w:r>
              <w:rPr>
                <w:sz w:val="11"/>
              </w:rPr>
              <w:t>DPIA</w:t>
            </w:r>
          </w:p>
        </w:tc>
        <w:tc>
          <w:tcPr>
            <w:tcW w:type="dxa" w:w="5227"/>
          </w:tcPr>
          <w:p>
            <w:pPr>
              <w:spacing w:after="0"/>
            </w:pPr>
            <w:r>
              <w:rPr>
                <w:sz w:val="11"/>
              </w:rPr>
              <w:t>Review residual risk.</w:t>
            </w:r>
          </w:p>
        </w:tc>
      </w:tr>
      <w:tr>
        <w:tc>
          <w:tcPr>
            <w:tcW w:type="dxa" w:w="5227"/>
          </w:tcPr>
          <w:p>
            <w:pPr>
              <w:spacing w:after="0"/>
            </w:pPr>
            <w:r>
              <w:rPr>
                <w:sz w:val="11"/>
              </w:rPr>
              <w:t>Research</w:t>
            </w:r>
          </w:p>
        </w:tc>
        <w:tc>
          <w:tcPr>
            <w:tcW w:type="dxa" w:w="5227"/>
          </w:tcPr>
          <w:p>
            <w:pPr>
              <w:spacing w:after="0"/>
            </w:pPr>
            <w:r>
              <w:rPr>
                <w:sz w:val="11"/>
              </w:rPr>
              <w:t>Dataset governance alignment.</w:t>
            </w:r>
          </w:p>
        </w:tc>
      </w:tr>
      <w:tr>
        <w:tc>
          <w:tcPr>
            <w:tcW w:type="dxa" w:w="5227"/>
          </w:tcPr>
          <w:p>
            <w:pPr>
              <w:spacing w:after="0"/>
            </w:pPr>
            <w:r>
              <w:rPr>
                <w:sz w:val="11"/>
              </w:rPr>
              <w:t>Incidents</w:t>
            </w:r>
          </w:p>
        </w:tc>
        <w:tc>
          <w:tcPr>
            <w:tcW w:type="dxa" w:w="5227"/>
          </w:tcPr>
          <w:p>
            <w:pPr>
              <w:spacing w:after="0"/>
            </w:pPr>
            <w:r>
              <w:rPr>
                <w:sz w:val="11"/>
              </w:rPr>
              <w:t>Systemic privacy corrective action.</w:t>
            </w:r>
          </w:p>
        </w:tc>
      </w:tr>
      <w:tr>
        <w:tc>
          <w:tcPr>
            <w:tcW w:type="dxa" w:w="5227"/>
          </w:tcPr>
          <w:p>
            <w:pPr>
              <w:spacing w:after="0"/>
            </w:pPr>
            <w:r>
              <w:rPr>
                <w:sz w:val="11"/>
              </w:rPr>
              <w:t>Metrics</w:t>
            </w:r>
          </w:p>
        </w:tc>
        <w:tc>
          <w:tcPr>
            <w:tcW w:type="dxa" w:w="5227"/>
          </w:tcPr>
          <w:p>
            <w:pPr>
              <w:spacing w:after="0"/>
            </w:pPr>
            <w:r>
              <w:rPr>
                <w:sz w:val="11"/>
              </w:rPr>
              <w:t>Monitor programme performance.</w:t>
            </w:r>
          </w:p>
        </w:tc>
      </w:tr>
      <w:tr>
        <w:tc>
          <w:tcPr>
            <w:tcW w:type="dxa" w:w="5227"/>
          </w:tcPr>
          <w:p>
            <w:pPr>
              <w:spacing w:after="0"/>
            </w:pPr>
            <w:r>
              <w:rPr>
                <w:sz w:val="11"/>
              </w:rPr>
              <w:t>Change</w:t>
            </w:r>
          </w:p>
        </w:tc>
        <w:tc>
          <w:tcPr>
            <w:tcW w:type="dxa" w:w="5227"/>
          </w:tcPr>
          <w:p>
            <w:pPr>
              <w:spacing w:after="0"/>
            </w:pPr>
            <w:r>
              <w:rPr>
                <w:sz w:val="11"/>
              </w:rPr>
              <w:t>Approve material data-governance changes.</w:t>
            </w:r>
          </w:p>
        </w:tc>
      </w:tr>
    </w:tbl>
    <w:p>
      <w:pPr>
        <w:pStyle w:val="Heading1"/>
      </w:pPr>
      <w:r>
        <w:t>74. Privacy Metrics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Metric</w:t>
            </w:r>
          </w:p>
        </w:tc>
        <w:tc>
          <w:tcPr>
            <w:tcW w:type="dxa" w:w="5227"/>
          </w:tcPr>
          <w:p>
            <w:pPr>
              <w:spacing w:after="0"/>
            </w:pPr>
            <w:r>
              <w:rPr>
                <w:b/>
                <w:sz w:val="11"/>
              </w:rPr>
              <w:t>Purpose</w:t>
            </w:r>
          </w:p>
        </w:tc>
      </w:tr>
      <w:tr>
        <w:tc>
          <w:tcPr>
            <w:tcW w:type="dxa" w:w="5227"/>
          </w:tcPr>
          <w:p>
            <w:pPr>
              <w:spacing w:after="0"/>
            </w:pPr>
            <w:r>
              <w:rPr>
                <w:sz w:val="11"/>
              </w:rPr>
              <w:t>Rights requests by type/time</w:t>
            </w:r>
          </w:p>
        </w:tc>
        <w:tc>
          <w:tcPr>
            <w:tcW w:type="dxa" w:w="5227"/>
          </w:tcPr>
          <w:p>
            <w:pPr>
              <w:spacing w:after="0"/>
            </w:pPr>
            <w:r>
              <w:rPr>
                <w:sz w:val="11"/>
              </w:rPr>
              <w:t>Responsiveness.</w:t>
            </w:r>
          </w:p>
        </w:tc>
      </w:tr>
      <w:tr>
        <w:tc>
          <w:tcPr>
            <w:tcW w:type="dxa" w:w="5227"/>
          </w:tcPr>
          <w:p>
            <w:pPr>
              <w:spacing w:after="0"/>
            </w:pPr>
            <w:r>
              <w:rPr>
                <w:sz w:val="11"/>
              </w:rPr>
              <w:t>Privacy incidents</w:t>
            </w:r>
          </w:p>
        </w:tc>
        <w:tc>
          <w:tcPr>
            <w:tcW w:type="dxa" w:w="5227"/>
          </w:tcPr>
          <w:p>
            <w:pPr>
              <w:spacing w:after="0"/>
            </w:pPr>
            <w:r>
              <w:rPr>
                <w:sz w:val="11"/>
              </w:rPr>
              <w:t>Risk trend.</w:t>
            </w:r>
          </w:p>
        </w:tc>
      </w:tr>
      <w:tr>
        <w:tc>
          <w:tcPr>
            <w:tcW w:type="dxa" w:w="5227"/>
          </w:tcPr>
          <w:p>
            <w:pPr>
              <w:spacing w:after="0"/>
            </w:pPr>
            <w:r>
              <w:rPr>
                <w:sz w:val="11"/>
              </w:rPr>
              <w:t>Wrong-recipient events</w:t>
            </w:r>
          </w:p>
        </w:tc>
        <w:tc>
          <w:tcPr>
            <w:tcW w:type="dxa" w:w="5227"/>
          </w:tcPr>
          <w:p>
            <w:pPr>
              <w:spacing w:after="0"/>
            </w:pPr>
            <w:r>
              <w:rPr>
                <w:sz w:val="11"/>
              </w:rPr>
              <w:t>Communication quality.</w:t>
            </w:r>
          </w:p>
        </w:tc>
      </w:tr>
      <w:tr>
        <w:tc>
          <w:tcPr>
            <w:tcW w:type="dxa" w:w="5227"/>
          </w:tcPr>
          <w:p>
            <w:pPr>
              <w:spacing w:after="0"/>
            </w:pPr>
            <w:r>
              <w:rPr>
                <w:sz w:val="11"/>
              </w:rPr>
              <w:t>Break-glass reviews</w:t>
            </w:r>
          </w:p>
        </w:tc>
        <w:tc>
          <w:tcPr>
            <w:tcW w:type="dxa" w:w="5227"/>
          </w:tcPr>
          <w:p>
            <w:pPr>
              <w:spacing w:after="0"/>
            </w:pPr>
            <w:r>
              <w:rPr>
                <w:sz w:val="11"/>
              </w:rPr>
              <w:t>Emergency access governance.</w:t>
            </w:r>
          </w:p>
        </w:tc>
      </w:tr>
      <w:tr>
        <w:tc>
          <w:tcPr>
            <w:tcW w:type="dxa" w:w="5227"/>
          </w:tcPr>
          <w:p>
            <w:pPr>
              <w:spacing w:after="0"/>
            </w:pPr>
            <w:r>
              <w:rPr>
                <w:sz w:val="11"/>
              </w:rPr>
              <w:t>Bulk exports</w:t>
            </w:r>
          </w:p>
        </w:tc>
        <w:tc>
          <w:tcPr>
            <w:tcW w:type="dxa" w:w="5227"/>
          </w:tcPr>
          <w:p>
            <w:pPr>
              <w:spacing w:after="0"/>
            </w:pPr>
            <w:r>
              <w:rPr>
                <w:sz w:val="11"/>
              </w:rPr>
              <w:t>Exfiltration/secondary-use oversight.</w:t>
            </w:r>
          </w:p>
        </w:tc>
      </w:tr>
      <w:tr>
        <w:tc>
          <w:tcPr>
            <w:tcW w:type="dxa" w:w="5227"/>
          </w:tcPr>
          <w:p>
            <w:pPr>
              <w:spacing w:after="0"/>
            </w:pPr>
            <w:r>
              <w:rPr>
                <w:sz w:val="11"/>
              </w:rPr>
              <w:t>DPIAs completed</w:t>
            </w:r>
          </w:p>
        </w:tc>
        <w:tc>
          <w:tcPr>
            <w:tcW w:type="dxa" w:w="5227"/>
          </w:tcPr>
          <w:p>
            <w:pPr>
              <w:spacing w:after="0"/>
            </w:pPr>
            <w:r>
              <w:rPr>
                <w:sz w:val="11"/>
              </w:rPr>
              <w:t>Design governance.</w:t>
            </w:r>
          </w:p>
        </w:tc>
      </w:tr>
      <w:tr>
        <w:tc>
          <w:tcPr>
            <w:tcW w:type="dxa" w:w="5227"/>
          </w:tcPr>
          <w:p>
            <w:pPr>
              <w:spacing w:after="0"/>
            </w:pPr>
            <w:r>
              <w:rPr>
                <w:sz w:val="11"/>
              </w:rPr>
              <w:t>Processor reviews</w:t>
            </w:r>
          </w:p>
        </w:tc>
        <w:tc>
          <w:tcPr>
            <w:tcW w:type="dxa" w:w="5227"/>
          </w:tcPr>
          <w:p>
            <w:pPr>
              <w:spacing w:after="0"/>
            </w:pPr>
            <w:r>
              <w:rPr>
                <w:sz w:val="11"/>
              </w:rPr>
              <w:t>Third-party oversight.</w:t>
            </w:r>
          </w:p>
        </w:tc>
      </w:tr>
      <w:tr>
        <w:tc>
          <w:tcPr>
            <w:tcW w:type="dxa" w:w="5227"/>
          </w:tcPr>
          <w:p>
            <w:pPr>
              <w:spacing w:after="0"/>
            </w:pPr>
            <w:r>
              <w:rPr>
                <w:sz w:val="11"/>
              </w:rPr>
              <w:t>Retention backlog</w:t>
            </w:r>
          </w:p>
        </w:tc>
        <w:tc>
          <w:tcPr>
            <w:tcW w:type="dxa" w:w="5227"/>
          </w:tcPr>
          <w:p>
            <w:pPr>
              <w:spacing w:after="0"/>
            </w:pPr>
            <w:r>
              <w:rPr>
                <w:sz w:val="11"/>
              </w:rPr>
              <w:t>Storage limitation.</w:t>
            </w:r>
          </w:p>
        </w:tc>
      </w:tr>
      <w:tr>
        <w:tc>
          <w:tcPr>
            <w:tcW w:type="dxa" w:w="5227"/>
          </w:tcPr>
          <w:p>
            <w:pPr>
              <w:spacing w:after="0"/>
            </w:pPr>
            <w:r>
              <w:rPr>
                <w:sz w:val="11"/>
              </w:rPr>
              <w:t>Research extracts</w:t>
            </w:r>
          </w:p>
        </w:tc>
        <w:tc>
          <w:tcPr>
            <w:tcW w:type="dxa" w:w="5227"/>
          </w:tcPr>
          <w:p>
            <w:pPr>
              <w:spacing w:after="0"/>
            </w:pPr>
            <w:r>
              <w:rPr>
                <w:sz w:val="11"/>
              </w:rPr>
              <w:t>Secondary-use oversight.</w:t>
            </w:r>
          </w:p>
        </w:tc>
      </w:tr>
      <w:tr>
        <w:tc>
          <w:tcPr>
            <w:tcW w:type="dxa" w:w="5227"/>
          </w:tcPr>
          <w:p>
            <w:pPr>
              <w:spacing w:after="0"/>
            </w:pPr>
            <w:r>
              <w:rPr>
                <w:sz w:val="11"/>
              </w:rPr>
              <w:t>Access anomaly investigations</w:t>
            </w:r>
          </w:p>
        </w:tc>
        <w:tc>
          <w:tcPr>
            <w:tcW w:type="dxa" w:w="5227"/>
          </w:tcPr>
          <w:p>
            <w:pPr>
              <w:spacing w:after="0"/>
            </w:pPr>
            <w:r>
              <w:rPr>
                <w:sz w:val="11"/>
              </w:rPr>
              <w:t>Curiosity/misuse detection.</w:t>
            </w:r>
          </w:p>
        </w:tc>
      </w:tr>
      <w:tr>
        <w:tc>
          <w:tcPr>
            <w:tcW w:type="dxa" w:w="5227"/>
          </w:tcPr>
          <w:p>
            <w:pPr>
              <w:spacing w:after="0"/>
            </w:pPr>
            <w:r>
              <w:rPr>
                <w:sz w:val="11"/>
              </w:rPr>
              <w:t>Consent withdrawals</w:t>
            </w:r>
          </w:p>
        </w:tc>
        <w:tc>
          <w:tcPr>
            <w:tcW w:type="dxa" w:w="5227"/>
          </w:tcPr>
          <w:p>
            <w:pPr>
              <w:spacing w:after="0"/>
            </w:pPr>
            <w:r>
              <w:rPr>
                <w:sz w:val="11"/>
              </w:rPr>
              <w:t>Policy effectiveness.</w:t>
            </w:r>
          </w:p>
        </w:tc>
      </w:tr>
      <w:tr>
        <w:tc>
          <w:tcPr>
            <w:tcW w:type="dxa" w:w="5227"/>
          </w:tcPr>
          <w:p>
            <w:pPr>
              <w:spacing w:after="0"/>
            </w:pPr>
            <w:r>
              <w:rPr>
                <w:sz w:val="11"/>
              </w:rPr>
              <w:t>Cross-facility disclosures</w:t>
            </w:r>
          </w:p>
        </w:tc>
        <w:tc>
          <w:tcPr>
            <w:tcW w:type="dxa" w:w="5227"/>
          </w:tcPr>
          <w:p>
            <w:pPr>
              <w:spacing w:after="0"/>
            </w:pPr>
            <w:r>
              <w:rPr>
                <w:sz w:val="11"/>
              </w:rPr>
              <w:t>Referral governance.</w:t>
            </w:r>
          </w:p>
        </w:tc>
      </w:tr>
    </w:tbl>
    <w:p>
      <w:pPr>
        <w:pStyle w:val="Heading1"/>
      </w:pPr>
      <w:r>
        <w:t>75. Training and Awareness</w:t>
      </w:r>
    </w:p>
    <w:p>
      <w:pPr>
        <w:pStyle w:val="ListBullet"/>
      </w:pPr>
      <w:r>
        <w:t>Role-specific confidentiality training.</w:t>
      </w:r>
    </w:p>
    <w:p>
      <w:pPr>
        <w:pStyle w:val="ListBullet"/>
      </w:pPr>
      <w:r>
        <w:t>Clinical staff: patient-context access and referral disclosure.</w:t>
      </w:r>
    </w:p>
    <w:p>
      <w:pPr>
        <w:pStyle w:val="ListBullet"/>
      </w:pPr>
      <w:r>
        <w:t>Support/engineering: production data handling.</w:t>
      </w:r>
    </w:p>
    <w:p>
      <w:pPr>
        <w:pStyle w:val="ListBullet"/>
      </w:pPr>
      <w:r>
        <w:t>Research: de-identification and approved use.</w:t>
      </w:r>
    </w:p>
    <w:p>
      <w:pPr>
        <w:pStyle w:val="ListBullet"/>
      </w:pPr>
      <w:r>
        <w:t>Managers: no privilege escalation by seniority alone.</w:t>
      </w:r>
    </w:p>
    <w:p>
      <w:pPr>
        <w:pStyle w:val="ListBullet"/>
      </w:pPr>
      <w:r>
        <w:t>Incident reporting: rapid escalation without concealment.</w:t>
      </w:r>
    </w:p>
    <w:p>
      <w:pPr>
        <w:pStyle w:val="ListBullet"/>
      </w:pPr>
      <w:r>
        <w:t>Training completion tracked and refreshed.</w:t>
      </w:r>
    </w:p>
    <w:p>
      <w:pPr>
        <w:pStyle w:val="Heading1"/>
      </w:pPr>
      <w:r>
        <w:t>76. Privacy Requirements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0"/>
              </w:rPr>
              <w:t>ID</w:t>
            </w:r>
          </w:p>
        </w:tc>
        <w:tc>
          <w:tcPr>
            <w:tcW w:type="dxa" w:w="5227"/>
          </w:tcPr>
          <w:p>
            <w:pPr>
              <w:spacing w:after="0"/>
            </w:pPr>
            <w:r>
              <w:rPr>
                <w:b/>
                <w:sz w:val="10"/>
              </w:rPr>
              <w:t>Requirement</w:t>
            </w:r>
          </w:p>
        </w:tc>
      </w:tr>
      <w:tr>
        <w:tc>
          <w:tcPr>
            <w:tcW w:type="dxa" w:w="5227"/>
          </w:tcPr>
          <w:p>
            <w:pPr>
              <w:spacing w:after="0"/>
            </w:pPr>
            <w:r>
              <w:rPr>
                <w:sz w:val="10"/>
              </w:rPr>
              <w:t>PRIV-SR-001</w:t>
            </w:r>
          </w:p>
        </w:tc>
        <w:tc>
          <w:tcPr>
            <w:tcW w:type="dxa" w:w="5227"/>
          </w:tcPr>
          <w:p>
            <w:pPr>
              <w:spacing w:after="0"/>
            </w:pPr>
            <w:r>
              <w:rPr>
                <w:sz w:val="10"/>
              </w:rPr>
              <w:t>Every material processing activity SHALL have documented purpose, owner and approved processing authority.</w:t>
            </w:r>
          </w:p>
        </w:tc>
      </w:tr>
      <w:tr>
        <w:tc>
          <w:tcPr>
            <w:tcW w:type="dxa" w:w="5227"/>
          </w:tcPr>
          <w:p>
            <w:pPr>
              <w:spacing w:after="0"/>
            </w:pPr>
            <w:r>
              <w:rPr>
                <w:sz w:val="10"/>
              </w:rPr>
              <w:t>PRIV-SR-002</w:t>
            </w:r>
          </w:p>
        </w:tc>
        <w:tc>
          <w:tcPr>
            <w:tcW w:type="dxa" w:w="5227"/>
          </w:tcPr>
          <w:p>
            <w:pPr>
              <w:spacing w:after="0"/>
            </w:pPr>
            <w:r>
              <w:rPr>
                <w:sz w:val="10"/>
              </w:rPr>
              <w:t>Pulse SHALL enforce minimum-necessary access/disclosure according to purpose and context.</w:t>
            </w:r>
          </w:p>
        </w:tc>
      </w:tr>
      <w:tr>
        <w:tc>
          <w:tcPr>
            <w:tcW w:type="dxa" w:w="5227"/>
          </w:tcPr>
          <w:p>
            <w:pPr>
              <w:spacing w:after="0"/>
            </w:pPr>
            <w:r>
              <w:rPr>
                <w:sz w:val="10"/>
              </w:rPr>
              <w:t>PRIV-SR-003</w:t>
            </w:r>
          </w:p>
        </w:tc>
        <w:tc>
          <w:tcPr>
            <w:tcW w:type="dxa" w:w="5227"/>
          </w:tcPr>
          <w:p>
            <w:pPr>
              <w:spacing w:after="0"/>
            </w:pPr>
            <w:r>
              <w:rPr>
                <w:sz w:val="10"/>
              </w:rPr>
              <w:t>Consent records SHALL be versioned, attributable and scoped where consent is used.</w:t>
            </w:r>
          </w:p>
        </w:tc>
      </w:tr>
      <w:tr>
        <w:tc>
          <w:tcPr>
            <w:tcW w:type="dxa" w:w="5227"/>
          </w:tcPr>
          <w:p>
            <w:pPr>
              <w:spacing w:after="0"/>
            </w:pPr>
            <w:r>
              <w:rPr>
                <w:sz w:val="10"/>
              </w:rPr>
              <w:t>PRIV-SR-004</w:t>
            </w:r>
          </w:p>
        </w:tc>
        <w:tc>
          <w:tcPr>
            <w:tcW w:type="dxa" w:w="5227"/>
          </w:tcPr>
          <w:p>
            <w:pPr>
              <w:spacing w:after="0"/>
            </w:pPr>
            <w:r>
              <w:rPr>
                <w:sz w:val="10"/>
              </w:rPr>
              <w:t>Cross-facility referral disclosure SHALL be case-scoped and evidenced by a disclosure manifest.</w:t>
            </w:r>
          </w:p>
        </w:tc>
      </w:tr>
      <w:tr>
        <w:tc>
          <w:tcPr>
            <w:tcW w:type="dxa" w:w="5227"/>
          </w:tcPr>
          <w:p>
            <w:pPr>
              <w:spacing w:after="0"/>
            </w:pPr>
            <w:r>
              <w:rPr>
                <w:sz w:val="10"/>
              </w:rPr>
              <w:t>PRIV-SR-005</w:t>
            </w:r>
          </w:p>
        </w:tc>
        <w:tc>
          <w:tcPr>
            <w:tcW w:type="dxa" w:w="5227"/>
          </w:tcPr>
          <w:p>
            <w:pPr>
              <w:spacing w:after="0"/>
            </w:pPr>
            <w:r>
              <w:rPr>
                <w:sz w:val="10"/>
              </w:rPr>
              <w:t>Secondary use SHALL be governed separately from direct-care access.</w:t>
            </w:r>
          </w:p>
        </w:tc>
      </w:tr>
      <w:tr>
        <w:tc>
          <w:tcPr>
            <w:tcW w:type="dxa" w:w="5227"/>
          </w:tcPr>
          <w:p>
            <w:pPr>
              <w:spacing w:after="0"/>
            </w:pPr>
            <w:r>
              <w:rPr>
                <w:sz w:val="10"/>
              </w:rPr>
              <w:t>PRIV-SR-006</w:t>
            </w:r>
          </w:p>
        </w:tc>
        <w:tc>
          <w:tcPr>
            <w:tcW w:type="dxa" w:w="5227"/>
          </w:tcPr>
          <w:p>
            <w:pPr>
              <w:spacing w:after="0"/>
            </w:pPr>
            <w:r>
              <w:rPr>
                <w:sz w:val="10"/>
              </w:rPr>
              <w:t>Bulk export SHALL require explicit privilege, purpose and audit.</w:t>
            </w:r>
          </w:p>
        </w:tc>
      </w:tr>
      <w:tr>
        <w:tc>
          <w:tcPr>
            <w:tcW w:type="dxa" w:w="5227"/>
          </w:tcPr>
          <w:p>
            <w:pPr>
              <w:spacing w:after="0"/>
            </w:pPr>
            <w:r>
              <w:rPr>
                <w:sz w:val="10"/>
              </w:rPr>
              <w:t>PRIV-SR-007</w:t>
            </w:r>
          </w:p>
        </w:tc>
        <w:tc>
          <w:tcPr>
            <w:tcW w:type="dxa" w:w="5227"/>
          </w:tcPr>
          <w:p>
            <w:pPr>
              <w:spacing w:after="0"/>
            </w:pPr>
            <w:r>
              <w:rPr>
                <w:sz w:val="10"/>
              </w:rPr>
              <w:t>Production patient data SHALL NOT be used for development/testing without approved protection.</w:t>
            </w:r>
          </w:p>
        </w:tc>
      </w:tr>
      <w:tr>
        <w:tc>
          <w:tcPr>
            <w:tcW w:type="dxa" w:w="5227"/>
          </w:tcPr>
          <w:p>
            <w:pPr>
              <w:spacing w:after="0"/>
            </w:pPr>
            <w:r>
              <w:rPr>
                <w:sz w:val="10"/>
              </w:rPr>
              <w:t>PRIV-SR-008</w:t>
            </w:r>
          </w:p>
        </w:tc>
        <w:tc>
          <w:tcPr>
            <w:tcW w:type="dxa" w:w="5227"/>
          </w:tcPr>
          <w:p>
            <w:pPr>
              <w:spacing w:after="0"/>
            </w:pPr>
            <w:r>
              <w:rPr>
                <w:sz w:val="10"/>
              </w:rPr>
              <w:t>Signed/final clinical records SHALL use governed correction rather than destructive overwrite.</w:t>
            </w:r>
          </w:p>
        </w:tc>
      </w:tr>
      <w:tr>
        <w:tc>
          <w:tcPr>
            <w:tcW w:type="dxa" w:w="5227"/>
          </w:tcPr>
          <w:p>
            <w:pPr>
              <w:spacing w:after="0"/>
            </w:pPr>
            <w:r>
              <w:rPr>
                <w:sz w:val="10"/>
              </w:rPr>
              <w:t>PRIV-SR-009</w:t>
            </w:r>
          </w:p>
        </w:tc>
        <w:tc>
          <w:tcPr>
            <w:tcW w:type="dxa" w:w="5227"/>
          </w:tcPr>
          <w:p>
            <w:pPr>
              <w:spacing w:after="0"/>
            </w:pPr>
            <w:r>
              <w:rPr>
                <w:sz w:val="10"/>
              </w:rPr>
              <w:t>Retention and disposal SHALL be policy-driven and configurable by record category.</w:t>
            </w:r>
          </w:p>
        </w:tc>
      </w:tr>
      <w:tr>
        <w:tc>
          <w:tcPr>
            <w:tcW w:type="dxa" w:w="5227"/>
          </w:tcPr>
          <w:p>
            <w:pPr>
              <w:spacing w:after="0"/>
            </w:pPr>
            <w:r>
              <w:rPr>
                <w:sz w:val="10"/>
              </w:rPr>
              <w:t>PRIV-SR-010</w:t>
            </w:r>
          </w:p>
        </w:tc>
        <w:tc>
          <w:tcPr>
            <w:tcW w:type="dxa" w:w="5227"/>
          </w:tcPr>
          <w:p>
            <w:pPr>
              <w:spacing w:after="0"/>
            </w:pPr>
            <w:r>
              <w:rPr>
                <w:sz w:val="10"/>
              </w:rPr>
              <w:t>Legal/clinical holds SHALL prevent routine purge of affected records.</w:t>
            </w:r>
          </w:p>
        </w:tc>
      </w:tr>
      <w:tr>
        <w:tc>
          <w:tcPr>
            <w:tcW w:type="dxa" w:w="5227"/>
          </w:tcPr>
          <w:p>
            <w:pPr>
              <w:spacing w:after="0"/>
            </w:pPr>
            <w:r>
              <w:rPr>
                <w:sz w:val="10"/>
              </w:rPr>
              <w:t>PRIV-SR-011</w:t>
            </w:r>
          </w:p>
        </w:tc>
        <w:tc>
          <w:tcPr>
            <w:tcW w:type="dxa" w:w="5227"/>
          </w:tcPr>
          <w:p>
            <w:pPr>
              <w:spacing w:after="0"/>
            </w:pPr>
            <w:r>
              <w:rPr>
                <w:sz w:val="10"/>
              </w:rPr>
              <w:t>Rights requests SHALL be identity-verified, tracked and auditable.</w:t>
            </w:r>
          </w:p>
        </w:tc>
      </w:tr>
      <w:tr>
        <w:tc>
          <w:tcPr>
            <w:tcW w:type="dxa" w:w="5227"/>
          </w:tcPr>
          <w:p>
            <w:pPr>
              <w:spacing w:after="0"/>
            </w:pPr>
            <w:r>
              <w:rPr>
                <w:sz w:val="10"/>
              </w:rPr>
              <w:t>PRIV-SR-012</w:t>
            </w:r>
          </w:p>
        </w:tc>
        <w:tc>
          <w:tcPr>
            <w:tcW w:type="dxa" w:w="5227"/>
          </w:tcPr>
          <w:p>
            <w:pPr>
              <w:spacing w:after="0"/>
            </w:pPr>
            <w:r>
              <w:rPr>
                <w:sz w:val="10"/>
              </w:rPr>
              <w:t>Research datasets SHALL have documented approval, scope, access and disposition.</w:t>
            </w:r>
          </w:p>
        </w:tc>
      </w:tr>
      <w:tr>
        <w:tc>
          <w:tcPr>
            <w:tcW w:type="dxa" w:w="5227"/>
          </w:tcPr>
          <w:p>
            <w:pPr>
              <w:spacing w:after="0"/>
            </w:pPr>
            <w:r>
              <w:rPr>
                <w:sz w:val="10"/>
              </w:rPr>
              <w:t>PRIV-SR-013</w:t>
            </w:r>
          </w:p>
        </w:tc>
        <w:tc>
          <w:tcPr>
            <w:tcW w:type="dxa" w:w="5227"/>
          </w:tcPr>
          <w:p>
            <w:pPr>
              <w:spacing w:after="0"/>
            </w:pPr>
            <w:r>
              <w:rPr>
                <w:sz w:val="10"/>
              </w:rPr>
              <w:t>Pseudonymisation SHALL protect linkage keys separately from research datasets.</w:t>
            </w:r>
          </w:p>
        </w:tc>
      </w:tr>
      <w:tr>
        <w:tc>
          <w:tcPr>
            <w:tcW w:type="dxa" w:w="5227"/>
          </w:tcPr>
          <w:p>
            <w:pPr>
              <w:spacing w:after="0"/>
            </w:pPr>
            <w:r>
              <w:rPr>
                <w:sz w:val="10"/>
              </w:rPr>
              <w:t>PRIV-SR-014</w:t>
            </w:r>
          </w:p>
        </w:tc>
        <w:tc>
          <w:tcPr>
            <w:tcW w:type="dxa" w:w="5227"/>
          </w:tcPr>
          <w:p>
            <w:pPr>
              <w:spacing w:after="0"/>
            </w:pPr>
            <w:r>
              <w:rPr>
                <w:sz w:val="10"/>
              </w:rPr>
              <w:t>Third-party processors SHALL be inventoried and governed by security/privacy obligations.</w:t>
            </w:r>
          </w:p>
        </w:tc>
      </w:tr>
      <w:tr>
        <w:tc>
          <w:tcPr>
            <w:tcW w:type="dxa" w:w="5227"/>
          </w:tcPr>
          <w:p>
            <w:pPr>
              <w:spacing w:after="0"/>
            </w:pPr>
            <w:r>
              <w:rPr>
                <w:sz w:val="10"/>
              </w:rPr>
              <w:t>PRIV-SR-015</w:t>
            </w:r>
          </w:p>
        </w:tc>
        <w:tc>
          <w:tcPr>
            <w:tcW w:type="dxa" w:w="5227"/>
          </w:tcPr>
          <w:p>
            <w:pPr>
              <w:spacing w:after="0"/>
            </w:pPr>
            <w:r>
              <w:rPr>
                <w:sz w:val="10"/>
              </w:rPr>
              <w:t>Cross-border processing locations and safeguards SHALL be documented where applicable.</w:t>
            </w:r>
          </w:p>
        </w:tc>
      </w:tr>
      <w:tr>
        <w:tc>
          <w:tcPr>
            <w:tcW w:type="dxa" w:w="5227"/>
          </w:tcPr>
          <w:p>
            <w:pPr>
              <w:spacing w:after="0"/>
            </w:pPr>
            <w:r>
              <w:rPr>
                <w:sz w:val="10"/>
              </w:rPr>
              <w:t>PRIV-SR-016</w:t>
            </w:r>
          </w:p>
        </w:tc>
        <w:tc>
          <w:tcPr>
            <w:tcW w:type="dxa" w:w="5227"/>
          </w:tcPr>
          <w:p>
            <w:pPr>
              <w:spacing w:after="0"/>
            </w:pPr>
            <w:r>
              <w:rPr>
                <w:sz w:val="10"/>
              </w:rPr>
              <w:t>Privacy incidents SHALL record affected data, subjects, recipients, risk decision and remediation.</w:t>
            </w:r>
          </w:p>
        </w:tc>
      </w:tr>
      <w:tr>
        <w:tc>
          <w:tcPr>
            <w:tcW w:type="dxa" w:w="5227"/>
          </w:tcPr>
          <w:p>
            <w:pPr>
              <w:spacing w:after="0"/>
            </w:pPr>
            <w:r>
              <w:rPr>
                <w:sz w:val="10"/>
              </w:rPr>
              <w:t>PRIV-SR-017</w:t>
            </w:r>
          </w:p>
        </w:tc>
        <w:tc>
          <w:tcPr>
            <w:tcW w:type="dxa" w:w="5227"/>
          </w:tcPr>
          <w:p>
            <w:pPr>
              <w:spacing w:after="0"/>
            </w:pPr>
            <w:r>
              <w:rPr>
                <w:sz w:val="10"/>
              </w:rPr>
              <w:t>High-risk/new processing SHALL undergo DPIA screening before production.</w:t>
            </w:r>
          </w:p>
        </w:tc>
      </w:tr>
      <w:tr>
        <w:tc>
          <w:tcPr>
            <w:tcW w:type="dxa" w:w="5227"/>
          </w:tcPr>
          <w:p>
            <w:pPr>
              <w:spacing w:after="0"/>
            </w:pPr>
            <w:r>
              <w:rPr>
                <w:sz w:val="10"/>
              </w:rPr>
              <w:t>PRIV-SR-018</w:t>
            </w:r>
          </w:p>
        </w:tc>
        <w:tc>
          <w:tcPr>
            <w:tcW w:type="dxa" w:w="5227"/>
          </w:tcPr>
          <w:p>
            <w:pPr>
              <w:spacing w:after="0"/>
            </w:pPr>
            <w:r>
              <w:rPr>
                <w:sz w:val="10"/>
              </w:rPr>
              <w:t>Operational logs and notifications SHALL minimise protected health information.</w:t>
            </w:r>
          </w:p>
        </w:tc>
      </w:tr>
      <w:tr>
        <w:tc>
          <w:tcPr>
            <w:tcW w:type="dxa" w:w="5227"/>
          </w:tcPr>
          <w:p>
            <w:pPr>
              <w:spacing w:after="0"/>
            </w:pPr>
            <w:r>
              <w:rPr>
                <w:sz w:val="10"/>
              </w:rPr>
              <w:t>PRIV-SR-019</w:t>
            </w:r>
          </w:p>
        </w:tc>
        <w:tc>
          <w:tcPr>
            <w:tcW w:type="dxa" w:w="5227"/>
          </w:tcPr>
          <w:p>
            <w:pPr>
              <w:spacing w:after="0"/>
            </w:pPr>
            <w:r>
              <w:rPr>
                <w:sz w:val="10"/>
              </w:rPr>
              <w:t>Data lineage/provenance SHALL be preserved for imported and materially transformed clinical data.</w:t>
            </w:r>
          </w:p>
        </w:tc>
      </w:tr>
      <w:tr>
        <w:tc>
          <w:tcPr>
            <w:tcW w:type="dxa" w:w="5227"/>
          </w:tcPr>
          <w:p>
            <w:pPr>
              <w:spacing w:after="0"/>
            </w:pPr>
            <w:r>
              <w:rPr>
                <w:sz w:val="10"/>
              </w:rPr>
              <w:t>PRIV-SR-020</w:t>
            </w:r>
          </w:p>
        </w:tc>
        <w:tc>
          <w:tcPr>
            <w:tcW w:type="dxa" w:w="5227"/>
          </w:tcPr>
          <w:p>
            <w:pPr>
              <w:spacing w:after="0"/>
            </w:pPr>
            <w:r>
              <w:rPr>
                <w:sz w:val="10"/>
              </w:rPr>
              <w:t>AI/model-training use of patient data SHALL require explicit governance and SHALL NOT be inferred from ordinary care use.</w:t>
            </w:r>
          </w:p>
        </w:tc>
      </w:tr>
    </w:tbl>
    <w:p>
      <w:pPr>
        <w:pStyle w:val="Heading1"/>
      </w:pPr>
      <w:r>
        <w:t>77. Privacy Verification Catalogue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Area</w:t>
            </w:r>
          </w:p>
        </w:tc>
        <w:tc>
          <w:tcPr>
            <w:tcW w:type="dxa" w:w="5227"/>
          </w:tcPr>
          <w:p>
            <w:pPr>
              <w:spacing w:after="0"/>
            </w:pPr>
            <w:r>
              <w:rPr>
                <w:b/>
                <w:sz w:val="11"/>
              </w:rPr>
              <w:t>Tests/Evidence</w:t>
            </w:r>
          </w:p>
        </w:tc>
      </w:tr>
      <w:tr>
        <w:tc>
          <w:tcPr>
            <w:tcW w:type="dxa" w:w="5227"/>
          </w:tcPr>
          <w:p>
            <w:pPr>
              <w:spacing w:after="0"/>
            </w:pPr>
            <w:r>
              <w:rPr>
                <w:sz w:val="11"/>
              </w:rPr>
              <w:t>Consent</w:t>
            </w:r>
          </w:p>
        </w:tc>
        <w:tc>
          <w:tcPr>
            <w:tcW w:type="dxa" w:w="5227"/>
          </w:tcPr>
          <w:p>
            <w:pPr>
              <w:spacing w:after="0"/>
            </w:pPr>
            <w:r>
              <w:rPr>
                <w:sz w:val="11"/>
              </w:rPr>
              <w:t>Grant/deny/withdraw/version/expiry.</w:t>
            </w:r>
          </w:p>
        </w:tc>
      </w:tr>
      <w:tr>
        <w:tc>
          <w:tcPr>
            <w:tcW w:type="dxa" w:w="5227"/>
          </w:tcPr>
          <w:p>
            <w:pPr>
              <w:spacing w:after="0"/>
            </w:pPr>
            <w:r>
              <w:rPr>
                <w:sz w:val="11"/>
              </w:rPr>
              <w:t>Referral</w:t>
            </w:r>
          </w:p>
        </w:tc>
        <w:tc>
          <w:tcPr>
            <w:tcW w:type="dxa" w:w="5227"/>
          </w:tcPr>
          <w:p>
            <w:pPr>
              <w:spacing w:after="0"/>
            </w:pPr>
            <w:r>
              <w:rPr>
                <w:sz w:val="11"/>
              </w:rPr>
              <w:t>Minimum package; unrelated chart inaccessible.</w:t>
            </w:r>
          </w:p>
        </w:tc>
      </w:tr>
      <w:tr>
        <w:tc>
          <w:tcPr>
            <w:tcW w:type="dxa" w:w="5227"/>
          </w:tcPr>
          <w:p>
            <w:pPr>
              <w:spacing w:after="0"/>
            </w:pPr>
            <w:r>
              <w:rPr>
                <w:sz w:val="11"/>
              </w:rPr>
              <w:t>Proxy</w:t>
            </w:r>
          </w:p>
        </w:tc>
        <w:tc>
          <w:tcPr>
            <w:tcW w:type="dxa" w:w="5227"/>
          </w:tcPr>
          <w:p>
            <w:pPr>
              <w:spacing w:after="0"/>
            </w:pPr>
            <w:r>
              <w:rPr>
                <w:sz w:val="11"/>
              </w:rPr>
              <w:t>Scope/revoke/expiry.</w:t>
            </w:r>
          </w:p>
        </w:tc>
      </w:tr>
      <w:tr>
        <w:tc>
          <w:tcPr>
            <w:tcW w:type="dxa" w:w="5227"/>
          </w:tcPr>
          <w:p>
            <w:pPr>
              <w:spacing w:after="0"/>
            </w:pPr>
            <w:r>
              <w:rPr>
                <w:sz w:val="11"/>
              </w:rPr>
              <w:t>Rights</w:t>
            </w:r>
          </w:p>
        </w:tc>
        <w:tc>
          <w:tcPr>
            <w:tcW w:type="dxa" w:w="5227"/>
          </w:tcPr>
          <w:p>
            <w:pPr>
              <w:spacing w:after="0"/>
            </w:pPr>
            <w:r>
              <w:rPr>
                <w:sz w:val="11"/>
              </w:rPr>
              <w:t>Access/correction/export workflow.</w:t>
            </w:r>
          </w:p>
        </w:tc>
      </w:tr>
      <w:tr>
        <w:tc>
          <w:tcPr>
            <w:tcW w:type="dxa" w:w="5227"/>
          </w:tcPr>
          <w:p>
            <w:pPr>
              <w:spacing w:after="0"/>
            </w:pPr>
            <w:r>
              <w:rPr>
                <w:sz w:val="11"/>
              </w:rPr>
              <w:t>Retention</w:t>
            </w:r>
          </w:p>
        </w:tc>
        <w:tc>
          <w:tcPr>
            <w:tcW w:type="dxa" w:w="5227"/>
          </w:tcPr>
          <w:p>
            <w:pPr>
              <w:spacing w:after="0"/>
            </w:pPr>
            <w:r>
              <w:rPr>
                <w:sz w:val="11"/>
              </w:rPr>
              <w:t>Hold/purge/backup lifecycle.</w:t>
            </w:r>
          </w:p>
        </w:tc>
      </w:tr>
      <w:tr>
        <w:tc>
          <w:tcPr>
            <w:tcW w:type="dxa" w:w="5227"/>
          </w:tcPr>
          <w:p>
            <w:pPr>
              <w:spacing w:after="0"/>
            </w:pPr>
            <w:r>
              <w:rPr>
                <w:sz w:val="11"/>
              </w:rPr>
              <w:t>Bulk export</w:t>
            </w:r>
          </w:p>
        </w:tc>
        <w:tc>
          <w:tcPr>
            <w:tcW w:type="dxa" w:w="5227"/>
          </w:tcPr>
          <w:p>
            <w:pPr>
              <w:spacing w:after="0"/>
            </w:pPr>
            <w:r>
              <w:rPr>
                <w:sz w:val="11"/>
              </w:rPr>
              <w:t>Privilege/approval/audit.</w:t>
            </w:r>
          </w:p>
        </w:tc>
      </w:tr>
      <w:tr>
        <w:tc>
          <w:tcPr>
            <w:tcW w:type="dxa" w:w="5227"/>
          </w:tcPr>
          <w:p>
            <w:pPr>
              <w:spacing w:after="0"/>
            </w:pPr>
            <w:r>
              <w:rPr>
                <w:sz w:val="11"/>
              </w:rPr>
              <w:t>Research</w:t>
            </w:r>
          </w:p>
        </w:tc>
        <w:tc>
          <w:tcPr>
            <w:tcW w:type="dxa" w:w="5227"/>
          </w:tcPr>
          <w:p>
            <w:pPr>
              <w:spacing w:after="0"/>
            </w:pPr>
            <w:r>
              <w:rPr>
                <w:sz w:val="11"/>
              </w:rPr>
              <w:t>Pseudonymised dataset + linkage separation.</w:t>
            </w:r>
          </w:p>
        </w:tc>
      </w:tr>
      <w:tr>
        <w:tc>
          <w:tcPr>
            <w:tcW w:type="dxa" w:w="5227"/>
          </w:tcPr>
          <w:p>
            <w:pPr>
              <w:spacing w:after="0"/>
            </w:pPr>
            <w:r>
              <w:rPr>
                <w:sz w:val="11"/>
              </w:rPr>
              <w:t>Notifications</w:t>
            </w:r>
          </w:p>
        </w:tc>
        <w:tc>
          <w:tcPr>
            <w:tcW w:type="dxa" w:w="5227"/>
          </w:tcPr>
          <w:p>
            <w:pPr>
              <w:spacing w:after="0"/>
            </w:pPr>
            <w:r>
              <w:rPr>
                <w:sz w:val="11"/>
              </w:rPr>
              <w:t>No excessive PHI.</w:t>
            </w:r>
          </w:p>
        </w:tc>
      </w:tr>
      <w:tr>
        <w:tc>
          <w:tcPr>
            <w:tcW w:type="dxa" w:w="5227"/>
          </w:tcPr>
          <w:p>
            <w:pPr>
              <w:spacing w:after="0"/>
            </w:pPr>
            <w:r>
              <w:rPr>
                <w:sz w:val="11"/>
              </w:rPr>
              <w:t>Search</w:t>
            </w:r>
          </w:p>
        </w:tc>
        <w:tc>
          <w:tcPr>
            <w:tcW w:type="dxa" w:w="5227"/>
          </w:tcPr>
          <w:p>
            <w:pPr>
              <w:spacing w:after="0"/>
            </w:pPr>
            <w:r>
              <w:rPr>
                <w:sz w:val="11"/>
              </w:rPr>
              <w:t>No cross-tenant/name enumeration.</w:t>
            </w:r>
          </w:p>
        </w:tc>
      </w:tr>
      <w:tr>
        <w:tc>
          <w:tcPr>
            <w:tcW w:type="dxa" w:w="5227"/>
          </w:tcPr>
          <w:p>
            <w:pPr>
              <w:spacing w:after="0"/>
            </w:pPr>
            <w:r>
              <w:rPr>
                <w:sz w:val="11"/>
              </w:rPr>
              <w:t>Support</w:t>
            </w:r>
          </w:p>
        </w:tc>
        <w:tc>
          <w:tcPr>
            <w:tcW w:type="dxa" w:w="5227"/>
          </w:tcPr>
          <w:p>
            <w:pPr>
              <w:spacing w:after="0"/>
            </w:pPr>
            <w:r>
              <w:rPr>
                <w:sz w:val="11"/>
              </w:rPr>
              <w:t>JIT/minimum access.</w:t>
            </w:r>
          </w:p>
        </w:tc>
      </w:tr>
      <w:tr>
        <w:tc>
          <w:tcPr>
            <w:tcW w:type="dxa" w:w="5227"/>
          </w:tcPr>
          <w:p>
            <w:pPr>
              <w:spacing w:after="0"/>
            </w:pPr>
            <w:r>
              <w:rPr>
                <w:sz w:val="11"/>
              </w:rPr>
              <w:t>Processor</w:t>
            </w:r>
          </w:p>
        </w:tc>
        <w:tc>
          <w:tcPr>
            <w:tcW w:type="dxa" w:w="5227"/>
          </w:tcPr>
          <w:p>
            <w:pPr>
              <w:spacing w:after="0"/>
            </w:pPr>
            <w:r>
              <w:rPr>
                <w:sz w:val="11"/>
              </w:rPr>
              <w:t>Contract/inventory/offboarding.</w:t>
            </w:r>
          </w:p>
        </w:tc>
      </w:tr>
      <w:tr>
        <w:tc>
          <w:tcPr>
            <w:tcW w:type="dxa" w:w="5227"/>
          </w:tcPr>
          <w:p>
            <w:pPr>
              <w:spacing w:after="0"/>
            </w:pPr>
            <w:r>
              <w:rPr>
                <w:sz w:val="11"/>
              </w:rPr>
              <w:t>DPIA</w:t>
            </w:r>
          </w:p>
        </w:tc>
        <w:tc>
          <w:tcPr>
            <w:tcW w:type="dxa" w:w="5227"/>
          </w:tcPr>
          <w:p>
            <w:pPr>
              <w:spacing w:after="0"/>
            </w:pPr>
            <w:r>
              <w:rPr>
                <w:sz w:val="11"/>
              </w:rPr>
              <w:t>Trigger and approval gate.</w:t>
            </w:r>
          </w:p>
        </w:tc>
      </w:tr>
      <w:tr>
        <w:tc>
          <w:tcPr>
            <w:tcW w:type="dxa" w:w="5227"/>
          </w:tcPr>
          <w:p>
            <w:pPr>
              <w:spacing w:after="0"/>
            </w:pPr>
            <w:r>
              <w:rPr>
                <w:sz w:val="11"/>
              </w:rPr>
              <w:t>Sensitive labels</w:t>
            </w:r>
          </w:p>
        </w:tc>
        <w:tc>
          <w:tcPr>
            <w:tcW w:type="dxa" w:w="5227"/>
          </w:tcPr>
          <w:p>
            <w:pPr>
              <w:spacing w:after="0"/>
            </w:pPr>
            <w:r>
              <w:rPr>
                <w:sz w:val="11"/>
              </w:rPr>
              <w:t>Enforcement and propagation.</w:t>
            </w:r>
          </w:p>
        </w:tc>
      </w:tr>
      <w:tr>
        <w:tc>
          <w:tcPr>
            <w:tcW w:type="dxa" w:w="5227"/>
          </w:tcPr>
          <w:p>
            <w:pPr>
              <w:spacing w:after="0"/>
            </w:pPr>
            <w:r>
              <w:rPr>
                <w:sz w:val="11"/>
              </w:rPr>
              <w:t>Incident</w:t>
            </w:r>
          </w:p>
        </w:tc>
        <w:tc>
          <w:tcPr>
            <w:tcW w:type="dxa" w:w="5227"/>
          </w:tcPr>
          <w:p>
            <w:pPr>
              <w:spacing w:after="0"/>
            </w:pPr>
            <w:r>
              <w:rPr>
                <w:sz w:val="11"/>
              </w:rPr>
              <w:t>Wrong-recipient/breach workflow.</w:t>
            </w:r>
          </w:p>
        </w:tc>
      </w:tr>
      <w:tr>
        <w:tc>
          <w:tcPr>
            <w:tcW w:type="dxa" w:w="5227"/>
          </w:tcPr>
          <w:p>
            <w:pPr>
              <w:spacing w:after="0"/>
            </w:pPr>
            <w:r>
              <w:rPr>
                <w:sz w:val="11"/>
              </w:rPr>
              <w:t>AI</w:t>
            </w:r>
          </w:p>
        </w:tc>
        <w:tc>
          <w:tcPr>
            <w:tcW w:type="dxa" w:w="5227"/>
          </w:tcPr>
          <w:p>
            <w:pPr>
              <w:spacing w:after="0"/>
            </w:pPr>
            <w:r>
              <w:rPr>
                <w:sz w:val="11"/>
              </w:rPr>
              <w:t>Dataset purpose and third-party disclosure controls.</w:t>
            </w:r>
          </w:p>
        </w:tc>
      </w:tr>
    </w:tbl>
    <w:p>
      <w:pPr>
        <w:pStyle w:val="Heading1"/>
      </w:pPr>
      <w:r>
        <w:t>78. Release Gates</w:t>
      </w:r>
    </w:p>
    <w:p>
      <w:pPr>
        <w:pStyle w:val="ListBullet"/>
      </w:pPr>
      <w:r>
        <w:t>Data inventory/processing register exists for release scope.</w:t>
      </w:r>
    </w:p>
    <w:p>
      <w:pPr>
        <w:pStyle w:val="ListBullet"/>
      </w:pPr>
      <w:r>
        <w:t>Privacy classification applied to new data objects.</w:t>
      </w:r>
    </w:p>
    <w:p>
      <w:pPr>
        <w:pStyle w:val="ListBullet"/>
      </w:pPr>
      <w:r>
        <w:t>Notices/consent workflows are defined where applicable.</w:t>
      </w:r>
    </w:p>
    <w:p>
      <w:pPr>
        <w:pStyle w:val="ListBullet"/>
      </w:pPr>
      <w:r>
        <w:t>DPIA screening completed; required DPIAs approved.</w:t>
      </w:r>
    </w:p>
    <w:p>
      <w:pPr>
        <w:pStyle w:val="ListBullet"/>
      </w:pPr>
      <w:r>
        <w:t>External recipients/processors documented.</w:t>
      </w:r>
    </w:p>
    <w:p>
      <w:pPr>
        <w:pStyle w:val="ListBullet"/>
      </w:pPr>
      <w:r>
        <w:t>Retention category assigned.</w:t>
      </w:r>
    </w:p>
    <w:p>
      <w:pPr>
        <w:pStyle w:val="ListBullet"/>
      </w:pPr>
      <w:r>
        <w:t>Rights/export behavior tested.</w:t>
      </w:r>
    </w:p>
    <w:p>
      <w:pPr>
        <w:pStyle w:val="ListBullet"/>
      </w:pPr>
      <w:r>
        <w:t>IAM/security controls verified.</w:t>
      </w:r>
    </w:p>
    <w:p>
      <w:pPr>
        <w:pStyle w:val="ListBullet"/>
      </w:pPr>
      <w:r>
        <w:t>Logging/notification PHI review completed.</w:t>
      </w:r>
    </w:p>
    <w:p>
      <w:pPr>
        <w:pStyle w:val="ListBullet"/>
      </w:pPr>
      <w:r>
        <w:t>Privacy incident runbook operational.</w:t>
      </w:r>
    </w:p>
    <w:p>
      <w:pPr>
        <w:pStyle w:val="Heading1"/>
      </w:pPr>
      <w:r>
        <w:t>79. Release-1 Minimum Privacy Baseline</w:t>
      </w:r>
    </w:p>
    <w:p>
      <w:pPr>
        <w:pStyle w:val="ListBullet"/>
      </w:pPr>
      <w:r>
        <w:t>Patient/privacy notice framework.</w:t>
      </w:r>
    </w:p>
    <w:p>
      <w:pPr>
        <w:pStyle w:val="ListBullet"/>
      </w:pPr>
      <w:r>
        <w:t>Purpose taxonomy and processing register.</w:t>
      </w:r>
    </w:p>
    <w:p>
      <w:pPr>
        <w:pStyle w:val="ListBullet"/>
      </w:pPr>
      <w:r>
        <w:t>Consent and proxy baseline.</w:t>
      </w:r>
    </w:p>
    <w:p>
      <w:pPr>
        <w:pStyle w:val="ListBullet"/>
      </w:pPr>
      <w:r>
        <w:t>Case-scoped referral disclosure manifest.</w:t>
      </w:r>
    </w:p>
    <w:p>
      <w:pPr>
        <w:pStyle w:val="ListBullet"/>
      </w:pPr>
      <w:r>
        <w:t>Minimum-necessary access integration with IAM.</w:t>
      </w:r>
    </w:p>
    <w:p>
      <w:pPr>
        <w:pStyle w:val="ListBullet"/>
      </w:pPr>
      <w:r>
        <w:t>Bulk-export governance.</w:t>
      </w:r>
    </w:p>
    <w:p>
      <w:pPr>
        <w:pStyle w:val="ListBullet"/>
      </w:pPr>
      <w:r>
        <w:t>Rights request tracking.</w:t>
      </w:r>
    </w:p>
    <w:p>
      <w:pPr>
        <w:pStyle w:val="ListBullet"/>
      </w:pPr>
      <w:r>
        <w:t>Retention/hold model.</w:t>
      </w:r>
    </w:p>
    <w:p>
      <w:pPr>
        <w:pStyle w:val="ListBullet"/>
      </w:pPr>
      <w:r>
        <w:t>Research/secondary-use separation.</w:t>
      </w:r>
    </w:p>
    <w:p>
      <w:pPr>
        <w:pStyle w:val="ListBullet"/>
      </w:pPr>
      <w:r>
        <w:t>Processor inventory.</w:t>
      </w:r>
    </w:p>
    <w:p>
      <w:pPr>
        <w:pStyle w:val="ListBullet"/>
      </w:pPr>
      <w:r>
        <w:t>DPIA screening workflow.</w:t>
      </w:r>
    </w:p>
    <w:p>
      <w:pPr>
        <w:pStyle w:val="ListBullet"/>
      </w:pPr>
      <w:r>
        <w:t>Privacy incident register.</w:t>
      </w:r>
    </w:p>
    <w:p>
      <w:pPr>
        <w:pStyle w:val="ListBullet"/>
      </w:pPr>
      <w:r>
        <w:t>PRIV-SR-001 through PRIV-SR-020.</w:t>
      </w:r>
    </w:p>
    <w:p>
      <w:pPr>
        <w:pStyle w:val="Heading1"/>
      </w:pPr>
      <w:r>
        <w:t>80. Definition of Done</w:t>
      </w:r>
    </w:p>
    <w:p>
      <w:pPr>
        <w:pStyle w:val="ListBullet"/>
      </w:pPr>
      <w:r>
        <w:t>Every release-1 data domain has owner, classification, purpose and retention category.</w:t>
      </w:r>
    </w:p>
    <w:p>
      <w:pPr>
        <w:pStyle w:val="ListBullet"/>
      </w:pPr>
      <w:r>
        <w:t>Patient and proxy disclosure paths are documented.</w:t>
      </w:r>
    </w:p>
    <w:p>
      <w:pPr>
        <w:pStyle w:val="ListBullet"/>
      </w:pPr>
      <w:r>
        <w:t>Cross-facility referral cannot expose unrelated chart content.</w:t>
      </w:r>
    </w:p>
    <w:p>
      <w:pPr>
        <w:pStyle w:val="ListBullet"/>
      </w:pPr>
      <w:r>
        <w:t>Consent/authority decisions are auditable.</w:t>
      </w:r>
    </w:p>
    <w:p>
      <w:pPr>
        <w:pStyle w:val="ListBullet"/>
      </w:pPr>
      <w:r>
        <w:t>Secondary use cannot be enabled by ordinary clinical role alone.</w:t>
      </w:r>
    </w:p>
    <w:p>
      <w:pPr>
        <w:pStyle w:val="ListBullet"/>
      </w:pPr>
      <w:r>
        <w:t>Bulk export is separately privileged.</w:t>
      </w:r>
    </w:p>
    <w:p>
      <w:pPr>
        <w:pStyle w:val="ListBullet"/>
      </w:pPr>
      <w:r>
        <w:t>Rights workflows are operational.</w:t>
      </w:r>
    </w:p>
    <w:p>
      <w:pPr>
        <w:pStyle w:val="ListBullet"/>
      </w:pPr>
      <w:r>
        <w:t>Research extracts are governed.</w:t>
      </w:r>
    </w:p>
    <w:p>
      <w:pPr>
        <w:pStyle w:val="ListBullet"/>
      </w:pPr>
      <w:r>
        <w:t>Processor/subprocessor data locations are known.</w:t>
      </w:r>
    </w:p>
    <w:p>
      <w:pPr>
        <w:pStyle w:val="ListBullet"/>
      </w:pPr>
      <w:r>
        <w:t>DPIA trigger and review process is embedded in product change governance.</w:t>
      </w:r>
    </w:p>
    <w:p>
      <w:pPr>
        <w:pStyle w:val="ListBullet"/>
      </w:pPr>
      <w:r>
        <w:t>Privacy incidents can be contained, assessed and evidenced.</w:t>
      </w:r>
    </w:p>
    <w:p>
      <w:pPr>
        <w:pStyle w:val="ListBullet"/>
      </w:pPr>
      <w:r>
        <w:t>Privacy requirements trace to IAM, security, FHIR, operations and QA tests.</w:t>
      </w:r>
    </w:p>
    <w:p>
      <w:pPr>
        <w:pStyle w:val="Heading1"/>
      </w:pPr>
      <w:r>
        <w:t>Appendix A — DPIA Template</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Section</w:t>
            </w:r>
          </w:p>
        </w:tc>
        <w:tc>
          <w:tcPr>
            <w:tcW w:type="dxa" w:w="5227"/>
          </w:tcPr>
          <w:p>
            <w:pPr>
              <w:spacing w:after="0"/>
            </w:pPr>
            <w:r>
              <w:rPr>
                <w:b/>
                <w:sz w:val="11"/>
              </w:rPr>
              <w:t>Required content</w:t>
            </w:r>
          </w:p>
        </w:tc>
      </w:tr>
      <w:tr>
        <w:tc>
          <w:tcPr>
            <w:tcW w:type="dxa" w:w="5227"/>
          </w:tcPr>
          <w:p>
            <w:pPr>
              <w:spacing w:after="0"/>
            </w:pPr>
            <w:r>
              <w:rPr>
                <w:sz w:val="11"/>
              </w:rPr>
              <w:t>Change description</w:t>
            </w:r>
          </w:p>
        </w:tc>
        <w:tc>
          <w:tcPr>
            <w:tcW w:type="dxa" w:w="5227"/>
          </w:tcPr>
          <w:p>
            <w:pPr>
              <w:spacing w:after="0"/>
            </w:pPr>
            <w:r>
              <w:rPr>
                <w:sz w:val="11"/>
              </w:rPr>
              <w:t>System/process/change.</w:t>
            </w:r>
          </w:p>
        </w:tc>
      </w:tr>
      <w:tr>
        <w:tc>
          <w:tcPr>
            <w:tcW w:type="dxa" w:w="5227"/>
          </w:tcPr>
          <w:p>
            <w:pPr>
              <w:spacing w:after="0"/>
            </w:pPr>
            <w:r>
              <w:rPr>
                <w:sz w:val="11"/>
              </w:rPr>
              <w:t>Purpose</w:t>
            </w:r>
          </w:p>
        </w:tc>
        <w:tc>
          <w:tcPr>
            <w:tcW w:type="dxa" w:w="5227"/>
          </w:tcPr>
          <w:p>
            <w:pPr>
              <w:spacing w:after="0"/>
            </w:pPr>
            <w:r>
              <w:rPr>
                <w:sz w:val="11"/>
              </w:rPr>
              <w:t>Why necessary.</w:t>
            </w:r>
          </w:p>
        </w:tc>
      </w:tr>
      <w:tr>
        <w:tc>
          <w:tcPr>
            <w:tcW w:type="dxa" w:w="5227"/>
          </w:tcPr>
          <w:p>
            <w:pPr>
              <w:spacing w:after="0"/>
            </w:pPr>
            <w:r>
              <w:rPr>
                <w:sz w:val="11"/>
              </w:rPr>
              <w:t>Data flow</w:t>
            </w:r>
          </w:p>
        </w:tc>
        <w:tc>
          <w:tcPr>
            <w:tcW w:type="dxa" w:w="5227"/>
          </w:tcPr>
          <w:p>
            <w:pPr>
              <w:spacing w:after="0"/>
            </w:pPr>
            <w:r>
              <w:rPr>
                <w:sz w:val="11"/>
              </w:rPr>
              <w:t>Sources, systems, recipients.</w:t>
            </w:r>
          </w:p>
        </w:tc>
      </w:tr>
      <w:tr>
        <w:tc>
          <w:tcPr>
            <w:tcW w:type="dxa" w:w="5227"/>
          </w:tcPr>
          <w:p>
            <w:pPr>
              <w:spacing w:after="0"/>
            </w:pPr>
            <w:r>
              <w:rPr>
                <w:sz w:val="11"/>
              </w:rPr>
              <w:t>Subjects/data</w:t>
            </w:r>
          </w:p>
        </w:tc>
        <w:tc>
          <w:tcPr>
            <w:tcW w:type="dxa" w:w="5227"/>
          </w:tcPr>
          <w:p>
            <w:pPr>
              <w:spacing w:after="0"/>
            </w:pPr>
            <w:r>
              <w:rPr>
                <w:sz w:val="11"/>
              </w:rPr>
              <w:t>Who and what.</w:t>
            </w:r>
          </w:p>
        </w:tc>
      </w:tr>
      <w:tr>
        <w:tc>
          <w:tcPr>
            <w:tcW w:type="dxa" w:w="5227"/>
          </w:tcPr>
          <w:p>
            <w:pPr>
              <w:spacing w:after="0"/>
            </w:pPr>
            <w:r>
              <w:rPr>
                <w:sz w:val="11"/>
              </w:rPr>
              <w:t>Authority</w:t>
            </w:r>
          </w:p>
        </w:tc>
        <w:tc>
          <w:tcPr>
            <w:tcW w:type="dxa" w:w="5227"/>
          </w:tcPr>
          <w:p>
            <w:pPr>
              <w:spacing w:after="0"/>
            </w:pPr>
            <w:r>
              <w:rPr>
                <w:sz w:val="11"/>
              </w:rPr>
              <w:t>Processing basis/consent.</w:t>
            </w:r>
          </w:p>
        </w:tc>
      </w:tr>
      <w:tr>
        <w:tc>
          <w:tcPr>
            <w:tcW w:type="dxa" w:w="5227"/>
          </w:tcPr>
          <w:p>
            <w:pPr>
              <w:spacing w:after="0"/>
            </w:pPr>
            <w:r>
              <w:rPr>
                <w:sz w:val="11"/>
              </w:rPr>
              <w:t>Necessity</w:t>
            </w:r>
          </w:p>
        </w:tc>
        <w:tc>
          <w:tcPr>
            <w:tcW w:type="dxa" w:w="5227"/>
          </w:tcPr>
          <w:p>
            <w:pPr>
              <w:spacing w:after="0"/>
            </w:pPr>
            <w:r>
              <w:rPr>
                <w:sz w:val="11"/>
              </w:rPr>
              <w:t>Why each category is required.</w:t>
            </w:r>
          </w:p>
        </w:tc>
      </w:tr>
      <w:tr>
        <w:tc>
          <w:tcPr>
            <w:tcW w:type="dxa" w:w="5227"/>
          </w:tcPr>
          <w:p>
            <w:pPr>
              <w:spacing w:after="0"/>
            </w:pPr>
            <w:r>
              <w:rPr>
                <w:sz w:val="11"/>
              </w:rPr>
              <w:t>Risks</w:t>
            </w:r>
          </w:p>
        </w:tc>
        <w:tc>
          <w:tcPr>
            <w:tcW w:type="dxa" w:w="5227"/>
          </w:tcPr>
          <w:p>
            <w:pPr>
              <w:spacing w:after="0"/>
            </w:pPr>
            <w:r>
              <w:rPr>
                <w:sz w:val="11"/>
              </w:rPr>
              <w:t>Privacy harm scenarios.</w:t>
            </w:r>
          </w:p>
        </w:tc>
      </w:tr>
      <w:tr>
        <w:tc>
          <w:tcPr>
            <w:tcW w:type="dxa" w:w="5227"/>
          </w:tcPr>
          <w:p>
            <w:pPr>
              <w:spacing w:after="0"/>
            </w:pPr>
            <w:r>
              <w:rPr>
                <w:sz w:val="11"/>
              </w:rPr>
              <w:t>Controls</w:t>
            </w:r>
          </w:p>
        </w:tc>
        <w:tc>
          <w:tcPr>
            <w:tcW w:type="dxa" w:w="5227"/>
          </w:tcPr>
          <w:p>
            <w:pPr>
              <w:spacing w:after="0"/>
            </w:pPr>
            <w:r>
              <w:rPr>
                <w:sz w:val="11"/>
              </w:rPr>
              <w:t>Technical/organisational.</w:t>
            </w:r>
          </w:p>
        </w:tc>
      </w:tr>
      <w:tr>
        <w:tc>
          <w:tcPr>
            <w:tcW w:type="dxa" w:w="5227"/>
          </w:tcPr>
          <w:p>
            <w:pPr>
              <w:spacing w:after="0"/>
            </w:pPr>
            <w:r>
              <w:rPr>
                <w:sz w:val="11"/>
              </w:rPr>
              <w:t>Residual risk</w:t>
            </w:r>
          </w:p>
        </w:tc>
        <w:tc>
          <w:tcPr>
            <w:tcW w:type="dxa" w:w="5227"/>
          </w:tcPr>
          <w:p>
            <w:pPr>
              <w:spacing w:after="0"/>
            </w:pPr>
            <w:r>
              <w:rPr>
                <w:sz w:val="11"/>
              </w:rPr>
              <w:t>Post-control rating.</w:t>
            </w:r>
          </w:p>
        </w:tc>
      </w:tr>
      <w:tr>
        <w:tc>
          <w:tcPr>
            <w:tcW w:type="dxa" w:w="5227"/>
          </w:tcPr>
          <w:p>
            <w:pPr>
              <w:spacing w:after="0"/>
            </w:pPr>
            <w:r>
              <w:rPr>
                <w:sz w:val="11"/>
              </w:rPr>
              <w:t>Consultation</w:t>
            </w:r>
          </w:p>
        </w:tc>
        <w:tc>
          <w:tcPr>
            <w:tcW w:type="dxa" w:w="5227"/>
          </w:tcPr>
          <w:p>
            <w:pPr>
              <w:spacing w:after="0"/>
            </w:pPr>
            <w:r>
              <w:rPr>
                <w:sz w:val="11"/>
              </w:rPr>
              <w:t>Stakeholders/experts.</w:t>
            </w:r>
          </w:p>
        </w:tc>
      </w:tr>
      <w:tr>
        <w:tc>
          <w:tcPr>
            <w:tcW w:type="dxa" w:w="5227"/>
          </w:tcPr>
          <w:p>
            <w:pPr>
              <w:spacing w:after="0"/>
            </w:pPr>
            <w:r>
              <w:rPr>
                <w:sz w:val="11"/>
              </w:rPr>
              <w:t>Decision</w:t>
            </w:r>
          </w:p>
        </w:tc>
        <w:tc>
          <w:tcPr>
            <w:tcW w:type="dxa" w:w="5227"/>
          </w:tcPr>
          <w:p>
            <w:pPr>
              <w:spacing w:after="0"/>
            </w:pPr>
            <w:r>
              <w:rPr>
                <w:sz w:val="11"/>
              </w:rPr>
              <w:t>Approve/modify/escalate.</w:t>
            </w:r>
          </w:p>
        </w:tc>
      </w:tr>
      <w:tr>
        <w:tc>
          <w:tcPr>
            <w:tcW w:type="dxa" w:w="5227"/>
          </w:tcPr>
          <w:p>
            <w:pPr>
              <w:spacing w:after="0"/>
            </w:pPr>
            <w:r>
              <w:rPr>
                <w:sz w:val="11"/>
              </w:rPr>
              <w:t>Review</w:t>
            </w:r>
          </w:p>
        </w:tc>
        <w:tc>
          <w:tcPr>
            <w:tcW w:type="dxa" w:w="5227"/>
          </w:tcPr>
          <w:p>
            <w:pPr>
              <w:spacing w:after="0"/>
            </w:pPr>
            <w:r>
              <w:rPr>
                <w:sz w:val="11"/>
              </w:rPr>
              <w:t>Trigger/date/owner.</w:t>
            </w:r>
          </w:p>
        </w:tc>
      </w:tr>
    </w:tbl>
    <w:p>
      <w:pPr>
        <w:pStyle w:val="Heading1"/>
      </w:pPr>
      <w:r>
        <w:t>Appendix B — Data Sharing Checklist</w:t>
      </w:r>
    </w:p>
    <w:p>
      <w:pPr>
        <w:pStyle w:val="ListBullet"/>
      </w:pPr>
      <w:r>
        <w:t>Recipient verified.</w:t>
      </w:r>
    </w:p>
    <w:p>
      <w:pPr>
        <w:pStyle w:val="ListBullet"/>
      </w:pPr>
      <w:r>
        <w:t>Purpose documented.</w:t>
      </w:r>
    </w:p>
    <w:p>
      <w:pPr>
        <w:pStyle w:val="ListBullet"/>
      </w:pPr>
      <w:r>
        <w:t>Patient matched.</w:t>
      </w:r>
    </w:p>
    <w:p>
      <w:pPr>
        <w:pStyle w:val="ListBullet"/>
      </w:pPr>
      <w:r>
        <w:t>Authority/consent evaluated.</w:t>
      </w:r>
    </w:p>
    <w:p>
      <w:pPr>
        <w:pStyle w:val="ListBullet"/>
      </w:pPr>
      <w:r>
        <w:t>Minimum data selected.</w:t>
      </w:r>
    </w:p>
    <w:p>
      <w:pPr>
        <w:pStyle w:val="ListBullet"/>
      </w:pPr>
      <w:r>
        <w:t>Sensitive restrictions applied.</w:t>
      </w:r>
    </w:p>
    <w:p>
      <w:pPr>
        <w:pStyle w:val="ListBullet"/>
      </w:pPr>
      <w:r>
        <w:t>Secure channel selected.</w:t>
      </w:r>
    </w:p>
    <w:p>
      <w:pPr>
        <w:pStyle w:val="ListBullet"/>
      </w:pPr>
      <w:r>
        <w:t>Disclosure manifest generated.</w:t>
      </w:r>
    </w:p>
    <w:p>
      <w:pPr>
        <w:pStyle w:val="ListBullet"/>
      </w:pPr>
      <w:r>
        <w:t>Recipient obligations known.</w:t>
      </w:r>
    </w:p>
    <w:p>
      <w:pPr>
        <w:pStyle w:val="ListBullet"/>
      </w:pPr>
      <w:r>
        <w:t>Disclosure audited.</w:t>
      </w:r>
    </w:p>
    <w:p>
      <w:pPr>
        <w:pStyle w:val="Heading1"/>
      </w:pPr>
      <w:r>
        <w:t>Appendix C — Research Dataset Checklist</w:t>
      </w:r>
    </w:p>
    <w:p>
      <w:pPr>
        <w:pStyle w:val="ListBullet"/>
      </w:pPr>
      <w:r>
        <w:t>Protocol/approval ID.</w:t>
      </w:r>
    </w:p>
    <w:p>
      <w:pPr>
        <w:pStyle w:val="ListBullet"/>
      </w:pPr>
      <w:r>
        <w:t>Dataset owner.</w:t>
      </w:r>
    </w:p>
    <w:p>
      <w:pPr>
        <w:pStyle w:val="ListBullet"/>
      </w:pPr>
      <w:r>
        <w:t>Cohort criteria.</w:t>
      </w:r>
    </w:p>
    <w:p>
      <w:pPr>
        <w:pStyle w:val="ListBullet"/>
      </w:pPr>
      <w:r>
        <w:t>Fields justified.</w:t>
      </w:r>
    </w:p>
    <w:p>
      <w:pPr>
        <w:pStyle w:val="ListBullet"/>
      </w:pPr>
      <w:r>
        <w:t>Identifiers removed/pseudonymised.</w:t>
      </w:r>
    </w:p>
    <w:p>
      <w:pPr>
        <w:pStyle w:val="ListBullet"/>
      </w:pPr>
      <w:r>
        <w:t>Free text/images reviewed.</w:t>
      </w:r>
    </w:p>
    <w:p>
      <w:pPr>
        <w:pStyle w:val="ListBullet"/>
      </w:pPr>
      <w:r>
        <w:t>Small-cell risk assessed.</w:t>
      </w:r>
    </w:p>
    <w:p>
      <w:pPr>
        <w:pStyle w:val="ListBullet"/>
      </w:pPr>
      <w:r>
        <w:t>Linkage key separated.</w:t>
      </w:r>
    </w:p>
    <w:p>
      <w:pPr>
        <w:pStyle w:val="ListBullet"/>
      </w:pPr>
      <w:r>
        <w:t>Secure workspace.</w:t>
      </w:r>
    </w:p>
    <w:p>
      <w:pPr>
        <w:pStyle w:val="ListBullet"/>
      </w:pPr>
      <w:r>
        <w:t>Named users.</w:t>
      </w:r>
    </w:p>
    <w:p>
      <w:pPr>
        <w:pStyle w:val="ListBullet"/>
      </w:pPr>
      <w:r>
        <w:t>Export/publication controls.</w:t>
      </w:r>
    </w:p>
    <w:p>
      <w:pPr>
        <w:pStyle w:val="ListBullet"/>
      </w:pPr>
      <w:r>
        <w:t>Retention/disposal date.</w:t>
      </w:r>
    </w:p>
    <w:p>
      <w:pPr>
        <w:pStyle w:val="Heading1"/>
      </w:pPr>
      <w:r>
        <w:t>Appendix D — Privacy Incident Checklist</w:t>
      </w:r>
    </w:p>
    <w:p>
      <w:pPr>
        <w:pStyle w:val="ListBullet"/>
      </w:pPr>
      <w:r>
        <w:t>Stop ongoing disclosure.</w:t>
      </w:r>
    </w:p>
    <w:p>
      <w:pPr>
        <w:pStyle w:val="ListBullet"/>
      </w:pPr>
      <w:r>
        <w:t>Preserve evidence.</w:t>
      </w:r>
    </w:p>
    <w:p>
      <w:pPr>
        <w:pStyle w:val="ListBullet"/>
      </w:pPr>
      <w:r>
        <w:t>Identify affected data/subjects.</w:t>
      </w:r>
    </w:p>
    <w:p>
      <w:pPr>
        <w:pStyle w:val="ListBullet"/>
      </w:pPr>
      <w:r>
        <w:t>Identify recipient/accessor.</w:t>
      </w:r>
    </w:p>
    <w:p>
      <w:pPr>
        <w:pStyle w:val="ListBullet"/>
      </w:pPr>
      <w:r>
        <w:t>Assess sensitivity and scale.</w:t>
      </w:r>
    </w:p>
    <w:p>
      <w:pPr>
        <w:pStyle w:val="ListBullet"/>
      </w:pPr>
      <w:r>
        <w:t>Attempt recovery/revocation.</w:t>
      </w:r>
    </w:p>
    <w:p>
      <w:pPr>
        <w:pStyle w:val="ListBullet"/>
      </w:pPr>
      <w:r>
        <w:t>Determine notification/escalation.</w:t>
      </w:r>
    </w:p>
    <w:p>
      <w:pPr>
        <w:pStyle w:val="ListBullet"/>
      </w:pPr>
      <w:r>
        <w:t>Document decisions.</w:t>
      </w:r>
    </w:p>
    <w:p>
      <w:pPr>
        <w:pStyle w:val="ListBullet"/>
      </w:pPr>
      <w:r>
        <w:t>Correct root cause.</w:t>
      </w:r>
    </w:p>
    <w:p>
      <w:pPr>
        <w:pStyle w:val="ListBullet"/>
      </w:pPr>
      <w:r>
        <w:t>Update DPIA/control/test where systemic.</w:t>
      </w:r>
    </w:p>
    <w:p>
      <w:pPr>
        <w:pStyle w:val="Heading1"/>
      </w:pPr>
      <w:r>
        <w:t>Appendix E — Governance Interfaces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Document</w:t>
            </w:r>
          </w:p>
        </w:tc>
        <w:tc>
          <w:tcPr>
            <w:tcW w:type="dxa" w:w="5227"/>
          </w:tcPr>
          <w:p>
            <w:pPr>
              <w:spacing w:after="0"/>
            </w:pPr>
            <w:r>
              <w:rPr>
                <w:b/>
                <w:sz w:val="11"/>
              </w:rPr>
              <w:t>Relationship</w:t>
            </w:r>
          </w:p>
        </w:tc>
      </w:tr>
      <w:tr>
        <w:tc>
          <w:tcPr>
            <w:tcW w:type="dxa" w:w="5227"/>
          </w:tcPr>
          <w:p>
            <w:pPr>
              <w:spacing w:after="0"/>
            </w:pPr>
            <w:r>
              <w:rPr>
                <w:sz w:val="11"/>
              </w:rPr>
              <w:t>PULSE-IAM-001</w:t>
            </w:r>
          </w:p>
        </w:tc>
        <w:tc>
          <w:tcPr>
            <w:tcW w:type="dxa" w:w="5227"/>
          </w:tcPr>
          <w:p>
            <w:pPr>
              <w:spacing w:after="0"/>
            </w:pPr>
            <w:r>
              <w:rPr>
                <w:sz w:val="11"/>
              </w:rPr>
              <w:t>Enforces identity, role, clinical privilege, consent-aware/context access.</w:t>
            </w:r>
          </w:p>
        </w:tc>
      </w:tr>
      <w:tr>
        <w:tc>
          <w:tcPr>
            <w:tcW w:type="dxa" w:w="5227"/>
          </w:tcPr>
          <w:p>
            <w:pPr>
              <w:spacing w:after="0"/>
            </w:pPr>
            <w:r>
              <w:rPr>
                <w:sz w:val="11"/>
              </w:rPr>
              <w:t>PULSE-SEC-001</w:t>
            </w:r>
          </w:p>
        </w:tc>
        <w:tc>
          <w:tcPr>
            <w:tcW w:type="dxa" w:w="5227"/>
          </w:tcPr>
          <w:p>
            <w:pPr>
              <w:spacing w:after="0"/>
            </w:pPr>
            <w:r>
              <w:rPr>
                <w:sz w:val="11"/>
              </w:rPr>
              <w:t>Protects confidentiality/integrity/availability technically.</w:t>
            </w:r>
          </w:p>
        </w:tc>
      </w:tr>
      <w:tr>
        <w:tc>
          <w:tcPr>
            <w:tcW w:type="dxa" w:w="5227"/>
          </w:tcPr>
          <w:p>
            <w:pPr>
              <w:spacing w:after="0"/>
            </w:pPr>
            <w:r>
              <w:rPr>
                <w:sz w:val="11"/>
              </w:rPr>
              <w:t>PULSE-FHIR-001</w:t>
            </w:r>
          </w:p>
        </w:tc>
        <w:tc>
          <w:tcPr>
            <w:tcW w:type="dxa" w:w="5227"/>
          </w:tcPr>
          <w:p>
            <w:pPr>
              <w:spacing w:after="0"/>
            </w:pPr>
            <w:r>
              <w:rPr>
                <w:sz w:val="11"/>
              </w:rPr>
              <w:t>Carries consent/provenance/security labels across interoperability.</w:t>
            </w:r>
          </w:p>
        </w:tc>
      </w:tr>
      <w:tr>
        <w:tc>
          <w:tcPr>
            <w:tcW w:type="dxa" w:w="5227"/>
          </w:tcPr>
          <w:p>
            <w:pPr>
              <w:spacing w:after="0"/>
            </w:pPr>
            <w:r>
              <w:rPr>
                <w:sz w:val="11"/>
              </w:rPr>
              <w:t>PULSE-SAFE-001</w:t>
            </w:r>
          </w:p>
        </w:tc>
        <w:tc>
          <w:tcPr>
            <w:tcW w:type="dxa" w:w="5227"/>
          </w:tcPr>
          <w:p>
            <w:pPr>
              <w:spacing w:after="0"/>
            </w:pPr>
            <w:r>
              <w:rPr>
                <w:sz w:val="11"/>
              </w:rPr>
              <w:t>Assesses patient-safety impact of privacy/security controls/failures.</w:t>
            </w:r>
          </w:p>
        </w:tc>
      </w:tr>
      <w:tr>
        <w:tc>
          <w:tcPr>
            <w:tcW w:type="dxa" w:w="5227"/>
          </w:tcPr>
          <w:p>
            <w:pPr>
              <w:spacing w:after="0"/>
            </w:pPr>
            <w:r>
              <w:rPr>
                <w:sz w:val="11"/>
              </w:rPr>
              <w:t>PULSE-DATA-001</w:t>
            </w:r>
          </w:p>
        </w:tc>
        <w:tc>
          <w:tcPr>
            <w:tcW w:type="dxa" w:w="5227"/>
          </w:tcPr>
          <w:p>
            <w:pPr>
              <w:spacing w:after="0"/>
            </w:pPr>
            <w:r>
              <w:rPr>
                <w:sz w:val="11"/>
              </w:rPr>
              <w:t>Defines canonical data, provenance and lifecycle.</w:t>
            </w:r>
          </w:p>
        </w:tc>
      </w:tr>
      <w:tr>
        <w:tc>
          <w:tcPr>
            <w:tcW w:type="dxa" w:w="5227"/>
          </w:tcPr>
          <w:p>
            <w:pPr>
              <w:spacing w:after="0"/>
            </w:pPr>
            <w:r>
              <w:rPr>
                <w:sz w:val="11"/>
              </w:rPr>
              <w:t>PULSE-REF-001</w:t>
            </w:r>
          </w:p>
        </w:tc>
        <w:tc>
          <w:tcPr>
            <w:tcW w:type="dxa" w:w="5227"/>
          </w:tcPr>
          <w:p>
            <w:pPr>
              <w:spacing w:after="0"/>
            </w:pPr>
            <w:r>
              <w:rPr>
                <w:sz w:val="11"/>
              </w:rPr>
              <w:t>Implements case-scoped inter-hospital disclosure.</w:t>
            </w:r>
          </w:p>
        </w:tc>
      </w:tr>
      <w:tr>
        <w:tc>
          <w:tcPr>
            <w:tcW w:type="dxa" w:w="5227"/>
          </w:tcPr>
          <w:p>
            <w:pPr>
              <w:spacing w:after="0"/>
            </w:pPr>
            <w:r>
              <w:rPr>
                <w:sz w:val="11"/>
              </w:rPr>
              <w:t>PULSE-OPS-001</w:t>
            </w:r>
          </w:p>
        </w:tc>
        <w:tc>
          <w:tcPr>
            <w:tcW w:type="dxa" w:w="5227"/>
          </w:tcPr>
          <w:p>
            <w:pPr>
              <w:spacing w:after="0"/>
            </w:pPr>
            <w:r>
              <w:rPr>
                <w:sz w:val="11"/>
              </w:rPr>
              <w:t>Operational incident, backup, support and recovery procedures.</w:t>
            </w:r>
          </w:p>
        </w:tc>
      </w:tr>
      <w:tr>
        <w:tc>
          <w:tcPr>
            <w:tcW w:type="dxa" w:w="5227"/>
          </w:tcPr>
          <w:p>
            <w:pPr>
              <w:spacing w:after="0"/>
            </w:pPr>
            <w:r>
              <w:rPr>
                <w:sz w:val="11"/>
              </w:rPr>
              <w:t>PULSE-QA-001</w:t>
            </w:r>
          </w:p>
        </w:tc>
        <w:tc>
          <w:tcPr>
            <w:tcW w:type="dxa" w:w="5227"/>
          </w:tcPr>
          <w:p>
            <w:pPr>
              <w:spacing w:after="0"/>
            </w:pPr>
            <w:r>
              <w:rPr>
                <w:sz w:val="11"/>
              </w:rPr>
              <w:t>Verification/validation of privacy requirements.</w:t>
            </w:r>
          </w:p>
        </w:tc>
      </w:tr>
    </w:tbl>
    <w:p>
      <w:pPr>
        <w:pStyle w:val="Heading1"/>
      </w:pPr>
      <w:r>
        <w:t>Appendix F — Required Follow-On Artifacts</w:t>
      </w:r>
    </w:p>
    <w:tbl>
      <w:tblPr>
        <w:tblStyle w:val="TableGrid"/>
        <w:tblW w:type="auto" w:w="0"/>
        <w:jc w:val="center"/>
        <w:tblLook w:firstColumn="1" w:firstRow="1" w:lastColumn="0" w:lastRow="0" w:noHBand="0" w:noVBand="1" w:val="04A0"/>
      </w:tblPr>
      <w:tblGrid>
        <w:gridCol w:w="5227"/>
        <w:gridCol w:w="5227"/>
      </w:tblGrid>
      <w:tr>
        <w:tc>
          <w:tcPr>
            <w:tcW w:type="dxa" w:w="5227"/>
          </w:tcPr>
          <w:p>
            <w:pPr>
              <w:spacing w:after="0"/>
            </w:pPr>
            <w:r>
              <w:rPr>
                <w:b/>
                <w:sz w:val="11"/>
              </w:rPr>
              <w:t>Artifact</w:t>
            </w:r>
          </w:p>
        </w:tc>
        <w:tc>
          <w:tcPr>
            <w:tcW w:type="dxa" w:w="5227"/>
          </w:tcPr>
          <w:p>
            <w:pPr>
              <w:spacing w:after="0"/>
            </w:pPr>
            <w:r>
              <w:rPr>
                <w:b/>
                <w:sz w:val="11"/>
              </w:rPr>
              <w:t>Purpose</w:t>
            </w:r>
          </w:p>
        </w:tc>
      </w:tr>
      <w:tr>
        <w:tc>
          <w:tcPr>
            <w:tcW w:type="dxa" w:w="5227"/>
          </w:tcPr>
          <w:p>
            <w:pPr>
              <w:spacing w:after="0"/>
            </w:pPr>
            <w:r>
              <w:rPr>
                <w:sz w:val="11"/>
              </w:rPr>
              <w:t>Processing Activities Register</w:t>
            </w:r>
          </w:p>
        </w:tc>
        <w:tc>
          <w:tcPr>
            <w:tcW w:type="dxa" w:w="5227"/>
          </w:tcPr>
          <w:p>
            <w:pPr>
              <w:spacing w:after="0"/>
            </w:pPr>
            <w:r>
              <w:rPr>
                <w:sz w:val="11"/>
              </w:rPr>
              <w:t>Operational inventory of purposes/data/recipients.</w:t>
            </w:r>
          </w:p>
        </w:tc>
      </w:tr>
      <w:tr>
        <w:tc>
          <w:tcPr>
            <w:tcW w:type="dxa" w:w="5227"/>
          </w:tcPr>
          <w:p>
            <w:pPr>
              <w:spacing w:after="0"/>
            </w:pPr>
            <w:r>
              <w:rPr>
                <w:sz w:val="11"/>
              </w:rPr>
              <w:t>Data Classification Register</w:t>
            </w:r>
          </w:p>
        </w:tc>
        <w:tc>
          <w:tcPr>
            <w:tcW w:type="dxa" w:w="5227"/>
          </w:tcPr>
          <w:p>
            <w:pPr>
              <w:spacing w:after="0"/>
            </w:pPr>
            <w:r>
              <w:rPr>
                <w:sz w:val="11"/>
              </w:rPr>
              <w:t>Object/dataset sensitivity.</w:t>
            </w:r>
          </w:p>
        </w:tc>
      </w:tr>
      <w:tr>
        <w:tc>
          <w:tcPr>
            <w:tcW w:type="dxa" w:w="5227"/>
          </w:tcPr>
          <w:p>
            <w:pPr>
              <w:spacing w:after="0"/>
            </w:pPr>
            <w:r>
              <w:rPr>
                <w:sz w:val="11"/>
              </w:rPr>
              <w:t>Retention Schedule</w:t>
            </w:r>
          </w:p>
        </w:tc>
        <w:tc>
          <w:tcPr>
            <w:tcW w:type="dxa" w:w="5227"/>
          </w:tcPr>
          <w:p>
            <w:pPr>
              <w:spacing w:after="0"/>
            </w:pPr>
            <w:r>
              <w:rPr>
                <w:sz w:val="11"/>
              </w:rPr>
              <w:t>Approved category periods/triggers.</w:t>
            </w:r>
          </w:p>
        </w:tc>
      </w:tr>
      <w:tr>
        <w:tc>
          <w:tcPr>
            <w:tcW w:type="dxa" w:w="5227"/>
          </w:tcPr>
          <w:p>
            <w:pPr>
              <w:spacing w:after="0"/>
            </w:pPr>
            <w:r>
              <w:rPr>
                <w:sz w:val="11"/>
              </w:rPr>
              <w:t>DPIA Register</w:t>
            </w:r>
          </w:p>
        </w:tc>
        <w:tc>
          <w:tcPr>
            <w:tcW w:type="dxa" w:w="5227"/>
          </w:tcPr>
          <w:p>
            <w:pPr>
              <w:spacing w:after="0"/>
            </w:pPr>
            <w:r>
              <w:rPr>
                <w:sz w:val="11"/>
              </w:rPr>
              <w:t>Assessments and residual risk.</w:t>
            </w:r>
          </w:p>
        </w:tc>
      </w:tr>
      <w:tr>
        <w:tc>
          <w:tcPr>
            <w:tcW w:type="dxa" w:w="5227"/>
          </w:tcPr>
          <w:p>
            <w:pPr>
              <w:spacing w:after="0"/>
            </w:pPr>
            <w:r>
              <w:rPr>
                <w:sz w:val="11"/>
              </w:rPr>
              <w:t>Processor/Subprocessor Register</w:t>
            </w:r>
          </w:p>
        </w:tc>
        <w:tc>
          <w:tcPr>
            <w:tcW w:type="dxa" w:w="5227"/>
          </w:tcPr>
          <w:p>
            <w:pPr>
              <w:spacing w:after="0"/>
            </w:pPr>
            <w:r>
              <w:rPr>
                <w:sz w:val="11"/>
              </w:rPr>
              <w:t>Third-party accountability.</w:t>
            </w:r>
          </w:p>
        </w:tc>
      </w:tr>
      <w:tr>
        <w:tc>
          <w:tcPr>
            <w:tcW w:type="dxa" w:w="5227"/>
          </w:tcPr>
          <w:p>
            <w:pPr>
              <w:spacing w:after="0"/>
            </w:pPr>
            <w:r>
              <w:rPr>
                <w:sz w:val="11"/>
              </w:rPr>
              <w:t>Data Sharing Agreement template</w:t>
            </w:r>
          </w:p>
        </w:tc>
        <w:tc>
          <w:tcPr>
            <w:tcW w:type="dxa" w:w="5227"/>
          </w:tcPr>
          <w:p>
            <w:pPr>
              <w:spacing w:after="0"/>
            </w:pPr>
            <w:r>
              <w:rPr>
                <w:sz w:val="11"/>
              </w:rPr>
              <w:t>Inter-facility/partner governance.</w:t>
            </w:r>
          </w:p>
        </w:tc>
      </w:tr>
      <w:tr>
        <w:tc>
          <w:tcPr>
            <w:tcW w:type="dxa" w:w="5227"/>
          </w:tcPr>
          <w:p>
            <w:pPr>
              <w:spacing w:after="0"/>
            </w:pPr>
            <w:r>
              <w:rPr>
                <w:sz w:val="11"/>
              </w:rPr>
              <w:t>Rights Request SOP</w:t>
            </w:r>
          </w:p>
        </w:tc>
        <w:tc>
          <w:tcPr>
            <w:tcW w:type="dxa" w:w="5227"/>
          </w:tcPr>
          <w:p>
            <w:pPr>
              <w:spacing w:after="0"/>
            </w:pPr>
            <w:r>
              <w:rPr>
                <w:sz w:val="11"/>
              </w:rPr>
              <w:t>Operational fulfilment.</w:t>
            </w:r>
          </w:p>
        </w:tc>
      </w:tr>
      <w:tr>
        <w:tc>
          <w:tcPr>
            <w:tcW w:type="dxa" w:w="5227"/>
          </w:tcPr>
          <w:p>
            <w:pPr>
              <w:spacing w:after="0"/>
            </w:pPr>
            <w:r>
              <w:rPr>
                <w:sz w:val="11"/>
              </w:rPr>
              <w:t>Privacy Incident Runbook</w:t>
            </w:r>
          </w:p>
        </w:tc>
        <w:tc>
          <w:tcPr>
            <w:tcW w:type="dxa" w:w="5227"/>
          </w:tcPr>
          <w:p>
            <w:pPr>
              <w:spacing w:after="0"/>
            </w:pPr>
            <w:r>
              <w:rPr>
                <w:sz w:val="11"/>
              </w:rPr>
              <w:t>Containment/assessment/notification.</w:t>
            </w:r>
          </w:p>
        </w:tc>
      </w:tr>
      <w:tr>
        <w:tc>
          <w:tcPr>
            <w:tcW w:type="dxa" w:w="5227"/>
          </w:tcPr>
          <w:p>
            <w:pPr>
              <w:spacing w:after="0"/>
            </w:pPr>
            <w:r>
              <w:rPr>
                <w:sz w:val="11"/>
              </w:rPr>
              <w:t>Research Data SOP</w:t>
            </w:r>
          </w:p>
        </w:tc>
        <w:tc>
          <w:tcPr>
            <w:tcW w:type="dxa" w:w="5227"/>
          </w:tcPr>
          <w:p>
            <w:pPr>
              <w:spacing w:after="0"/>
            </w:pPr>
            <w:r>
              <w:rPr>
                <w:sz w:val="11"/>
              </w:rPr>
              <w:t>Secondary-use controls.</w:t>
            </w:r>
          </w:p>
        </w:tc>
      </w:tr>
      <w:tr>
        <w:tc>
          <w:tcPr>
            <w:tcW w:type="dxa" w:w="5227"/>
          </w:tcPr>
          <w:p>
            <w:pPr>
              <w:spacing w:after="0"/>
            </w:pPr>
            <w:r>
              <w:rPr>
                <w:sz w:val="11"/>
              </w:rPr>
              <w:t>De-identification Standard</w:t>
            </w:r>
          </w:p>
        </w:tc>
        <w:tc>
          <w:tcPr>
            <w:tcW w:type="dxa" w:w="5227"/>
          </w:tcPr>
          <w:p>
            <w:pPr>
              <w:spacing w:after="0"/>
            </w:pPr>
            <w:r>
              <w:rPr>
                <w:sz w:val="11"/>
              </w:rPr>
              <w:t>Technical risk-reduction method.</w:t>
            </w:r>
          </w:p>
        </w:tc>
      </w:tr>
      <w:tr>
        <w:tc>
          <w:tcPr>
            <w:tcW w:type="dxa" w:w="5227"/>
          </w:tcPr>
          <w:p>
            <w:pPr>
              <w:spacing w:after="0"/>
            </w:pPr>
            <w:r>
              <w:rPr>
                <w:sz w:val="11"/>
              </w:rPr>
              <w:t>Privacy Traceability Matrix</w:t>
            </w:r>
          </w:p>
        </w:tc>
        <w:tc>
          <w:tcPr>
            <w:tcW w:type="dxa" w:w="5227"/>
          </w:tcPr>
          <w:p>
            <w:pPr>
              <w:spacing w:after="0"/>
            </w:pPr>
            <w:r>
              <w:rPr>
                <w:sz w:val="11"/>
              </w:rPr>
              <w:t>Requirement → control → test → evidence.</w:t>
            </w:r>
          </w:p>
        </w:tc>
      </w:tr>
    </w:tbl>
    <w:p>
      <w:pPr>
        <w:pStyle w:val="Heading1"/>
      </w:pPr>
      <w:r>
        <w:t>Appendix G — Architectural Boundary</w:t>
      </w:r>
    </w:p>
    <w:p>
      <w:r>
        <w:t>PULSE-PRIV-001 defines privacy and data-governance policy requirements. It does not replace legal advice or deployment-specific regulatory interpretation. PULSE-IAM-001 enforces access decisions, PULSE-SEC-001 supplies cybersecurity safeguards, PULSE-FHIR-001 governs interoperable representation, and PULSE-OPS-001 operationalises support, incident and retention procedures.</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Pulse Health Platform • Confidential • Privacy &amp; Data Governance Baseline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PULSE-PRIV-001  |  PRIVACY, DPIA &amp; HEALTHCARE DATA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