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sz w:val="60"/>
        </w:rPr>
        <w:t>PULSE HEALTH PLATFORM</w:t>
      </w:r>
    </w:p>
    <w:p>
      <w:pPr>
        <w:jc w:val="center"/>
      </w:pPr>
      <w:r>
        <w:rPr>
          <w:b/>
          <w:sz w:val="26"/>
        </w:rPr>
        <w:t>Master System Blueprint — Clinical, Operational, Network, Data, Security &amp; Engineering Specification</w:t>
      </w:r>
    </w:p>
    <w:p/>
    <w:p>
      <w:pPr>
        <w:jc w:val="center"/>
      </w:pPr>
      <w:r>
        <w:rPr>
          <w:i/>
          <w:sz w:val="22"/>
        </w:rPr>
        <w:t>Nigeria-first. Standards-aligned. Interoperable. Clinically safe. Network-ready.</w:t>
      </w:r>
    </w:p>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Document type</w:t>
            </w:r>
          </w:p>
        </w:tc>
        <w:tc>
          <w:tcPr>
            <w:tcW w:type="dxa" w:w="5083"/>
          </w:tcPr>
          <w:p>
            <w:r>
              <w:t>Master Product, Clinical, Functional &amp; Technical Blueprint</w:t>
            </w:r>
          </w:p>
        </w:tc>
      </w:tr>
      <w:tr>
        <w:tc>
          <w:tcPr>
            <w:tcW w:type="dxa" w:w="5083"/>
          </w:tcPr>
          <w:p>
            <w:r>
              <w:rPr>
                <w:b/>
              </w:rPr>
              <w:t>Product</w:t>
            </w:r>
          </w:p>
        </w:tc>
        <w:tc>
          <w:tcPr>
            <w:tcW w:type="dxa" w:w="5083"/>
          </w:tcPr>
          <w:p>
            <w:r>
              <w:t>Pulse Health Platform</w:t>
            </w:r>
          </w:p>
        </w:tc>
      </w:tr>
      <w:tr>
        <w:tc>
          <w:tcPr>
            <w:tcW w:type="dxa" w:w="5083"/>
          </w:tcPr>
          <w:p>
            <w:r>
              <w:rPr>
                <w:b/>
              </w:rPr>
              <w:t>Version</w:t>
            </w:r>
          </w:p>
        </w:tc>
        <w:tc>
          <w:tcPr>
            <w:tcW w:type="dxa" w:w="5083"/>
          </w:tcPr>
          <w:p>
            <w:r>
              <w:t>1.0 – Foundational Architecture</w:t>
            </w:r>
          </w:p>
        </w:tc>
      </w:tr>
      <w:tr>
        <w:tc>
          <w:tcPr>
            <w:tcW w:type="dxa" w:w="5083"/>
          </w:tcPr>
          <w:p>
            <w:r>
              <w:rPr>
                <w:b/>
              </w:rPr>
              <w:t>Status</w:t>
            </w:r>
          </w:p>
        </w:tc>
        <w:tc>
          <w:tcPr>
            <w:tcW w:type="dxa" w:w="5083"/>
          </w:tcPr>
          <w:p>
            <w:r>
              <w:t>Architecture baseline / requirements discovery</w:t>
            </w:r>
          </w:p>
        </w:tc>
      </w:tr>
      <w:tr>
        <w:tc>
          <w:tcPr>
            <w:tcW w:type="dxa" w:w="5083"/>
          </w:tcPr>
          <w:p>
            <w:r>
              <w:rPr>
                <w:b/>
              </w:rPr>
              <w:t>Scope</w:t>
            </w:r>
          </w:p>
        </w:tc>
        <w:tc>
          <w:tcPr>
            <w:tcW w:type="dxa" w:w="5083"/>
          </w:tcPr>
          <w:p>
            <w:r>
              <w:t>Clinic, hospital, referral centre, teaching hospital and multi-facility network</w:t>
            </w:r>
          </w:p>
        </w:tc>
      </w:tr>
    </w:tbl>
    <w:p>
      <w:r>
        <w:br w:type="page"/>
      </w:r>
    </w:p>
    <w:p>
      <w:pPr>
        <w:pStyle w:val="Heading1"/>
      </w:pPr>
      <w:r>
        <w:t>0. Executive Definition</w:t>
      </w:r>
    </w:p>
    <w:p>
      <w:r>
        <w:t>Pulse Health Platform is a modular healthcare operating platform for independent clinics, hospitals, specialist centres, teaching/referral hospitals and multi-facility networks. It combines a longitudinal electronic health record, hospital operations, diagnostics, medication and inventory management, interactive anatomical clinical mapping, patient engagement and a governed inter-hospital referral/transfer network.</w:t>
      </w:r>
    </w:p>
    <w:p>
      <w:r>
        <w:t>The product is intentionally broader than a conventional Hospital Management System. Its design centre is the patient and the episode of care; departments, facilities and external providers participate in that care through controlled workflows. A facility can deploy only the capabilities it needs while sharing the same platform core and interoperability model.</w:t>
      </w:r>
    </w:p>
    <w:p>
      <w:pPr>
        <w:pStyle w:val="Heading2"/>
      </w:pPr>
      <w:r>
        <w:t>0.1 Product outcomes</w:t>
      </w:r>
    </w:p>
    <w:p>
      <w:pPr>
        <w:pStyle w:val="ListBullet"/>
      </w:pPr>
      <w:r>
        <w:t>One patient identity with one longitudinal clinical history, while preserving facility-specific medical record numbers and legal record boundaries.</w:t>
      </w:r>
    </w:p>
    <w:p>
      <w:pPr>
        <w:pStyle w:val="ListBullet"/>
      </w:pPr>
      <w:r>
        <w:t>Structured, attributable and time-stamped clinical documentation across consultation, nursing, diagnostics, pharmacy, theatre, wards and specialist services.</w:t>
      </w:r>
    </w:p>
    <w:p>
      <w:pPr>
        <w:pStyle w:val="ListBullet"/>
      </w:pPr>
      <w:r>
        <w:t>Interactive 2D/3D anatomical mapping that stores selected anatomy and annotations as clinical data rather than decorative graphics.</w:t>
      </w:r>
    </w:p>
    <w:p>
      <w:pPr>
        <w:pStyle w:val="ListBullet"/>
      </w:pPr>
      <w:r>
        <w:t>Digital referrals and transfers in which the receiving hospital can review, communicate, request information, accept, triage, schedule, allocate resources and prepare before patient arrival.</w:t>
      </w:r>
    </w:p>
    <w:p>
      <w:pPr>
        <w:pStyle w:val="ListBullet"/>
      </w:pPr>
      <w:r>
        <w:t>Department-aware inventory and supply-chain control for pharmacy, laboratory, theatre, wards, stores and other consuming units.</w:t>
      </w:r>
    </w:p>
    <w:p>
      <w:pPr>
        <w:pStyle w:val="ListBullet"/>
      </w:pPr>
      <w:r>
        <w:t>Standards-aligned exchange so Pulse can interoperate with non-Pulse systems rather than becoming a closed ecosystem.</w:t>
      </w:r>
    </w:p>
    <w:p>
      <w:pPr>
        <w:pStyle w:val="ListBullet"/>
      </w:pPr>
      <w:r>
        <w:t>Offline-resilient facility operation with controlled synchronisation where connectivity is unreliable.</w:t>
      </w:r>
    </w:p>
    <w:p>
      <w:pPr>
        <w:pStyle w:val="ListBullet"/>
      </w:pPr>
      <w:r>
        <w:t>Clinical safety, privacy, auditability and governance as platform primitives.</w:t>
      </w:r>
    </w:p>
    <w:p>
      <w:pPr>
        <w:pStyle w:val="Heading2"/>
      </w:pPr>
      <w:r>
        <w:t>0.2 Foundational design principles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Principle</w:t>
            </w:r>
          </w:p>
        </w:tc>
        <w:tc>
          <w:tcPr>
            <w:tcW w:type="dxa" w:w="5083"/>
            <w:vAlign w:val="center"/>
          </w:tcPr>
          <w:p>
            <w:pPr>
              <w:spacing w:after="20"/>
            </w:pPr>
            <w:r>
              <w:rPr>
                <w:b/>
                <w:sz w:val="16"/>
              </w:rPr>
              <w:t>System implication</w:t>
            </w:r>
          </w:p>
        </w:tc>
      </w:tr>
      <w:tr>
        <w:tc>
          <w:tcPr>
            <w:tcW w:type="dxa" w:w="5083"/>
            <w:vAlign w:val="top"/>
          </w:tcPr>
          <w:p>
            <w:pPr>
              <w:spacing w:after="20"/>
            </w:pPr>
            <w:r>
              <w:rPr>
                <w:sz w:val="16"/>
              </w:rPr>
              <w:t>Patient-centred</w:t>
            </w:r>
          </w:p>
        </w:tc>
        <w:tc>
          <w:tcPr>
            <w:tcW w:type="dxa" w:w="5083"/>
            <w:vAlign w:val="top"/>
          </w:tcPr>
          <w:p>
            <w:pPr>
              <w:spacing w:after="20"/>
            </w:pPr>
            <w:r>
              <w:rPr>
                <w:sz w:val="16"/>
              </w:rPr>
              <w:t>Patient, encounter and episode-of-care objects anchor clinical workflows.</w:t>
            </w:r>
          </w:p>
        </w:tc>
      </w:tr>
      <w:tr>
        <w:tc>
          <w:tcPr>
            <w:tcW w:type="dxa" w:w="5083"/>
            <w:vAlign w:val="top"/>
          </w:tcPr>
          <w:p>
            <w:pPr>
              <w:spacing w:after="20"/>
            </w:pPr>
            <w:r>
              <w:rPr>
                <w:sz w:val="16"/>
              </w:rPr>
              <w:t>Single source of truth</w:t>
            </w:r>
          </w:p>
        </w:tc>
        <w:tc>
          <w:tcPr>
            <w:tcW w:type="dxa" w:w="5083"/>
            <w:vAlign w:val="top"/>
          </w:tcPr>
          <w:p>
            <w:pPr>
              <w:spacing w:after="20"/>
            </w:pPr>
            <w:r>
              <w:rPr>
                <w:sz w:val="16"/>
              </w:rPr>
              <w:t>Authoritative data ownership is defined; duplication is controlled and reconciliation is auditable.</w:t>
            </w:r>
          </w:p>
        </w:tc>
      </w:tr>
      <w:tr>
        <w:tc>
          <w:tcPr>
            <w:tcW w:type="dxa" w:w="5083"/>
            <w:vAlign w:val="top"/>
          </w:tcPr>
          <w:p>
            <w:pPr>
              <w:spacing w:after="20"/>
            </w:pPr>
            <w:r>
              <w:rPr>
                <w:sz w:val="16"/>
              </w:rPr>
              <w:t>Workflow fidelity</w:t>
            </w:r>
          </w:p>
        </w:tc>
        <w:tc>
          <w:tcPr>
            <w:tcW w:type="dxa" w:w="5083"/>
            <w:vAlign w:val="top"/>
          </w:tcPr>
          <w:p>
            <w:pPr>
              <w:spacing w:after="20"/>
            </w:pPr>
            <w:r>
              <w:rPr>
                <w:sz w:val="16"/>
              </w:rPr>
              <w:t>Configuration follows real clinical and operational practice without embedding unsafe shortcuts.</w:t>
            </w:r>
          </w:p>
        </w:tc>
      </w:tr>
      <w:tr>
        <w:tc>
          <w:tcPr>
            <w:tcW w:type="dxa" w:w="5083"/>
            <w:vAlign w:val="top"/>
          </w:tcPr>
          <w:p>
            <w:pPr>
              <w:spacing w:after="20"/>
            </w:pPr>
            <w:r>
              <w:rPr>
                <w:sz w:val="16"/>
              </w:rPr>
              <w:t>Progressive disclosure</w:t>
            </w:r>
          </w:p>
        </w:tc>
        <w:tc>
          <w:tcPr>
            <w:tcW w:type="dxa" w:w="5083"/>
            <w:vAlign w:val="top"/>
          </w:tcPr>
          <w:p>
            <w:pPr>
              <w:spacing w:after="20"/>
            </w:pPr>
            <w:r>
              <w:rPr>
                <w:sz w:val="16"/>
              </w:rPr>
              <w:t>Users see role-, department-, task- and context-appropriate information.</w:t>
            </w:r>
          </w:p>
        </w:tc>
      </w:tr>
      <w:tr>
        <w:tc>
          <w:tcPr>
            <w:tcW w:type="dxa" w:w="5083"/>
            <w:vAlign w:val="top"/>
          </w:tcPr>
          <w:p>
            <w:pPr>
              <w:spacing w:after="20"/>
            </w:pPr>
            <w:r>
              <w:rPr>
                <w:sz w:val="16"/>
              </w:rPr>
              <w:t>Standards first</w:t>
            </w:r>
          </w:p>
        </w:tc>
        <w:tc>
          <w:tcPr>
            <w:tcW w:type="dxa" w:w="5083"/>
            <w:vAlign w:val="top"/>
          </w:tcPr>
          <w:p>
            <w:pPr>
              <w:spacing w:after="20"/>
            </w:pPr>
            <w:r>
              <w:rPr>
                <w:sz w:val="16"/>
              </w:rPr>
              <w:t>Interoperability uses healthcare standards and terminology mappings where applicable.</w:t>
            </w:r>
          </w:p>
        </w:tc>
      </w:tr>
      <w:tr>
        <w:tc>
          <w:tcPr>
            <w:tcW w:type="dxa" w:w="5083"/>
            <w:vAlign w:val="top"/>
          </w:tcPr>
          <w:p>
            <w:pPr>
              <w:spacing w:after="20"/>
            </w:pPr>
            <w:r>
              <w:rPr>
                <w:sz w:val="16"/>
              </w:rPr>
              <w:t>Safety before automation</w:t>
            </w:r>
          </w:p>
        </w:tc>
        <w:tc>
          <w:tcPr>
            <w:tcW w:type="dxa" w:w="5083"/>
            <w:vAlign w:val="top"/>
          </w:tcPr>
          <w:p>
            <w:pPr>
              <w:spacing w:after="20"/>
            </w:pPr>
            <w:r>
              <w:rPr>
                <w:sz w:val="16"/>
              </w:rPr>
              <w:t>Decision support assists; it does not silently replace accountable clinical judgement.</w:t>
            </w:r>
          </w:p>
        </w:tc>
      </w:tr>
      <w:tr>
        <w:tc>
          <w:tcPr>
            <w:tcW w:type="dxa" w:w="5083"/>
            <w:vAlign w:val="top"/>
          </w:tcPr>
          <w:p>
            <w:pPr>
              <w:spacing w:after="20"/>
            </w:pPr>
            <w:r>
              <w:rPr>
                <w:sz w:val="16"/>
              </w:rPr>
              <w:t>Privacy by design</w:t>
            </w:r>
          </w:p>
        </w:tc>
        <w:tc>
          <w:tcPr>
            <w:tcW w:type="dxa" w:w="5083"/>
            <w:vAlign w:val="top"/>
          </w:tcPr>
          <w:p>
            <w:pPr>
              <w:spacing w:after="20"/>
            </w:pPr>
            <w:r>
              <w:rPr>
                <w:sz w:val="16"/>
              </w:rPr>
              <w:t>Minimum necessary access, consent, purpose, segmentation and audit are designed into workflows.</w:t>
            </w:r>
          </w:p>
        </w:tc>
      </w:tr>
      <w:tr>
        <w:tc>
          <w:tcPr>
            <w:tcW w:type="dxa" w:w="5083"/>
            <w:vAlign w:val="top"/>
          </w:tcPr>
          <w:p>
            <w:pPr>
              <w:spacing w:after="20"/>
            </w:pPr>
            <w:r>
              <w:rPr>
                <w:sz w:val="16"/>
              </w:rPr>
              <w:t>Nigeria-first resilience</w:t>
            </w:r>
          </w:p>
        </w:tc>
        <w:tc>
          <w:tcPr>
            <w:tcW w:type="dxa" w:w="5083"/>
            <w:vAlign w:val="top"/>
          </w:tcPr>
          <w:p>
            <w:pPr>
              <w:spacing w:after="20"/>
            </w:pPr>
            <w:r>
              <w:rPr>
                <w:sz w:val="16"/>
              </w:rPr>
              <w:t>Local network continuity, low-bandwidth operation, asynchronous integration and practical deployment are first-class.</w:t>
            </w:r>
          </w:p>
        </w:tc>
      </w:tr>
      <w:tr>
        <w:tc>
          <w:tcPr>
            <w:tcW w:type="dxa" w:w="5083"/>
            <w:vAlign w:val="top"/>
          </w:tcPr>
          <w:p>
            <w:pPr>
              <w:spacing w:after="20"/>
            </w:pPr>
            <w:r>
              <w:rPr>
                <w:sz w:val="16"/>
              </w:rPr>
              <w:t>Configurable, not forked</w:t>
            </w:r>
          </w:p>
        </w:tc>
        <w:tc>
          <w:tcPr>
            <w:tcW w:type="dxa" w:w="5083"/>
            <w:vAlign w:val="top"/>
          </w:tcPr>
          <w:p>
            <w:pPr>
              <w:spacing w:after="20"/>
            </w:pPr>
            <w:r>
              <w:rPr>
                <w:sz w:val="16"/>
              </w:rPr>
              <w:t>Clinic/hospital/teaching-hospital differences are capability and workflow configurations, not separate products.</w:t>
            </w:r>
          </w:p>
        </w:tc>
      </w:tr>
      <w:tr>
        <w:tc>
          <w:tcPr>
            <w:tcW w:type="dxa" w:w="5083"/>
            <w:vAlign w:val="top"/>
          </w:tcPr>
          <w:p>
            <w:pPr>
              <w:spacing w:after="20"/>
            </w:pPr>
            <w:r>
              <w:rPr>
                <w:sz w:val="16"/>
              </w:rPr>
              <w:t>Everything important is attributable</w:t>
            </w:r>
          </w:p>
        </w:tc>
        <w:tc>
          <w:tcPr>
            <w:tcW w:type="dxa" w:w="5083"/>
            <w:vAlign w:val="top"/>
          </w:tcPr>
          <w:p>
            <w:pPr>
              <w:spacing w:after="20"/>
            </w:pPr>
            <w:r>
              <w:rPr>
                <w:sz w:val="16"/>
              </w:rPr>
              <w:t>Clinical, financial, inventory, referral and administrative state changes retain actor, time, source and reason.</w:t>
            </w:r>
          </w:p>
        </w:tc>
      </w:tr>
    </w:tbl>
    <w:p>
      <w:pPr>
        <w:pStyle w:val="Heading1"/>
      </w:pPr>
      <w:r>
        <w:t>1. Scope and System Boundaries</w:t>
      </w:r>
    </w:p>
    <w:p>
      <w:pPr>
        <w:pStyle w:val="Heading2"/>
      </w:pPr>
      <w:r>
        <w:t>1.1 Facility profiles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Profile</w:t>
            </w:r>
          </w:p>
        </w:tc>
        <w:tc>
          <w:tcPr>
            <w:tcW w:type="dxa" w:w="5083"/>
            <w:vAlign w:val="center"/>
          </w:tcPr>
          <w:p>
            <w:pPr>
              <w:spacing w:after="20"/>
            </w:pPr>
            <w:r>
              <w:rPr>
                <w:b/>
                <w:sz w:val="16"/>
              </w:rPr>
              <w:t>Typical enabled capabilities</w:t>
            </w:r>
          </w:p>
        </w:tc>
      </w:tr>
      <w:tr>
        <w:tc>
          <w:tcPr>
            <w:tcW w:type="dxa" w:w="5083"/>
            <w:vAlign w:val="top"/>
          </w:tcPr>
          <w:p>
            <w:pPr>
              <w:spacing w:after="20"/>
            </w:pPr>
            <w:r>
              <w:rPr>
                <w:sz w:val="16"/>
              </w:rPr>
              <w:t>Primary/Outpatient Clinic</w:t>
            </w:r>
          </w:p>
        </w:tc>
        <w:tc>
          <w:tcPr>
            <w:tcW w:type="dxa" w:w="5083"/>
            <w:vAlign w:val="top"/>
          </w:tcPr>
          <w:p>
            <w:pPr>
              <w:spacing w:after="20"/>
            </w:pPr>
            <w:r>
              <w:rPr>
                <w:sz w:val="16"/>
              </w:rPr>
              <w:t>Registration, appointments, queue, consultation, vitals, basic lab, pharmacy, billing, inventory, referrals, reports.</w:t>
            </w:r>
          </w:p>
        </w:tc>
      </w:tr>
      <w:tr>
        <w:tc>
          <w:tcPr>
            <w:tcW w:type="dxa" w:w="5083"/>
            <w:vAlign w:val="top"/>
          </w:tcPr>
          <w:p>
            <w:pPr>
              <w:spacing w:after="20"/>
            </w:pPr>
            <w:r>
              <w:rPr>
                <w:sz w:val="16"/>
              </w:rPr>
              <w:t>General Hospital</w:t>
            </w:r>
          </w:p>
        </w:tc>
        <w:tc>
          <w:tcPr>
            <w:tcW w:type="dxa" w:w="5083"/>
            <w:vAlign w:val="top"/>
          </w:tcPr>
          <w:p>
            <w:pPr>
              <w:spacing w:after="20"/>
            </w:pPr>
            <w:r>
              <w:rPr>
                <w:sz w:val="16"/>
              </w:rPr>
              <w:t>Clinic capabilities plus emergency, admission, wards, beds, imaging, theatre, advanced laboratory, nursing MAR, claims, workforce, equipment.</w:t>
            </w:r>
          </w:p>
        </w:tc>
      </w:tr>
      <w:tr>
        <w:tc>
          <w:tcPr>
            <w:tcW w:type="dxa" w:w="5083"/>
            <w:vAlign w:val="top"/>
          </w:tcPr>
          <w:p>
            <w:pPr>
              <w:spacing w:after="20"/>
            </w:pPr>
            <w:r>
              <w:rPr>
                <w:sz w:val="16"/>
              </w:rPr>
              <w:t>Specialist Centre</w:t>
            </w:r>
          </w:p>
        </w:tc>
        <w:tc>
          <w:tcPr>
            <w:tcW w:type="dxa" w:w="5083"/>
            <w:vAlign w:val="top"/>
          </w:tcPr>
          <w:p>
            <w:pPr>
              <w:spacing w:after="20"/>
            </w:pPr>
            <w:r>
              <w:rPr>
                <w:sz w:val="16"/>
              </w:rPr>
              <w:t>Specialty templates, recurring treatment, advanced anatomy, specialised diagnostics, referral intake, care pathways.</w:t>
            </w:r>
          </w:p>
        </w:tc>
      </w:tr>
      <w:tr>
        <w:tc>
          <w:tcPr>
            <w:tcW w:type="dxa" w:w="5083"/>
            <w:vAlign w:val="top"/>
          </w:tcPr>
          <w:p>
            <w:pPr>
              <w:spacing w:after="20"/>
            </w:pPr>
            <w:r>
              <w:rPr>
                <w:sz w:val="16"/>
              </w:rPr>
              <w:t>Teaching/Referral Hospital</w:t>
            </w:r>
          </w:p>
        </w:tc>
        <w:tc>
          <w:tcPr>
            <w:tcW w:type="dxa" w:w="5083"/>
            <w:vAlign w:val="top"/>
          </w:tcPr>
          <w:p>
            <w:pPr>
              <w:spacing w:after="20"/>
            </w:pPr>
            <w:r>
              <w:rPr>
                <w:sz w:val="16"/>
              </w:rPr>
              <w:t>Full hospital suite plus supervision, resident/intern workflows, research datasets, multidisciplinary care, advanced referral hub.</w:t>
            </w:r>
          </w:p>
        </w:tc>
      </w:tr>
      <w:tr>
        <w:tc>
          <w:tcPr>
            <w:tcW w:type="dxa" w:w="5083"/>
            <w:vAlign w:val="top"/>
          </w:tcPr>
          <w:p>
            <w:pPr>
              <w:spacing w:after="20"/>
            </w:pPr>
            <w:r>
              <w:rPr>
                <w:sz w:val="16"/>
              </w:rPr>
              <w:t>Hospital Group / Network</w:t>
            </w:r>
          </w:p>
        </w:tc>
        <w:tc>
          <w:tcPr>
            <w:tcW w:type="dxa" w:w="5083"/>
            <w:vAlign w:val="top"/>
          </w:tcPr>
          <w:p>
            <w:pPr>
              <w:spacing w:after="20"/>
            </w:pPr>
            <w:r>
              <w:rPr>
                <w:sz w:val="16"/>
              </w:rPr>
              <w:t>Multi-facility identity, shared configuration, group analytics, transfer/referral orchestration and governed shared record access.</w:t>
            </w:r>
          </w:p>
        </w:tc>
      </w:tr>
    </w:tbl>
    <w:p>
      <w:pPr>
        <w:pStyle w:val="Heading2"/>
      </w:pPr>
      <w:r>
        <w:t>1.2 Out of scope for the first production baseline</w:t>
      </w:r>
    </w:p>
    <w:p>
      <w:pPr>
        <w:pStyle w:val="ListBullet"/>
      </w:pPr>
      <w:r>
        <w:t>Autonomous diagnosis or treatment decisions.</w:t>
      </w:r>
    </w:p>
    <w:p>
      <w:pPr>
        <w:pStyle w:val="ListBullet"/>
      </w:pPr>
      <w:r>
        <w:t>Unsupervised generative-AI entry of signed clinical facts.</w:t>
      </w:r>
    </w:p>
    <w:p>
      <w:pPr>
        <w:pStyle w:val="ListBullet"/>
      </w:pPr>
      <w:r>
        <w:t>Nationwide patient identity matching without a formally approved governance and identity policy.</w:t>
      </w:r>
    </w:p>
    <w:p>
      <w:pPr>
        <w:pStyle w:val="ListBullet"/>
      </w:pPr>
      <w:r>
        <w:t>Direct replacement of specialised PACS, laboratory analysers or national registries where integration is safer.</w:t>
      </w:r>
    </w:p>
    <w:p>
      <w:pPr>
        <w:pStyle w:val="ListBullet"/>
      </w:pPr>
      <w:r>
        <w:t>Cross-facility record visibility without a lawful basis, patient-care relationship and applicable consent/governance.</w:t>
      </w:r>
    </w:p>
    <w:p>
      <w:pPr>
        <w:pStyle w:val="Heading1"/>
      </w:pPr>
      <w:r>
        <w:t>2. Domain Architecture</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PULSE HEALTH PLATFORM</w:t>
            </w:r>
          </w:p>
        </w:tc>
      </w:tr>
      <w:tr>
        <w:tc>
          <w:tcPr>
            <w:tcW w:type="dxa" w:w="10166"/>
          </w:tcPr>
          <w:p>
            <w:pPr>
              <w:jc w:val="center"/>
            </w:pPr>
            <w:r>
              <w:rPr>
                <w:rFonts w:ascii="Consolas" w:hAnsi="Consolas"/>
                <w:b w:val="0"/>
                <w:sz w:val="17"/>
              </w:rPr>
              <w:t>Clinical Care  |  Diagnostics  |  Medication  |  Operations  |  Revenue  |  Network  |  Patient</w:t>
            </w:r>
          </w:p>
        </w:tc>
      </w:tr>
      <w:tr>
        <w:tc>
          <w:tcPr>
            <w:tcW w:type="dxa" w:w="10166"/>
          </w:tcPr>
          <w:p>
            <w:pPr>
              <w:jc w:val="center"/>
            </w:pPr>
            <w:r>
              <w:rPr>
                <w:rFonts w:ascii="Consolas" w:hAnsi="Consolas"/>
                <w:b w:val="0"/>
                <w:sz w:val="17"/>
              </w:rPr>
              <w:t>Platform Core: IAM • Consent • Workflow • Audit • Terminology • Documents • Notifications • Search</w:t>
            </w:r>
          </w:p>
        </w:tc>
      </w:tr>
      <w:tr>
        <w:tc>
          <w:tcPr>
            <w:tcW w:type="dxa" w:w="10166"/>
          </w:tcPr>
          <w:p>
            <w:pPr>
              <w:jc w:val="center"/>
            </w:pPr>
            <w:r>
              <w:rPr>
                <w:rFonts w:ascii="Consolas" w:hAnsi="Consolas"/>
                <w:b w:val="0"/>
                <w:sz w:val="17"/>
              </w:rPr>
              <w:t>Interoperability: FHIR APIs • DICOM/PACS • Terminology • Events • Integration Gateway</w:t>
            </w:r>
          </w:p>
        </w:tc>
      </w:tr>
      <w:tr>
        <w:tc>
          <w:tcPr>
            <w:tcW w:type="dxa" w:w="10166"/>
          </w:tcPr>
          <w:p>
            <w:pPr>
              <w:jc w:val="center"/>
            </w:pPr>
            <w:r>
              <w:rPr>
                <w:rFonts w:ascii="Consolas" w:hAnsi="Consolas"/>
                <w:b w:val="0"/>
                <w:sz w:val="17"/>
              </w:rPr>
              <w:t>Data: Clinical • Operational • Financial • Inventory • Audit • Documents • Analytics</w:t>
            </w:r>
          </w:p>
        </w:tc>
      </w:tr>
      <w:tr>
        <w:tc>
          <w:tcPr>
            <w:tcW w:type="dxa" w:w="10166"/>
          </w:tcPr>
          <w:p>
            <w:pPr>
              <w:jc w:val="center"/>
            </w:pPr>
            <w:r>
              <w:rPr>
                <w:rFonts w:ascii="Consolas" w:hAnsi="Consolas"/>
                <w:b w:val="0"/>
                <w:sz w:val="17"/>
              </w:rPr>
              <w:t>Infrastructure: Cloud/Hybrid • Facility Edge • Local LAN • Backup • Observability • DR</w:t>
            </w:r>
          </w:p>
        </w:tc>
      </w:tr>
    </w:tbl>
    <w:p>
      <w:pPr>
        <w:pStyle w:val="Heading2"/>
      </w:pPr>
      <w:r>
        <w:t>2.1 Bounded domains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20"/>
            </w:pPr>
            <w:r>
              <w:rPr>
                <w:b/>
                <w:sz w:val="16"/>
              </w:rPr>
              <w:t>Domain</w:t>
            </w:r>
          </w:p>
        </w:tc>
        <w:tc>
          <w:tcPr>
            <w:tcW w:type="dxa" w:w="3389"/>
            <w:vAlign w:val="center"/>
          </w:tcPr>
          <w:p>
            <w:pPr>
              <w:spacing w:after="20"/>
            </w:pPr>
            <w:r>
              <w:rPr>
                <w:b/>
                <w:sz w:val="16"/>
              </w:rPr>
              <w:t>Primary responsibility</w:t>
            </w:r>
          </w:p>
        </w:tc>
        <w:tc>
          <w:tcPr>
            <w:tcW w:type="dxa" w:w="3389"/>
            <w:vAlign w:val="center"/>
          </w:tcPr>
          <w:p>
            <w:pPr>
              <w:spacing w:after="20"/>
            </w:pPr>
            <w:r>
              <w:rPr>
                <w:b/>
                <w:sz w:val="16"/>
              </w:rPr>
              <w:t>Key aggregates</w:t>
            </w:r>
          </w:p>
        </w:tc>
      </w:tr>
      <w:tr>
        <w:tc>
          <w:tcPr>
            <w:tcW w:type="dxa" w:w="3389"/>
            <w:vAlign w:val="top"/>
          </w:tcPr>
          <w:p>
            <w:pPr>
              <w:spacing w:after="20"/>
            </w:pPr>
            <w:r>
              <w:rPr>
                <w:sz w:val="16"/>
              </w:rPr>
              <w:t>Patient &amp; Identity</w:t>
            </w:r>
          </w:p>
        </w:tc>
        <w:tc>
          <w:tcPr>
            <w:tcW w:type="dxa" w:w="3389"/>
            <w:vAlign w:val="top"/>
          </w:tcPr>
          <w:p>
            <w:pPr>
              <w:spacing w:after="20"/>
            </w:pPr>
            <w:r>
              <w:rPr>
                <w:sz w:val="16"/>
              </w:rPr>
              <w:t>Identity, demographics, identifiers, contacts, next of kin, matching/merge.</w:t>
            </w:r>
          </w:p>
        </w:tc>
        <w:tc>
          <w:tcPr>
            <w:tcW w:type="dxa" w:w="3389"/>
            <w:vAlign w:val="top"/>
          </w:tcPr>
          <w:p>
            <w:pPr>
              <w:spacing w:after="20"/>
            </w:pPr>
            <w:r>
              <w:rPr>
                <w:sz w:val="16"/>
              </w:rPr>
              <w:t>Patient, Identifier, RelatedPerson, IdentityLink</w:t>
            </w:r>
          </w:p>
        </w:tc>
      </w:tr>
      <w:tr>
        <w:tc>
          <w:tcPr>
            <w:tcW w:type="dxa" w:w="3389"/>
            <w:vAlign w:val="top"/>
          </w:tcPr>
          <w:p>
            <w:pPr>
              <w:spacing w:after="20"/>
            </w:pPr>
            <w:r>
              <w:rPr>
                <w:sz w:val="16"/>
              </w:rPr>
              <w:t>Encounter &amp; Clinical</w:t>
            </w:r>
          </w:p>
        </w:tc>
        <w:tc>
          <w:tcPr>
            <w:tcW w:type="dxa" w:w="3389"/>
            <w:vAlign w:val="top"/>
          </w:tcPr>
          <w:p>
            <w:pPr>
              <w:spacing w:after="20"/>
            </w:pPr>
            <w:r>
              <w:rPr>
                <w:sz w:val="16"/>
              </w:rPr>
              <w:t>Visits, consultation, diagnoses, problems, notes, observations, care plans.</w:t>
            </w:r>
          </w:p>
        </w:tc>
        <w:tc>
          <w:tcPr>
            <w:tcW w:type="dxa" w:w="3389"/>
            <w:vAlign w:val="top"/>
          </w:tcPr>
          <w:p>
            <w:pPr>
              <w:spacing w:after="20"/>
            </w:pPr>
            <w:r>
              <w:rPr>
                <w:sz w:val="16"/>
              </w:rPr>
              <w:t>Encounter, EpisodeOfCare, Condition, Observation, ClinicalNote</w:t>
            </w:r>
          </w:p>
        </w:tc>
      </w:tr>
      <w:tr>
        <w:tc>
          <w:tcPr>
            <w:tcW w:type="dxa" w:w="3389"/>
            <w:vAlign w:val="top"/>
          </w:tcPr>
          <w:p>
            <w:pPr>
              <w:spacing w:after="20"/>
            </w:pPr>
            <w:r>
              <w:rPr>
                <w:sz w:val="16"/>
              </w:rPr>
              <w:t>Anatomical Mapping</w:t>
            </w:r>
          </w:p>
        </w:tc>
        <w:tc>
          <w:tcPr>
            <w:tcW w:type="dxa" w:w="3389"/>
            <w:vAlign w:val="top"/>
          </w:tcPr>
          <w:p>
            <w:pPr>
              <w:spacing w:after="20"/>
            </w:pPr>
            <w:r>
              <w:rPr>
                <w:sz w:val="16"/>
              </w:rPr>
              <w:t>Body model, structures, annotations, findings, longitudinal anatomical timeline.</w:t>
            </w:r>
          </w:p>
        </w:tc>
        <w:tc>
          <w:tcPr>
            <w:tcW w:type="dxa" w:w="3389"/>
            <w:vAlign w:val="top"/>
          </w:tcPr>
          <w:p>
            <w:pPr>
              <w:spacing w:after="20"/>
            </w:pPr>
            <w:r>
              <w:rPr>
                <w:sz w:val="16"/>
              </w:rPr>
              <w:t>AnatomyModel, BodyStructure, Annotation, Finding</w:t>
            </w:r>
          </w:p>
        </w:tc>
      </w:tr>
      <w:tr>
        <w:tc>
          <w:tcPr>
            <w:tcW w:type="dxa" w:w="3389"/>
            <w:vAlign w:val="top"/>
          </w:tcPr>
          <w:p>
            <w:pPr>
              <w:spacing w:after="20"/>
            </w:pPr>
            <w:r>
              <w:rPr>
                <w:sz w:val="16"/>
              </w:rPr>
              <w:t>Orders &amp; Diagnostics</w:t>
            </w:r>
          </w:p>
        </w:tc>
        <w:tc>
          <w:tcPr>
            <w:tcW w:type="dxa" w:w="3389"/>
            <w:vAlign w:val="top"/>
          </w:tcPr>
          <w:p>
            <w:pPr>
              <w:spacing w:after="20"/>
            </w:pPr>
            <w:r>
              <w:rPr>
                <w:sz w:val="16"/>
              </w:rPr>
              <w:t>CPOE, specimens, lab, imaging, physiology, result validation.</w:t>
            </w:r>
          </w:p>
        </w:tc>
        <w:tc>
          <w:tcPr>
            <w:tcW w:type="dxa" w:w="3389"/>
            <w:vAlign w:val="top"/>
          </w:tcPr>
          <w:p>
            <w:pPr>
              <w:spacing w:after="20"/>
            </w:pPr>
            <w:r>
              <w:rPr>
                <w:sz w:val="16"/>
              </w:rPr>
              <w:t>ServiceRequest, Specimen, Observation, DiagnosticReport, ImagingStudy</w:t>
            </w:r>
          </w:p>
        </w:tc>
      </w:tr>
      <w:tr>
        <w:tc>
          <w:tcPr>
            <w:tcW w:type="dxa" w:w="3389"/>
            <w:vAlign w:val="top"/>
          </w:tcPr>
          <w:p>
            <w:pPr>
              <w:spacing w:after="20"/>
            </w:pPr>
            <w:r>
              <w:rPr>
                <w:sz w:val="16"/>
              </w:rPr>
              <w:t>Medication</w:t>
            </w:r>
          </w:p>
        </w:tc>
        <w:tc>
          <w:tcPr>
            <w:tcW w:type="dxa" w:w="3389"/>
            <w:vAlign w:val="top"/>
          </w:tcPr>
          <w:p>
            <w:pPr>
              <w:spacing w:after="20"/>
            </w:pPr>
            <w:r>
              <w:rPr>
                <w:sz w:val="16"/>
              </w:rPr>
              <w:t>Medication list, prescribing, verification, dispensing, administration.</w:t>
            </w:r>
          </w:p>
        </w:tc>
        <w:tc>
          <w:tcPr>
            <w:tcW w:type="dxa" w:w="3389"/>
            <w:vAlign w:val="top"/>
          </w:tcPr>
          <w:p>
            <w:pPr>
              <w:spacing w:after="20"/>
            </w:pPr>
            <w:r>
              <w:rPr>
                <w:sz w:val="16"/>
              </w:rPr>
              <w:t>Medication, MedicationRequest, Dispense, Administration</w:t>
            </w:r>
          </w:p>
        </w:tc>
      </w:tr>
      <w:tr>
        <w:tc>
          <w:tcPr>
            <w:tcW w:type="dxa" w:w="3389"/>
            <w:vAlign w:val="top"/>
          </w:tcPr>
          <w:p>
            <w:pPr>
              <w:spacing w:after="20"/>
            </w:pPr>
            <w:r>
              <w:rPr>
                <w:sz w:val="16"/>
              </w:rPr>
              <w:t>Care Coordination</w:t>
            </w:r>
          </w:p>
        </w:tc>
        <w:tc>
          <w:tcPr>
            <w:tcW w:type="dxa" w:w="3389"/>
            <w:vAlign w:val="top"/>
          </w:tcPr>
          <w:p>
            <w:pPr>
              <w:spacing w:after="20"/>
            </w:pPr>
            <w:r>
              <w:rPr>
                <w:sz w:val="16"/>
              </w:rPr>
              <w:t>Appointments, queue, tasks, internal referrals, follow-up, handover.</w:t>
            </w:r>
          </w:p>
        </w:tc>
        <w:tc>
          <w:tcPr>
            <w:tcW w:type="dxa" w:w="3389"/>
            <w:vAlign w:val="top"/>
          </w:tcPr>
          <w:p>
            <w:pPr>
              <w:spacing w:after="20"/>
            </w:pPr>
            <w:r>
              <w:rPr>
                <w:sz w:val="16"/>
              </w:rPr>
              <w:t>Appointment, QueueItem, Task, Handover</w:t>
            </w:r>
          </w:p>
        </w:tc>
      </w:tr>
      <w:tr>
        <w:tc>
          <w:tcPr>
            <w:tcW w:type="dxa" w:w="3389"/>
            <w:vAlign w:val="top"/>
          </w:tcPr>
          <w:p>
            <w:pPr>
              <w:spacing w:after="20"/>
            </w:pPr>
            <w:r>
              <w:rPr>
                <w:sz w:val="16"/>
              </w:rPr>
              <w:t>Referral Exchange</w:t>
            </w:r>
          </w:p>
        </w:tc>
        <w:tc>
          <w:tcPr>
            <w:tcW w:type="dxa" w:w="3389"/>
            <w:vAlign w:val="top"/>
          </w:tcPr>
          <w:p>
            <w:pPr>
              <w:spacing w:after="20"/>
            </w:pPr>
            <w:r>
              <w:rPr>
                <w:sz w:val="16"/>
              </w:rPr>
              <w:t>Inter-facility referral, transfer, communication, acceptance and outcome.</w:t>
            </w:r>
          </w:p>
        </w:tc>
        <w:tc>
          <w:tcPr>
            <w:tcW w:type="dxa" w:w="3389"/>
            <w:vAlign w:val="top"/>
          </w:tcPr>
          <w:p>
            <w:pPr>
              <w:spacing w:after="20"/>
            </w:pPr>
            <w:r>
              <w:rPr>
                <w:sz w:val="16"/>
              </w:rPr>
              <w:t>ReferralCase, ReferralMessage, TransferPlan, ReferralOutcome</w:t>
            </w:r>
          </w:p>
        </w:tc>
      </w:tr>
      <w:tr>
        <w:tc>
          <w:tcPr>
            <w:tcW w:type="dxa" w:w="3389"/>
            <w:vAlign w:val="top"/>
          </w:tcPr>
          <w:p>
            <w:pPr>
              <w:spacing w:after="20"/>
            </w:pPr>
            <w:r>
              <w:rPr>
                <w:sz w:val="16"/>
              </w:rPr>
              <w:t>Admission &amp; Acute Care</w:t>
            </w:r>
          </w:p>
        </w:tc>
        <w:tc>
          <w:tcPr>
            <w:tcW w:type="dxa" w:w="3389"/>
            <w:vAlign w:val="top"/>
          </w:tcPr>
          <w:p>
            <w:pPr>
              <w:spacing w:after="20"/>
            </w:pPr>
            <w:r>
              <w:rPr>
                <w:sz w:val="16"/>
              </w:rPr>
              <w:t>ED, admission, wards, beds, transfers, discharge.</w:t>
            </w:r>
          </w:p>
        </w:tc>
        <w:tc>
          <w:tcPr>
            <w:tcW w:type="dxa" w:w="3389"/>
            <w:vAlign w:val="top"/>
          </w:tcPr>
          <w:p>
            <w:pPr>
              <w:spacing w:after="20"/>
            </w:pPr>
            <w:r>
              <w:rPr>
                <w:sz w:val="16"/>
              </w:rPr>
              <w:t>Admission, Bed, WardStay, EDCase, Discharge</w:t>
            </w:r>
          </w:p>
        </w:tc>
      </w:tr>
      <w:tr>
        <w:tc>
          <w:tcPr>
            <w:tcW w:type="dxa" w:w="3389"/>
            <w:vAlign w:val="top"/>
          </w:tcPr>
          <w:p>
            <w:pPr>
              <w:spacing w:after="20"/>
            </w:pPr>
            <w:r>
              <w:rPr>
                <w:sz w:val="16"/>
              </w:rPr>
              <w:t>Procedure &amp; Theatre</w:t>
            </w:r>
          </w:p>
        </w:tc>
        <w:tc>
          <w:tcPr>
            <w:tcW w:type="dxa" w:w="3389"/>
            <w:vAlign w:val="top"/>
          </w:tcPr>
          <w:p>
            <w:pPr>
              <w:spacing w:after="20"/>
            </w:pPr>
            <w:r>
              <w:rPr>
                <w:sz w:val="16"/>
              </w:rPr>
              <w:t>Procedures, consent, theatre scheduling, checklists, implants/consumables.</w:t>
            </w:r>
          </w:p>
        </w:tc>
        <w:tc>
          <w:tcPr>
            <w:tcW w:type="dxa" w:w="3389"/>
            <w:vAlign w:val="top"/>
          </w:tcPr>
          <w:p>
            <w:pPr>
              <w:spacing w:after="20"/>
            </w:pPr>
            <w:r>
              <w:rPr>
                <w:sz w:val="16"/>
              </w:rPr>
              <w:t>Procedure, TheatreCase, Checklist, ImplantUsage</w:t>
            </w:r>
          </w:p>
        </w:tc>
      </w:tr>
      <w:tr>
        <w:tc>
          <w:tcPr>
            <w:tcW w:type="dxa" w:w="3389"/>
            <w:vAlign w:val="top"/>
          </w:tcPr>
          <w:p>
            <w:pPr>
              <w:spacing w:after="20"/>
            </w:pPr>
            <w:r>
              <w:rPr>
                <w:sz w:val="16"/>
              </w:rPr>
              <w:t>Inventory &amp; Supply Chain</w:t>
            </w:r>
          </w:p>
        </w:tc>
        <w:tc>
          <w:tcPr>
            <w:tcW w:type="dxa" w:w="3389"/>
            <w:vAlign w:val="top"/>
          </w:tcPr>
          <w:p>
            <w:pPr>
              <w:spacing w:after="20"/>
            </w:pPr>
            <w:r>
              <w:rPr>
                <w:sz w:val="16"/>
              </w:rPr>
              <w:t>Items, lots, stores, transfers, issues, consumption, expiry, procurement.</w:t>
            </w:r>
          </w:p>
        </w:tc>
        <w:tc>
          <w:tcPr>
            <w:tcW w:type="dxa" w:w="3389"/>
            <w:vAlign w:val="top"/>
          </w:tcPr>
          <w:p>
            <w:pPr>
              <w:spacing w:after="20"/>
            </w:pPr>
            <w:r>
              <w:rPr>
                <w:sz w:val="16"/>
              </w:rPr>
              <w:t>Item, Batch, StockLedger, Requisition, PurchaseOrder</w:t>
            </w:r>
          </w:p>
        </w:tc>
      </w:tr>
      <w:tr>
        <w:tc>
          <w:tcPr>
            <w:tcW w:type="dxa" w:w="3389"/>
            <w:vAlign w:val="top"/>
          </w:tcPr>
          <w:p>
            <w:pPr>
              <w:spacing w:after="20"/>
            </w:pPr>
            <w:r>
              <w:rPr>
                <w:sz w:val="16"/>
              </w:rPr>
              <w:t>Revenue &amp; Claims</w:t>
            </w:r>
          </w:p>
        </w:tc>
        <w:tc>
          <w:tcPr>
            <w:tcW w:type="dxa" w:w="3389"/>
            <w:vAlign w:val="top"/>
          </w:tcPr>
          <w:p>
            <w:pPr>
              <w:spacing w:after="20"/>
            </w:pPr>
            <w:r>
              <w:rPr>
                <w:sz w:val="16"/>
              </w:rPr>
              <w:t>Tariffs, charges, invoices, payments, payer/insurance, claims.</w:t>
            </w:r>
          </w:p>
        </w:tc>
        <w:tc>
          <w:tcPr>
            <w:tcW w:type="dxa" w:w="3389"/>
            <w:vAlign w:val="top"/>
          </w:tcPr>
          <w:p>
            <w:pPr>
              <w:spacing w:after="20"/>
            </w:pPr>
            <w:r>
              <w:rPr>
                <w:sz w:val="16"/>
              </w:rPr>
              <w:t>Charge, Invoice, Payment, Claim</w:t>
            </w:r>
          </w:p>
        </w:tc>
      </w:tr>
      <w:tr>
        <w:tc>
          <w:tcPr>
            <w:tcW w:type="dxa" w:w="3389"/>
            <w:vAlign w:val="top"/>
          </w:tcPr>
          <w:p>
            <w:pPr>
              <w:spacing w:after="20"/>
            </w:pPr>
            <w:r>
              <w:rPr>
                <w:sz w:val="16"/>
              </w:rPr>
              <w:t>Workforce &amp; Facility</w:t>
            </w:r>
          </w:p>
        </w:tc>
        <w:tc>
          <w:tcPr>
            <w:tcW w:type="dxa" w:w="3389"/>
            <w:vAlign w:val="top"/>
          </w:tcPr>
          <w:p>
            <w:pPr>
              <w:spacing w:after="20"/>
            </w:pPr>
            <w:r>
              <w:rPr>
                <w:sz w:val="16"/>
              </w:rPr>
              <w:t>Organisation hierarchy, staff, privileges, shifts, rosters, resources.</w:t>
            </w:r>
          </w:p>
        </w:tc>
        <w:tc>
          <w:tcPr>
            <w:tcW w:type="dxa" w:w="3389"/>
            <w:vAlign w:val="top"/>
          </w:tcPr>
          <w:p>
            <w:pPr>
              <w:spacing w:after="20"/>
            </w:pPr>
            <w:r>
              <w:rPr>
                <w:sz w:val="16"/>
              </w:rPr>
              <w:t>Organization, Facility, Department, PractitionerRole, Roster</w:t>
            </w:r>
          </w:p>
        </w:tc>
      </w:tr>
      <w:tr>
        <w:tc>
          <w:tcPr>
            <w:tcW w:type="dxa" w:w="3389"/>
            <w:vAlign w:val="top"/>
          </w:tcPr>
          <w:p>
            <w:pPr>
              <w:spacing w:after="20"/>
            </w:pPr>
            <w:r>
              <w:rPr>
                <w:sz w:val="16"/>
              </w:rPr>
              <w:t>Equipment &amp; Biomedical</w:t>
            </w:r>
          </w:p>
        </w:tc>
        <w:tc>
          <w:tcPr>
            <w:tcW w:type="dxa" w:w="3389"/>
            <w:vAlign w:val="top"/>
          </w:tcPr>
          <w:p>
            <w:pPr>
              <w:spacing w:after="20"/>
            </w:pPr>
            <w:r>
              <w:rPr>
                <w:sz w:val="16"/>
              </w:rPr>
              <w:t>Asset register, maintenance, calibration, downtime.</w:t>
            </w:r>
          </w:p>
        </w:tc>
        <w:tc>
          <w:tcPr>
            <w:tcW w:type="dxa" w:w="3389"/>
            <w:vAlign w:val="top"/>
          </w:tcPr>
          <w:p>
            <w:pPr>
              <w:spacing w:after="20"/>
            </w:pPr>
            <w:r>
              <w:rPr>
                <w:sz w:val="16"/>
              </w:rPr>
              <w:t>Equipment, MaintenancePlan, WorkOrder</w:t>
            </w:r>
          </w:p>
        </w:tc>
      </w:tr>
      <w:tr>
        <w:tc>
          <w:tcPr>
            <w:tcW w:type="dxa" w:w="3389"/>
            <w:vAlign w:val="top"/>
          </w:tcPr>
          <w:p>
            <w:pPr>
              <w:spacing w:after="20"/>
            </w:pPr>
            <w:r>
              <w:rPr>
                <w:sz w:val="16"/>
              </w:rPr>
              <w:t>Patient Experience</w:t>
            </w:r>
          </w:p>
        </w:tc>
        <w:tc>
          <w:tcPr>
            <w:tcW w:type="dxa" w:w="3389"/>
            <w:vAlign w:val="top"/>
          </w:tcPr>
          <w:p>
            <w:pPr>
              <w:spacing w:after="20"/>
            </w:pPr>
            <w:r>
              <w:rPr>
                <w:sz w:val="16"/>
              </w:rPr>
              <w:t>Portal/app, appointments, reminders, bills, referrals, permitted record access.</w:t>
            </w:r>
          </w:p>
        </w:tc>
        <w:tc>
          <w:tcPr>
            <w:tcW w:type="dxa" w:w="3389"/>
            <w:vAlign w:val="top"/>
          </w:tcPr>
          <w:p>
            <w:pPr>
              <w:spacing w:after="20"/>
            </w:pPr>
            <w:r>
              <w:rPr>
                <w:sz w:val="16"/>
              </w:rPr>
              <w:t>PortalAccount, NotificationPreference, PatientRequest</w:t>
            </w:r>
          </w:p>
        </w:tc>
      </w:tr>
      <w:tr>
        <w:tc>
          <w:tcPr>
            <w:tcW w:type="dxa" w:w="3389"/>
            <w:vAlign w:val="top"/>
          </w:tcPr>
          <w:p>
            <w:pPr>
              <w:spacing w:after="20"/>
            </w:pPr>
            <w:r>
              <w:rPr>
                <w:sz w:val="16"/>
              </w:rPr>
              <w:t>Governance &amp; Intelligence</w:t>
            </w:r>
          </w:p>
        </w:tc>
        <w:tc>
          <w:tcPr>
            <w:tcW w:type="dxa" w:w="3389"/>
            <w:vAlign w:val="top"/>
          </w:tcPr>
          <w:p>
            <w:pPr>
              <w:spacing w:after="20"/>
            </w:pPr>
            <w:r>
              <w:rPr>
                <w:sz w:val="16"/>
              </w:rPr>
              <w:t>Audit, dashboards, quality indicators, research extracts, configuration.</w:t>
            </w:r>
          </w:p>
        </w:tc>
        <w:tc>
          <w:tcPr>
            <w:tcW w:type="dxa" w:w="3389"/>
            <w:vAlign w:val="top"/>
          </w:tcPr>
          <w:p>
            <w:pPr>
              <w:spacing w:after="20"/>
            </w:pPr>
            <w:r>
              <w:rPr>
                <w:sz w:val="16"/>
              </w:rPr>
              <w:t>AuditEvent, Metric, Dataset, Configuration</w:t>
            </w:r>
          </w:p>
        </w:tc>
      </w:tr>
    </w:tbl>
    <w:p>
      <w:pPr>
        <w:pStyle w:val="Heading1"/>
      </w:pPr>
      <w:r>
        <w:t>3. Canonical Healthcare Model</w:t>
      </w:r>
    </w:p>
    <w:p>
      <w:pPr>
        <w:pStyle w:val="Heading2"/>
      </w:pPr>
      <w:r>
        <w:t>3.1 Organisational hierarchy</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Platform</w:t>
            </w:r>
          </w:p>
        </w:tc>
      </w:tr>
      <w:tr>
        <w:tc>
          <w:tcPr>
            <w:tcW w:type="dxa" w:w="10166"/>
          </w:tcPr>
          <w:p>
            <w:pPr>
              <w:jc w:val="center"/>
            </w:pPr>
            <w:r>
              <w:rPr>
                <w:rFonts w:ascii="Consolas" w:hAnsi="Consolas"/>
                <w:b w:val="0"/>
                <w:sz w:val="17"/>
              </w:rPr>
              <w:t>Organisation / Hospital Group</w:t>
            </w:r>
          </w:p>
        </w:tc>
      </w:tr>
      <w:tr>
        <w:tc>
          <w:tcPr>
            <w:tcW w:type="dxa" w:w="10166"/>
          </w:tcPr>
          <w:p>
            <w:pPr>
              <w:jc w:val="center"/>
            </w:pPr>
            <w:r>
              <w:rPr>
                <w:rFonts w:ascii="Consolas" w:hAnsi="Consolas"/>
                <w:b w:val="0"/>
                <w:sz w:val="17"/>
              </w:rPr>
              <w:t>Facility</w:t>
            </w:r>
          </w:p>
        </w:tc>
      </w:tr>
      <w:tr>
        <w:tc>
          <w:tcPr>
            <w:tcW w:type="dxa" w:w="10166"/>
          </w:tcPr>
          <w:p>
            <w:pPr>
              <w:jc w:val="center"/>
            </w:pPr>
            <w:r>
              <w:rPr>
                <w:rFonts w:ascii="Consolas" w:hAnsi="Consolas"/>
                <w:b w:val="0"/>
                <w:sz w:val="17"/>
              </w:rPr>
              <w:t>Department</w:t>
            </w:r>
          </w:p>
        </w:tc>
      </w:tr>
      <w:tr>
        <w:tc>
          <w:tcPr>
            <w:tcW w:type="dxa" w:w="10166"/>
          </w:tcPr>
          <w:p>
            <w:pPr>
              <w:jc w:val="center"/>
            </w:pPr>
            <w:r>
              <w:rPr>
                <w:rFonts w:ascii="Consolas" w:hAnsi="Consolas"/>
                <w:b w:val="0"/>
                <w:sz w:val="17"/>
              </w:rPr>
              <w:t>Unit / Ward / Clinic / Store / Lab Section</w:t>
            </w:r>
          </w:p>
        </w:tc>
      </w:tr>
      <w:tr>
        <w:tc>
          <w:tcPr>
            <w:tcW w:type="dxa" w:w="10166"/>
          </w:tcPr>
          <w:p>
            <w:pPr>
              <w:jc w:val="center"/>
            </w:pPr>
            <w:r>
              <w:rPr>
                <w:rFonts w:ascii="Consolas" w:hAnsi="Consolas"/>
                <w:b w:val="0"/>
                <w:sz w:val="17"/>
              </w:rPr>
              <w:t>Location / Room / Bed / Counter</w:t>
            </w:r>
          </w:p>
        </w:tc>
      </w:tr>
      <w:tr>
        <w:tc>
          <w:tcPr>
            <w:tcW w:type="dxa" w:w="10166"/>
          </w:tcPr>
          <w:p>
            <w:pPr>
              <w:jc w:val="center"/>
            </w:pPr>
            <w:r>
              <w:rPr>
                <w:rFonts w:ascii="Consolas" w:hAnsi="Consolas"/>
                <w:b w:val="0"/>
                <w:sz w:val="17"/>
              </w:rPr>
              <w:t>Practitioner + Practitioner Role + Privilege + Assignment</w:t>
            </w:r>
          </w:p>
        </w:tc>
      </w:tr>
    </w:tbl>
    <w:p>
      <w:pPr>
        <w:pStyle w:val="Heading2"/>
      </w:pPr>
      <w:r>
        <w:t>3.2 Patient clinical hierarchy</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Master Patient Identity</w:t>
            </w:r>
          </w:p>
        </w:tc>
      </w:tr>
      <w:tr>
        <w:tc>
          <w:tcPr>
            <w:tcW w:type="dxa" w:w="10166"/>
          </w:tcPr>
          <w:p>
            <w:pPr>
              <w:jc w:val="center"/>
            </w:pPr>
            <w:r>
              <w:rPr>
                <w:rFonts w:ascii="Consolas" w:hAnsi="Consolas"/>
                <w:b w:val="0"/>
                <w:sz w:val="17"/>
              </w:rPr>
              <w:t>Facility MRN(s)</w:t>
            </w:r>
          </w:p>
        </w:tc>
      </w:tr>
      <w:tr>
        <w:tc>
          <w:tcPr>
            <w:tcW w:type="dxa" w:w="10166"/>
          </w:tcPr>
          <w:p>
            <w:pPr>
              <w:jc w:val="center"/>
            </w:pPr>
            <w:r>
              <w:rPr>
                <w:rFonts w:ascii="Consolas" w:hAnsi="Consolas"/>
                <w:b w:val="0"/>
                <w:sz w:val="17"/>
              </w:rPr>
              <w:t>Episode of Care</w:t>
            </w:r>
          </w:p>
        </w:tc>
      </w:tr>
      <w:tr>
        <w:tc>
          <w:tcPr>
            <w:tcW w:type="dxa" w:w="10166"/>
          </w:tcPr>
          <w:p>
            <w:pPr>
              <w:jc w:val="center"/>
            </w:pPr>
            <w:r>
              <w:rPr>
                <w:rFonts w:ascii="Consolas" w:hAnsi="Consolas"/>
                <w:b w:val="0"/>
                <w:sz w:val="17"/>
              </w:rPr>
              <w:t>Encounter / Visit / Admission</w:t>
            </w:r>
          </w:p>
        </w:tc>
      </w:tr>
      <w:tr>
        <w:tc>
          <w:tcPr>
            <w:tcW w:type="dxa" w:w="10166"/>
          </w:tcPr>
          <w:p>
            <w:pPr>
              <w:jc w:val="center"/>
            </w:pPr>
            <w:r>
              <w:rPr>
                <w:rFonts w:ascii="Consolas" w:hAnsi="Consolas"/>
                <w:b w:val="0"/>
                <w:sz w:val="17"/>
              </w:rPr>
              <w:t>Observations • Conditions • Notes • Orders • Results • Medications • Procedures • Referrals</w:t>
            </w:r>
          </w:p>
        </w:tc>
      </w:tr>
      <w:tr>
        <w:tc>
          <w:tcPr>
            <w:tcW w:type="dxa" w:w="10166"/>
          </w:tcPr>
          <w:p>
            <w:pPr>
              <w:jc w:val="center"/>
            </w:pPr>
            <w:r>
              <w:rPr>
                <w:rFonts w:ascii="Consolas" w:hAnsi="Consolas"/>
                <w:b w:val="0"/>
                <w:sz w:val="17"/>
              </w:rPr>
              <w:t>Documents • Images • Anatomy Annotations • Charges • Tasks • Audit</w:t>
            </w:r>
          </w:p>
        </w:tc>
      </w:tr>
    </w:tbl>
    <w:p>
      <w:pPr>
        <w:pStyle w:val="Heading2"/>
      </w:pPr>
      <w:r>
        <w:t>3.3 Record provenance</w:t>
      </w:r>
    </w:p>
    <w:p>
      <w:r>
        <w:t>Every material clinical object shall retain author/performer, recorder, organisation, facility, encounter, creation time, effective clinical time, source system, version, status, amendment history and—where an amendment is made—reason for amendment. Signed records are never destructively overwritten; corrections create an auditable version chain.</w:t>
      </w:r>
    </w:p>
    <w:p>
      <w:pPr>
        <w:pStyle w:val="Heading1"/>
      </w:pPr>
      <w:r>
        <w:t>4. Patient Identity &amp; Registration</w:t>
      </w:r>
    </w:p>
    <w:p>
      <w:pPr>
        <w:pStyle w:val="Heading2"/>
      </w:pPr>
      <w:r>
        <w:t>4.1 Registration data</w:t>
      </w:r>
    </w:p>
    <w:p>
      <w:pPr>
        <w:pStyle w:val="ListBullet"/>
      </w:pPr>
      <w:r>
        <w:t>Facility MRN/hospital number; platform identity key; optional external/national identifiers according to approved policy.</w:t>
      </w:r>
    </w:p>
    <w:p>
      <w:pPr>
        <w:pStyle w:val="ListBullet"/>
      </w:pPr>
      <w:r>
        <w:t>Legal name, preferred name, sex, date of birth/estimated DOB, contact channels, address, nationality where operationally required.</w:t>
      </w:r>
    </w:p>
    <w:p>
      <w:pPr>
        <w:pStyle w:val="ListBullet"/>
      </w:pPr>
      <w:r>
        <w:t>Next of kin/guardian/related person, relationship, emergency contact and communication preferences.</w:t>
      </w:r>
    </w:p>
    <w:p>
      <w:pPr>
        <w:pStyle w:val="ListBullet"/>
      </w:pPr>
      <w:r>
        <w:t>Photo only where facility policy and lawful basis permit; no biometric matching by default.</w:t>
      </w:r>
    </w:p>
    <w:p>
      <w:pPr>
        <w:pStyle w:val="ListBullet"/>
      </w:pPr>
      <w:r>
        <w:t>Allergies and high-risk alerts may be captured during registration but require clinical verification status.</w:t>
      </w:r>
    </w:p>
    <w:p>
      <w:pPr>
        <w:pStyle w:val="ListBullet"/>
      </w:pPr>
      <w:r>
        <w:t>Preferred language, accessibility requirements and communication consent.</w:t>
      </w:r>
    </w:p>
    <w:p>
      <w:pPr>
        <w:pStyle w:val="ListBullet"/>
      </w:pPr>
      <w:r>
        <w:t>Payer/insurance membership information where applicable.</w:t>
      </w:r>
    </w:p>
    <w:p>
      <w:pPr>
        <w:pStyle w:val="Heading2"/>
      </w:pPr>
      <w:r>
        <w:t>4.2 Duplicate prevention and merge</w:t>
      </w:r>
    </w:p>
    <w:p>
      <w:r>
        <w:t>Registration search shall use deterministic and probabilistic matching signals, present possible duplicates to authorised staff and never auto-merge solely on similarity. Merge requires a privileged workflow, preview of conflicting identifiers, survivor selection, reason, approval where configured, immutable merge history and ability to investigate an erroneous merge.</w:t>
      </w:r>
    </w:p>
    <w:p>
      <w:pPr>
        <w:pStyle w:val="Heading2"/>
      </w:pPr>
      <w:r>
        <w:t>4.3 Patient banner</w:t>
      </w:r>
    </w:p>
    <w:p>
      <w:r>
        <w:t>Every clinical workspace must show a consistent safety banner: patient name, identifiers, age/DOB, sex, allergy status, critical alerts, current location/encounter, isolation or other approved safety flags, and photo only where enabled.</w:t>
      </w:r>
    </w:p>
    <w:p>
      <w:pPr>
        <w:pStyle w:val="Heading1"/>
      </w:pPr>
      <w:r>
        <w:t>5. Appointments, Queues and Patient Flow</w:t>
      </w:r>
    </w:p>
    <w:p>
      <w:pPr>
        <w:pStyle w:val="ListBullet"/>
      </w:pPr>
      <w:r>
        <w:t>Facility, specialty, clinician, room and service calendars; recurring clinics; overbooking rules; blackout periods.</w:t>
      </w:r>
    </w:p>
    <w:p>
      <w:pPr>
        <w:pStyle w:val="ListBullet"/>
      </w:pPr>
      <w:r>
        <w:t>Booking source: staff, portal, referral, follow-up, walk-in or external integration.</w:t>
      </w:r>
    </w:p>
    <w:p>
      <w:pPr>
        <w:pStyle w:val="ListBullet"/>
      </w:pPr>
      <w:r>
        <w:t>Arrival/check-in, triage, queue routing, called/in-service/completed/no-show/cancelled states.</w:t>
      </w:r>
    </w:p>
    <w:p>
      <w:pPr>
        <w:pStyle w:val="ListBullet"/>
      </w:pPr>
      <w:r>
        <w:t>Priority and acuity must be explicit and auditable; emergency triage overrides routine queue order under policy.</w:t>
      </w:r>
    </w:p>
    <w:p>
      <w:pPr>
        <w:pStyle w:val="ListBullet"/>
      </w:pPr>
      <w:r>
        <w:t>Wait-time timestamps for arrival-to-triage, triage-to-clinician, order-to-result and discharge.</w:t>
      </w:r>
    </w:p>
    <w:p>
      <w:pPr>
        <w:pStyle w:val="ListBullet"/>
      </w:pPr>
      <w:r>
        <w:t>SMS/email/push channels through configurable notification providers; consent and opt-out respected.</w:t>
      </w:r>
    </w:p>
    <w:p>
      <w:pPr>
        <w:pStyle w:val="Heading1"/>
      </w:pPr>
      <w:r>
        <w:t>6. Consultation &amp; Longitudinal Clinical Record</w:t>
      </w:r>
    </w:p>
    <w:p>
      <w:pPr>
        <w:pStyle w:val="Heading2"/>
      </w:pPr>
      <w:r>
        <w:t>6.1 Consultation workspace</w:t>
      </w:r>
    </w:p>
    <w:p>
      <w:pPr>
        <w:pStyle w:val="ListBullet"/>
      </w:pPr>
      <w:r>
        <w:t>Reason for encounter/chief complaint; history of presenting complaint; past medical/surgical/obstetric/family/social history.</w:t>
      </w:r>
    </w:p>
    <w:p>
      <w:pPr>
        <w:pStyle w:val="ListBullet"/>
      </w:pPr>
      <w:r>
        <w:t>Medication reconciliation; allergies/intolerances; immunisation status; relevant devices and implants.</w:t>
      </w:r>
    </w:p>
    <w:p>
      <w:pPr>
        <w:pStyle w:val="ListBullet"/>
      </w:pPr>
      <w:r>
        <w:t>Vitals and observations with trends and abnormal flags; examination findings; anatomical annotations.</w:t>
      </w:r>
    </w:p>
    <w:p>
      <w:pPr>
        <w:pStyle w:val="ListBullet"/>
      </w:pPr>
      <w:r>
        <w:t>Problem list and diagnoses with coded terminology plus clinician-readable text.</w:t>
      </w:r>
    </w:p>
    <w:p>
      <w:pPr>
        <w:pStyle w:val="ListBullet"/>
      </w:pPr>
      <w:r>
        <w:t>Assessment, differential diagnosis, plan, orders, prescriptions, procedures, referrals, follow-up and patient instructions.</w:t>
      </w:r>
    </w:p>
    <w:p>
      <w:pPr>
        <w:pStyle w:val="ListBullet"/>
      </w:pPr>
      <w:r>
        <w:t>Specialty templates are configurable and must never prevent free-text capture when clinically necessary.</w:t>
      </w:r>
    </w:p>
    <w:p>
      <w:pPr>
        <w:pStyle w:val="ListBullet"/>
      </w:pPr>
      <w:r>
        <w:t>Draft, signed, amended and addendum states with co-signature/supervision rules where required.</w:t>
      </w:r>
    </w:p>
    <w:p>
      <w:pPr>
        <w:pStyle w:val="Heading2"/>
      </w:pPr>
      <w:r>
        <w:t>6.2 Problem-oriented record</w:t>
      </w:r>
    </w:p>
    <w:p>
      <w:r>
        <w:t>The patient record should support both chronological navigation and problem-oriented navigation. A condition/problem can link encounters, observations, anatomy annotations, orders, imaging, medications, procedures and care plans so that a clinician can review the complete history of a particular health issue.</w:t>
      </w:r>
    </w:p>
    <w:p>
      <w:pPr>
        <w:pStyle w:val="Heading1"/>
      </w:pPr>
      <w:r>
        <w:t>7. Interactive Anatomical Clinical Mapping Engine</w:t>
      </w:r>
    </w:p>
    <w:p>
      <w:pPr>
        <w:pStyle w:val="Heading2"/>
      </w:pPr>
      <w:r>
        <w:t>7.1 Purpose</w:t>
      </w:r>
    </w:p>
    <w:p>
      <w:r>
        <w:t>The anatomy engine is a clinical documentation and explanation surface. A selected body region or structure must resolve to a stable internal anatomical identifier and, where licensing/terminology support permits, a mapped standard body-structure concept. The annotation is stored with the encounter and can be reused for longitudinal review.</w:t>
      </w:r>
    </w:p>
    <w:p>
      <w:pPr>
        <w:pStyle w:val="Heading2"/>
      </w:pPr>
      <w:r>
        <w:t>7.2 Model capabilities</w:t>
      </w:r>
    </w:p>
    <w:p>
      <w:pPr>
        <w:pStyle w:val="ListBullet"/>
      </w:pPr>
      <w:r>
        <w:t>2D body charts for fast documentation and 3D models for detailed exploration.</w:t>
      </w:r>
    </w:p>
    <w:p>
      <w:pPr>
        <w:pStyle w:val="ListBullet"/>
      </w:pPr>
      <w:r>
        <w:t>Male/female and age-appropriate models where clinically relevant; specialty-specific models such as dental, eye, ENT, musculoskeletal and dermatological surfaces.</w:t>
      </w:r>
    </w:p>
    <w:p>
      <w:pPr>
        <w:pStyle w:val="ListBullet"/>
      </w:pPr>
      <w:r>
        <w:t>Layer control: skin, muscle, bone, vessels, nerves, organs and other licensed/modelled layers.</w:t>
      </w:r>
    </w:p>
    <w:p>
      <w:pPr>
        <w:pStyle w:val="ListBullet"/>
      </w:pPr>
      <w:r>
        <w:t>Rotate, zoom, isolate, hide, explode, cross-section and search structures where supported by the model.</w:t>
      </w:r>
    </w:p>
    <w:p>
      <w:pPr>
        <w:pStyle w:val="ListBullet"/>
      </w:pPr>
      <w:r>
        <w:t>Laterality, body region, exact structure and optional surface coordinate/mesh reference.</w:t>
      </w:r>
    </w:p>
    <w:p>
      <w:pPr>
        <w:pStyle w:val="ListBullet"/>
      </w:pPr>
      <w:r>
        <w:t>Drawing tools: point, line, polygon, freehand, measurement, colour/legend category, text note and attachment.</w:t>
      </w:r>
    </w:p>
    <w:p>
      <w:pPr>
        <w:pStyle w:val="ListBullet"/>
      </w:pPr>
      <w:r>
        <w:t>Finding semantics: pain, tenderness, swelling, lesion, wound, mass, deformity, reduced movement, surgical site or configurable specialty finding.</w:t>
      </w:r>
    </w:p>
    <w:p>
      <w:pPr>
        <w:pStyle w:val="ListBullet"/>
      </w:pPr>
      <w:r>
        <w:t>Severity, onset, duration, clinical status, certainty and associated problem/diagnosis.</w:t>
      </w:r>
    </w:p>
    <w:p>
      <w:pPr>
        <w:pStyle w:val="ListBullet"/>
      </w:pPr>
      <w:r>
        <w:t>Before/after comparison and encounter timeline.</w:t>
      </w:r>
    </w:p>
    <w:p>
      <w:pPr>
        <w:pStyle w:val="ListBullet"/>
      </w:pPr>
      <w:r>
        <w:t>Patient-education mode that hides internal clinical-only notes and shows approved explanatory content.</w:t>
      </w:r>
    </w:p>
    <w:p>
      <w:pPr>
        <w:pStyle w:val="Heading2"/>
      </w:pPr>
      <w:r>
        <w:t>7.3 Safety and data rules</w:t>
      </w:r>
    </w:p>
    <w:p>
      <w:pPr>
        <w:pStyle w:val="ListBullet"/>
      </w:pPr>
      <w:r>
        <w:t>3D geometry is not the clinical truth; the structured finding and clinician-authored note are authoritative.</w:t>
      </w:r>
    </w:p>
    <w:p>
      <w:pPr>
        <w:pStyle w:val="ListBullet"/>
      </w:pPr>
      <w:r>
        <w:t>Annotations must preserve the exact model version and structure identifier used at documentation time.</w:t>
      </w:r>
    </w:p>
    <w:p>
      <w:pPr>
        <w:pStyle w:val="ListBullet"/>
      </w:pPr>
      <w:r>
        <w:t>Changing a model vendor/version cannot silently move historical coordinates.</w:t>
      </w:r>
    </w:p>
    <w:p>
      <w:pPr>
        <w:pStyle w:val="ListBullet"/>
      </w:pPr>
      <w:r>
        <w:t>Anatomical annotations are part of the medical record and follow the same access, retention, signing and audit controls.</w:t>
      </w:r>
    </w:p>
    <w:p>
      <w:pPr>
        <w:pStyle w:val="ListBullet"/>
      </w:pPr>
      <w:r>
        <w:t>No automatic diagnosis from a selected structure unless implemented as separately governed clinical decision support.</w:t>
      </w:r>
    </w:p>
    <w:p>
      <w:pPr>
        <w:pStyle w:val="Heading1"/>
      </w:pPr>
      <w:r>
        <w:t>8. Nursing, Vitals, Medication Administration &amp; Handover</w:t>
      </w:r>
    </w:p>
    <w:p>
      <w:pPr>
        <w:pStyle w:val="ListBullet"/>
      </w:pPr>
      <w:r>
        <w:t>Triage/vitals templates, pain scores, fluid balance, intake/output, nursing assessment and risk scores where configured.</w:t>
      </w:r>
    </w:p>
    <w:p>
      <w:pPr>
        <w:pStyle w:val="ListBullet"/>
      </w:pPr>
      <w:r>
        <w:t>Nursing care plans, observations, tasks and escalation.</w:t>
      </w:r>
    </w:p>
    <w:p>
      <w:pPr>
        <w:pStyle w:val="ListBullet"/>
      </w:pPr>
      <w:r>
        <w:t>Electronic Medication Administration Record (eMAR): due, administered, withheld, refused, missed, late; dose/time/route/site; administering user; witness where required.</w:t>
      </w:r>
    </w:p>
    <w:p>
      <w:pPr>
        <w:pStyle w:val="ListBullet"/>
      </w:pPr>
      <w:r>
        <w:t>Shift handover: current status, risks, pending tests, medications, tasks, devices, escalation concerns and receiving acknowledgement.</w:t>
      </w:r>
    </w:p>
    <w:p>
      <w:pPr>
        <w:pStyle w:val="ListBullet"/>
      </w:pPr>
      <w:r>
        <w:t>Observation schedules and overdue alerts must be clinically configurable to avoid alert fatigue.</w:t>
      </w:r>
    </w:p>
    <w:p>
      <w:pPr>
        <w:pStyle w:val="Heading1"/>
      </w:pPr>
      <w:r>
        <w:t>9. Laboratory Information Workflow</w:t>
      </w:r>
    </w:p>
    <w:p>
      <w:pPr>
        <w:pStyle w:val="Heading2"/>
      </w:pPr>
      <w:r>
        <w:t>9.1 End-to-end workflow</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Clinician Order</w:t>
            </w:r>
          </w:p>
        </w:tc>
      </w:tr>
      <w:tr>
        <w:tc>
          <w:tcPr>
            <w:tcW w:type="dxa" w:w="10166"/>
          </w:tcPr>
          <w:p>
            <w:pPr>
              <w:jc w:val="center"/>
            </w:pPr>
            <w:r>
              <w:rPr>
                <w:rFonts w:ascii="Consolas" w:hAnsi="Consolas"/>
                <w:b w:val="0"/>
                <w:sz w:val="17"/>
              </w:rPr>
              <w:t>Order Validation / Billing Rule (if applicable)</w:t>
            </w:r>
          </w:p>
        </w:tc>
      </w:tr>
      <w:tr>
        <w:tc>
          <w:tcPr>
            <w:tcW w:type="dxa" w:w="10166"/>
          </w:tcPr>
          <w:p>
            <w:pPr>
              <w:jc w:val="center"/>
            </w:pPr>
            <w:r>
              <w:rPr>
                <w:rFonts w:ascii="Consolas" w:hAnsi="Consolas"/>
                <w:b w:val="0"/>
                <w:sz w:val="17"/>
              </w:rPr>
              <w:t>Specimen Collection + Label</w:t>
            </w:r>
          </w:p>
        </w:tc>
      </w:tr>
      <w:tr>
        <w:tc>
          <w:tcPr>
            <w:tcW w:type="dxa" w:w="10166"/>
          </w:tcPr>
          <w:p>
            <w:pPr>
              <w:jc w:val="center"/>
            </w:pPr>
            <w:r>
              <w:rPr>
                <w:rFonts w:ascii="Consolas" w:hAnsi="Consolas"/>
                <w:b w:val="0"/>
                <w:sz w:val="17"/>
              </w:rPr>
              <w:t>Accession / Reception</w:t>
            </w:r>
          </w:p>
        </w:tc>
      </w:tr>
      <w:tr>
        <w:tc>
          <w:tcPr>
            <w:tcW w:type="dxa" w:w="10166"/>
          </w:tcPr>
          <w:p>
            <w:pPr>
              <w:jc w:val="center"/>
            </w:pPr>
            <w:r>
              <w:rPr>
                <w:rFonts w:ascii="Consolas" w:hAnsi="Consolas"/>
                <w:b w:val="0"/>
                <w:sz w:val="17"/>
              </w:rPr>
              <w:t>Processing / Analyzer or Manual Entry</w:t>
            </w:r>
          </w:p>
        </w:tc>
      </w:tr>
      <w:tr>
        <w:tc>
          <w:tcPr>
            <w:tcW w:type="dxa" w:w="10166"/>
          </w:tcPr>
          <w:p>
            <w:pPr>
              <w:jc w:val="center"/>
            </w:pPr>
            <w:r>
              <w:rPr>
                <w:rFonts w:ascii="Consolas" w:hAnsi="Consolas"/>
                <w:b w:val="0"/>
                <w:sz w:val="17"/>
              </w:rPr>
              <w:t>Technical Validation</w:t>
            </w:r>
          </w:p>
        </w:tc>
      </w:tr>
      <w:tr>
        <w:tc>
          <w:tcPr>
            <w:tcW w:type="dxa" w:w="10166"/>
          </w:tcPr>
          <w:p>
            <w:pPr>
              <w:jc w:val="center"/>
            </w:pPr>
            <w:r>
              <w:rPr>
                <w:rFonts w:ascii="Consolas" w:hAnsi="Consolas"/>
                <w:b w:val="0"/>
                <w:sz w:val="17"/>
              </w:rPr>
              <w:t>Clinical/Authorised Validation</w:t>
            </w:r>
          </w:p>
        </w:tc>
      </w:tr>
      <w:tr>
        <w:tc>
          <w:tcPr>
            <w:tcW w:type="dxa" w:w="10166"/>
          </w:tcPr>
          <w:p>
            <w:pPr>
              <w:jc w:val="center"/>
            </w:pPr>
            <w:r>
              <w:rPr>
                <w:rFonts w:ascii="Consolas" w:hAnsi="Consolas"/>
                <w:b w:val="0"/>
                <w:sz w:val="17"/>
              </w:rPr>
              <w:t>Result Release → Patient Record → Ordering Team Notification</w:t>
            </w:r>
          </w:p>
        </w:tc>
      </w:tr>
      <w:tr>
        <w:tc>
          <w:tcPr>
            <w:tcW w:type="dxa" w:w="10166"/>
          </w:tcPr>
          <w:p>
            <w:pPr>
              <w:jc w:val="center"/>
            </w:pPr>
            <w:r>
              <w:rPr>
                <w:rFonts w:ascii="Consolas" w:hAnsi="Consolas"/>
                <w:b w:val="0"/>
                <w:sz w:val="17"/>
              </w:rPr>
              <w:t>Critical Result Acknowledgement / Escalation</w:t>
            </w:r>
          </w:p>
        </w:tc>
      </w:tr>
    </w:tbl>
    <w:p>
      <w:pPr>
        <w:pStyle w:val="Heading2"/>
      </w:pPr>
      <w:r>
        <w:t>9.2 Laboratory capabilities</w:t>
      </w:r>
    </w:p>
    <w:p>
      <w:pPr>
        <w:pStyle w:val="ListBullet"/>
      </w:pPr>
      <w:r>
        <w:t>Test catalogue, panels, specimen requirements, container, fasting/preparation instructions, reference intervals and units.</w:t>
      </w:r>
    </w:p>
    <w:p>
      <w:pPr>
        <w:pStyle w:val="ListBullet"/>
      </w:pPr>
      <w:r>
        <w:t>Barcode labels, specimen chain of custody, collection/recollection, rejection reason and transport status.</w:t>
      </w:r>
    </w:p>
    <w:p>
      <w:pPr>
        <w:pStyle w:val="ListBullet"/>
      </w:pPr>
      <w:r>
        <w:t>Worklists by section/instrument/priority; send-out/reference laboratory workflow.</w:t>
      </w:r>
    </w:p>
    <w:p>
      <w:pPr>
        <w:pStyle w:val="ListBullet"/>
      </w:pPr>
      <w:r>
        <w:t>Numeric, coded, text and attachment results; differential results; microbiology/culture workflows as a specialised extension.</w:t>
      </w:r>
    </w:p>
    <w:p>
      <w:pPr>
        <w:pStyle w:val="ListBullet"/>
      </w:pPr>
      <w:r>
        <w:t>Age/sex/method-specific reference ranges; delta checks where configured; critical values and acknowledgement.</w:t>
      </w:r>
    </w:p>
    <w:p>
      <w:pPr>
        <w:pStyle w:val="ListBullet"/>
      </w:pPr>
      <w:r>
        <w:t>Result corrections require reason, version history and notification of affected clinicians.</w:t>
      </w:r>
    </w:p>
    <w:p>
      <w:pPr>
        <w:pStyle w:val="ListBullet"/>
      </w:pPr>
      <w:r>
        <w:t>Reagent and consumable consumption can post inventory transactions based on test configuration, actual usage or batch run.</w:t>
      </w:r>
    </w:p>
    <w:p>
      <w:pPr>
        <w:pStyle w:val="Heading1"/>
      </w:pPr>
      <w:r>
        <w:t>10. Imaging, Radiology and PACS Integration</w:t>
      </w:r>
    </w:p>
    <w:p>
      <w:pPr>
        <w:pStyle w:val="ListBullet"/>
      </w:pPr>
      <w:r>
        <w:t>Imaging order, protocol, scheduling, modality worklist integration where supported, acquisition status and radiologist worklist.</w:t>
      </w:r>
    </w:p>
    <w:p>
      <w:pPr>
        <w:pStyle w:val="ListBullet"/>
      </w:pPr>
      <w:r>
        <w:t>DICOM/PACS integration for image studies; Pulse stores references/metadata and launches an approved diagnostic viewer rather than converting diagnostic images into ordinary uploads.</w:t>
      </w:r>
    </w:p>
    <w:p>
      <w:pPr>
        <w:pStyle w:val="ListBullet"/>
      </w:pPr>
      <w:r>
        <w:t>Radiology reports support structured findings plus narrative, status (preliminary/final/amended), critical result workflows and attachments.</w:t>
      </w:r>
    </w:p>
    <w:p>
      <w:pPr>
        <w:pStyle w:val="ListBullet"/>
      </w:pPr>
      <w:r>
        <w:t>ImagingStudy/DiagnosticReport linkage to patient, encounter and original order.</w:t>
      </w:r>
    </w:p>
    <w:p>
      <w:pPr>
        <w:pStyle w:val="ListBullet"/>
      </w:pPr>
      <w:r>
        <w:t>Outside imaging import must retain source/provenance and should not be silently mixed with locally acquired studies.</w:t>
      </w:r>
    </w:p>
    <w:p>
      <w:pPr>
        <w:pStyle w:val="Heading1"/>
      </w:pPr>
      <w:r>
        <w:t>11. Medication, Pharmacy and Formulary</w:t>
      </w:r>
    </w:p>
    <w:p>
      <w:pPr>
        <w:pStyle w:val="Heading2"/>
      </w:pPr>
      <w:r>
        <w:t>11.1 Medication lifecycle</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Medication Reconciliation</w:t>
            </w:r>
          </w:p>
        </w:tc>
      </w:tr>
      <w:tr>
        <w:tc>
          <w:tcPr>
            <w:tcW w:type="dxa" w:w="10166"/>
          </w:tcPr>
          <w:p>
            <w:pPr>
              <w:jc w:val="center"/>
            </w:pPr>
            <w:r>
              <w:rPr>
                <w:rFonts w:ascii="Consolas" w:hAnsi="Consolas"/>
                <w:b w:val="0"/>
                <w:sz w:val="17"/>
              </w:rPr>
              <w:t>Prescription / Medication Order</w:t>
            </w:r>
          </w:p>
        </w:tc>
      </w:tr>
      <w:tr>
        <w:tc>
          <w:tcPr>
            <w:tcW w:type="dxa" w:w="10166"/>
          </w:tcPr>
          <w:p>
            <w:pPr>
              <w:jc w:val="center"/>
            </w:pPr>
            <w:r>
              <w:rPr>
                <w:rFonts w:ascii="Consolas" w:hAnsi="Consolas"/>
                <w:b w:val="0"/>
                <w:sz w:val="17"/>
              </w:rPr>
              <w:t>Clinical &amp; Formulary Checks</w:t>
            </w:r>
          </w:p>
        </w:tc>
      </w:tr>
      <w:tr>
        <w:tc>
          <w:tcPr>
            <w:tcW w:type="dxa" w:w="10166"/>
          </w:tcPr>
          <w:p>
            <w:pPr>
              <w:jc w:val="center"/>
            </w:pPr>
            <w:r>
              <w:rPr>
                <w:rFonts w:ascii="Consolas" w:hAnsi="Consolas"/>
                <w:b w:val="0"/>
                <w:sz w:val="17"/>
              </w:rPr>
              <w:t>Pharmacist Verification</w:t>
            </w:r>
          </w:p>
        </w:tc>
      </w:tr>
      <w:tr>
        <w:tc>
          <w:tcPr>
            <w:tcW w:type="dxa" w:w="10166"/>
          </w:tcPr>
          <w:p>
            <w:pPr>
              <w:jc w:val="center"/>
            </w:pPr>
            <w:r>
              <w:rPr>
                <w:rFonts w:ascii="Consolas" w:hAnsi="Consolas"/>
                <w:b w:val="0"/>
                <w:sz w:val="17"/>
              </w:rPr>
              <w:t>Stock Allocation / Dispense</w:t>
            </w:r>
          </w:p>
        </w:tc>
      </w:tr>
      <w:tr>
        <w:tc>
          <w:tcPr>
            <w:tcW w:type="dxa" w:w="10166"/>
          </w:tcPr>
          <w:p>
            <w:pPr>
              <w:jc w:val="center"/>
            </w:pPr>
            <w:r>
              <w:rPr>
                <w:rFonts w:ascii="Consolas" w:hAnsi="Consolas"/>
                <w:b w:val="0"/>
                <w:sz w:val="17"/>
              </w:rPr>
              <w:t>Patient / Ward Supply</w:t>
            </w:r>
          </w:p>
        </w:tc>
      </w:tr>
      <w:tr>
        <w:tc>
          <w:tcPr>
            <w:tcW w:type="dxa" w:w="10166"/>
          </w:tcPr>
          <w:p>
            <w:pPr>
              <w:jc w:val="center"/>
            </w:pPr>
            <w:r>
              <w:rPr>
                <w:rFonts w:ascii="Consolas" w:hAnsi="Consolas"/>
                <w:b w:val="0"/>
                <w:sz w:val="17"/>
              </w:rPr>
              <w:t>Administration (where inpatient)</w:t>
            </w:r>
          </w:p>
        </w:tc>
      </w:tr>
      <w:tr>
        <w:tc>
          <w:tcPr>
            <w:tcW w:type="dxa" w:w="10166"/>
          </w:tcPr>
          <w:p>
            <w:pPr>
              <w:jc w:val="center"/>
            </w:pPr>
            <w:r>
              <w:rPr>
                <w:rFonts w:ascii="Consolas" w:hAnsi="Consolas"/>
                <w:b w:val="0"/>
                <w:sz w:val="17"/>
              </w:rPr>
              <w:t>Monitoring / Reconciliation / Discontinuation</w:t>
            </w:r>
          </w:p>
        </w:tc>
      </w:tr>
    </w:tbl>
    <w:p>
      <w:pPr>
        <w:pStyle w:val="Heading2"/>
      </w:pPr>
      <w:r>
        <w:t>11.2 Pharmacy capabilities</w:t>
      </w:r>
    </w:p>
    <w:p>
      <w:pPr>
        <w:pStyle w:val="ListBullet"/>
      </w:pPr>
      <w:r>
        <w:t>Formulary, generic/brand relationships, dosage forms, strengths, routes, pack sizes and controlled categories.</w:t>
      </w:r>
    </w:p>
    <w:p>
      <w:pPr>
        <w:pStyle w:val="ListBullet"/>
      </w:pPr>
      <w:r>
        <w:t>Prescription: indication, dose, unit, frequency, route, duration, quantity, PRN instructions and special directions.</w:t>
      </w:r>
    </w:p>
    <w:p>
      <w:pPr>
        <w:pStyle w:val="ListBullet"/>
      </w:pPr>
      <w:r>
        <w:t>Allergy/interaction/duplicate-therapy support when validated data sources are available; alerts require severity and override reason policy.</w:t>
      </w:r>
    </w:p>
    <w:p>
      <w:pPr>
        <w:pStyle w:val="ListBullet"/>
      </w:pPr>
      <w:r>
        <w:t>Dispense against prescription with batch/lot and expiry traceability where appropriate.</w:t>
      </w:r>
    </w:p>
    <w:p>
      <w:pPr>
        <w:pStyle w:val="ListBullet"/>
      </w:pPr>
      <w:r>
        <w:t>Partial dispense, substitution under policy, returns, reversals, wastage and controlled-stock counts.</w:t>
      </w:r>
    </w:p>
    <w:p>
      <w:pPr>
        <w:pStyle w:val="ListBullet"/>
      </w:pPr>
      <w:r>
        <w:t>Outpatient, inpatient/ward stock and emergency cabinet workflows.</w:t>
      </w:r>
    </w:p>
    <w:p>
      <w:pPr>
        <w:pStyle w:val="ListBullet"/>
      </w:pPr>
      <w:r>
        <w:t>Medication history appears in the longitudinal record independently of whether the item was billed.</w:t>
      </w:r>
    </w:p>
    <w:p>
      <w:pPr>
        <w:pStyle w:val="Heading1"/>
      </w:pPr>
      <w:r>
        <w:t>12. Inventory, Stores, Procurement and Consumption</w:t>
      </w:r>
    </w:p>
    <w:p>
      <w:pPr>
        <w:pStyle w:val="Heading2"/>
      </w:pPr>
      <w:r>
        <w:t>12.1 Inventory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Object</w:t>
            </w:r>
          </w:p>
        </w:tc>
        <w:tc>
          <w:tcPr>
            <w:tcW w:type="dxa" w:w="5083"/>
            <w:vAlign w:val="center"/>
          </w:tcPr>
          <w:p>
            <w:pPr>
              <w:spacing w:after="20"/>
            </w:pPr>
            <w:r>
              <w:rPr>
                <w:b/>
                <w:sz w:val="16"/>
              </w:rPr>
              <w:t>Required behaviour</w:t>
            </w:r>
          </w:p>
        </w:tc>
      </w:tr>
      <w:tr>
        <w:tc>
          <w:tcPr>
            <w:tcW w:type="dxa" w:w="5083"/>
            <w:vAlign w:val="top"/>
          </w:tcPr>
          <w:p>
            <w:pPr>
              <w:spacing w:after="20"/>
            </w:pPr>
            <w:r>
              <w:rPr>
                <w:sz w:val="16"/>
              </w:rPr>
              <w:t>Item master</w:t>
            </w:r>
          </w:p>
        </w:tc>
        <w:tc>
          <w:tcPr>
            <w:tcW w:type="dxa" w:w="5083"/>
            <w:vAlign w:val="top"/>
          </w:tcPr>
          <w:p>
            <w:pPr>
              <w:spacing w:after="20"/>
            </w:pPr>
            <w:r>
              <w:rPr>
                <w:sz w:val="16"/>
              </w:rPr>
              <w:t>Code, description, category, unit of measure, pack/conversion, manufacturer, storage rules, reorder policy.</w:t>
            </w:r>
          </w:p>
        </w:tc>
      </w:tr>
      <w:tr>
        <w:tc>
          <w:tcPr>
            <w:tcW w:type="dxa" w:w="5083"/>
            <w:vAlign w:val="top"/>
          </w:tcPr>
          <w:p>
            <w:pPr>
              <w:spacing w:after="20"/>
            </w:pPr>
            <w:r>
              <w:rPr>
                <w:sz w:val="16"/>
              </w:rPr>
              <w:t>Batch/Lot</w:t>
            </w:r>
          </w:p>
        </w:tc>
        <w:tc>
          <w:tcPr>
            <w:tcW w:type="dxa" w:w="5083"/>
            <w:vAlign w:val="top"/>
          </w:tcPr>
          <w:p>
            <w:pPr>
              <w:spacing w:after="20"/>
            </w:pPr>
            <w:r>
              <w:rPr>
                <w:sz w:val="16"/>
              </w:rPr>
              <w:t>Batch/lot number, manufacture/expiry, supplier, receipt cost, quarantine/recall state.</w:t>
            </w:r>
          </w:p>
        </w:tc>
      </w:tr>
      <w:tr>
        <w:tc>
          <w:tcPr>
            <w:tcW w:type="dxa" w:w="5083"/>
            <w:vAlign w:val="top"/>
          </w:tcPr>
          <w:p>
            <w:pPr>
              <w:spacing w:after="20"/>
            </w:pPr>
            <w:r>
              <w:rPr>
                <w:sz w:val="16"/>
              </w:rPr>
              <w:t>Stock location</w:t>
            </w:r>
          </w:p>
        </w:tc>
        <w:tc>
          <w:tcPr>
            <w:tcW w:type="dxa" w:w="5083"/>
            <w:vAlign w:val="top"/>
          </w:tcPr>
          <w:p>
            <w:pPr>
              <w:spacing w:after="20"/>
            </w:pPr>
            <w:r>
              <w:rPr>
                <w:sz w:val="16"/>
              </w:rPr>
              <w:t>Central store, pharmacy, lab, theatre, ward, cabinet or other controlled location.</w:t>
            </w:r>
          </w:p>
        </w:tc>
      </w:tr>
      <w:tr>
        <w:tc>
          <w:tcPr>
            <w:tcW w:type="dxa" w:w="5083"/>
            <w:vAlign w:val="top"/>
          </w:tcPr>
          <w:p>
            <w:pPr>
              <w:spacing w:after="20"/>
            </w:pPr>
            <w:r>
              <w:rPr>
                <w:sz w:val="16"/>
              </w:rPr>
              <w:t>Ledger</w:t>
            </w:r>
          </w:p>
        </w:tc>
        <w:tc>
          <w:tcPr>
            <w:tcW w:type="dxa" w:w="5083"/>
            <w:vAlign w:val="top"/>
          </w:tcPr>
          <w:p>
            <w:pPr>
              <w:spacing w:after="20"/>
            </w:pPr>
            <w:r>
              <w:rPr>
                <w:sz w:val="16"/>
              </w:rPr>
              <w:t>Every quantity change posts an immutable movement with source, destination, reason, user and reference document.</w:t>
            </w:r>
          </w:p>
        </w:tc>
      </w:tr>
      <w:tr>
        <w:tc>
          <w:tcPr>
            <w:tcW w:type="dxa" w:w="5083"/>
            <w:vAlign w:val="top"/>
          </w:tcPr>
          <w:p>
            <w:pPr>
              <w:spacing w:after="20"/>
            </w:pPr>
            <w:r>
              <w:rPr>
                <w:sz w:val="16"/>
              </w:rPr>
              <w:t>Requisition</w:t>
            </w:r>
          </w:p>
        </w:tc>
        <w:tc>
          <w:tcPr>
            <w:tcW w:type="dxa" w:w="5083"/>
            <w:vAlign w:val="top"/>
          </w:tcPr>
          <w:p>
            <w:pPr>
              <w:spacing w:after="20"/>
            </w:pPr>
            <w:r>
              <w:rPr>
                <w:sz w:val="16"/>
              </w:rPr>
              <w:t>Department requests stock; approval and fulfilment can be policy-driven.</w:t>
            </w:r>
          </w:p>
        </w:tc>
      </w:tr>
      <w:tr>
        <w:tc>
          <w:tcPr>
            <w:tcW w:type="dxa" w:w="5083"/>
            <w:vAlign w:val="top"/>
          </w:tcPr>
          <w:p>
            <w:pPr>
              <w:spacing w:after="20"/>
            </w:pPr>
            <w:r>
              <w:rPr>
                <w:sz w:val="16"/>
              </w:rPr>
              <w:t>Purchase order</w:t>
            </w:r>
          </w:p>
        </w:tc>
        <w:tc>
          <w:tcPr>
            <w:tcW w:type="dxa" w:w="5083"/>
            <w:vAlign w:val="top"/>
          </w:tcPr>
          <w:p>
            <w:pPr>
              <w:spacing w:after="20"/>
            </w:pPr>
            <w:r>
              <w:rPr>
                <w:sz w:val="16"/>
              </w:rPr>
              <w:t>Supplier, terms, quantities, price, approval, receipt and variance.</w:t>
            </w:r>
          </w:p>
        </w:tc>
      </w:tr>
      <w:tr>
        <w:tc>
          <w:tcPr>
            <w:tcW w:type="dxa" w:w="5083"/>
            <w:vAlign w:val="top"/>
          </w:tcPr>
          <w:p>
            <w:pPr>
              <w:spacing w:after="20"/>
            </w:pPr>
            <w:r>
              <w:rPr>
                <w:sz w:val="16"/>
              </w:rPr>
              <w:t>Issue/Consumption</w:t>
            </w:r>
          </w:p>
        </w:tc>
        <w:tc>
          <w:tcPr>
            <w:tcW w:type="dxa" w:w="5083"/>
            <w:vAlign w:val="top"/>
          </w:tcPr>
          <w:p>
            <w:pPr>
              <w:spacing w:after="20"/>
            </w:pPr>
            <w:r>
              <w:rPr>
                <w:sz w:val="16"/>
              </w:rPr>
              <w:t>Links usage to department, patient, procedure, test or cost centre where applicable.</w:t>
            </w:r>
          </w:p>
        </w:tc>
      </w:tr>
      <w:tr>
        <w:tc>
          <w:tcPr>
            <w:tcW w:type="dxa" w:w="5083"/>
            <w:vAlign w:val="top"/>
          </w:tcPr>
          <w:p>
            <w:pPr>
              <w:spacing w:after="20"/>
            </w:pPr>
            <w:r>
              <w:rPr>
                <w:sz w:val="16"/>
              </w:rPr>
              <w:t>Adjustment</w:t>
            </w:r>
          </w:p>
        </w:tc>
        <w:tc>
          <w:tcPr>
            <w:tcW w:type="dxa" w:w="5083"/>
            <w:vAlign w:val="top"/>
          </w:tcPr>
          <w:p>
            <w:pPr>
              <w:spacing w:after="20"/>
            </w:pPr>
            <w:r>
              <w:rPr>
                <w:sz w:val="16"/>
              </w:rPr>
              <w:t>Requires reason, authorisation and audit; no direct quantity editing.</w:t>
            </w:r>
          </w:p>
        </w:tc>
      </w:tr>
      <w:tr>
        <w:tc>
          <w:tcPr>
            <w:tcW w:type="dxa" w:w="5083"/>
            <w:vAlign w:val="top"/>
          </w:tcPr>
          <w:p>
            <w:pPr>
              <w:spacing w:after="20"/>
            </w:pPr>
            <w:r>
              <w:rPr>
                <w:sz w:val="16"/>
              </w:rPr>
              <w:t>Count</w:t>
            </w:r>
          </w:p>
        </w:tc>
        <w:tc>
          <w:tcPr>
            <w:tcW w:type="dxa" w:w="5083"/>
            <w:vAlign w:val="top"/>
          </w:tcPr>
          <w:p>
            <w:pPr>
              <w:spacing w:after="20"/>
            </w:pPr>
            <w:r>
              <w:rPr>
                <w:sz w:val="16"/>
              </w:rPr>
              <w:t>Cycle/physical count with variance investigation and approval.</w:t>
            </w:r>
          </w:p>
        </w:tc>
      </w:tr>
    </w:tbl>
    <w:p>
      <w:pPr>
        <w:pStyle w:val="Heading2"/>
      </w:pPr>
      <w:r>
        <w:t>12.2 Stock rules</w:t>
      </w:r>
    </w:p>
    <w:p>
      <w:pPr>
        <w:pStyle w:val="ListBullet"/>
      </w:pPr>
      <w:r>
        <w:t>FEFO (first-expiry-first-out) support for expiring products where appropriate.</w:t>
      </w:r>
    </w:p>
    <w:p>
      <w:pPr>
        <w:pStyle w:val="ListBullet"/>
      </w:pPr>
      <w:r>
        <w:t>Low-stock, stock-out, overstock and near-expiry alerts.</w:t>
      </w:r>
    </w:p>
    <w:p>
      <w:pPr>
        <w:pStyle w:val="ListBullet"/>
      </w:pPr>
      <w:r>
        <w:t>Quarantine, damaged, expired, recalled and unavailable stock states.</w:t>
      </w:r>
    </w:p>
    <w:p>
      <w:pPr>
        <w:pStyle w:val="ListBullet"/>
      </w:pPr>
      <w:r>
        <w:t>Inter-store transfer with dispatch/receive acknowledgement.</w:t>
      </w:r>
    </w:p>
    <w:p>
      <w:pPr>
        <w:pStyle w:val="ListBullet"/>
      </w:pPr>
      <w:r>
        <w:t>Unit-of-measure conversions must be explicit and versioned.</w:t>
      </w:r>
    </w:p>
    <w:p>
      <w:pPr>
        <w:pStyle w:val="ListBullet"/>
      </w:pPr>
      <w:r>
        <w:t>Lab test and theatre procedure templates may define expected consumables, but actual usage must be adjustable and auditable.</w:t>
      </w:r>
    </w:p>
    <w:p>
      <w:pPr>
        <w:pStyle w:val="ListBullet"/>
      </w:pPr>
      <w:r>
        <w:t>Dashboards: stock value, consumption, wastage, expiry exposure, days of stock, fast/slow movers, stock variance and requisition fulfilment.</w:t>
      </w:r>
    </w:p>
    <w:p>
      <w:pPr>
        <w:pStyle w:val="Heading1"/>
      </w:pPr>
      <w:r>
        <w:t>13. Emergency Department, Admission, Ward and Bed Management</w:t>
      </w:r>
    </w:p>
    <w:p>
      <w:pPr>
        <w:pStyle w:val="ListBullet"/>
      </w:pPr>
      <w:r>
        <w:t>Emergency registration/unknown-patient workflow with later identity reconciliation.</w:t>
      </w:r>
    </w:p>
    <w:p>
      <w:pPr>
        <w:pStyle w:val="ListBullet"/>
      </w:pPr>
      <w:r>
        <w:t>Triage category, arrival mode, presenting complaint, resuscitation/assessment, emergency orders and disposition.</w:t>
      </w:r>
    </w:p>
    <w:p>
      <w:pPr>
        <w:pStyle w:val="ListBullet"/>
      </w:pPr>
      <w:r>
        <w:t>Admission request, acceptance, bed assignment, ward transfer and discharge.</w:t>
      </w:r>
    </w:p>
    <w:p>
      <w:pPr>
        <w:pStyle w:val="ListBullet"/>
      </w:pPr>
      <w:r>
        <w:t>Bed states: available, occupied, reserved, cleaning, maintenance, isolation/restricted.</w:t>
      </w:r>
    </w:p>
    <w:p>
      <w:pPr>
        <w:pStyle w:val="ListBullet"/>
      </w:pPr>
      <w:r>
        <w:t>Ward census, patient board, observation due list, medication due list, pending orders/results and discharge barriers.</w:t>
      </w:r>
    </w:p>
    <w:p>
      <w:pPr>
        <w:pStyle w:val="ListBullet"/>
      </w:pPr>
      <w:r>
        <w:t>Discharge summary, diagnoses, procedures, medication reconciliation, follow-up, referral and patient instructions.</w:t>
      </w:r>
    </w:p>
    <w:p>
      <w:pPr>
        <w:pStyle w:val="Heading1"/>
      </w:pPr>
      <w:r>
        <w:t>14. Procedure, Surgery and Theatre</w:t>
      </w:r>
    </w:p>
    <w:p>
      <w:pPr>
        <w:pStyle w:val="ListBullet"/>
      </w:pPr>
      <w:r>
        <w:t>Procedure request, indication, consent status, pre-op assessment, anaesthesia assessment and theatre scheduling.</w:t>
      </w:r>
    </w:p>
    <w:p>
      <w:pPr>
        <w:pStyle w:val="ListBullet"/>
      </w:pPr>
      <w:r>
        <w:t>Theatre list, room/resource allocation, team assignment and case status.</w:t>
      </w:r>
    </w:p>
    <w:p>
      <w:pPr>
        <w:pStyle w:val="ListBullet"/>
      </w:pPr>
      <w:r>
        <w:t>WHO-style configurable safety checklists may be supported but must be locally approved and version controlled.</w:t>
      </w:r>
    </w:p>
    <w:p>
      <w:pPr>
        <w:pStyle w:val="ListBullet"/>
      </w:pPr>
      <w:r>
        <w:t>Procedure note, findings, anatomical mapping, implants, specimens, blood products, medications and consumables.</w:t>
      </w:r>
    </w:p>
    <w:p>
      <w:pPr>
        <w:pStyle w:val="ListBullet"/>
      </w:pPr>
      <w:r>
        <w:t>Post-operative orders, recovery observations, complications and discharge/ward transfer.</w:t>
      </w:r>
    </w:p>
    <w:p>
      <w:pPr>
        <w:pStyle w:val="ListBullet"/>
      </w:pPr>
      <w:r>
        <w:t>Implant/consumable lot traceability back to patient and procedure.</w:t>
      </w:r>
    </w:p>
    <w:p>
      <w:pPr>
        <w:pStyle w:val="Heading1"/>
      </w:pPr>
      <w:r>
        <w:t>15. Recurring and Specialist Care</w:t>
      </w:r>
    </w:p>
    <w:p>
      <w:r>
        <w:t>The platform must model recurring care as a care plan and scheduled series rather than disconnected visits. Examples include dialysis, chemotherapy, physiotherapy, antenatal care, immunisation and chronic disease follow-up.</w:t>
      </w:r>
    </w:p>
    <w:p>
      <w:pPr>
        <w:pStyle w:val="ListBullet"/>
      </w:pPr>
      <w:r>
        <w:t>Protocol/care-plan template with patient-specific adaptation.</w:t>
      </w:r>
    </w:p>
    <w:p>
      <w:pPr>
        <w:pStyle w:val="ListBullet"/>
      </w:pPr>
      <w:r>
        <w:t>Planned sessions, completion, cancellation, missed-session and rescheduling states.</w:t>
      </w:r>
    </w:p>
    <w:p>
      <w:pPr>
        <w:pStyle w:val="ListBullet"/>
      </w:pPr>
      <w:r>
        <w:t>Pre-treatment observations/labs, treatment parameters, administered medication/consumables and post-treatment observations.</w:t>
      </w:r>
    </w:p>
    <w:p>
      <w:pPr>
        <w:pStyle w:val="ListBullet"/>
      </w:pPr>
      <w:r>
        <w:t>Outcome/progress tracking and longitudinal trend views.</w:t>
      </w:r>
    </w:p>
    <w:p>
      <w:pPr>
        <w:pStyle w:val="ListBullet"/>
      </w:pPr>
      <w:r>
        <w:t>Specialty-specific forms can extend the common clinical model without creating a separate patient record.</w:t>
      </w:r>
    </w:p>
    <w:p>
      <w:pPr>
        <w:pStyle w:val="Heading1"/>
      </w:pPr>
      <w:r>
        <w:t>16. Inter-Hospital Referral &amp; Transfer Exchange</w:t>
      </w:r>
    </w:p>
    <w:p>
      <w:pPr>
        <w:pStyle w:val="Heading2"/>
      </w:pPr>
      <w:r>
        <w:t>16.1 Referral case states</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DRAFT</w:t>
            </w:r>
          </w:p>
        </w:tc>
      </w:tr>
      <w:tr>
        <w:tc>
          <w:tcPr>
            <w:tcW w:type="dxa" w:w="10166"/>
          </w:tcPr>
          <w:p>
            <w:pPr>
              <w:jc w:val="center"/>
            </w:pPr>
            <w:r>
              <w:rPr>
                <w:rFonts w:ascii="Consolas" w:hAnsi="Consolas"/>
                <w:b w:val="0"/>
                <w:sz w:val="17"/>
              </w:rPr>
              <w:t>SUBMITTED</w:t>
            </w:r>
          </w:p>
        </w:tc>
      </w:tr>
      <w:tr>
        <w:tc>
          <w:tcPr>
            <w:tcW w:type="dxa" w:w="10166"/>
          </w:tcPr>
          <w:p>
            <w:pPr>
              <w:jc w:val="center"/>
            </w:pPr>
            <w:r>
              <w:rPr>
                <w:rFonts w:ascii="Consolas" w:hAnsi="Consolas"/>
                <w:b w:val="0"/>
                <w:sz w:val="17"/>
              </w:rPr>
              <w:t>RECEIVED / ACKNOWLEDGED</w:t>
            </w:r>
          </w:p>
        </w:tc>
      </w:tr>
      <w:tr>
        <w:tc>
          <w:tcPr>
            <w:tcW w:type="dxa" w:w="10166"/>
          </w:tcPr>
          <w:p>
            <w:pPr>
              <w:jc w:val="center"/>
            </w:pPr>
            <w:r>
              <w:rPr>
                <w:rFonts w:ascii="Consolas" w:hAnsi="Consolas"/>
                <w:b w:val="0"/>
                <w:sz w:val="17"/>
              </w:rPr>
              <w:t>UNDER REVIEW</w:t>
            </w:r>
          </w:p>
        </w:tc>
      </w:tr>
      <w:tr>
        <w:tc>
          <w:tcPr>
            <w:tcW w:type="dxa" w:w="10166"/>
          </w:tcPr>
          <w:p>
            <w:pPr>
              <w:jc w:val="center"/>
            </w:pPr>
            <w:r>
              <w:rPr>
                <w:rFonts w:ascii="Consolas" w:hAnsi="Consolas"/>
                <w:b w:val="0"/>
                <w:sz w:val="17"/>
              </w:rPr>
              <w:t>MORE INFORMATION REQUESTED ↔ INFORMATION PROVIDED</w:t>
            </w:r>
          </w:p>
        </w:tc>
      </w:tr>
      <w:tr>
        <w:tc>
          <w:tcPr>
            <w:tcW w:type="dxa" w:w="10166"/>
          </w:tcPr>
          <w:p>
            <w:pPr>
              <w:jc w:val="center"/>
            </w:pPr>
            <w:r>
              <w:rPr>
                <w:rFonts w:ascii="Consolas" w:hAnsi="Consolas"/>
                <w:b w:val="0"/>
                <w:sz w:val="17"/>
              </w:rPr>
              <w:t>ACCEPTED / ACCEPTED WITH CONDITIONS / DECLINED / REDIRECTED</w:t>
            </w:r>
          </w:p>
        </w:tc>
      </w:tr>
      <w:tr>
        <w:tc>
          <w:tcPr>
            <w:tcW w:type="dxa" w:w="10166"/>
          </w:tcPr>
          <w:p>
            <w:pPr>
              <w:jc w:val="center"/>
            </w:pPr>
            <w:r>
              <w:rPr>
                <w:rFonts w:ascii="Consolas" w:hAnsi="Consolas"/>
                <w:b w:val="0"/>
                <w:sz w:val="17"/>
              </w:rPr>
              <w:t>SCHEDULED / TRANSFER PREPARATION</w:t>
            </w:r>
          </w:p>
        </w:tc>
      </w:tr>
      <w:tr>
        <w:tc>
          <w:tcPr>
            <w:tcW w:type="dxa" w:w="10166"/>
          </w:tcPr>
          <w:p>
            <w:pPr>
              <w:jc w:val="center"/>
            </w:pPr>
            <w:r>
              <w:rPr>
                <w:rFonts w:ascii="Consolas" w:hAnsi="Consolas"/>
                <w:b w:val="0"/>
                <w:sz w:val="17"/>
              </w:rPr>
              <w:t>PATIENT IN TRANSIT</w:t>
            </w:r>
          </w:p>
        </w:tc>
      </w:tr>
      <w:tr>
        <w:tc>
          <w:tcPr>
            <w:tcW w:type="dxa" w:w="10166"/>
          </w:tcPr>
          <w:p>
            <w:pPr>
              <w:jc w:val="center"/>
            </w:pPr>
            <w:r>
              <w:rPr>
                <w:rFonts w:ascii="Consolas" w:hAnsi="Consolas"/>
                <w:b w:val="0"/>
                <w:sz w:val="17"/>
              </w:rPr>
              <w:t>ARRIVED / CARE ASSUMED</w:t>
            </w:r>
          </w:p>
        </w:tc>
      </w:tr>
      <w:tr>
        <w:tc>
          <w:tcPr>
            <w:tcW w:type="dxa" w:w="10166"/>
          </w:tcPr>
          <w:p>
            <w:pPr>
              <w:jc w:val="center"/>
            </w:pPr>
            <w:r>
              <w:rPr>
                <w:rFonts w:ascii="Consolas" w:hAnsi="Consolas"/>
                <w:b w:val="0"/>
                <w:sz w:val="17"/>
              </w:rPr>
              <w:t>OUTCOME / FEEDBACK</w:t>
            </w:r>
          </w:p>
        </w:tc>
      </w:tr>
      <w:tr>
        <w:tc>
          <w:tcPr>
            <w:tcW w:type="dxa" w:w="10166"/>
          </w:tcPr>
          <w:p>
            <w:pPr>
              <w:jc w:val="center"/>
            </w:pPr>
            <w:r>
              <w:rPr>
                <w:rFonts w:ascii="Consolas" w:hAnsi="Consolas"/>
                <w:b w:val="0"/>
                <w:sz w:val="17"/>
              </w:rPr>
              <w:t>CLOSED</w:t>
            </w:r>
          </w:p>
        </w:tc>
      </w:tr>
    </w:tbl>
    <w:p>
      <w:pPr>
        <w:pStyle w:val="Heading2"/>
      </w:pPr>
      <w:r>
        <w:t>16.2 Referral package</w:t>
      </w:r>
    </w:p>
    <w:p>
      <w:pPr>
        <w:pStyle w:val="ListBullet"/>
      </w:pPr>
      <w:r>
        <w:t>Patient identity and contact; referring organisation/facility; referring practitioner and contact channel.</w:t>
      </w:r>
    </w:p>
    <w:p>
      <w:pPr>
        <w:pStyle w:val="ListBullet"/>
      </w:pPr>
      <w:r>
        <w:t>Referral type: consultation, diagnostic service, procedure, admission, emergency transfer, second opinion or continuing management.</w:t>
      </w:r>
    </w:p>
    <w:p>
      <w:pPr>
        <w:pStyle w:val="ListBullet"/>
      </w:pPr>
      <w:r>
        <w:t>Specialty/service requested, urgency, reason, suspected/confirmed diagnoses and clinical question.</w:t>
      </w:r>
    </w:p>
    <w:p>
      <w:pPr>
        <w:pStyle w:val="ListBullet"/>
      </w:pPr>
      <w:r>
        <w:t>Current clinical status, vitals, allergies, medications, infection/isolation risks and relevant comorbidities.</w:t>
      </w:r>
    </w:p>
    <w:p>
      <w:pPr>
        <w:pStyle w:val="ListBullet"/>
      </w:pPr>
      <w:r>
        <w:t>Selected notes, laboratory results, diagnostic reports, images/study links and documents.</w:t>
      </w:r>
    </w:p>
    <w:p>
      <w:pPr>
        <w:pStyle w:val="ListBullet"/>
      </w:pPr>
      <w:r>
        <w:t>Transport needs, oxygen/monitoring requirements, mobility, escort and other transfer considerations.</w:t>
      </w:r>
    </w:p>
    <w:p>
      <w:pPr>
        <w:pStyle w:val="ListBullet"/>
      </w:pPr>
      <w:r>
        <w:t>Consent/lawful-basis metadata and disclosure scope.</w:t>
      </w:r>
    </w:p>
    <w:p>
      <w:pPr>
        <w:pStyle w:val="ListBullet"/>
      </w:pPr>
      <w:r>
        <w:t>Receiving facility response, assigned clinician/unit, appointment/bed/resource reservation, preparation instructions and acceptance conditions.</w:t>
      </w:r>
    </w:p>
    <w:p>
      <w:pPr>
        <w:pStyle w:val="Heading2"/>
      </w:pPr>
      <w:r>
        <w:t>16.3 Referral communication workspace</w:t>
      </w:r>
    </w:p>
    <w:p>
      <w:r>
        <w:t>Each referral has a secure, case-scoped clinical communication thread. Messages are attributable, timestamped, cannot be silently edited, may reference a clinical document/result, and become part of the referral audit. The workspace is not a general social chat and must not expose personal phone numbers by default.</w:t>
      </w:r>
    </w:p>
    <w:p>
      <w:pPr>
        <w:pStyle w:val="Heading2"/>
      </w:pPr>
      <w:r>
        <w:t>16.4 Capacity and directory</w:t>
      </w:r>
    </w:p>
    <w:p>
      <w:pPr>
        <w:pStyle w:val="ListBullet"/>
      </w:pPr>
      <w:r>
        <w:t>Facility directory: services, specialties, locations, contact points, operating hours and referral criteria.</w:t>
      </w:r>
    </w:p>
    <w:p>
      <w:pPr>
        <w:pStyle w:val="ListBullet"/>
      </w:pPr>
      <w:r>
        <w:t>Provider directory: practitioners/roles where organisations elect to publish them.</w:t>
      </w:r>
    </w:p>
    <w:p>
      <w:pPr>
        <w:pStyle w:val="ListBullet"/>
      </w:pPr>
      <w:r>
        <w:t>Optional capacity signals such as referral slots, bed/service availability or equipment capability must carry timestamp and confidence; they are not guarantees unless explicitly reserved.</w:t>
      </w:r>
    </w:p>
    <w:p>
      <w:pPr>
        <w:pStyle w:val="ListBullet"/>
      </w:pPr>
      <w:r>
        <w:t>Receiving organisations control what capacity data they expose.</w:t>
      </w:r>
    </w:p>
    <w:p>
      <w:pPr>
        <w:pStyle w:val="Heading2"/>
      </w:pPr>
      <w:r>
        <w:t>16.5 Transfer of responsibility</w:t>
      </w:r>
    </w:p>
    <w:p>
      <w:r>
        <w:t>Acceptance of a referral does not automatically mean clinical responsibility has transferred. The system must distinguish referral acceptance, patient departure, arrival, receiving-team acknowledgement and formal assumption of care. Emergency escalation paths and failed-transfer contingencies are configurable.</w:t>
      </w:r>
    </w:p>
    <w:p>
      <w:pPr>
        <w:pStyle w:val="Heading2"/>
      </w:pPr>
      <w:r>
        <w:t>16.6 Referral outcome loop</w:t>
      </w:r>
    </w:p>
    <w:p>
      <w:r>
        <w:t>The receiving facility should return an outcome summary, diagnosis, key results, procedures, medication changes and follow-up recommendations subject to governance. This closes the continuity loop instead of ending the referral when the patient leaves the originating facility.</w:t>
      </w:r>
    </w:p>
    <w:p>
      <w:pPr>
        <w:pStyle w:val="Heading1"/>
      </w:pPr>
      <w:r>
        <w:t>17. Consent, Privacy and Cross-Facility Access</w:t>
      </w:r>
    </w:p>
    <w:p>
      <w:pPr>
        <w:pStyle w:val="Heading2"/>
      </w:pPr>
      <w:r>
        <w:t>17.1 Consent record</w:t>
      </w:r>
    </w:p>
    <w:p>
      <w:pPr>
        <w:pStyle w:val="ListBullet"/>
      </w:pPr>
      <w:r>
        <w:t>Consent purpose, scope, data categories, organisations/recipients, start/end, capture method, patient/guardian, witness where required and withdrawal status.</w:t>
      </w:r>
    </w:p>
    <w:p>
      <w:pPr>
        <w:pStyle w:val="ListBullet"/>
      </w:pPr>
      <w:r>
        <w:t>Consent is versioned; withdrawal does not erase legally retained historical disclosures.</w:t>
      </w:r>
    </w:p>
    <w:p>
      <w:pPr>
        <w:pStyle w:val="ListBullet"/>
      </w:pPr>
      <w:r>
        <w:t>Where processing relies on a lawful basis other than consent, the system records the applicable policy/legal basis rather than manufacturing a consent event.</w:t>
      </w:r>
    </w:p>
    <w:p>
      <w:pPr>
        <w:pStyle w:val="Heading2"/>
      </w:pPr>
      <w:r>
        <w:t>17.2 Access model</w:t>
      </w:r>
    </w:p>
    <w:p>
      <w:r>
        <w:t>Access is evaluated using identity, organisation, facility, practitioner role, privilege, department, care relationship, encounter/referral context, purpose of use, sensitivity labels, consent/policy and emergency override conditions.</w:t>
      </w:r>
    </w:p>
    <w:p>
      <w:pPr>
        <w:pStyle w:val="Heading2"/>
      </w:pPr>
      <w:r>
        <w:t>17.3 Break-glass</w:t>
      </w:r>
    </w:p>
    <w:p>
      <w:r>
        <w:t>Emergency override requires an explicit reason, displays a warning, grants only defined emergency scope/time, generates high-priority audit events and is subject to retrospective review. Break-glass must never become a routine workaround.</w:t>
      </w:r>
    </w:p>
    <w:p>
      <w:pPr>
        <w:pStyle w:val="Heading1"/>
      </w:pPr>
      <w:r>
        <w:t>18. Billing, Payments, Insurance and Claims</w:t>
      </w:r>
    </w:p>
    <w:p>
      <w:pPr>
        <w:pStyle w:val="ListBullet"/>
      </w:pPr>
      <w:r>
        <w:t>Service catalogue/tariffs by facility, payer, patient category and effective date.</w:t>
      </w:r>
    </w:p>
    <w:p>
      <w:pPr>
        <w:pStyle w:val="ListBullet"/>
      </w:pPr>
      <w:r>
        <w:t>Charge capture from consultation, diagnostics, medication dispense, bed/ward, procedures and consumables.</w:t>
      </w:r>
    </w:p>
    <w:p>
      <w:pPr>
        <w:pStyle w:val="ListBullet"/>
      </w:pPr>
      <w:r>
        <w:t>Pre-authorisation and benefit/coverage capture where payer workflow requires it.</w:t>
      </w:r>
    </w:p>
    <w:p>
      <w:pPr>
        <w:pStyle w:val="ListBullet"/>
      </w:pPr>
      <w:r>
        <w:t>Invoice, discount/waiver with approval, payment, refund, credit balance and receipt.</w:t>
      </w:r>
    </w:p>
    <w:p>
      <w:pPr>
        <w:pStyle w:val="ListBullet"/>
      </w:pPr>
      <w:r>
        <w:t>Cash, transfer, POS, online payment and other configured channels with reconciliation.</w:t>
      </w:r>
    </w:p>
    <w:p>
      <w:pPr>
        <w:pStyle w:val="ListBullet"/>
      </w:pPr>
      <w:r>
        <w:t>Insurance/TPA claims: eligibility metadata, claim package, submission, query, adjudication, rejection, resubmission and settlement.</w:t>
      </w:r>
    </w:p>
    <w:p>
      <w:pPr>
        <w:pStyle w:val="ListBullet"/>
      </w:pPr>
      <w:r>
        <w:t>Clinical records are never deleted because a bill is unpaid; clinical and financial states remain separate.</w:t>
      </w:r>
    </w:p>
    <w:p>
      <w:pPr>
        <w:pStyle w:val="Heading1"/>
      </w:pPr>
      <w:r>
        <w:t>19. Workforce, Roles, Privileges, Rosters and Supervision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Concept</w:t>
            </w:r>
          </w:p>
        </w:tc>
        <w:tc>
          <w:tcPr>
            <w:tcW w:type="dxa" w:w="5083"/>
            <w:vAlign w:val="center"/>
          </w:tcPr>
          <w:p>
            <w:pPr>
              <w:spacing w:after="20"/>
            </w:pPr>
            <w:r>
              <w:rPr>
                <w:b/>
                <w:sz w:val="16"/>
              </w:rPr>
              <w:t>Meaning</w:t>
            </w:r>
          </w:p>
        </w:tc>
      </w:tr>
      <w:tr>
        <w:tc>
          <w:tcPr>
            <w:tcW w:type="dxa" w:w="5083"/>
            <w:vAlign w:val="top"/>
          </w:tcPr>
          <w:p>
            <w:pPr>
              <w:spacing w:after="20"/>
            </w:pPr>
            <w:r>
              <w:rPr>
                <w:sz w:val="16"/>
              </w:rPr>
              <w:t>User account</w:t>
            </w:r>
          </w:p>
        </w:tc>
        <w:tc>
          <w:tcPr>
            <w:tcW w:type="dxa" w:w="5083"/>
            <w:vAlign w:val="top"/>
          </w:tcPr>
          <w:p>
            <w:pPr>
              <w:spacing w:after="20"/>
            </w:pPr>
            <w:r>
              <w:rPr>
                <w:sz w:val="16"/>
              </w:rPr>
              <w:t>Authentication identity.</w:t>
            </w:r>
          </w:p>
        </w:tc>
      </w:tr>
      <w:tr>
        <w:tc>
          <w:tcPr>
            <w:tcW w:type="dxa" w:w="5083"/>
            <w:vAlign w:val="top"/>
          </w:tcPr>
          <w:p>
            <w:pPr>
              <w:spacing w:after="20"/>
            </w:pPr>
            <w:r>
              <w:rPr>
                <w:sz w:val="16"/>
              </w:rPr>
              <w:t>Practitioner</w:t>
            </w:r>
          </w:p>
        </w:tc>
        <w:tc>
          <w:tcPr>
            <w:tcW w:type="dxa" w:w="5083"/>
            <w:vAlign w:val="top"/>
          </w:tcPr>
          <w:p>
            <w:pPr>
              <w:spacing w:after="20"/>
            </w:pPr>
            <w:r>
              <w:rPr>
                <w:sz w:val="16"/>
              </w:rPr>
              <w:t>Healthcare professional/person.</w:t>
            </w:r>
          </w:p>
        </w:tc>
      </w:tr>
      <w:tr>
        <w:tc>
          <w:tcPr>
            <w:tcW w:type="dxa" w:w="5083"/>
            <w:vAlign w:val="top"/>
          </w:tcPr>
          <w:p>
            <w:pPr>
              <w:spacing w:after="20"/>
            </w:pPr>
            <w:r>
              <w:rPr>
                <w:sz w:val="16"/>
              </w:rPr>
              <w:t>Practitioner role</w:t>
            </w:r>
          </w:p>
        </w:tc>
        <w:tc>
          <w:tcPr>
            <w:tcW w:type="dxa" w:w="5083"/>
            <w:vAlign w:val="top"/>
          </w:tcPr>
          <w:p>
            <w:pPr>
              <w:spacing w:after="20"/>
            </w:pPr>
            <w:r>
              <w:rPr>
                <w:sz w:val="16"/>
              </w:rPr>
              <w:t>Role at an organisation/facility/department.</w:t>
            </w:r>
          </w:p>
        </w:tc>
      </w:tr>
      <w:tr>
        <w:tc>
          <w:tcPr>
            <w:tcW w:type="dxa" w:w="5083"/>
            <w:vAlign w:val="top"/>
          </w:tcPr>
          <w:p>
            <w:pPr>
              <w:spacing w:after="20"/>
            </w:pPr>
            <w:r>
              <w:rPr>
                <w:sz w:val="16"/>
              </w:rPr>
              <w:t>System role</w:t>
            </w:r>
          </w:p>
        </w:tc>
        <w:tc>
          <w:tcPr>
            <w:tcW w:type="dxa" w:w="5083"/>
            <w:vAlign w:val="top"/>
          </w:tcPr>
          <w:p>
            <w:pPr>
              <w:spacing w:after="20"/>
            </w:pPr>
            <w:r>
              <w:rPr>
                <w:sz w:val="16"/>
              </w:rPr>
              <w:t>Permission bundle such as nurse, pharmacist, cashier.</w:t>
            </w:r>
          </w:p>
        </w:tc>
      </w:tr>
      <w:tr>
        <w:tc>
          <w:tcPr>
            <w:tcW w:type="dxa" w:w="5083"/>
            <w:vAlign w:val="top"/>
          </w:tcPr>
          <w:p>
            <w:pPr>
              <w:spacing w:after="20"/>
            </w:pPr>
            <w:r>
              <w:rPr>
                <w:sz w:val="16"/>
              </w:rPr>
              <w:t>Clinical privilege</w:t>
            </w:r>
          </w:p>
        </w:tc>
        <w:tc>
          <w:tcPr>
            <w:tcW w:type="dxa" w:w="5083"/>
            <w:vAlign w:val="top"/>
          </w:tcPr>
          <w:p>
            <w:pPr>
              <w:spacing w:after="20"/>
            </w:pPr>
            <w:r>
              <w:rPr>
                <w:sz w:val="16"/>
              </w:rPr>
              <w:t>Authorisation to perform/sign a specific clinical activity.</w:t>
            </w:r>
          </w:p>
        </w:tc>
      </w:tr>
      <w:tr>
        <w:tc>
          <w:tcPr>
            <w:tcW w:type="dxa" w:w="5083"/>
            <w:vAlign w:val="top"/>
          </w:tcPr>
          <w:p>
            <w:pPr>
              <w:spacing w:after="20"/>
            </w:pPr>
            <w:r>
              <w:rPr>
                <w:sz w:val="16"/>
              </w:rPr>
              <w:t>Assignment</w:t>
            </w:r>
          </w:p>
        </w:tc>
        <w:tc>
          <w:tcPr>
            <w:tcW w:type="dxa" w:w="5083"/>
            <w:vAlign w:val="top"/>
          </w:tcPr>
          <w:p>
            <w:pPr>
              <w:spacing w:after="20"/>
            </w:pPr>
            <w:r>
              <w:rPr>
                <w:sz w:val="16"/>
              </w:rPr>
              <w:t>Current department/unit/shift placement.</w:t>
            </w:r>
          </w:p>
        </w:tc>
      </w:tr>
      <w:tr>
        <w:tc>
          <w:tcPr>
            <w:tcW w:type="dxa" w:w="5083"/>
            <w:vAlign w:val="top"/>
          </w:tcPr>
          <w:p>
            <w:pPr>
              <w:spacing w:after="20"/>
            </w:pPr>
            <w:r>
              <w:rPr>
                <w:sz w:val="16"/>
              </w:rPr>
              <w:t>Supervisor</w:t>
            </w:r>
          </w:p>
        </w:tc>
        <w:tc>
          <w:tcPr>
            <w:tcW w:type="dxa" w:w="5083"/>
            <w:vAlign w:val="top"/>
          </w:tcPr>
          <w:p>
            <w:pPr>
              <w:spacing w:after="20"/>
            </w:pPr>
            <w:r>
              <w:rPr>
                <w:sz w:val="16"/>
              </w:rPr>
              <w:t>Configured clinical/administrative oversight relationship.</w:t>
            </w:r>
          </w:p>
        </w:tc>
      </w:tr>
    </w:tbl>
    <w:p>
      <w:pPr>
        <w:pStyle w:val="ListBullet"/>
      </w:pPr>
      <w:r>
        <w:t>Residents/interns may draft or perform configured activities requiring consultant/senior co-signature.</w:t>
      </w:r>
    </w:p>
    <w:p>
      <w:pPr>
        <w:pStyle w:val="ListBullet"/>
      </w:pPr>
      <w:r>
        <w:t>Rosters support shift templates, leave, swaps, conflict detection, on-call and department coverage.</w:t>
      </w:r>
    </w:p>
    <w:p>
      <w:pPr>
        <w:pStyle w:val="ListBullet"/>
      </w:pPr>
      <w:r>
        <w:t>Access changes automatically with assignment/role lifecycle where policy permits.</w:t>
      </w:r>
    </w:p>
    <w:p>
      <w:pPr>
        <w:pStyle w:val="ListBullet"/>
      </w:pPr>
      <w:r>
        <w:t>Termination/suspension immediately disables access without deleting historical attribution.</w:t>
      </w:r>
    </w:p>
    <w:p>
      <w:pPr>
        <w:pStyle w:val="Heading1"/>
      </w:pPr>
      <w:r>
        <w:t>20. Equipment &amp; Biomedical Engineering</w:t>
      </w:r>
    </w:p>
    <w:p>
      <w:pPr>
        <w:pStyle w:val="ListBullet"/>
      </w:pPr>
      <w:r>
        <w:t>Asset register: category, serial, model, manufacturer, location, owner department, acquisition/warranty and criticality.</w:t>
      </w:r>
    </w:p>
    <w:p>
      <w:pPr>
        <w:pStyle w:val="ListBullet"/>
      </w:pPr>
      <w:r>
        <w:t>Preventive maintenance and calibration schedules, work orders, downtime, parts and service history.</w:t>
      </w:r>
    </w:p>
    <w:p>
      <w:pPr>
        <w:pStyle w:val="ListBullet"/>
      </w:pPr>
      <w:r>
        <w:t>Equipment availability can affect scheduling where integrated (e.g., imaging/theatre).</w:t>
      </w:r>
    </w:p>
    <w:p>
      <w:pPr>
        <w:pStyle w:val="ListBullet"/>
      </w:pPr>
      <w:r>
        <w:t>Clinical device integration is separate from asset management and requires validated interfaces.</w:t>
      </w:r>
    </w:p>
    <w:p>
      <w:pPr>
        <w:pStyle w:val="Heading1"/>
      </w:pPr>
      <w:r>
        <w:t>21. Patient Portal and Mobile Experience</w:t>
      </w:r>
    </w:p>
    <w:p>
      <w:pPr>
        <w:pStyle w:val="ListBullet"/>
      </w:pPr>
      <w:r>
        <w:t>Identity verification and account recovery appropriate to risk.</w:t>
      </w:r>
    </w:p>
    <w:p>
      <w:pPr>
        <w:pStyle w:val="ListBullet"/>
      </w:pPr>
      <w:r>
        <w:t>Appointments, check-in where enabled, reminders and follow-up instructions.</w:t>
      </w:r>
    </w:p>
    <w:p>
      <w:pPr>
        <w:pStyle w:val="ListBullet"/>
      </w:pPr>
      <w:r>
        <w:t>Patient-readable results subject to release policy and clinician-review rules.</w:t>
      </w:r>
    </w:p>
    <w:p>
      <w:pPr>
        <w:pStyle w:val="ListBullet"/>
      </w:pPr>
      <w:r>
        <w:t>Medication list/prescriptions, immunisations, discharge summaries and permitted documents.</w:t>
      </w:r>
    </w:p>
    <w:p>
      <w:pPr>
        <w:pStyle w:val="ListBullet"/>
      </w:pPr>
      <w:r>
        <w:t>Referral status, receiving facility instructions and travel/preparation information.</w:t>
      </w:r>
    </w:p>
    <w:p>
      <w:pPr>
        <w:pStyle w:val="ListBullet"/>
      </w:pPr>
      <w:r>
        <w:t>Bills, payments and insurance status.</w:t>
      </w:r>
    </w:p>
    <w:p>
      <w:pPr>
        <w:pStyle w:val="ListBullet"/>
      </w:pPr>
      <w:r>
        <w:t>Consent/preferences and data-access requests.</w:t>
      </w:r>
    </w:p>
    <w:p>
      <w:pPr>
        <w:pStyle w:val="ListBullet"/>
      </w:pPr>
      <w:r>
        <w:t>Proxy/guardian access with explicit relationship, scope, age/minor rules and revocation.</w:t>
      </w:r>
    </w:p>
    <w:p>
      <w:pPr>
        <w:pStyle w:val="Heading1"/>
      </w:pPr>
      <w:r>
        <w:t>22. Notifications, Tasks and Workflow Engine</w:t>
      </w:r>
    </w:p>
    <w:p>
      <w:pPr>
        <w:pStyle w:val="Heading2"/>
      </w:pPr>
      <w:r>
        <w:t>22.1 Notification principles</w:t>
      </w:r>
    </w:p>
    <w:p>
      <w:r>
        <w:t>Clinical alerts, operational notifications and patient reminders are distinct classes. Each has severity, audience, delivery channel, acknowledgement rules, escalation and quiet-hour policy. Safety-critical alerts cannot depend solely on consumer SMS delivery.</w:t>
      </w:r>
    </w:p>
    <w:p>
      <w:pPr>
        <w:pStyle w:val="Heading2"/>
      </w:pPr>
      <w:r>
        <w:t>22.2 Workflow engine</w:t>
      </w:r>
    </w:p>
    <w:p>
      <w:pPr>
        <w:pStyle w:val="ListBullet"/>
      </w:pPr>
      <w:r>
        <w:t>State-machine based workflows with versioned definitions.</w:t>
      </w:r>
    </w:p>
    <w:p>
      <w:pPr>
        <w:pStyle w:val="ListBullet"/>
      </w:pPr>
      <w:r>
        <w:t>Human tasks, system tasks, timers, escalation, approval, rejection and conditional routing.</w:t>
      </w:r>
    </w:p>
    <w:p>
      <w:pPr>
        <w:pStyle w:val="ListBullet"/>
      </w:pPr>
      <w:r>
        <w:t>Workflow instances retain the definition version under which they started.</w:t>
      </w:r>
    </w:p>
    <w:p>
      <w:pPr>
        <w:pStyle w:val="ListBullet"/>
      </w:pPr>
      <w:r>
        <w:t>Configuration changes are tested and approved before production activation.</w:t>
      </w:r>
    </w:p>
    <w:p>
      <w:pPr>
        <w:pStyle w:val="ListBullet"/>
      </w:pPr>
      <w:r>
        <w:t>Examples: referral review, lab validation, inventory requisition, claim approval, discharge, controlled-stock adjustment.</w:t>
      </w:r>
    </w:p>
    <w:p>
      <w:pPr>
        <w:pStyle w:val="Heading1"/>
      </w:pPr>
      <w:r>
        <w:t>23. Clinical Decision Support (CDS)</w:t>
      </w:r>
    </w:p>
    <w:p>
      <w:pPr>
        <w:pStyle w:val="ListBullet"/>
      </w:pPr>
      <w:r>
        <w:t>Rule-based safety alerts for allergies, interactions, contraindications, critical results and configured risk thresholds.</w:t>
      </w:r>
    </w:p>
    <w:p>
      <w:pPr>
        <w:pStyle w:val="ListBullet"/>
      </w:pPr>
      <w:r>
        <w:t>Guideline/pathway prompts can suggest actions but clearly identify source/version and never silently order treatment.</w:t>
      </w:r>
    </w:p>
    <w:p>
      <w:pPr>
        <w:pStyle w:val="ListBullet"/>
      </w:pPr>
      <w:r>
        <w:t>Every CDS output records inputs, rule/model version, time and user response/override where relevant.</w:t>
      </w:r>
    </w:p>
    <w:p>
      <w:pPr>
        <w:pStyle w:val="ListBullet"/>
      </w:pPr>
      <w:r>
        <w:t>AI-generated summaries or suggestions must be visibly labelled, reviewable and excluded from the signed record until a clinician accepts them.</w:t>
      </w:r>
    </w:p>
    <w:p>
      <w:pPr>
        <w:pStyle w:val="ListBullet"/>
      </w:pPr>
      <w:r>
        <w:t>Model performance, bias, drift, false positives/negatives and clinical safety require formal governance before deployment.</w:t>
      </w:r>
    </w:p>
    <w:p>
      <w:pPr>
        <w:pStyle w:val="Heading1"/>
      </w:pPr>
      <w:r>
        <w:t>24. Terminology, Coding and Interoperability</w:t>
      </w:r>
    </w:p>
    <w:p>
      <w:pPr>
        <w:pStyle w:val="Heading2"/>
      </w:pPr>
      <w:r>
        <w:t>24.1 Standards posture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Standard/terminology</w:t>
            </w:r>
          </w:p>
        </w:tc>
        <w:tc>
          <w:tcPr>
            <w:tcW w:type="dxa" w:w="5083"/>
            <w:vAlign w:val="center"/>
          </w:tcPr>
          <w:p>
            <w:pPr>
              <w:spacing w:after="20"/>
            </w:pPr>
            <w:r>
              <w:rPr>
                <w:b/>
                <w:sz w:val="16"/>
              </w:rPr>
              <w:t>Use</w:t>
            </w:r>
          </w:p>
        </w:tc>
      </w:tr>
      <w:tr>
        <w:tc>
          <w:tcPr>
            <w:tcW w:type="dxa" w:w="5083"/>
            <w:vAlign w:val="top"/>
          </w:tcPr>
          <w:p>
            <w:pPr>
              <w:spacing w:after="20"/>
            </w:pPr>
            <w:r>
              <w:rPr>
                <w:sz w:val="16"/>
              </w:rPr>
              <w:t>HL7 FHIR</w:t>
            </w:r>
          </w:p>
        </w:tc>
        <w:tc>
          <w:tcPr>
            <w:tcW w:type="dxa" w:w="5083"/>
            <w:vAlign w:val="top"/>
          </w:tcPr>
          <w:p>
            <w:pPr>
              <w:spacing w:after="20"/>
            </w:pPr>
            <w:r>
              <w:rPr>
                <w:sz w:val="16"/>
              </w:rPr>
              <w:t>Canonical API/exchange model for patient, encounters, observations, service requests/referrals, care plans, medications and other supported resources.</w:t>
            </w:r>
          </w:p>
        </w:tc>
      </w:tr>
      <w:tr>
        <w:tc>
          <w:tcPr>
            <w:tcW w:type="dxa" w:w="5083"/>
            <w:vAlign w:val="top"/>
          </w:tcPr>
          <w:p>
            <w:pPr>
              <w:spacing w:after="20"/>
            </w:pPr>
            <w:r>
              <w:rPr>
                <w:sz w:val="16"/>
              </w:rPr>
              <w:t>SNOMED CT</w:t>
            </w:r>
          </w:p>
        </w:tc>
        <w:tc>
          <w:tcPr>
            <w:tcW w:type="dxa" w:w="5083"/>
            <w:vAlign w:val="top"/>
          </w:tcPr>
          <w:p>
            <w:pPr>
              <w:spacing w:after="20"/>
            </w:pPr>
            <w:r>
              <w:rPr>
                <w:sz w:val="16"/>
              </w:rPr>
              <w:t>Rich clinical terminology for conditions, findings, procedures/body structures where licensing and national implementation permit.</w:t>
            </w:r>
          </w:p>
        </w:tc>
      </w:tr>
      <w:tr>
        <w:tc>
          <w:tcPr>
            <w:tcW w:type="dxa" w:w="5083"/>
            <w:vAlign w:val="top"/>
          </w:tcPr>
          <w:p>
            <w:pPr>
              <w:spacing w:after="20"/>
            </w:pPr>
            <w:r>
              <w:rPr>
                <w:sz w:val="16"/>
              </w:rPr>
              <w:t>LOINC</w:t>
            </w:r>
          </w:p>
        </w:tc>
        <w:tc>
          <w:tcPr>
            <w:tcW w:type="dxa" w:w="5083"/>
            <w:vAlign w:val="top"/>
          </w:tcPr>
          <w:p>
            <w:pPr>
              <w:spacing w:after="20"/>
            </w:pPr>
            <w:r>
              <w:rPr>
                <w:sz w:val="16"/>
              </w:rPr>
              <w:t>Laboratory/clinical observations and document identifiers where applicable.</w:t>
            </w:r>
          </w:p>
        </w:tc>
      </w:tr>
      <w:tr>
        <w:tc>
          <w:tcPr>
            <w:tcW w:type="dxa" w:w="5083"/>
            <w:vAlign w:val="top"/>
          </w:tcPr>
          <w:p>
            <w:pPr>
              <w:spacing w:after="20"/>
            </w:pPr>
            <w:r>
              <w:rPr>
                <w:sz w:val="16"/>
              </w:rPr>
              <w:t>ICD</w:t>
            </w:r>
          </w:p>
        </w:tc>
        <w:tc>
          <w:tcPr>
            <w:tcW w:type="dxa" w:w="5083"/>
            <w:vAlign w:val="top"/>
          </w:tcPr>
          <w:p>
            <w:pPr>
              <w:spacing w:after="20"/>
            </w:pPr>
            <w:r>
              <w:rPr>
                <w:sz w:val="16"/>
              </w:rPr>
              <w:t>Classification/reporting/coding according to applicable Nigerian/institutional requirements; not a replacement for detailed clinical terminology.</w:t>
            </w:r>
          </w:p>
        </w:tc>
      </w:tr>
      <w:tr>
        <w:tc>
          <w:tcPr>
            <w:tcW w:type="dxa" w:w="5083"/>
            <w:vAlign w:val="top"/>
          </w:tcPr>
          <w:p>
            <w:pPr>
              <w:spacing w:after="20"/>
            </w:pPr>
            <w:r>
              <w:rPr>
                <w:sz w:val="16"/>
              </w:rPr>
              <w:t>DICOM</w:t>
            </w:r>
          </w:p>
        </w:tc>
        <w:tc>
          <w:tcPr>
            <w:tcW w:type="dxa" w:w="5083"/>
            <w:vAlign w:val="top"/>
          </w:tcPr>
          <w:p>
            <w:pPr>
              <w:spacing w:after="20"/>
            </w:pPr>
            <w:r>
              <w:rPr>
                <w:sz w:val="16"/>
              </w:rPr>
              <w:t>Diagnostic imaging communication, metadata and PACS integration.</w:t>
            </w:r>
          </w:p>
        </w:tc>
      </w:tr>
      <w:tr>
        <w:tc>
          <w:tcPr>
            <w:tcW w:type="dxa" w:w="5083"/>
            <w:vAlign w:val="top"/>
          </w:tcPr>
          <w:p>
            <w:pPr>
              <w:spacing w:after="20"/>
            </w:pPr>
            <w:r>
              <w:rPr>
                <w:sz w:val="16"/>
              </w:rPr>
              <w:t>UCUM</w:t>
            </w:r>
          </w:p>
        </w:tc>
        <w:tc>
          <w:tcPr>
            <w:tcW w:type="dxa" w:w="5083"/>
            <w:vAlign w:val="top"/>
          </w:tcPr>
          <w:p>
            <w:pPr>
              <w:spacing w:after="20"/>
            </w:pPr>
            <w:r>
              <w:rPr>
                <w:sz w:val="16"/>
              </w:rPr>
              <w:t>Machine-readable units of measure where implemented.</w:t>
            </w:r>
          </w:p>
        </w:tc>
      </w:tr>
    </w:tbl>
    <w:p>
      <w:pPr>
        <w:pStyle w:val="Heading2"/>
      </w:pPr>
      <w:r>
        <w:t>24.2 Integration gateway</w:t>
      </w:r>
    </w:p>
    <w:p>
      <w:pPr>
        <w:pStyle w:val="ListBullet"/>
      </w:pPr>
      <w:r>
        <w:t>FHIR REST APIs with versioned implementation guide/profiles.</w:t>
      </w:r>
    </w:p>
    <w:p>
      <w:pPr>
        <w:pStyle w:val="ListBullet"/>
      </w:pPr>
      <w:r>
        <w:t>Webhooks/event subscriptions for authorised downstream systems.</w:t>
      </w:r>
    </w:p>
    <w:p>
      <w:pPr>
        <w:pStyle w:val="ListBullet"/>
      </w:pPr>
      <w:r>
        <w:t>Adapter layer for legacy HL7 v2, CSV/SFTP or proprietary APIs where unavoidable.</w:t>
      </w:r>
    </w:p>
    <w:p>
      <w:pPr>
        <w:pStyle w:val="ListBullet"/>
      </w:pPr>
      <w:r>
        <w:t>Idempotency, correlation IDs, retry/dead-letter handling and interface monitoring.</w:t>
      </w:r>
    </w:p>
    <w:p>
      <w:pPr>
        <w:pStyle w:val="ListBullet"/>
      </w:pPr>
      <w:r>
        <w:t>Terminology translation/mapping service; mappings are versioned and never assumed exact without declared equivalence.</w:t>
      </w:r>
    </w:p>
    <w:p>
      <w:pPr>
        <w:pStyle w:val="ListBullet"/>
      </w:pPr>
      <w:r>
        <w:t>External-system provenance is retained.</w:t>
      </w:r>
    </w:p>
    <w:p>
      <w:pPr>
        <w:pStyle w:val="Heading1"/>
      </w:pPr>
      <w:r>
        <w:t>25. Data Architecture</w:t>
      </w:r>
    </w:p>
    <w:p>
      <w:pPr>
        <w:pStyle w:val="Heading2"/>
      </w:pPr>
      <w:r>
        <w:t>25.1 Data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20"/>
            </w:pPr>
            <w:r>
              <w:rPr>
                <w:b/>
                <w:sz w:val="16"/>
              </w:rPr>
              <w:t>Class</w:t>
            </w:r>
          </w:p>
        </w:tc>
        <w:tc>
          <w:tcPr>
            <w:tcW w:type="dxa" w:w="3389"/>
            <w:vAlign w:val="center"/>
          </w:tcPr>
          <w:p>
            <w:pPr>
              <w:spacing w:after="20"/>
            </w:pPr>
            <w:r>
              <w:rPr>
                <w:b/>
                <w:sz w:val="16"/>
              </w:rPr>
              <w:t>Examples</w:t>
            </w:r>
          </w:p>
        </w:tc>
        <w:tc>
          <w:tcPr>
            <w:tcW w:type="dxa" w:w="3389"/>
            <w:vAlign w:val="center"/>
          </w:tcPr>
          <w:p>
            <w:pPr>
              <w:spacing w:after="20"/>
            </w:pPr>
            <w:r>
              <w:rPr>
                <w:b/>
                <w:sz w:val="16"/>
              </w:rPr>
              <w:t>Controls</w:t>
            </w:r>
          </w:p>
        </w:tc>
      </w:tr>
      <w:tr>
        <w:tc>
          <w:tcPr>
            <w:tcW w:type="dxa" w:w="3389"/>
            <w:vAlign w:val="top"/>
          </w:tcPr>
          <w:p>
            <w:pPr>
              <w:spacing w:after="20"/>
            </w:pPr>
            <w:r>
              <w:rPr>
                <w:sz w:val="16"/>
              </w:rPr>
              <w:t>Clinical</w:t>
            </w:r>
          </w:p>
        </w:tc>
        <w:tc>
          <w:tcPr>
            <w:tcW w:type="dxa" w:w="3389"/>
            <w:vAlign w:val="top"/>
          </w:tcPr>
          <w:p>
            <w:pPr>
              <w:spacing w:after="20"/>
            </w:pPr>
            <w:r>
              <w:rPr>
                <w:sz w:val="16"/>
              </w:rPr>
              <w:t>Notes, diagnoses, results, prescriptions, anatomy findings</w:t>
            </w:r>
          </w:p>
        </w:tc>
        <w:tc>
          <w:tcPr>
            <w:tcW w:type="dxa" w:w="3389"/>
            <w:vAlign w:val="top"/>
          </w:tcPr>
          <w:p>
            <w:pPr>
              <w:spacing w:after="20"/>
            </w:pPr>
            <w:r>
              <w:rPr>
                <w:sz w:val="16"/>
              </w:rPr>
              <w:t>Highest integrity, versioning, clinical provenance, restricted access.</w:t>
            </w:r>
          </w:p>
        </w:tc>
      </w:tr>
      <w:tr>
        <w:tc>
          <w:tcPr>
            <w:tcW w:type="dxa" w:w="3389"/>
            <w:vAlign w:val="top"/>
          </w:tcPr>
          <w:p>
            <w:pPr>
              <w:spacing w:after="20"/>
            </w:pPr>
            <w:r>
              <w:rPr>
                <w:sz w:val="16"/>
              </w:rPr>
              <w:t>Identity</w:t>
            </w:r>
          </w:p>
        </w:tc>
        <w:tc>
          <w:tcPr>
            <w:tcW w:type="dxa" w:w="3389"/>
            <w:vAlign w:val="top"/>
          </w:tcPr>
          <w:p>
            <w:pPr>
              <w:spacing w:after="20"/>
            </w:pPr>
            <w:r>
              <w:rPr>
                <w:sz w:val="16"/>
              </w:rPr>
              <w:t>Names, DOB, contacts, identifiers</w:t>
            </w:r>
          </w:p>
        </w:tc>
        <w:tc>
          <w:tcPr>
            <w:tcW w:type="dxa" w:w="3389"/>
            <w:vAlign w:val="top"/>
          </w:tcPr>
          <w:p>
            <w:pPr>
              <w:spacing w:after="20"/>
            </w:pPr>
            <w:r>
              <w:rPr>
                <w:sz w:val="16"/>
              </w:rPr>
              <w:t>Matching, encryption, access controls, correction history.</w:t>
            </w:r>
          </w:p>
        </w:tc>
      </w:tr>
      <w:tr>
        <w:tc>
          <w:tcPr>
            <w:tcW w:type="dxa" w:w="3389"/>
            <w:vAlign w:val="top"/>
          </w:tcPr>
          <w:p>
            <w:pPr>
              <w:spacing w:after="20"/>
            </w:pPr>
            <w:r>
              <w:rPr>
                <w:sz w:val="16"/>
              </w:rPr>
              <w:t>Operational</w:t>
            </w:r>
          </w:p>
        </w:tc>
        <w:tc>
          <w:tcPr>
            <w:tcW w:type="dxa" w:w="3389"/>
            <w:vAlign w:val="top"/>
          </w:tcPr>
          <w:p>
            <w:pPr>
              <w:spacing w:after="20"/>
            </w:pPr>
            <w:r>
              <w:rPr>
                <w:sz w:val="16"/>
              </w:rPr>
              <w:t>Queues, beds, tasks, rosters</w:t>
            </w:r>
          </w:p>
        </w:tc>
        <w:tc>
          <w:tcPr>
            <w:tcW w:type="dxa" w:w="3389"/>
            <w:vAlign w:val="top"/>
          </w:tcPr>
          <w:p>
            <w:pPr>
              <w:spacing w:after="20"/>
            </w:pPr>
            <w:r>
              <w:rPr>
                <w:sz w:val="16"/>
              </w:rPr>
              <w:t>Near-real-time, workflow state, audit.</w:t>
            </w:r>
          </w:p>
        </w:tc>
      </w:tr>
      <w:tr>
        <w:tc>
          <w:tcPr>
            <w:tcW w:type="dxa" w:w="3389"/>
            <w:vAlign w:val="top"/>
          </w:tcPr>
          <w:p>
            <w:pPr>
              <w:spacing w:after="20"/>
            </w:pPr>
            <w:r>
              <w:rPr>
                <w:sz w:val="16"/>
              </w:rPr>
              <w:t>Financial</w:t>
            </w:r>
          </w:p>
        </w:tc>
        <w:tc>
          <w:tcPr>
            <w:tcW w:type="dxa" w:w="3389"/>
            <w:vAlign w:val="top"/>
          </w:tcPr>
          <w:p>
            <w:pPr>
              <w:spacing w:after="20"/>
            </w:pPr>
            <w:r>
              <w:rPr>
                <w:sz w:val="16"/>
              </w:rPr>
              <w:t>Invoices, payments, claims</w:t>
            </w:r>
          </w:p>
        </w:tc>
        <w:tc>
          <w:tcPr>
            <w:tcW w:type="dxa" w:w="3389"/>
            <w:vAlign w:val="top"/>
          </w:tcPr>
          <w:p>
            <w:pPr>
              <w:spacing w:after="20"/>
            </w:pPr>
            <w:r>
              <w:rPr>
                <w:sz w:val="16"/>
              </w:rPr>
              <w:t>Accounting integrity, reconciliation, segregation of duties.</w:t>
            </w:r>
          </w:p>
        </w:tc>
      </w:tr>
      <w:tr>
        <w:tc>
          <w:tcPr>
            <w:tcW w:type="dxa" w:w="3389"/>
            <w:vAlign w:val="top"/>
          </w:tcPr>
          <w:p>
            <w:pPr>
              <w:spacing w:after="20"/>
            </w:pPr>
            <w:r>
              <w:rPr>
                <w:sz w:val="16"/>
              </w:rPr>
              <w:t>Inventory</w:t>
            </w:r>
          </w:p>
        </w:tc>
        <w:tc>
          <w:tcPr>
            <w:tcW w:type="dxa" w:w="3389"/>
            <w:vAlign w:val="top"/>
          </w:tcPr>
          <w:p>
            <w:pPr>
              <w:spacing w:after="20"/>
            </w:pPr>
            <w:r>
              <w:rPr>
                <w:sz w:val="16"/>
              </w:rPr>
              <w:t>Stock ledger, batches, POs</w:t>
            </w:r>
          </w:p>
        </w:tc>
        <w:tc>
          <w:tcPr>
            <w:tcW w:type="dxa" w:w="3389"/>
            <w:vAlign w:val="top"/>
          </w:tcPr>
          <w:p>
            <w:pPr>
              <w:spacing w:after="20"/>
            </w:pPr>
            <w:r>
              <w:rPr>
                <w:sz w:val="16"/>
              </w:rPr>
              <w:t>Immutable movements, valuation policy, approvals.</w:t>
            </w:r>
          </w:p>
        </w:tc>
      </w:tr>
      <w:tr>
        <w:tc>
          <w:tcPr>
            <w:tcW w:type="dxa" w:w="3389"/>
            <w:vAlign w:val="top"/>
          </w:tcPr>
          <w:p>
            <w:pPr>
              <w:spacing w:after="20"/>
            </w:pPr>
            <w:r>
              <w:rPr>
                <w:sz w:val="16"/>
              </w:rPr>
              <w:t>Documents/Media</w:t>
            </w:r>
          </w:p>
        </w:tc>
        <w:tc>
          <w:tcPr>
            <w:tcW w:type="dxa" w:w="3389"/>
            <w:vAlign w:val="top"/>
          </w:tcPr>
          <w:p>
            <w:pPr>
              <w:spacing w:after="20"/>
            </w:pPr>
            <w:r>
              <w:rPr>
                <w:sz w:val="16"/>
              </w:rPr>
              <w:t>Scans, reports, consent, attachments</w:t>
            </w:r>
          </w:p>
        </w:tc>
        <w:tc>
          <w:tcPr>
            <w:tcW w:type="dxa" w:w="3389"/>
            <w:vAlign w:val="top"/>
          </w:tcPr>
          <w:p>
            <w:pPr>
              <w:spacing w:after="20"/>
            </w:pPr>
            <w:r>
              <w:rPr>
                <w:sz w:val="16"/>
              </w:rPr>
              <w:t>Object storage, hash, metadata, malware scanning, retention.</w:t>
            </w:r>
          </w:p>
        </w:tc>
      </w:tr>
      <w:tr>
        <w:tc>
          <w:tcPr>
            <w:tcW w:type="dxa" w:w="3389"/>
            <w:vAlign w:val="top"/>
          </w:tcPr>
          <w:p>
            <w:pPr>
              <w:spacing w:after="20"/>
            </w:pPr>
            <w:r>
              <w:rPr>
                <w:sz w:val="16"/>
              </w:rPr>
              <w:t>Audit/Security</w:t>
            </w:r>
          </w:p>
        </w:tc>
        <w:tc>
          <w:tcPr>
            <w:tcW w:type="dxa" w:w="3389"/>
            <w:vAlign w:val="top"/>
          </w:tcPr>
          <w:p>
            <w:pPr>
              <w:spacing w:after="20"/>
            </w:pPr>
            <w:r>
              <w:rPr>
                <w:sz w:val="16"/>
              </w:rPr>
              <w:t>Login, access, exports, overrides</w:t>
            </w:r>
          </w:p>
        </w:tc>
        <w:tc>
          <w:tcPr>
            <w:tcW w:type="dxa" w:w="3389"/>
            <w:vAlign w:val="top"/>
          </w:tcPr>
          <w:p>
            <w:pPr>
              <w:spacing w:after="20"/>
            </w:pPr>
            <w:r>
              <w:rPr>
                <w:sz w:val="16"/>
              </w:rPr>
              <w:t>Append-oriented, tamper-evident controls, restricted administrators.</w:t>
            </w:r>
          </w:p>
        </w:tc>
      </w:tr>
      <w:tr>
        <w:tc>
          <w:tcPr>
            <w:tcW w:type="dxa" w:w="3389"/>
            <w:vAlign w:val="top"/>
          </w:tcPr>
          <w:p>
            <w:pPr>
              <w:spacing w:after="20"/>
            </w:pPr>
            <w:r>
              <w:rPr>
                <w:sz w:val="16"/>
              </w:rPr>
              <w:t>Analytics</w:t>
            </w:r>
          </w:p>
        </w:tc>
        <w:tc>
          <w:tcPr>
            <w:tcW w:type="dxa" w:w="3389"/>
            <w:vAlign w:val="top"/>
          </w:tcPr>
          <w:p>
            <w:pPr>
              <w:spacing w:after="20"/>
            </w:pPr>
            <w:r>
              <w:rPr>
                <w:sz w:val="16"/>
              </w:rPr>
              <w:t>De-identified/pseudonymised marts where possible</w:t>
            </w:r>
          </w:p>
        </w:tc>
        <w:tc>
          <w:tcPr>
            <w:tcW w:type="dxa" w:w="3389"/>
            <w:vAlign w:val="top"/>
          </w:tcPr>
          <w:p>
            <w:pPr>
              <w:spacing w:after="20"/>
            </w:pPr>
            <w:r>
              <w:rPr>
                <w:sz w:val="16"/>
              </w:rPr>
              <w:t>Purpose limitation, controlled refresh, governance.</w:t>
            </w:r>
          </w:p>
        </w:tc>
      </w:tr>
    </w:tbl>
    <w:p>
      <w:pPr>
        <w:pStyle w:val="Heading2"/>
      </w:pPr>
      <w:r>
        <w:t>25.2 Transactional architecture</w:t>
      </w:r>
    </w:p>
    <w:p>
      <w:r>
        <w:t>The recommended initial implementation is a modular monolith or carefully bounded service architecture rather than premature microservices. Clinical consistency and delivery speed take priority. Domains must have clear ownership and contracts so high-scale services—notifications, imaging integration, search, analytics or referral exchange—can later be extracted without redesigning the clinical model.</w:t>
      </w:r>
    </w:p>
    <w:p>
      <w:pPr>
        <w:pStyle w:val="Heading2"/>
      </w:pPr>
      <w:r>
        <w:t>25.3 Event model</w:t>
      </w:r>
    </w:p>
    <w:p>
      <w:r>
        <w:t>Important state changes emit domain events such as PatientRegistered, EncounterStarted, LabResultFinalised, CriticalResultRaised, MedicationDispensed, StockBelowThreshold, ReferralAccepted and PatientArrived. Events support notifications, analytics and integration but do not replace authoritative transactional state.</w:t>
      </w:r>
    </w:p>
    <w:p>
      <w:pPr>
        <w:pStyle w:val="Heading1"/>
      </w:pPr>
      <w:r>
        <w:t>26. Security Architecture</w:t>
      </w:r>
    </w:p>
    <w:p>
      <w:pPr>
        <w:pStyle w:val="ListBullet"/>
      </w:pPr>
      <w:r>
        <w:t>Central identity and access management; MFA for privileged/high-risk roles; configurable SSO/federation for enterprise facilities.</w:t>
      </w:r>
    </w:p>
    <w:p>
      <w:pPr>
        <w:pStyle w:val="ListBullet"/>
      </w:pPr>
      <w:r>
        <w:t>Least privilege, RBAC plus contextual/attribute controls for cross-facility and sensitive access.</w:t>
      </w:r>
    </w:p>
    <w:p>
      <w:pPr>
        <w:pStyle w:val="ListBullet"/>
      </w:pPr>
      <w:r>
        <w:t>Encryption in transit and at rest; managed key lifecycle and secret management.</w:t>
      </w:r>
    </w:p>
    <w:p>
      <w:pPr>
        <w:pStyle w:val="ListBullet"/>
      </w:pPr>
      <w:r>
        <w:t>Session timeout, device/session visibility, rate limiting, brute-force protection and suspicious-login controls.</w:t>
      </w:r>
    </w:p>
    <w:p>
      <w:pPr>
        <w:pStyle w:val="ListBullet"/>
      </w:pPr>
      <w:r>
        <w:t>Segregation of duties for finance, inventory adjustments, privileged administration and audit review.</w:t>
      </w:r>
    </w:p>
    <w:p>
      <w:pPr>
        <w:pStyle w:val="ListBullet"/>
      </w:pPr>
      <w:r>
        <w:t>Immutable/append-oriented audit events for authentication, patient access, clinical edits, exports, referrals, consent and break-glass.</w:t>
      </w:r>
    </w:p>
    <w:p>
      <w:pPr>
        <w:pStyle w:val="ListBullet"/>
      </w:pPr>
      <w:r>
        <w:t>Secure file upload: content validation, malware scanning, size/type policy and isolated storage.</w:t>
      </w:r>
    </w:p>
    <w:p>
      <w:pPr>
        <w:pStyle w:val="ListBullet"/>
      </w:pPr>
      <w:r>
        <w:t>Security headers, CSRF/XSS/SQL injection protections, dependency/SBOM management, SAST/DAST and penetration testing.</w:t>
      </w:r>
    </w:p>
    <w:p>
      <w:pPr>
        <w:pStyle w:val="ListBullet"/>
      </w:pPr>
      <w:r>
        <w:t>Backups encrypted and restoration tested; incident response and breach-management runbooks.</w:t>
      </w:r>
    </w:p>
    <w:p>
      <w:pPr>
        <w:pStyle w:val="ListBullet"/>
      </w:pPr>
      <w:r>
        <w:t>Production support access is time-bound, approved and audited; no shared administrator accounts.</w:t>
      </w:r>
    </w:p>
    <w:p>
      <w:pPr>
        <w:pStyle w:val="Heading1"/>
      </w:pPr>
      <w:r>
        <w:t>27. Nigeria Data Protection &amp; Governance Requirements</w:t>
      </w:r>
    </w:p>
    <w:p>
      <w:r>
        <w:t>The platform must be implemented under a formal data-governance programme aligned with the Nigeria Data Protection Act 2023 and current NDPC guidance. The system should support transparency, purpose limitation, data minimisation, accuracy, retention controls, security, accountability and data-subject rights. Final legal interpretations, retention schedules and lawful bases must be approved by qualified Nigerian legal/privacy professionals and each deploying healthcare organisation.</w:t>
      </w:r>
    </w:p>
    <w:p>
      <w:pPr>
        <w:pStyle w:val="ListBullet"/>
      </w:pPr>
      <w:r>
        <w:t>Controller/processor roles and contracts documented per deployment.</w:t>
      </w:r>
    </w:p>
    <w:p>
      <w:pPr>
        <w:pStyle w:val="ListBullet"/>
      </w:pPr>
      <w:r>
        <w:t>Record of processing activities and data inventory.</w:t>
      </w:r>
    </w:p>
    <w:p>
      <w:pPr>
        <w:pStyle w:val="ListBullet"/>
      </w:pPr>
      <w:r>
        <w:t>Privacy notices and purpose-specific collection screens.</w:t>
      </w:r>
    </w:p>
    <w:p>
      <w:pPr>
        <w:pStyle w:val="ListBullet"/>
      </w:pPr>
      <w:r>
        <w:t>Data-subject access, rectification, restriction/objection and portability workflows where legally applicable.</w:t>
      </w:r>
    </w:p>
    <w:p>
      <w:pPr>
        <w:pStyle w:val="ListBullet"/>
      </w:pPr>
      <w:r>
        <w:t>Retention/disposal schedules by record category and applicable medical/legal rules.</w:t>
      </w:r>
    </w:p>
    <w:p>
      <w:pPr>
        <w:pStyle w:val="ListBullet"/>
      </w:pPr>
      <w:r>
        <w:t>Data protection impact assessment for high-risk features such as network exchange, biometrics or AI.</w:t>
      </w:r>
    </w:p>
    <w:p>
      <w:pPr>
        <w:pStyle w:val="ListBullet"/>
      </w:pPr>
      <w:r>
        <w:t>Third-party/vendor due diligence and subprocessor register.</w:t>
      </w:r>
    </w:p>
    <w:p>
      <w:pPr>
        <w:pStyle w:val="ListBullet"/>
      </w:pPr>
      <w:r>
        <w:t>Cross-border hosting/transfer assessment before using foreign regions/providers.</w:t>
      </w:r>
    </w:p>
    <w:p>
      <w:pPr>
        <w:pStyle w:val="ListBullet"/>
      </w:pPr>
      <w:r>
        <w:t>Incident and breach triage, evidence preservation and regulatory notification workflow.</w:t>
      </w:r>
    </w:p>
    <w:p>
      <w:pPr>
        <w:pStyle w:val="Heading1"/>
      </w:pPr>
      <w:r>
        <w:t>28. Nigeria Digital Health Alignment</w:t>
      </w:r>
    </w:p>
    <w:p>
      <w:r>
        <w:t>Pulse should be designed to participate in Nigeria's emerging interoperable digital health ecosystem rather than creating another isolated EMR. The architecture therefore anticipates national/shared registries for clients, facilities and health workers; a shared-health-record or health-information exchange; claims exchange; and nationally agreed implementation profiles as they become formally available. Integration must be versioned so national changes do not destabilise local clinical operation.</w:t>
      </w:r>
    </w:p>
    <w:p>
      <w:pPr>
        <w:pStyle w:val="Heading1"/>
      </w:pPr>
      <w:r>
        <w:t>29. Offline, Edge and Hybrid Deployment</w:t>
      </w:r>
    </w:p>
    <w:p>
      <w:pPr>
        <w:pStyle w:val="Heading2"/>
      </w:pPr>
      <w:r>
        <w:t>29.1 Deployment modes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Mode</w:t>
            </w:r>
          </w:p>
        </w:tc>
        <w:tc>
          <w:tcPr>
            <w:tcW w:type="dxa" w:w="5083"/>
            <w:vAlign w:val="center"/>
          </w:tcPr>
          <w:p>
            <w:pPr>
              <w:spacing w:after="20"/>
            </w:pPr>
            <w:r>
              <w:rPr>
                <w:b/>
                <w:sz w:val="16"/>
              </w:rPr>
              <w:t>Use</w:t>
            </w:r>
          </w:p>
        </w:tc>
      </w:tr>
      <w:tr>
        <w:tc>
          <w:tcPr>
            <w:tcW w:type="dxa" w:w="5083"/>
            <w:vAlign w:val="top"/>
          </w:tcPr>
          <w:p>
            <w:pPr>
              <w:spacing w:after="20"/>
            </w:pPr>
            <w:r>
              <w:rPr>
                <w:sz w:val="16"/>
              </w:rPr>
              <w:t>Cloud-first</w:t>
            </w:r>
          </w:p>
        </w:tc>
        <w:tc>
          <w:tcPr>
            <w:tcW w:type="dxa" w:w="5083"/>
            <w:vAlign w:val="top"/>
          </w:tcPr>
          <w:p>
            <w:pPr>
              <w:spacing w:after="20"/>
            </w:pPr>
            <w:r>
              <w:rPr>
                <w:sz w:val="16"/>
              </w:rPr>
              <w:t>Facilities with reliable connectivity; simplest central operations.</w:t>
            </w:r>
          </w:p>
        </w:tc>
      </w:tr>
      <w:tr>
        <w:tc>
          <w:tcPr>
            <w:tcW w:type="dxa" w:w="5083"/>
            <w:vAlign w:val="top"/>
          </w:tcPr>
          <w:p>
            <w:pPr>
              <w:spacing w:after="20"/>
            </w:pPr>
            <w:r>
              <w:rPr>
                <w:sz w:val="16"/>
              </w:rPr>
              <w:t>Hybrid facility edge</w:t>
            </w:r>
          </w:p>
        </w:tc>
        <w:tc>
          <w:tcPr>
            <w:tcW w:type="dxa" w:w="5083"/>
            <w:vAlign w:val="top"/>
          </w:tcPr>
          <w:p>
            <w:pPr>
              <w:spacing w:after="20"/>
            </w:pPr>
            <w:r>
              <w:rPr>
                <w:sz w:val="16"/>
              </w:rPr>
              <w:t>Local facility services continue during WAN outage and synchronise to central platform.</w:t>
            </w:r>
          </w:p>
        </w:tc>
      </w:tr>
      <w:tr>
        <w:tc>
          <w:tcPr>
            <w:tcW w:type="dxa" w:w="5083"/>
            <w:vAlign w:val="top"/>
          </w:tcPr>
          <w:p>
            <w:pPr>
              <w:spacing w:after="20"/>
            </w:pPr>
            <w:r>
              <w:rPr>
                <w:sz w:val="16"/>
              </w:rPr>
              <w:t>Private cloud/on-prem</w:t>
            </w:r>
          </w:p>
        </w:tc>
        <w:tc>
          <w:tcPr>
            <w:tcW w:type="dxa" w:w="5083"/>
            <w:vAlign w:val="top"/>
          </w:tcPr>
          <w:p>
            <w:pPr>
              <w:spacing w:after="20"/>
            </w:pPr>
            <w:r>
              <w:rPr>
                <w:sz w:val="16"/>
              </w:rPr>
              <w:t>Required by institutional policy or infrastructure; same deployment contracts and interoperability interfaces.</w:t>
            </w:r>
          </w:p>
        </w:tc>
      </w:tr>
      <w:tr>
        <w:tc>
          <w:tcPr>
            <w:tcW w:type="dxa" w:w="5083"/>
            <w:vAlign w:val="top"/>
          </w:tcPr>
          <w:p>
            <w:pPr>
              <w:spacing w:after="20"/>
            </w:pPr>
            <w:r>
              <w:rPr>
                <w:sz w:val="16"/>
              </w:rPr>
              <w:t>Network exchange hub</w:t>
            </w:r>
          </w:p>
        </w:tc>
        <w:tc>
          <w:tcPr>
            <w:tcW w:type="dxa" w:w="5083"/>
            <w:vAlign w:val="top"/>
          </w:tcPr>
          <w:p>
            <w:pPr>
              <w:spacing w:after="20"/>
            </w:pPr>
            <w:r>
              <w:rPr>
                <w:sz w:val="16"/>
              </w:rPr>
              <w:t>Referral/HIE services hosted centrally while facilities retain local EMR deployments.</w:t>
            </w:r>
          </w:p>
        </w:tc>
      </w:tr>
    </w:tbl>
    <w:p>
      <w:pPr>
        <w:pStyle w:val="Heading2"/>
      </w:pPr>
      <w:r>
        <w:t>29.2 Offline rules</w:t>
      </w:r>
    </w:p>
    <w:p>
      <w:pPr>
        <w:pStyle w:val="ListBullet"/>
      </w:pPr>
      <w:r>
        <w:t>Define exactly which workflows are offline-capable; never imply full offline support without conflict semantics.</w:t>
      </w:r>
    </w:p>
    <w:p>
      <w:pPr>
        <w:pStyle w:val="ListBullet"/>
      </w:pPr>
      <w:r>
        <w:t>Local IDs use collision-safe identifiers.</w:t>
      </w:r>
    </w:p>
    <w:p>
      <w:pPr>
        <w:pStyle w:val="ListBullet"/>
      </w:pPr>
      <w:r>
        <w:t>Synchronisation is encrypted, resumable and idempotent.</w:t>
      </w:r>
    </w:p>
    <w:p>
      <w:pPr>
        <w:pStyle w:val="ListBullet"/>
      </w:pPr>
      <w:r>
        <w:t>Clinical conflicts are surfaced for reconciliation rather than last-write-wins.</w:t>
      </w:r>
    </w:p>
    <w:p>
      <w:pPr>
        <w:pStyle w:val="ListBullet"/>
      </w:pPr>
      <w:r>
        <w:t>Identity merges, financial posting and stock reconciliation need explicit conflict policies.</w:t>
      </w:r>
    </w:p>
    <w:p>
      <w:pPr>
        <w:pStyle w:val="ListBullet"/>
      </w:pPr>
      <w:r>
        <w:t>Edge node health, sync lag and failed messages are centrally observable.</w:t>
      </w:r>
    </w:p>
    <w:p>
      <w:pPr>
        <w:pStyle w:val="Heading1"/>
      </w:pPr>
      <w:r>
        <w:t>30.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Area</w:t>
            </w:r>
          </w:p>
        </w:tc>
        <w:tc>
          <w:tcPr>
            <w:tcW w:type="dxa" w:w="5083"/>
            <w:vAlign w:val="center"/>
          </w:tcPr>
          <w:p>
            <w:pPr>
              <w:spacing w:after="20"/>
            </w:pPr>
            <w:r>
              <w:rPr>
                <w:b/>
                <w:sz w:val="16"/>
              </w:rPr>
              <w:t>Baseline target / principle</w:t>
            </w:r>
          </w:p>
        </w:tc>
      </w:tr>
      <w:tr>
        <w:tc>
          <w:tcPr>
            <w:tcW w:type="dxa" w:w="5083"/>
            <w:vAlign w:val="top"/>
          </w:tcPr>
          <w:p>
            <w:pPr>
              <w:spacing w:after="20"/>
            </w:pPr>
            <w:r>
              <w:rPr>
                <w:sz w:val="16"/>
              </w:rPr>
              <w:t>Availability</w:t>
            </w:r>
          </w:p>
        </w:tc>
        <w:tc>
          <w:tcPr>
            <w:tcW w:type="dxa" w:w="5083"/>
            <w:vAlign w:val="top"/>
          </w:tcPr>
          <w:p>
            <w:pPr>
              <w:spacing w:after="20"/>
            </w:pPr>
            <w:r>
              <w:rPr>
                <w:sz w:val="16"/>
              </w:rPr>
              <w:t>Clinical core designed for high availability; target set per deployment SLA.</w:t>
            </w:r>
          </w:p>
        </w:tc>
      </w:tr>
      <w:tr>
        <w:tc>
          <w:tcPr>
            <w:tcW w:type="dxa" w:w="5083"/>
            <w:vAlign w:val="top"/>
          </w:tcPr>
          <w:p>
            <w:pPr>
              <w:spacing w:after="20"/>
            </w:pPr>
            <w:r>
              <w:rPr>
                <w:sz w:val="16"/>
              </w:rPr>
              <w:t>Performance</w:t>
            </w:r>
          </w:p>
        </w:tc>
        <w:tc>
          <w:tcPr>
            <w:tcW w:type="dxa" w:w="5083"/>
            <w:vAlign w:val="top"/>
          </w:tcPr>
          <w:p>
            <w:pPr>
              <w:spacing w:after="20"/>
            </w:pPr>
            <w:r>
              <w:rPr>
                <w:sz w:val="16"/>
              </w:rPr>
              <w:t>Common patient/queue/clinical views should feel interactive on ordinary hospital LAN hardware; explicit p95 targets established during sizing.</w:t>
            </w:r>
          </w:p>
        </w:tc>
      </w:tr>
      <w:tr>
        <w:tc>
          <w:tcPr>
            <w:tcW w:type="dxa" w:w="5083"/>
            <w:vAlign w:val="top"/>
          </w:tcPr>
          <w:p>
            <w:pPr>
              <w:spacing w:after="20"/>
            </w:pPr>
            <w:r>
              <w:rPr>
                <w:sz w:val="16"/>
              </w:rPr>
              <w:t>Scalability</w:t>
            </w:r>
          </w:p>
        </w:tc>
        <w:tc>
          <w:tcPr>
            <w:tcW w:type="dxa" w:w="5083"/>
            <w:vAlign w:val="top"/>
          </w:tcPr>
          <w:p>
            <w:pPr>
              <w:spacing w:after="20"/>
            </w:pPr>
            <w:r>
              <w:rPr>
                <w:sz w:val="16"/>
              </w:rPr>
              <w:t>Horizontal scaling for API, background jobs, integration and read-heavy workloads.</w:t>
            </w:r>
          </w:p>
        </w:tc>
      </w:tr>
      <w:tr>
        <w:tc>
          <w:tcPr>
            <w:tcW w:type="dxa" w:w="5083"/>
            <w:vAlign w:val="top"/>
          </w:tcPr>
          <w:p>
            <w:pPr>
              <w:spacing w:after="20"/>
            </w:pPr>
            <w:r>
              <w:rPr>
                <w:sz w:val="16"/>
              </w:rPr>
              <w:t>Reliability</w:t>
            </w:r>
          </w:p>
        </w:tc>
        <w:tc>
          <w:tcPr>
            <w:tcW w:type="dxa" w:w="5083"/>
            <w:vAlign w:val="top"/>
          </w:tcPr>
          <w:p>
            <w:pPr>
              <w:spacing w:after="20"/>
            </w:pPr>
            <w:r>
              <w:rPr>
                <w:sz w:val="16"/>
              </w:rPr>
              <w:t>No silent loss of signed clinical, financial or inventory transactions.</w:t>
            </w:r>
          </w:p>
        </w:tc>
      </w:tr>
      <w:tr>
        <w:tc>
          <w:tcPr>
            <w:tcW w:type="dxa" w:w="5083"/>
            <w:vAlign w:val="top"/>
          </w:tcPr>
          <w:p>
            <w:pPr>
              <w:spacing w:after="20"/>
            </w:pPr>
            <w:r>
              <w:rPr>
                <w:sz w:val="16"/>
              </w:rPr>
              <w:t>Auditability</w:t>
            </w:r>
          </w:p>
        </w:tc>
        <w:tc>
          <w:tcPr>
            <w:tcW w:type="dxa" w:w="5083"/>
            <w:vAlign w:val="top"/>
          </w:tcPr>
          <w:p>
            <w:pPr>
              <w:spacing w:after="20"/>
            </w:pPr>
            <w:r>
              <w:rPr>
                <w:sz w:val="16"/>
              </w:rPr>
              <w:t>Every material state change traceable to actor/system, time and reason.</w:t>
            </w:r>
          </w:p>
        </w:tc>
      </w:tr>
      <w:tr>
        <w:tc>
          <w:tcPr>
            <w:tcW w:type="dxa" w:w="5083"/>
            <w:vAlign w:val="top"/>
          </w:tcPr>
          <w:p>
            <w:pPr>
              <w:spacing w:after="20"/>
            </w:pPr>
            <w:r>
              <w:rPr>
                <w:sz w:val="16"/>
              </w:rPr>
              <w:t>Accessibility</w:t>
            </w:r>
          </w:p>
        </w:tc>
        <w:tc>
          <w:tcPr>
            <w:tcW w:type="dxa" w:w="5083"/>
            <w:vAlign w:val="top"/>
          </w:tcPr>
          <w:p>
            <w:pPr>
              <w:spacing w:after="20"/>
            </w:pPr>
            <w:r>
              <w:rPr>
                <w:sz w:val="16"/>
              </w:rPr>
              <w:t>Keyboard support, contrast, readable typography, screen-reader semantics for core workflows.</w:t>
            </w:r>
          </w:p>
        </w:tc>
      </w:tr>
      <w:tr>
        <w:tc>
          <w:tcPr>
            <w:tcW w:type="dxa" w:w="5083"/>
            <w:vAlign w:val="top"/>
          </w:tcPr>
          <w:p>
            <w:pPr>
              <w:spacing w:after="20"/>
            </w:pPr>
            <w:r>
              <w:rPr>
                <w:sz w:val="16"/>
              </w:rPr>
              <w:t>Low bandwidth</w:t>
            </w:r>
          </w:p>
        </w:tc>
        <w:tc>
          <w:tcPr>
            <w:tcW w:type="dxa" w:w="5083"/>
            <w:vAlign w:val="top"/>
          </w:tcPr>
          <w:p>
            <w:pPr>
              <w:spacing w:after="20"/>
            </w:pPr>
            <w:r>
              <w:rPr>
                <w:sz w:val="16"/>
              </w:rPr>
              <w:t>Payload minimisation, caching and progressive loading; images/3D assets loaded on demand.</w:t>
            </w:r>
          </w:p>
        </w:tc>
      </w:tr>
      <w:tr>
        <w:tc>
          <w:tcPr>
            <w:tcW w:type="dxa" w:w="5083"/>
            <w:vAlign w:val="top"/>
          </w:tcPr>
          <w:p>
            <w:pPr>
              <w:spacing w:after="20"/>
            </w:pPr>
            <w:r>
              <w:rPr>
                <w:sz w:val="16"/>
              </w:rPr>
              <w:t>Observability</w:t>
            </w:r>
          </w:p>
        </w:tc>
        <w:tc>
          <w:tcPr>
            <w:tcW w:type="dxa" w:w="5083"/>
            <w:vAlign w:val="top"/>
          </w:tcPr>
          <w:p>
            <w:pPr>
              <w:spacing w:after="20"/>
            </w:pPr>
            <w:r>
              <w:rPr>
                <w:sz w:val="16"/>
              </w:rPr>
              <w:t>Metrics, structured logs, traces, interface status, job queues and business-health dashboards.</w:t>
            </w:r>
          </w:p>
        </w:tc>
      </w:tr>
      <w:tr>
        <w:tc>
          <w:tcPr>
            <w:tcW w:type="dxa" w:w="5083"/>
            <w:vAlign w:val="top"/>
          </w:tcPr>
          <w:p>
            <w:pPr>
              <w:spacing w:after="20"/>
            </w:pPr>
            <w:r>
              <w:rPr>
                <w:sz w:val="16"/>
              </w:rPr>
              <w:t>Maintainability</w:t>
            </w:r>
          </w:p>
        </w:tc>
        <w:tc>
          <w:tcPr>
            <w:tcW w:type="dxa" w:w="5083"/>
            <w:vAlign w:val="top"/>
          </w:tcPr>
          <w:p>
            <w:pPr>
              <w:spacing w:after="20"/>
            </w:pPr>
            <w:r>
              <w:rPr>
                <w:sz w:val="16"/>
              </w:rPr>
              <w:t>Modular boundaries, automated tests, migrations, feature flags and documented APIs.</w:t>
            </w:r>
          </w:p>
        </w:tc>
      </w:tr>
      <w:tr>
        <w:tc>
          <w:tcPr>
            <w:tcW w:type="dxa" w:w="5083"/>
            <w:vAlign w:val="top"/>
          </w:tcPr>
          <w:p>
            <w:pPr>
              <w:spacing w:after="20"/>
            </w:pPr>
            <w:r>
              <w:rPr>
                <w:sz w:val="16"/>
              </w:rPr>
              <w:t>Internationalisation</w:t>
            </w:r>
          </w:p>
        </w:tc>
        <w:tc>
          <w:tcPr>
            <w:tcW w:type="dxa" w:w="5083"/>
            <w:vAlign w:val="top"/>
          </w:tcPr>
          <w:p>
            <w:pPr>
              <w:spacing w:after="20"/>
            </w:pPr>
            <w:r>
              <w:rPr>
                <w:sz w:val="16"/>
              </w:rPr>
              <w:t>Timezone-safe storage, locale formatting and future multilingual UI support.</w:t>
            </w:r>
          </w:p>
        </w:tc>
      </w:tr>
      <w:tr>
        <w:tc>
          <w:tcPr>
            <w:tcW w:type="dxa" w:w="5083"/>
            <w:vAlign w:val="top"/>
          </w:tcPr>
          <w:p>
            <w:pPr>
              <w:spacing w:after="20"/>
            </w:pPr>
            <w:r>
              <w:rPr>
                <w:sz w:val="16"/>
              </w:rPr>
              <w:t>Safety</w:t>
            </w:r>
          </w:p>
        </w:tc>
        <w:tc>
          <w:tcPr>
            <w:tcW w:type="dxa" w:w="5083"/>
            <w:vAlign w:val="top"/>
          </w:tcPr>
          <w:p>
            <w:pPr>
              <w:spacing w:after="20"/>
            </w:pPr>
            <w:r>
              <w:rPr>
                <w:sz w:val="16"/>
              </w:rPr>
              <w:t>Clinical-risk register, hazard controls, change governance and rollback capability.</w:t>
            </w:r>
          </w:p>
        </w:tc>
      </w:tr>
    </w:tbl>
    <w:p>
      <w:pPr>
        <w:pStyle w:val="Heading1"/>
      </w:pPr>
      <w:r>
        <w:t>31. UI/UX System</w:t>
      </w:r>
    </w:p>
    <w:p>
      <w:pPr>
        <w:pStyle w:val="Heading2"/>
      </w:pPr>
      <w:r>
        <w:t>31.1 Experience principles</w:t>
      </w:r>
    </w:p>
    <w:p>
      <w:pPr>
        <w:pStyle w:val="ListBullet"/>
      </w:pPr>
      <w:r>
        <w:t>Patient context is always visible; never make users guess which patient is open.</w:t>
      </w:r>
    </w:p>
    <w:p>
      <w:pPr>
        <w:pStyle w:val="ListBullet"/>
      </w:pPr>
      <w:r>
        <w:t>Clinical screens optimise scanning and decision-making, not decorative dashboards.</w:t>
      </w:r>
    </w:p>
    <w:p>
      <w:pPr>
        <w:pStyle w:val="ListBullet"/>
      </w:pPr>
      <w:r>
        <w:t>Primary action is obvious; dangerous/destructive actions are separated and confirmed.</w:t>
      </w:r>
    </w:p>
    <w:p>
      <w:pPr>
        <w:pStyle w:val="ListBullet"/>
      </w:pPr>
      <w:r>
        <w:t>Status uses text/icon plus colour, never colour alone.</w:t>
      </w:r>
    </w:p>
    <w:p>
      <w:pPr>
        <w:pStyle w:val="ListBullet"/>
      </w:pPr>
      <w:r>
        <w:t>Forms autosave drafts where safe; signed records require deliberate completion.</w:t>
      </w:r>
    </w:p>
    <w:p>
      <w:pPr>
        <w:pStyle w:val="ListBullet"/>
      </w:pPr>
      <w:r>
        <w:t>Large data is progressively disclosed; longitudinal trends are visual but source values remain accessible.</w:t>
      </w:r>
    </w:p>
    <w:p>
      <w:pPr>
        <w:pStyle w:val="ListBullet"/>
      </w:pPr>
      <w:r>
        <w:t>Role-based home screens: clinician, nurse, lab, pharmacy, referral desk, cashier, inventory officer, HOD, executive and administrator.</w:t>
      </w:r>
    </w:p>
    <w:p>
      <w:pPr>
        <w:pStyle w:val="ListBullet"/>
      </w:pPr>
      <w:r>
        <w:t>Desktop is primary for dense clinical work; tablet/mobile support is task-specific rather than forcing all workflows into a phone.</w:t>
      </w:r>
    </w:p>
    <w:p>
      <w:pPr>
        <w:pStyle w:val="Heading2"/>
      </w:pPr>
      <w:r>
        <w:t>31.2 Global navigation</w:t>
      </w:r>
    </w:p>
    <w:p>
      <w:r>
        <w:t>Global search, patient search, work queue/tasks, notifications, current facility/location, help, profile and emergency/break-glass controls are consistent. Module navigation is capability-driven; disabled modules do not appear.</w:t>
      </w:r>
    </w:p>
    <w:p>
      <w:pPr>
        <w:pStyle w:val="Heading1"/>
      </w:pPr>
      <w:r>
        <w:t>32. Reporting, Analytics and Command Centre</w:t>
      </w:r>
    </w:p>
    <w:p>
      <w:pPr>
        <w:pStyle w:val="ListBullet"/>
      </w:pPr>
      <w:r>
        <w:t>Operational: volumes, waits, turnaround time, queues, admissions, bed occupancy, theatre utilisation, referral turnaround.</w:t>
      </w:r>
    </w:p>
    <w:p>
      <w:pPr>
        <w:pStyle w:val="ListBullet"/>
      </w:pPr>
      <w:r>
        <w:t>Clinical: diagnoses, outcomes, critical results, readmissions, chronic-care indicators and configured quality measures.</w:t>
      </w:r>
    </w:p>
    <w:p>
      <w:pPr>
        <w:pStyle w:val="ListBullet"/>
      </w:pPr>
      <w:r>
        <w:t>Medication: prescribing/dispensing trends, antimicrobial or controlled-drug reports where policy supports them.</w:t>
      </w:r>
    </w:p>
    <w:p>
      <w:pPr>
        <w:pStyle w:val="ListBullet"/>
      </w:pPr>
      <w:r>
        <w:t>Inventory: value, consumption, stock-outs, expiry, wastage, variance and supplier performance.</w:t>
      </w:r>
    </w:p>
    <w:p>
      <w:pPr>
        <w:pStyle w:val="ListBullet"/>
      </w:pPr>
      <w:r>
        <w:t>Financial: revenue, collections, outstanding invoices/claims, payer mix and service-line performance.</w:t>
      </w:r>
    </w:p>
    <w:p>
      <w:pPr>
        <w:pStyle w:val="ListBullet"/>
      </w:pPr>
      <w:r>
        <w:t>Workforce: roster coverage, workload and operational productivity; avoid simplistic performance scoring from clinical activity alone.</w:t>
      </w:r>
    </w:p>
    <w:p>
      <w:pPr>
        <w:pStyle w:val="ListBullet"/>
      </w:pPr>
      <w:r>
        <w:t>Network: referral sources/destinations, acceptance time, decline reasons, transfer completion and outcome feedback.</w:t>
      </w:r>
    </w:p>
    <w:p>
      <w:pPr>
        <w:pStyle w:val="ListBullet"/>
      </w:pPr>
      <w:r>
        <w:t>Executive dashboards drill into source data with permission-aware filters and timestamp of last refresh.</w:t>
      </w:r>
    </w:p>
    <w:p>
      <w:pPr>
        <w:pStyle w:val="Heading1"/>
      </w:pPr>
      <w:r>
        <w:t>33. Research and Secondary Use</w:t>
      </w:r>
    </w:p>
    <w:p>
      <w:pPr>
        <w:pStyle w:val="ListBullet"/>
      </w:pPr>
      <w:r>
        <w:t>Research access is separate from ordinary clinical access and requires governance/approval.</w:t>
      </w:r>
    </w:p>
    <w:p>
      <w:pPr>
        <w:pStyle w:val="ListBullet"/>
      </w:pPr>
      <w:r>
        <w:t>Prefer de-identified or pseudonymised datasets; direct identifiers excluded unless explicitly authorised.</w:t>
      </w:r>
    </w:p>
    <w:p>
      <w:pPr>
        <w:pStyle w:val="ListBullet"/>
      </w:pPr>
      <w:r>
        <w:t>Dataset definition, extraction criteria, requester, purpose, approval, version and export are audited.</w:t>
      </w:r>
    </w:p>
    <w:p>
      <w:pPr>
        <w:pStyle w:val="ListBullet"/>
      </w:pPr>
      <w:r>
        <w:t>Re-identification keys, if required, are separately protected.</w:t>
      </w:r>
    </w:p>
    <w:p>
      <w:pPr>
        <w:pStyle w:val="ListBullet"/>
      </w:pPr>
      <w:r>
        <w:t>Production analytics must not silently alter clinical records.</w:t>
      </w:r>
    </w:p>
    <w:p>
      <w:pPr>
        <w:pStyle w:val="Heading1"/>
      </w:pPr>
      <w:r>
        <w:t>34. API and Integration Contract Principles</w:t>
      </w:r>
    </w:p>
    <w:p>
      <w:pPr>
        <w:pStyle w:val="ListBullet"/>
      </w:pPr>
      <w:r>
        <w:t>Versioned APIs and backwards-compatibility policy.</w:t>
      </w:r>
    </w:p>
    <w:p>
      <w:pPr>
        <w:pStyle w:val="ListBullet"/>
      </w:pPr>
      <w:r>
        <w:t>OAuth2/OIDC-style authorised access where appropriate; service-to-service credentials scoped and rotated.</w:t>
      </w:r>
    </w:p>
    <w:p>
      <w:pPr>
        <w:pStyle w:val="ListBullet"/>
      </w:pPr>
      <w:r>
        <w:t>FHIR capability statement and implementation guide for supported resources/profiles.</w:t>
      </w:r>
    </w:p>
    <w:p>
      <w:pPr>
        <w:pStyle w:val="ListBullet"/>
      </w:pPr>
      <w:r>
        <w:t>Pagination, filtering, conditional requests, idempotency keys and consistent error envelopes.</w:t>
      </w:r>
    </w:p>
    <w:p>
      <w:pPr>
        <w:pStyle w:val="ListBullet"/>
      </w:pPr>
      <w:r>
        <w:t>Bulk export/import only under explicit governance and throttling.</w:t>
      </w:r>
    </w:p>
    <w:p>
      <w:pPr>
        <w:pStyle w:val="ListBullet"/>
      </w:pPr>
      <w:r>
        <w:t>Every integration has an owner, data contract, retry policy, monitoring, reconciliation procedure and downtime fallback.</w:t>
      </w:r>
    </w:p>
    <w:p>
      <w:pPr>
        <w:pStyle w:val="Heading1"/>
      </w:pPr>
      <w:r>
        <w:t>35. Core Roles and Permission Families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Role family</w:t>
            </w:r>
          </w:p>
        </w:tc>
        <w:tc>
          <w:tcPr>
            <w:tcW w:type="dxa" w:w="5083"/>
            <w:vAlign w:val="center"/>
          </w:tcPr>
          <w:p>
            <w:pPr>
              <w:spacing w:after="20"/>
            </w:pPr>
            <w:r>
              <w:rPr>
                <w:b/>
                <w:sz w:val="16"/>
              </w:rPr>
              <w:t>Typical scope</w:t>
            </w:r>
          </w:p>
        </w:tc>
      </w:tr>
      <w:tr>
        <w:tc>
          <w:tcPr>
            <w:tcW w:type="dxa" w:w="5083"/>
            <w:vAlign w:val="top"/>
          </w:tcPr>
          <w:p>
            <w:pPr>
              <w:spacing w:after="20"/>
            </w:pPr>
            <w:r>
              <w:rPr>
                <w:sz w:val="16"/>
              </w:rPr>
              <w:t>Front Desk / Records</w:t>
            </w:r>
          </w:p>
        </w:tc>
        <w:tc>
          <w:tcPr>
            <w:tcW w:type="dxa" w:w="5083"/>
            <w:vAlign w:val="top"/>
          </w:tcPr>
          <w:p>
            <w:pPr>
              <w:spacing w:after="20"/>
            </w:pPr>
            <w:r>
              <w:rPr>
                <w:sz w:val="16"/>
              </w:rPr>
              <w:t>Registration, appointments, demographics, record location; no unrestricted clinical editing.</w:t>
            </w:r>
          </w:p>
        </w:tc>
      </w:tr>
      <w:tr>
        <w:tc>
          <w:tcPr>
            <w:tcW w:type="dxa" w:w="5083"/>
            <w:vAlign w:val="top"/>
          </w:tcPr>
          <w:p>
            <w:pPr>
              <w:spacing w:after="20"/>
            </w:pPr>
            <w:r>
              <w:rPr>
                <w:sz w:val="16"/>
              </w:rPr>
              <w:t>Nurse / Midwife</w:t>
            </w:r>
          </w:p>
        </w:tc>
        <w:tc>
          <w:tcPr>
            <w:tcW w:type="dxa" w:w="5083"/>
            <w:vAlign w:val="top"/>
          </w:tcPr>
          <w:p>
            <w:pPr>
              <w:spacing w:after="20"/>
            </w:pPr>
            <w:r>
              <w:rPr>
                <w:sz w:val="16"/>
              </w:rPr>
              <w:t>Vitals, assessments, nursing notes, MAR, tasks, handover according to assignment.</w:t>
            </w:r>
          </w:p>
        </w:tc>
      </w:tr>
      <w:tr>
        <w:tc>
          <w:tcPr>
            <w:tcW w:type="dxa" w:w="5083"/>
            <w:vAlign w:val="top"/>
          </w:tcPr>
          <w:p>
            <w:pPr>
              <w:spacing w:after="20"/>
            </w:pPr>
            <w:r>
              <w:rPr>
                <w:sz w:val="16"/>
              </w:rPr>
              <w:t>Medical Officer / Specialist</w:t>
            </w:r>
          </w:p>
        </w:tc>
        <w:tc>
          <w:tcPr>
            <w:tcW w:type="dxa" w:w="5083"/>
            <w:vAlign w:val="top"/>
          </w:tcPr>
          <w:p>
            <w:pPr>
              <w:spacing w:after="20"/>
            </w:pPr>
            <w:r>
              <w:rPr>
                <w:sz w:val="16"/>
              </w:rPr>
              <w:t>Clinical review, diagnoses, orders, prescriptions, referrals, procedures within privilege.</w:t>
            </w:r>
          </w:p>
        </w:tc>
      </w:tr>
      <w:tr>
        <w:tc>
          <w:tcPr>
            <w:tcW w:type="dxa" w:w="5083"/>
            <w:vAlign w:val="top"/>
          </w:tcPr>
          <w:p>
            <w:pPr>
              <w:spacing w:after="20"/>
            </w:pPr>
            <w:r>
              <w:rPr>
                <w:sz w:val="16"/>
              </w:rPr>
              <w:t>Resident / Intern</w:t>
            </w:r>
          </w:p>
        </w:tc>
        <w:tc>
          <w:tcPr>
            <w:tcW w:type="dxa" w:w="5083"/>
            <w:vAlign w:val="top"/>
          </w:tcPr>
          <w:p>
            <w:pPr>
              <w:spacing w:after="20"/>
            </w:pPr>
            <w:r>
              <w:rPr>
                <w:sz w:val="16"/>
              </w:rPr>
              <w:t>Configured clinical actions with supervision/co-sign rules.</w:t>
            </w:r>
          </w:p>
        </w:tc>
      </w:tr>
      <w:tr>
        <w:tc>
          <w:tcPr>
            <w:tcW w:type="dxa" w:w="5083"/>
            <w:vAlign w:val="top"/>
          </w:tcPr>
          <w:p>
            <w:pPr>
              <w:spacing w:after="20"/>
            </w:pPr>
            <w:r>
              <w:rPr>
                <w:sz w:val="16"/>
              </w:rPr>
              <w:t>Laboratory</w:t>
            </w:r>
          </w:p>
        </w:tc>
        <w:tc>
          <w:tcPr>
            <w:tcW w:type="dxa" w:w="5083"/>
            <w:vAlign w:val="top"/>
          </w:tcPr>
          <w:p>
            <w:pPr>
              <w:spacing w:after="20"/>
            </w:pPr>
            <w:r>
              <w:rPr>
                <w:sz w:val="16"/>
              </w:rPr>
              <w:t>Specimen, worklists, results and validation by authorised grade.</w:t>
            </w:r>
          </w:p>
        </w:tc>
      </w:tr>
      <w:tr>
        <w:tc>
          <w:tcPr>
            <w:tcW w:type="dxa" w:w="5083"/>
            <w:vAlign w:val="top"/>
          </w:tcPr>
          <w:p>
            <w:pPr>
              <w:spacing w:after="20"/>
            </w:pPr>
            <w:r>
              <w:rPr>
                <w:sz w:val="16"/>
              </w:rPr>
              <w:t>Radiology</w:t>
            </w:r>
          </w:p>
        </w:tc>
        <w:tc>
          <w:tcPr>
            <w:tcW w:type="dxa" w:w="5083"/>
            <w:vAlign w:val="top"/>
          </w:tcPr>
          <w:p>
            <w:pPr>
              <w:spacing w:after="20"/>
            </w:pPr>
            <w:r>
              <w:rPr>
                <w:sz w:val="16"/>
              </w:rPr>
              <w:t>Imaging workflow, reports and study access.</w:t>
            </w:r>
          </w:p>
        </w:tc>
      </w:tr>
      <w:tr>
        <w:tc>
          <w:tcPr>
            <w:tcW w:type="dxa" w:w="5083"/>
            <w:vAlign w:val="top"/>
          </w:tcPr>
          <w:p>
            <w:pPr>
              <w:spacing w:after="20"/>
            </w:pPr>
            <w:r>
              <w:rPr>
                <w:sz w:val="16"/>
              </w:rPr>
              <w:t>Pharmacy</w:t>
            </w:r>
          </w:p>
        </w:tc>
        <w:tc>
          <w:tcPr>
            <w:tcW w:type="dxa" w:w="5083"/>
            <w:vAlign w:val="top"/>
          </w:tcPr>
          <w:p>
            <w:pPr>
              <w:spacing w:after="20"/>
            </w:pPr>
            <w:r>
              <w:rPr>
                <w:sz w:val="16"/>
              </w:rPr>
              <w:t>Verification, dispense, pharmacy stock and medication counselling.</w:t>
            </w:r>
          </w:p>
        </w:tc>
      </w:tr>
      <w:tr>
        <w:tc>
          <w:tcPr>
            <w:tcW w:type="dxa" w:w="5083"/>
            <w:vAlign w:val="top"/>
          </w:tcPr>
          <w:p>
            <w:pPr>
              <w:spacing w:after="20"/>
            </w:pPr>
            <w:r>
              <w:rPr>
                <w:sz w:val="16"/>
              </w:rPr>
              <w:t>Theatre / Procedure Team</w:t>
            </w:r>
          </w:p>
        </w:tc>
        <w:tc>
          <w:tcPr>
            <w:tcW w:type="dxa" w:w="5083"/>
            <w:vAlign w:val="top"/>
          </w:tcPr>
          <w:p>
            <w:pPr>
              <w:spacing w:after="20"/>
            </w:pPr>
            <w:r>
              <w:rPr>
                <w:sz w:val="16"/>
              </w:rPr>
              <w:t>Case preparation, checklist, procedure/consumable documentation.</w:t>
            </w:r>
          </w:p>
        </w:tc>
      </w:tr>
      <w:tr>
        <w:tc>
          <w:tcPr>
            <w:tcW w:type="dxa" w:w="5083"/>
            <w:vAlign w:val="top"/>
          </w:tcPr>
          <w:p>
            <w:pPr>
              <w:spacing w:after="20"/>
            </w:pPr>
            <w:r>
              <w:rPr>
                <w:sz w:val="16"/>
              </w:rPr>
              <w:t>Referral Coordinator</w:t>
            </w:r>
          </w:p>
        </w:tc>
        <w:tc>
          <w:tcPr>
            <w:tcW w:type="dxa" w:w="5083"/>
            <w:vAlign w:val="top"/>
          </w:tcPr>
          <w:p>
            <w:pPr>
              <w:spacing w:after="20"/>
            </w:pPr>
            <w:r>
              <w:rPr>
                <w:sz w:val="16"/>
              </w:rPr>
              <w:t>Referral intake/outbound coordination without unnecessary access to unrelated records.</w:t>
            </w:r>
          </w:p>
        </w:tc>
      </w:tr>
      <w:tr>
        <w:tc>
          <w:tcPr>
            <w:tcW w:type="dxa" w:w="5083"/>
            <w:vAlign w:val="top"/>
          </w:tcPr>
          <w:p>
            <w:pPr>
              <w:spacing w:after="20"/>
            </w:pPr>
            <w:r>
              <w:rPr>
                <w:sz w:val="16"/>
              </w:rPr>
              <w:t>Inventory / Procurement</w:t>
            </w:r>
          </w:p>
        </w:tc>
        <w:tc>
          <w:tcPr>
            <w:tcW w:type="dxa" w:w="5083"/>
            <w:vAlign w:val="top"/>
          </w:tcPr>
          <w:p>
            <w:pPr>
              <w:spacing w:after="20"/>
            </w:pPr>
            <w:r>
              <w:rPr>
                <w:sz w:val="16"/>
              </w:rPr>
              <w:t>Stock, requisition, purchasing and counts; clinical access only when operationally required.</w:t>
            </w:r>
          </w:p>
        </w:tc>
      </w:tr>
      <w:tr>
        <w:tc>
          <w:tcPr>
            <w:tcW w:type="dxa" w:w="5083"/>
            <w:vAlign w:val="top"/>
          </w:tcPr>
          <w:p>
            <w:pPr>
              <w:spacing w:after="20"/>
            </w:pPr>
            <w:r>
              <w:rPr>
                <w:sz w:val="16"/>
              </w:rPr>
              <w:t>Cashier / Billing</w:t>
            </w:r>
          </w:p>
        </w:tc>
        <w:tc>
          <w:tcPr>
            <w:tcW w:type="dxa" w:w="5083"/>
            <w:vAlign w:val="top"/>
          </w:tcPr>
          <w:p>
            <w:pPr>
              <w:spacing w:after="20"/>
            </w:pPr>
            <w:r>
              <w:rPr>
                <w:sz w:val="16"/>
              </w:rPr>
              <w:t>Invoices, payments, receipts; minimum necessary clinical context.</w:t>
            </w:r>
          </w:p>
        </w:tc>
      </w:tr>
      <w:tr>
        <w:tc>
          <w:tcPr>
            <w:tcW w:type="dxa" w:w="5083"/>
            <w:vAlign w:val="top"/>
          </w:tcPr>
          <w:p>
            <w:pPr>
              <w:spacing w:after="20"/>
            </w:pPr>
            <w:r>
              <w:rPr>
                <w:sz w:val="16"/>
              </w:rPr>
              <w:t>HOD / Unit Lead</w:t>
            </w:r>
          </w:p>
        </w:tc>
        <w:tc>
          <w:tcPr>
            <w:tcW w:type="dxa" w:w="5083"/>
            <w:vAlign w:val="top"/>
          </w:tcPr>
          <w:p>
            <w:pPr>
              <w:spacing w:after="20"/>
            </w:pPr>
            <w:r>
              <w:rPr>
                <w:sz w:val="16"/>
              </w:rPr>
              <w:t>Department operational oversight and approved clinical supervision.</w:t>
            </w:r>
          </w:p>
        </w:tc>
      </w:tr>
      <w:tr>
        <w:tc>
          <w:tcPr>
            <w:tcW w:type="dxa" w:w="5083"/>
            <w:vAlign w:val="top"/>
          </w:tcPr>
          <w:p>
            <w:pPr>
              <w:spacing w:after="20"/>
            </w:pPr>
            <w:r>
              <w:rPr>
                <w:sz w:val="16"/>
              </w:rPr>
              <w:t>Executive / Management</w:t>
            </w:r>
          </w:p>
        </w:tc>
        <w:tc>
          <w:tcPr>
            <w:tcW w:type="dxa" w:w="5083"/>
            <w:vAlign w:val="top"/>
          </w:tcPr>
          <w:p>
            <w:pPr>
              <w:spacing w:after="20"/>
            </w:pPr>
            <w:r>
              <w:rPr>
                <w:sz w:val="16"/>
              </w:rPr>
              <w:t>Aggregated dashboards; patient-level drill-down only when authorised.</w:t>
            </w:r>
          </w:p>
        </w:tc>
      </w:tr>
      <w:tr>
        <w:tc>
          <w:tcPr>
            <w:tcW w:type="dxa" w:w="5083"/>
            <w:vAlign w:val="top"/>
          </w:tcPr>
          <w:p>
            <w:pPr>
              <w:spacing w:after="20"/>
            </w:pPr>
            <w:r>
              <w:rPr>
                <w:sz w:val="16"/>
              </w:rPr>
              <w:t>Privacy / Audit Officer</w:t>
            </w:r>
          </w:p>
        </w:tc>
        <w:tc>
          <w:tcPr>
            <w:tcW w:type="dxa" w:w="5083"/>
            <w:vAlign w:val="top"/>
          </w:tcPr>
          <w:p>
            <w:pPr>
              <w:spacing w:after="20"/>
            </w:pPr>
            <w:r>
              <w:rPr>
                <w:sz w:val="16"/>
              </w:rPr>
              <w:t>Access logs, disclosures, consent/audit review; cannot alter clinical records.</w:t>
            </w:r>
          </w:p>
        </w:tc>
      </w:tr>
      <w:tr>
        <w:tc>
          <w:tcPr>
            <w:tcW w:type="dxa" w:w="5083"/>
            <w:vAlign w:val="top"/>
          </w:tcPr>
          <w:p>
            <w:pPr>
              <w:spacing w:after="20"/>
            </w:pPr>
            <w:r>
              <w:rPr>
                <w:sz w:val="16"/>
              </w:rPr>
              <w:t>System Administrator</w:t>
            </w:r>
          </w:p>
        </w:tc>
        <w:tc>
          <w:tcPr>
            <w:tcW w:type="dxa" w:w="5083"/>
            <w:vAlign w:val="top"/>
          </w:tcPr>
          <w:p>
            <w:pPr>
              <w:spacing w:after="20"/>
            </w:pPr>
            <w:r>
              <w:rPr>
                <w:sz w:val="16"/>
              </w:rPr>
              <w:t>Technical configuration; no routine clinical browsing.</w:t>
            </w:r>
          </w:p>
        </w:tc>
      </w:tr>
      <w:tr>
        <w:tc>
          <w:tcPr>
            <w:tcW w:type="dxa" w:w="5083"/>
            <w:vAlign w:val="top"/>
          </w:tcPr>
          <w:p>
            <w:pPr>
              <w:spacing w:after="20"/>
            </w:pPr>
            <w:r>
              <w:rPr>
                <w:sz w:val="16"/>
              </w:rPr>
              <w:t>Patient / Proxy</w:t>
            </w:r>
          </w:p>
        </w:tc>
        <w:tc>
          <w:tcPr>
            <w:tcW w:type="dxa" w:w="5083"/>
            <w:vAlign w:val="top"/>
          </w:tcPr>
          <w:p>
            <w:pPr>
              <w:spacing w:after="20"/>
            </w:pPr>
            <w:r>
              <w:rPr>
                <w:sz w:val="16"/>
              </w:rPr>
              <w:t>Own/authorised portal scope only.</w:t>
            </w:r>
          </w:p>
        </w:tc>
      </w:tr>
    </w:tbl>
    <w:p>
      <w:pPr>
        <w:pStyle w:val="Heading1"/>
      </w:pPr>
      <w:r>
        <w:t>36. Audit Model</w:t>
      </w:r>
    </w:p>
    <w:p>
      <w:r>
        <w:t>Audit is a product feature, not a log file. Events include actor, role, organisation, facility, patient/resource, action, timestamp, purpose/context, source IP/device where appropriate, outcome and correlation/reference. High-risk events include record export, sensitive-record access, break-glass, merge, deletion/retention action, permission change, consent change, stock adjustment, refund, referral disclosure and administrator support access.</w:t>
      </w:r>
    </w:p>
    <w:p>
      <w:pPr>
        <w:pStyle w:val="Heading1"/>
      </w:pPr>
      <w:r>
        <w:t>37. Data Retention, Archival and Deletion</w:t>
      </w:r>
    </w:p>
    <w:p>
      <w:r>
        <w:t>Retention schedules must be configured from applicable Nigerian law, professional guidance, payer requirements and institutional policy. Clinical records subject to statutory/medico-legal retention are not erased merely because a user requests deletion. Where erasure is legally permitted, the platform must preserve the minimum audit evidence necessary to prove the action without retaining unnecessary clinical content. Legal hold suspends disposal.</w:t>
      </w:r>
    </w:p>
    <w:p>
      <w:pPr>
        <w:pStyle w:val="Heading1"/>
      </w:pPr>
      <w:r>
        <w:t>38. Testing and Clinical Safety Assurance</w:t>
      </w:r>
    </w:p>
    <w:p>
      <w:pPr>
        <w:pStyle w:val="Heading2"/>
      </w:pPr>
      <w:r>
        <w:t>38.1 Test layers</w:t>
      </w:r>
    </w:p>
    <w:p>
      <w:pPr>
        <w:pStyle w:val="ListBullet"/>
      </w:pPr>
      <w:r>
        <w:t>Unit and domain tests for clinical/financial/inventory rules.</w:t>
      </w:r>
    </w:p>
    <w:p>
      <w:pPr>
        <w:pStyle w:val="ListBullet"/>
      </w:pPr>
      <w:r>
        <w:t>API contract and schema tests.</w:t>
      </w:r>
    </w:p>
    <w:p>
      <w:pPr>
        <w:pStyle w:val="ListBullet"/>
      </w:pPr>
      <w:r>
        <w:t>Database migration and rollback tests.</w:t>
      </w:r>
    </w:p>
    <w:p>
      <w:pPr>
        <w:pStyle w:val="ListBullet"/>
      </w:pPr>
      <w:r>
        <w:t>Workflow/state-machine tests including invalid transitions.</w:t>
      </w:r>
    </w:p>
    <w:p>
      <w:pPr>
        <w:pStyle w:val="ListBullet"/>
      </w:pPr>
      <w:r>
        <w:t>Integration tests for lab, PACS, payment, SMS and external systems.</w:t>
      </w:r>
    </w:p>
    <w:p>
      <w:pPr>
        <w:pStyle w:val="ListBullet"/>
      </w:pPr>
      <w:r>
        <w:t>Security tests: SAST, DAST, dependency, secrets, access-control and penetration testing.</w:t>
      </w:r>
    </w:p>
    <w:p>
      <w:pPr>
        <w:pStyle w:val="ListBullet"/>
      </w:pPr>
      <w:r>
        <w:t>Performance/load tests based on realistic patient, result, imaging-reference and audit volumes.</w:t>
      </w:r>
    </w:p>
    <w:p>
      <w:pPr>
        <w:pStyle w:val="ListBullet"/>
      </w:pPr>
      <w:r>
        <w:t>Offline/sync and network-partition tests for hybrid deployments.</w:t>
      </w:r>
    </w:p>
    <w:p>
      <w:pPr>
        <w:pStyle w:val="ListBullet"/>
      </w:pPr>
      <w:r>
        <w:t>Backup restoration and disaster-recovery exercises.</w:t>
      </w:r>
    </w:p>
    <w:p>
      <w:pPr>
        <w:pStyle w:val="ListBullet"/>
      </w:pPr>
      <w:r>
        <w:t>Clinical scenario testing by real clinicians and department representatives.</w:t>
      </w:r>
    </w:p>
    <w:p>
      <w:pPr>
        <w:pStyle w:val="ListBullet"/>
      </w:pPr>
      <w:r>
        <w:t>Usability testing for high-frequency/high-risk workflows.</w:t>
      </w:r>
    </w:p>
    <w:p>
      <w:pPr>
        <w:pStyle w:val="ListBullet"/>
      </w:pPr>
      <w:r>
        <w:t>Regression suite for every production release.</w:t>
      </w:r>
    </w:p>
    <w:p>
      <w:pPr>
        <w:pStyle w:val="Heading2"/>
      </w:pPr>
      <w:r>
        <w:t>38.2 Safety-critical scenarios</w:t>
      </w:r>
    </w:p>
    <w:p>
      <w:pPr>
        <w:pStyle w:val="ListBullet"/>
      </w:pPr>
      <w:r>
        <w:t>Wrong-patient prevention and patient-context switching.</w:t>
      </w:r>
    </w:p>
    <w:p>
      <w:pPr>
        <w:pStyle w:val="ListBullet"/>
      </w:pPr>
      <w:r>
        <w:t>Allergy and medication safety.</w:t>
      </w:r>
    </w:p>
    <w:p>
      <w:pPr>
        <w:pStyle w:val="ListBullet"/>
      </w:pPr>
      <w:r>
        <w:t>Critical lab result acknowledgement.</w:t>
      </w:r>
    </w:p>
    <w:p>
      <w:pPr>
        <w:pStyle w:val="ListBullet"/>
      </w:pPr>
      <w:r>
        <w:t>Duplicate/merged patient records.</w:t>
      </w:r>
    </w:p>
    <w:p>
      <w:pPr>
        <w:pStyle w:val="ListBullet"/>
      </w:pPr>
      <w:r>
        <w:t>Referral/transfer handoff failure.</w:t>
      </w:r>
    </w:p>
    <w:p>
      <w:pPr>
        <w:pStyle w:val="ListBullet"/>
      </w:pPr>
      <w:r>
        <w:t>Downtime and delayed synchronisation.</w:t>
      </w:r>
    </w:p>
    <w:p>
      <w:pPr>
        <w:pStyle w:val="ListBullet"/>
      </w:pPr>
      <w:r>
        <w:t>Result correction/amendment.</w:t>
      </w:r>
    </w:p>
    <w:p>
      <w:pPr>
        <w:pStyle w:val="ListBullet"/>
      </w:pPr>
      <w:r>
        <w:t>Medication dispense/admin mismatch.</w:t>
      </w:r>
    </w:p>
    <w:p>
      <w:pPr>
        <w:pStyle w:val="ListBullet"/>
      </w:pPr>
      <w:r>
        <w:t>Inventory batch/expiry and recalled product traceability.</w:t>
      </w:r>
    </w:p>
    <w:p>
      <w:pPr>
        <w:pStyle w:val="ListBullet"/>
      </w:pPr>
      <w:r>
        <w:t>Privilege/co-signature bypass attempts.</w:t>
      </w:r>
    </w:p>
    <w:p>
      <w:pPr>
        <w:pStyle w:val="Heading1"/>
      </w:pPr>
      <w:r>
        <w:t>39. DevSecOps, Release and Environment Strategy</w:t>
      </w:r>
    </w:p>
    <w:p>
      <w:pPr>
        <w:pStyle w:val="ListBullet"/>
      </w:pPr>
      <w:r>
        <w:t>Separate development, test, staging/UAT and production environments; no production PHI in lower environments unless formally de-identified and authorised.</w:t>
      </w:r>
    </w:p>
    <w:p>
      <w:pPr>
        <w:pStyle w:val="ListBullet"/>
      </w:pPr>
      <w:r>
        <w:t>Infrastructure as code, reproducible builds, dependency lockfiles and artifact provenance.</w:t>
      </w:r>
    </w:p>
    <w:p>
      <w:pPr>
        <w:pStyle w:val="ListBullet"/>
      </w:pPr>
      <w:r>
        <w:t>Database migrations reviewed, tested on production-like data volume and backward-compatible during rolling deployment where needed.</w:t>
      </w:r>
    </w:p>
    <w:p>
      <w:pPr>
        <w:pStyle w:val="ListBullet"/>
      </w:pPr>
      <w:r>
        <w:t>Feature flags for controlled rollout; clinical features require named owner and rollback plan.</w:t>
      </w:r>
    </w:p>
    <w:p>
      <w:pPr>
        <w:pStyle w:val="ListBullet"/>
      </w:pPr>
      <w:r>
        <w:t>Secrets stored in managed secret systems, never repositories or ordinary environment files shared manually.</w:t>
      </w:r>
    </w:p>
    <w:p>
      <w:pPr>
        <w:pStyle w:val="ListBullet"/>
      </w:pPr>
      <w:r>
        <w:t>Automated CI gates for tests, lint, type checks, security scans and migration validation.</w:t>
      </w:r>
    </w:p>
    <w:p>
      <w:pPr>
        <w:pStyle w:val="ListBullet"/>
      </w:pPr>
      <w:r>
        <w:t>Release notes distinguish clinical behaviour changes, configuration changes, fixes and known issues.</w:t>
      </w:r>
    </w:p>
    <w:p>
      <w:pPr>
        <w:pStyle w:val="Heading1"/>
      </w:pPr>
      <w:r>
        <w:t>40. Backup, Disaster Recovery and Business Continuity</w:t>
      </w:r>
    </w:p>
    <w:p>
      <w:pPr>
        <w:pStyle w:val="ListBullet"/>
      </w:pPr>
      <w:r>
        <w:t>Encrypted database and object-storage backups with defined RPO/RTO per deployment tier.</w:t>
      </w:r>
    </w:p>
    <w:p>
      <w:pPr>
        <w:pStyle w:val="ListBullet"/>
      </w:pPr>
      <w:r>
        <w:t>Point-in-time recovery where supported; backup copies separated from primary failure domain.</w:t>
      </w:r>
    </w:p>
    <w:p>
      <w:pPr>
        <w:pStyle w:val="ListBullet"/>
      </w:pPr>
      <w:r>
        <w:t>Regular restore drills with documented evidence.</w:t>
      </w:r>
    </w:p>
    <w:p>
      <w:pPr>
        <w:pStyle w:val="ListBullet"/>
      </w:pPr>
      <w:r>
        <w:t>Facility downtime procedures for registration, medication, diagnostics, emergency care and later reconciliation.</w:t>
      </w:r>
    </w:p>
    <w:p>
      <w:pPr>
        <w:pStyle w:val="ListBullet"/>
      </w:pPr>
      <w:r>
        <w:t>Referral exchange degradation mode so urgent communication has an approved fallback.</w:t>
      </w:r>
    </w:p>
    <w:p>
      <w:pPr>
        <w:pStyle w:val="ListBullet"/>
      </w:pPr>
      <w:r>
        <w:t>Disaster recovery includes identity, configuration, terminology mappings, audit and documents—not only the main database.</w:t>
      </w:r>
    </w:p>
    <w:p>
      <w:pPr>
        <w:pStyle w:val="Heading1"/>
      </w:pPr>
      <w:r>
        <w:t>41. Implementation and Rollout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Phase</w:t>
            </w:r>
          </w:p>
        </w:tc>
        <w:tc>
          <w:tcPr>
            <w:tcW w:type="dxa" w:w="5083"/>
            <w:vAlign w:val="center"/>
          </w:tcPr>
          <w:p>
            <w:pPr>
              <w:spacing w:after="20"/>
            </w:pPr>
            <w:r>
              <w:rPr>
                <w:b/>
                <w:sz w:val="16"/>
              </w:rPr>
              <w:t>Scope</w:t>
            </w:r>
          </w:p>
        </w:tc>
      </w:tr>
      <w:tr>
        <w:tc>
          <w:tcPr>
            <w:tcW w:type="dxa" w:w="5083"/>
            <w:vAlign w:val="top"/>
          </w:tcPr>
          <w:p>
            <w:pPr>
              <w:spacing w:after="20"/>
            </w:pPr>
            <w:r>
              <w:rPr>
                <w:sz w:val="16"/>
              </w:rPr>
              <w:t>0 – Discovery &amp; Clinical Governance</w:t>
            </w:r>
          </w:p>
        </w:tc>
        <w:tc>
          <w:tcPr>
            <w:tcW w:type="dxa" w:w="5083"/>
            <w:vAlign w:val="top"/>
          </w:tcPr>
          <w:p>
            <w:pPr>
              <w:spacing w:after="20"/>
            </w:pPr>
            <w:r>
              <w:rPr>
                <w:sz w:val="16"/>
              </w:rPr>
              <w:t>Workflow observation, policy capture, data mapping, safety/privacy assessment, facility readiness.</w:t>
            </w:r>
          </w:p>
        </w:tc>
      </w:tr>
      <w:tr>
        <w:tc>
          <w:tcPr>
            <w:tcW w:type="dxa" w:w="5083"/>
            <w:vAlign w:val="top"/>
          </w:tcPr>
          <w:p>
            <w:pPr>
              <w:spacing w:after="20"/>
            </w:pPr>
            <w:r>
              <w:rPr>
                <w:sz w:val="16"/>
              </w:rPr>
              <w:t>1 – Platform Foundation</w:t>
            </w:r>
          </w:p>
        </w:tc>
        <w:tc>
          <w:tcPr>
            <w:tcW w:type="dxa" w:w="5083"/>
            <w:vAlign w:val="top"/>
          </w:tcPr>
          <w:p>
            <w:pPr>
              <w:spacing w:after="20"/>
            </w:pPr>
            <w:r>
              <w:rPr>
                <w:sz w:val="16"/>
              </w:rPr>
              <w:t>Identity, organisations, patient registry, appointments, encounters, RBAC, audit, terminology, documents.</w:t>
            </w:r>
          </w:p>
        </w:tc>
      </w:tr>
      <w:tr>
        <w:tc>
          <w:tcPr>
            <w:tcW w:type="dxa" w:w="5083"/>
            <w:vAlign w:val="top"/>
          </w:tcPr>
          <w:p>
            <w:pPr>
              <w:spacing w:after="20"/>
            </w:pPr>
            <w:r>
              <w:rPr>
                <w:sz w:val="16"/>
              </w:rPr>
              <w:t>2 – Core Clinical</w:t>
            </w:r>
          </w:p>
        </w:tc>
        <w:tc>
          <w:tcPr>
            <w:tcW w:type="dxa" w:w="5083"/>
            <w:vAlign w:val="top"/>
          </w:tcPr>
          <w:p>
            <w:pPr>
              <w:spacing w:after="20"/>
            </w:pPr>
            <w:r>
              <w:rPr>
                <w:sz w:val="16"/>
              </w:rPr>
              <w:t>Consultation, nursing, orders, basic lab, pharmacy, billing and inventory.</w:t>
            </w:r>
          </w:p>
        </w:tc>
      </w:tr>
      <w:tr>
        <w:tc>
          <w:tcPr>
            <w:tcW w:type="dxa" w:w="5083"/>
            <w:vAlign w:val="top"/>
          </w:tcPr>
          <w:p>
            <w:pPr>
              <w:spacing w:after="20"/>
            </w:pPr>
            <w:r>
              <w:rPr>
                <w:sz w:val="16"/>
              </w:rPr>
              <w:t>3 – Advanced Departments</w:t>
            </w:r>
          </w:p>
        </w:tc>
        <w:tc>
          <w:tcPr>
            <w:tcW w:type="dxa" w:w="5083"/>
            <w:vAlign w:val="top"/>
          </w:tcPr>
          <w:p>
            <w:pPr>
              <w:spacing w:after="20"/>
            </w:pPr>
            <w:r>
              <w:rPr>
                <w:sz w:val="16"/>
              </w:rPr>
              <w:t>Radiology/PACS, wards, theatre, specialist care, equipment, claims.</w:t>
            </w:r>
          </w:p>
        </w:tc>
      </w:tr>
      <w:tr>
        <w:tc>
          <w:tcPr>
            <w:tcW w:type="dxa" w:w="5083"/>
            <w:vAlign w:val="top"/>
          </w:tcPr>
          <w:p>
            <w:pPr>
              <w:spacing w:after="20"/>
            </w:pPr>
            <w:r>
              <w:rPr>
                <w:sz w:val="16"/>
              </w:rPr>
              <w:t>4 – Referral Network</w:t>
            </w:r>
          </w:p>
        </w:tc>
        <w:tc>
          <w:tcPr>
            <w:tcW w:type="dxa" w:w="5083"/>
            <w:vAlign w:val="top"/>
          </w:tcPr>
          <w:p>
            <w:pPr>
              <w:spacing w:after="20"/>
            </w:pPr>
            <w:r>
              <w:rPr>
                <w:sz w:val="16"/>
              </w:rPr>
              <w:t>Facility/provider directory, outbound/inbound referral, secure communication, acceptance, transfer and outcome loop.</w:t>
            </w:r>
          </w:p>
        </w:tc>
      </w:tr>
      <w:tr>
        <w:tc>
          <w:tcPr>
            <w:tcW w:type="dxa" w:w="5083"/>
            <w:vAlign w:val="top"/>
          </w:tcPr>
          <w:p>
            <w:pPr>
              <w:spacing w:after="20"/>
            </w:pPr>
            <w:r>
              <w:rPr>
                <w:sz w:val="16"/>
              </w:rPr>
              <w:t>5 – Anatomy &amp; Advanced Visual Clinical Record</w:t>
            </w:r>
          </w:p>
        </w:tc>
        <w:tc>
          <w:tcPr>
            <w:tcW w:type="dxa" w:w="5083"/>
            <w:vAlign w:val="top"/>
          </w:tcPr>
          <w:p>
            <w:pPr>
              <w:spacing w:after="20"/>
            </w:pPr>
            <w:r>
              <w:rPr>
                <w:sz w:val="16"/>
              </w:rPr>
              <w:t>Production anatomy mapping, specialty models, longitudinal body-map navigation.</w:t>
            </w:r>
          </w:p>
        </w:tc>
      </w:tr>
      <w:tr>
        <w:tc>
          <w:tcPr>
            <w:tcW w:type="dxa" w:w="5083"/>
            <w:vAlign w:val="top"/>
          </w:tcPr>
          <w:p>
            <w:pPr>
              <w:spacing w:after="20"/>
            </w:pPr>
            <w:r>
              <w:rPr>
                <w:sz w:val="16"/>
              </w:rPr>
              <w:t>6 – Intelligence &amp; National Interoperability</w:t>
            </w:r>
          </w:p>
        </w:tc>
        <w:tc>
          <w:tcPr>
            <w:tcW w:type="dxa" w:w="5083"/>
            <w:vAlign w:val="top"/>
          </w:tcPr>
          <w:p>
            <w:pPr>
              <w:spacing w:after="20"/>
            </w:pPr>
            <w:r>
              <w:rPr>
                <w:sz w:val="16"/>
              </w:rPr>
              <w:t>Advanced analytics, CDS/AI under governance, national registry/HIE/claims integrations as standards mature.</w:t>
            </w:r>
          </w:p>
        </w:tc>
      </w:tr>
    </w:tbl>
    <w:p>
      <w:pPr>
        <w:pStyle w:val="Heading2"/>
      </w:pPr>
      <w:r>
        <w:t>41.1 Go-live requirements</w:t>
      </w:r>
    </w:p>
    <w:p>
      <w:pPr>
        <w:pStyle w:val="ListBullet"/>
      </w:pPr>
      <w:r>
        <w:t>Approved workflows and role matrix; migrated/master data validated.</w:t>
      </w:r>
    </w:p>
    <w:p>
      <w:pPr>
        <w:pStyle w:val="ListBullet"/>
      </w:pPr>
      <w:r>
        <w:t>Clinical champions and super-users trained.</w:t>
      </w:r>
    </w:p>
    <w:p>
      <w:pPr>
        <w:pStyle w:val="ListBullet"/>
      </w:pPr>
      <w:r>
        <w:t>Downtime and escalation procedures rehearsed.</w:t>
      </w:r>
    </w:p>
    <w:p>
      <w:pPr>
        <w:pStyle w:val="ListBullet"/>
      </w:pPr>
      <w:r>
        <w:t>Support desk and incident triage active.</w:t>
      </w:r>
    </w:p>
    <w:p>
      <w:pPr>
        <w:pStyle w:val="ListBullet"/>
      </w:pPr>
      <w:r>
        <w:t>Backup/restore verified.</w:t>
      </w:r>
    </w:p>
    <w:p>
      <w:pPr>
        <w:pStyle w:val="ListBullet"/>
      </w:pPr>
      <w:r>
        <w:t>Integration reconciliation signed off.</w:t>
      </w:r>
    </w:p>
    <w:p>
      <w:pPr>
        <w:pStyle w:val="ListBullet"/>
      </w:pPr>
      <w:r>
        <w:t>Hypercare with daily safety/operational review during initial go-live.</w:t>
      </w:r>
    </w:p>
    <w:p>
      <w:pPr>
        <w:pStyle w:val="Heading1"/>
      </w:pPr>
      <w:r>
        <w:t>42. Data Migration</w:t>
      </w:r>
    </w:p>
    <w:p>
      <w:pPr>
        <w:pStyle w:val="ListBullet"/>
      </w:pPr>
      <w:r>
        <w:t>Inventory existing paper/digital sources and define what is migrated, scanned, summarised or left in archive.</w:t>
      </w:r>
    </w:p>
    <w:p>
      <w:pPr>
        <w:pStyle w:val="ListBullet"/>
      </w:pPr>
      <w:r>
        <w:t>Patient identity deduplication and MRN mapping before clinical import.</w:t>
      </w:r>
    </w:p>
    <w:p>
      <w:pPr>
        <w:pStyle w:val="ListBullet"/>
      </w:pPr>
      <w:r>
        <w:t>Preserve source system, original identifiers and import timestamp.</w:t>
      </w:r>
    </w:p>
    <w:p>
      <w:pPr>
        <w:pStyle w:val="ListBullet"/>
      </w:pPr>
      <w:r>
        <w:t>Clinical migration validation by sample and totals; high-risk data such as allergies, active medications and recent results require enhanced verification.</w:t>
      </w:r>
    </w:p>
    <w:p>
      <w:pPr>
        <w:pStyle w:val="ListBullet"/>
      </w:pPr>
      <w:r>
        <w:t>Financial opening balances and stock opening quantities use controlled cutover transactions.</w:t>
      </w:r>
    </w:p>
    <w:p>
      <w:pPr>
        <w:pStyle w:val="ListBullet"/>
      </w:pPr>
      <w:r>
        <w:t>Migration scripts are repeatable and produce exception reports.</w:t>
      </w:r>
    </w:p>
    <w:p>
      <w:pPr>
        <w:pStyle w:val="Heading1"/>
      </w:pPr>
      <w:r>
        <w:t>43. Training, Adoption and Support</w:t>
      </w:r>
    </w:p>
    <w:p>
      <w:pPr>
        <w:pStyle w:val="ListBullet"/>
      </w:pPr>
      <w:r>
        <w:t>Role-based training using real workflows, not generic software tours.</w:t>
      </w:r>
    </w:p>
    <w:p>
      <w:pPr>
        <w:pStyle w:val="ListBullet"/>
      </w:pPr>
      <w:r>
        <w:t>Competency sign-off for high-risk roles such as medication, lab validation, referral acceptance and inventory adjustment.</w:t>
      </w:r>
    </w:p>
    <w:p>
      <w:pPr>
        <w:pStyle w:val="ListBullet"/>
      </w:pPr>
      <w:r>
        <w:t>Sandbox/training environment with synthetic patients.</w:t>
      </w:r>
    </w:p>
    <w:p>
      <w:pPr>
        <w:pStyle w:val="ListBullet"/>
      </w:pPr>
      <w:r>
        <w:t>At-the-elbow go-live support and super-user network.</w:t>
      </w:r>
    </w:p>
    <w:p>
      <w:pPr>
        <w:pStyle w:val="ListBullet"/>
      </w:pPr>
      <w:r>
        <w:t>Knowledge base, quick guides, downtime guides and release-change training.</w:t>
      </w:r>
    </w:p>
    <w:p>
      <w:pPr>
        <w:pStyle w:val="ListBullet"/>
      </w:pPr>
      <w:r>
        <w:t>Adoption metrics focus on workflow completion and safety, not login counts alone.</w:t>
      </w:r>
    </w:p>
    <w:p>
      <w:pPr>
        <w:pStyle w:val="Heading1"/>
      </w:pPr>
      <w:r>
        <w:t>44. Configuration and Master Data Governance</w:t>
      </w:r>
    </w:p>
    <w:p>
      <w:r>
        <w:t>Facilities can configure departments, services, templates, tariffs, inventory, workflow rules, alert thresholds and roles within controlled boundaries. Configuration changes are versioned with effective dates, author, approval and rollback. Clinical terminology mappings and high-risk rules require specialist approval.</w:t>
      </w:r>
    </w:p>
    <w:p>
      <w:pPr>
        <w:pStyle w:val="ListBullet"/>
      </w:pPr>
      <w:r>
        <w:t>Organisation/facility/department/unit/location hierarchy.</w:t>
      </w:r>
    </w:p>
    <w:p>
      <w:pPr>
        <w:pStyle w:val="ListBullet"/>
      </w:pPr>
      <w:r>
        <w:t>Service catalogue and prices.</w:t>
      </w:r>
    </w:p>
    <w:p>
      <w:pPr>
        <w:pStyle w:val="ListBullet"/>
      </w:pPr>
      <w:r>
        <w:t>Lab catalogue/reference ranges/critical values.</w:t>
      </w:r>
    </w:p>
    <w:p>
      <w:pPr>
        <w:pStyle w:val="ListBullet"/>
      </w:pPr>
      <w:r>
        <w:t>Medication formulary.</w:t>
      </w:r>
    </w:p>
    <w:p>
      <w:pPr>
        <w:pStyle w:val="ListBullet"/>
      </w:pPr>
      <w:r>
        <w:t>Inventory item master and units.</w:t>
      </w:r>
    </w:p>
    <w:p>
      <w:pPr>
        <w:pStyle w:val="ListBullet"/>
      </w:pPr>
      <w:r>
        <w:t>Clinical templates and specialty forms.</w:t>
      </w:r>
    </w:p>
    <w:p>
      <w:pPr>
        <w:pStyle w:val="ListBullet"/>
      </w:pPr>
      <w:r>
        <w:t>Referral criteria/directory.</w:t>
      </w:r>
    </w:p>
    <w:p>
      <w:pPr>
        <w:pStyle w:val="ListBullet"/>
      </w:pPr>
      <w:r>
        <w:t>Roles, privileges and co-signature rules.</w:t>
      </w:r>
    </w:p>
    <w:p>
      <w:pPr>
        <w:pStyle w:val="ListBullet"/>
      </w:pPr>
      <w:r>
        <w:t>Notification/escalation rules.</w:t>
      </w:r>
    </w:p>
    <w:p>
      <w:pPr>
        <w:pStyle w:val="ListBullet"/>
      </w:pPr>
      <w:r>
        <w:t>Report definitions and KPI metadata.</w:t>
      </w:r>
    </w:p>
    <w:p>
      <w:pPr>
        <w:pStyle w:val="Heading1"/>
      </w:pPr>
      <w:r>
        <w:t>45. Example End-to-End Patient Cycle</w:t>
      </w:r>
    </w:p>
    <w:tbl>
      <w:tblPr>
        <w:tblStyle w:val="TableGrid"/>
        <w:tblW w:type="auto" w:w="0"/>
        <w:jc w:val="center"/>
        <w:tblLook w:firstColumn="1" w:firstRow="1" w:lastColumn="0" w:lastRow="0" w:noHBand="0" w:noVBand="1" w:val="04A0"/>
      </w:tblPr>
      <w:tblGrid>
        <w:gridCol w:w="10166"/>
      </w:tblGrid>
      <w:tr>
        <w:tc>
          <w:tcPr>
            <w:tcW w:type="dxa" w:w="10166"/>
          </w:tcPr>
          <w:p>
            <w:pPr>
              <w:jc w:val="center"/>
            </w:pPr>
            <w:r>
              <w:rPr>
                <w:rFonts w:ascii="Consolas" w:hAnsi="Consolas"/>
                <w:b/>
                <w:sz w:val="17"/>
              </w:rPr>
              <w:t>Patient Registration / Identity Match</w:t>
            </w:r>
          </w:p>
        </w:tc>
      </w:tr>
      <w:tr>
        <w:tc>
          <w:tcPr>
            <w:tcW w:type="dxa" w:w="10166"/>
          </w:tcPr>
          <w:p>
            <w:pPr>
              <w:jc w:val="center"/>
            </w:pPr>
            <w:r>
              <w:rPr>
                <w:rFonts w:ascii="Consolas" w:hAnsi="Consolas"/>
                <w:b w:val="0"/>
                <w:sz w:val="17"/>
              </w:rPr>
              <w:t>Appointment / Walk-in / Emergency Arrival</w:t>
            </w:r>
          </w:p>
        </w:tc>
      </w:tr>
      <w:tr>
        <w:tc>
          <w:tcPr>
            <w:tcW w:type="dxa" w:w="10166"/>
          </w:tcPr>
          <w:p>
            <w:pPr>
              <w:jc w:val="center"/>
            </w:pPr>
            <w:r>
              <w:rPr>
                <w:rFonts w:ascii="Consolas" w:hAnsi="Consolas"/>
                <w:b w:val="0"/>
                <w:sz w:val="17"/>
              </w:rPr>
              <w:t>Triage &amp; Vitals</w:t>
            </w:r>
          </w:p>
        </w:tc>
      </w:tr>
      <w:tr>
        <w:tc>
          <w:tcPr>
            <w:tcW w:type="dxa" w:w="10166"/>
          </w:tcPr>
          <w:p>
            <w:pPr>
              <w:jc w:val="center"/>
            </w:pPr>
            <w:r>
              <w:rPr>
                <w:rFonts w:ascii="Consolas" w:hAnsi="Consolas"/>
                <w:b w:val="0"/>
                <w:sz w:val="17"/>
              </w:rPr>
              <w:t>Clinician Encounter + Anatomy Findings</w:t>
            </w:r>
          </w:p>
        </w:tc>
      </w:tr>
      <w:tr>
        <w:tc>
          <w:tcPr>
            <w:tcW w:type="dxa" w:w="10166"/>
          </w:tcPr>
          <w:p>
            <w:pPr>
              <w:jc w:val="center"/>
            </w:pPr>
            <w:r>
              <w:rPr>
                <w:rFonts w:ascii="Consolas" w:hAnsi="Consolas"/>
                <w:b w:val="0"/>
                <w:sz w:val="17"/>
              </w:rPr>
              <w:t>Orders: Lab / Imaging / Physiology</w:t>
            </w:r>
          </w:p>
        </w:tc>
      </w:tr>
      <w:tr>
        <w:tc>
          <w:tcPr>
            <w:tcW w:type="dxa" w:w="10166"/>
          </w:tcPr>
          <w:p>
            <w:pPr>
              <w:jc w:val="center"/>
            </w:pPr>
            <w:r>
              <w:rPr>
                <w:rFonts w:ascii="Consolas" w:hAnsi="Consolas"/>
                <w:b w:val="0"/>
                <w:sz w:val="17"/>
              </w:rPr>
              <w:t>Results + Clinical Review</w:t>
            </w:r>
          </w:p>
        </w:tc>
      </w:tr>
      <w:tr>
        <w:tc>
          <w:tcPr>
            <w:tcW w:type="dxa" w:w="10166"/>
          </w:tcPr>
          <w:p>
            <w:pPr>
              <w:jc w:val="center"/>
            </w:pPr>
            <w:r>
              <w:rPr>
                <w:rFonts w:ascii="Consolas" w:hAnsi="Consolas"/>
                <w:b w:val="0"/>
                <w:sz w:val="17"/>
              </w:rPr>
              <w:t>Medication / Procedure / Admission / Care Plan</w:t>
            </w:r>
          </w:p>
        </w:tc>
      </w:tr>
      <w:tr>
        <w:tc>
          <w:tcPr>
            <w:tcW w:type="dxa" w:w="10166"/>
          </w:tcPr>
          <w:p>
            <w:pPr>
              <w:jc w:val="center"/>
            </w:pPr>
            <w:r>
              <w:rPr>
                <w:rFonts w:ascii="Consolas" w:hAnsi="Consolas"/>
                <w:b w:val="0"/>
                <w:sz w:val="17"/>
              </w:rPr>
              <w:t>Internal Specialist Care OR Inter-Hospital Referral</w:t>
            </w:r>
          </w:p>
        </w:tc>
      </w:tr>
      <w:tr>
        <w:tc>
          <w:tcPr>
            <w:tcW w:type="dxa" w:w="10166"/>
          </w:tcPr>
          <w:p>
            <w:pPr>
              <w:jc w:val="center"/>
            </w:pPr>
            <w:r>
              <w:rPr>
                <w:rFonts w:ascii="Consolas" w:hAnsi="Consolas"/>
                <w:b w:val="0"/>
                <w:sz w:val="17"/>
              </w:rPr>
              <w:t>Billing / Claims / Inventory Consumption</w:t>
            </w:r>
          </w:p>
        </w:tc>
      </w:tr>
      <w:tr>
        <w:tc>
          <w:tcPr>
            <w:tcW w:type="dxa" w:w="10166"/>
          </w:tcPr>
          <w:p>
            <w:pPr>
              <w:jc w:val="center"/>
            </w:pPr>
            <w:r>
              <w:rPr>
                <w:rFonts w:ascii="Consolas" w:hAnsi="Consolas"/>
                <w:b w:val="0"/>
                <w:sz w:val="17"/>
              </w:rPr>
              <w:t>Discharge / Follow-up / Referral Outcome</w:t>
            </w:r>
          </w:p>
        </w:tc>
      </w:tr>
      <w:tr>
        <w:tc>
          <w:tcPr>
            <w:tcW w:type="dxa" w:w="10166"/>
          </w:tcPr>
          <w:p>
            <w:pPr>
              <w:jc w:val="center"/>
            </w:pPr>
            <w:r>
              <w:rPr>
                <w:rFonts w:ascii="Consolas" w:hAnsi="Consolas"/>
                <w:b w:val="0"/>
                <w:sz w:val="17"/>
              </w:rPr>
              <w:t>Longitudinal Record + Patient Portal + Analytics + Audit</w:t>
            </w:r>
          </w:p>
        </w:tc>
      </w:tr>
    </w:tbl>
    <w:p>
      <w:pPr>
        <w:pStyle w:val="Heading1"/>
      </w:pPr>
      <w:r>
        <w:t>46. Example Inter-Hospital Renal Referral</w:t>
      </w:r>
    </w:p>
    <w:p>
      <w:pPr>
        <w:pStyle w:val="ListNumber"/>
      </w:pPr>
      <w:r>
        <w:t>Hospital A identifies a patient requiring nephrology/renal care.</w:t>
      </w:r>
    </w:p>
    <w:p>
      <w:pPr>
        <w:pStyle w:val="ListNumber"/>
      </w:pPr>
      <w:r>
        <w:t>Clinician creates a referral from the active encounter and selects the required service and urgency.</w:t>
      </w:r>
    </w:p>
    <w:p>
      <w:pPr>
        <w:pStyle w:val="ListNumber"/>
      </w:pPr>
      <w:r>
        <w:t>System assembles a proposed clinical package; clinician reviews exactly what will be disclosed.</w:t>
      </w:r>
    </w:p>
    <w:p>
      <w:pPr>
        <w:pStyle w:val="ListNumber"/>
      </w:pPr>
      <w:r>
        <w:t>Patient/lawful-basis and disclosure policy are recorded.</w:t>
      </w:r>
    </w:p>
    <w:p>
      <w:pPr>
        <w:pStyle w:val="ListNumber"/>
      </w:pPr>
      <w:r>
        <w:t>Referral is sent to Hospital B referral desk and receives a network reference.</w:t>
      </w:r>
    </w:p>
    <w:p>
      <w:pPr>
        <w:pStyle w:val="ListNumber"/>
      </w:pPr>
      <w:r>
        <w:t>Hospital B acknowledges receipt; authorised reviewer opens the case-scoped package.</w:t>
      </w:r>
    </w:p>
    <w:p>
      <w:pPr>
        <w:pStyle w:val="ListNumber"/>
      </w:pPr>
      <w:r>
        <w:t>Reviewer can request a repeat potassium, imaging or other information through the referral workspace.</w:t>
      </w:r>
    </w:p>
    <w:p>
      <w:pPr>
        <w:pStyle w:val="ListNumber"/>
      </w:pPr>
      <w:r>
        <w:t>Hospital A uploads/links the requested result; the referral audit records the exchange.</w:t>
      </w:r>
    </w:p>
    <w:p>
      <w:pPr>
        <w:pStyle w:val="ListNumber"/>
      </w:pPr>
      <w:r>
        <w:t>Hospital B accepts, assigns receiving unit/clinician, provides date/time or emergency-transfer instruction, and may reserve a resource where supported.</w:t>
      </w:r>
    </w:p>
    <w:p>
      <w:pPr>
        <w:pStyle w:val="ListNumber"/>
      </w:pPr>
      <w:r>
        <w:t>Hospital A confirms transfer preparation; transport and current patient state are updated.</w:t>
      </w:r>
    </w:p>
    <w:p>
      <w:pPr>
        <w:pStyle w:val="ListNumber"/>
      </w:pPr>
      <w:r>
        <w:t>Hospital B marks arrival and receiving-team acknowledgement; formal care responsibility transition is recorded.</w:t>
      </w:r>
    </w:p>
    <w:p>
      <w:pPr>
        <w:pStyle w:val="ListNumber"/>
      </w:pPr>
      <w:r>
        <w:t>After care, Hospital B sends a structured outcome/continuity summary to Hospital A subject to governance.</w:t>
      </w:r>
    </w:p>
    <w:p>
      <w:pPr>
        <w:pStyle w:val="ListNumber"/>
      </w:pPr>
      <w:r>
        <w:t>Both facilities retain their legal records and the shared referral audit.</w:t>
      </w:r>
    </w:p>
    <w:p>
      <w:pPr>
        <w:pStyle w:val="Heading1"/>
      </w:pPr>
      <w:r>
        <w:t>47. Acceptance Criteria for a 'World-Class' Pulse Deployment</w:t>
      </w:r>
    </w:p>
    <w:p>
      <w:pPr>
        <w:pStyle w:val="ListBullet"/>
      </w:pPr>
      <w:r>
        <w:t>No critical clinical workflow depends on paper solely because two Pulse modules cannot communicate.</w:t>
      </w:r>
    </w:p>
    <w:p>
      <w:pPr>
        <w:pStyle w:val="ListBullet"/>
      </w:pPr>
      <w:r>
        <w:t>Patient history is coherent across enabled departments and every result/order/dispense links to the originating clinical context.</w:t>
      </w:r>
    </w:p>
    <w:p>
      <w:pPr>
        <w:pStyle w:val="ListBullet"/>
      </w:pPr>
      <w:r>
        <w:t>External referrals are bidirectional workflows, not PDF generation.</w:t>
      </w:r>
    </w:p>
    <w:p>
      <w:pPr>
        <w:pStyle w:val="ListBullet"/>
      </w:pPr>
      <w:r>
        <w:t>Diagnostic imaging uses standards-based PACS/DICOM integration when available.</w:t>
      </w:r>
    </w:p>
    <w:p>
      <w:pPr>
        <w:pStyle w:val="ListBullet"/>
      </w:pPr>
      <w:r>
        <w:t>Stock cannot be changed without a ledger transaction and reason.</w:t>
      </w:r>
    </w:p>
    <w:p>
      <w:pPr>
        <w:pStyle w:val="ListBullet"/>
      </w:pPr>
      <w:r>
        <w:t>Clinical records cannot be silently overwritten.</w:t>
      </w:r>
    </w:p>
    <w:p>
      <w:pPr>
        <w:pStyle w:val="ListBullet"/>
      </w:pPr>
      <w:r>
        <w:t>Permissions are demonstrably least-privilege and cross-facility access is governed.</w:t>
      </w:r>
    </w:p>
    <w:p>
      <w:pPr>
        <w:pStyle w:val="ListBullet"/>
      </w:pPr>
      <w:r>
        <w:t>Interfaces are observable and failed messages reconcile.</w:t>
      </w:r>
    </w:p>
    <w:p>
      <w:pPr>
        <w:pStyle w:val="ListBullet"/>
      </w:pPr>
      <w:r>
        <w:t>Downtime procedures are tested.</w:t>
      </w:r>
    </w:p>
    <w:p>
      <w:pPr>
        <w:pStyle w:val="ListBullet"/>
      </w:pPr>
      <w:r>
        <w:t>FHIR/terminology implementation is documented, versioned and conformance-tested.</w:t>
      </w:r>
    </w:p>
    <w:p>
      <w:pPr>
        <w:pStyle w:val="ListBullet"/>
      </w:pPr>
      <w:r>
        <w:t>Clinical users participate in safety validation and release governance.</w:t>
      </w:r>
    </w:p>
    <w:p>
      <w:pPr>
        <w:pStyle w:val="ListBullet"/>
      </w:pPr>
      <w:r>
        <w:t>Privacy, audit, security and disaster recovery are demonstrable controls, not proposal statements.</w:t>
      </w:r>
    </w:p>
    <w:p>
      <w:pPr>
        <w:pStyle w:val="Heading1"/>
      </w:pPr>
      <w:r>
        <w:t>48. Standards and Regulatory Reference Baseline</w:t>
      </w:r>
    </w:p>
    <w:p>
      <w:r>
        <w:t>This blueprint uses the following reference direction. The implementation team must verify the current version, licensing terms, Nigerian adoption profile and institutional requirements at implementation time.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Reference</w:t>
            </w:r>
          </w:p>
        </w:tc>
        <w:tc>
          <w:tcPr>
            <w:tcW w:type="dxa" w:w="5083"/>
            <w:vAlign w:val="center"/>
          </w:tcPr>
          <w:p>
            <w:pPr>
              <w:spacing w:after="20"/>
            </w:pPr>
            <w:r>
              <w:rPr>
                <w:b/>
                <w:sz w:val="16"/>
              </w:rPr>
              <w:t>Architecture implication</w:t>
            </w:r>
          </w:p>
        </w:tc>
      </w:tr>
      <w:tr>
        <w:tc>
          <w:tcPr>
            <w:tcW w:type="dxa" w:w="5083"/>
            <w:vAlign w:val="top"/>
          </w:tcPr>
          <w:p>
            <w:pPr>
              <w:spacing w:after="20"/>
            </w:pPr>
            <w:r>
              <w:rPr>
                <w:sz w:val="16"/>
              </w:rPr>
              <w:t>Nigeria Data Protection Act 2023 / NDPC guidance</w:t>
            </w:r>
          </w:p>
        </w:tc>
        <w:tc>
          <w:tcPr>
            <w:tcW w:type="dxa" w:w="5083"/>
            <w:vAlign w:val="top"/>
          </w:tcPr>
          <w:p>
            <w:pPr>
              <w:spacing w:after="20"/>
            </w:pPr>
            <w:r>
              <w:rPr>
                <w:sz w:val="16"/>
              </w:rPr>
              <w:t>Privacy, lawful processing, security, accountability and data-subject rights.</w:t>
            </w:r>
          </w:p>
        </w:tc>
      </w:tr>
      <w:tr>
        <w:tc>
          <w:tcPr>
            <w:tcW w:type="dxa" w:w="5083"/>
            <w:vAlign w:val="top"/>
          </w:tcPr>
          <w:p>
            <w:pPr>
              <w:spacing w:after="20"/>
            </w:pPr>
            <w:r>
              <w:rPr>
                <w:sz w:val="16"/>
              </w:rPr>
              <w:t>Nigeria National Digital Health Architecture / FMOHSW direction</w:t>
            </w:r>
          </w:p>
        </w:tc>
        <w:tc>
          <w:tcPr>
            <w:tcW w:type="dxa" w:w="5083"/>
            <w:vAlign w:val="top"/>
          </w:tcPr>
          <w:p>
            <w:pPr>
              <w:spacing w:after="20"/>
            </w:pPr>
            <w:r>
              <w:rPr>
                <w:sz w:val="16"/>
              </w:rPr>
              <w:t>Interoperability, shared registries/records and reduction of fragmented EMRs.</w:t>
            </w:r>
          </w:p>
        </w:tc>
      </w:tr>
      <w:tr>
        <w:tc>
          <w:tcPr>
            <w:tcW w:type="dxa" w:w="5083"/>
            <w:vAlign w:val="top"/>
          </w:tcPr>
          <w:p>
            <w:pPr>
              <w:spacing w:after="20"/>
            </w:pPr>
            <w:r>
              <w:rPr>
                <w:sz w:val="16"/>
              </w:rPr>
              <w:t>HL7 FHIR R5/R4 ecosystem</w:t>
            </w:r>
          </w:p>
        </w:tc>
        <w:tc>
          <w:tcPr>
            <w:tcW w:type="dxa" w:w="5083"/>
            <w:vAlign w:val="top"/>
          </w:tcPr>
          <w:p>
            <w:pPr>
              <w:spacing w:after="20"/>
            </w:pPr>
            <w:r>
              <w:rPr>
                <w:sz w:val="16"/>
              </w:rPr>
              <w:t>Resource-based interoperability; ServiceRequest supports referrals/transfer-of-care patterns.</w:t>
            </w:r>
          </w:p>
        </w:tc>
      </w:tr>
      <w:tr>
        <w:tc>
          <w:tcPr>
            <w:tcW w:type="dxa" w:w="5083"/>
            <w:vAlign w:val="top"/>
          </w:tcPr>
          <w:p>
            <w:pPr>
              <w:spacing w:after="20"/>
            </w:pPr>
            <w:r>
              <w:rPr>
                <w:sz w:val="16"/>
              </w:rPr>
              <w:t>SNOMED CT</w:t>
            </w:r>
          </w:p>
        </w:tc>
        <w:tc>
          <w:tcPr>
            <w:tcW w:type="dxa" w:w="5083"/>
            <w:vAlign w:val="top"/>
          </w:tcPr>
          <w:p>
            <w:pPr>
              <w:spacing w:after="20"/>
            </w:pPr>
            <w:r>
              <w:rPr>
                <w:sz w:val="16"/>
              </w:rPr>
              <w:t>Semantically rich clinical terminology for structured clinical information.</w:t>
            </w:r>
          </w:p>
        </w:tc>
      </w:tr>
      <w:tr>
        <w:tc>
          <w:tcPr>
            <w:tcW w:type="dxa" w:w="5083"/>
            <w:vAlign w:val="top"/>
          </w:tcPr>
          <w:p>
            <w:pPr>
              <w:spacing w:after="20"/>
            </w:pPr>
            <w:r>
              <w:rPr>
                <w:sz w:val="16"/>
              </w:rPr>
              <w:t>LOINC</w:t>
            </w:r>
          </w:p>
        </w:tc>
        <w:tc>
          <w:tcPr>
            <w:tcW w:type="dxa" w:w="5083"/>
            <w:vAlign w:val="top"/>
          </w:tcPr>
          <w:p>
            <w:pPr>
              <w:spacing w:after="20"/>
            </w:pPr>
            <w:r>
              <w:rPr>
                <w:sz w:val="16"/>
              </w:rPr>
              <w:t>Universal identifiers for laboratory/clinical observations and documents.</w:t>
            </w:r>
          </w:p>
        </w:tc>
      </w:tr>
      <w:tr>
        <w:tc>
          <w:tcPr>
            <w:tcW w:type="dxa" w:w="5083"/>
            <w:vAlign w:val="top"/>
          </w:tcPr>
          <w:p>
            <w:pPr>
              <w:spacing w:after="20"/>
            </w:pPr>
            <w:r>
              <w:rPr>
                <w:sz w:val="16"/>
              </w:rPr>
              <w:t>DICOM</w:t>
            </w:r>
          </w:p>
        </w:tc>
        <w:tc>
          <w:tcPr>
            <w:tcW w:type="dxa" w:w="5083"/>
            <w:vAlign w:val="top"/>
          </w:tcPr>
          <w:p>
            <w:pPr>
              <w:spacing w:after="20"/>
            </w:pPr>
            <w:r>
              <w:rPr>
                <w:sz w:val="16"/>
              </w:rPr>
              <w:t>International medical-imaging communication and interoperability.</w:t>
            </w:r>
          </w:p>
        </w:tc>
      </w:tr>
      <w:tr>
        <w:tc>
          <w:tcPr>
            <w:tcW w:type="dxa" w:w="5083"/>
            <w:vAlign w:val="top"/>
          </w:tcPr>
          <w:p>
            <w:pPr>
              <w:spacing w:after="20"/>
            </w:pPr>
            <w:r>
              <w:rPr>
                <w:sz w:val="16"/>
              </w:rPr>
              <w:t>Applicable professional/clinical guidelines</w:t>
            </w:r>
          </w:p>
        </w:tc>
        <w:tc>
          <w:tcPr>
            <w:tcW w:type="dxa" w:w="5083"/>
            <w:vAlign w:val="top"/>
          </w:tcPr>
          <w:p>
            <w:pPr>
              <w:spacing w:after="20"/>
            </w:pPr>
            <w:r>
              <w:rPr>
                <w:sz w:val="16"/>
              </w:rPr>
              <w:t>Facility-specific workflow, safety and scope-of-practice rules; must be validated by clinicians.</w:t>
            </w:r>
          </w:p>
        </w:tc>
      </w:tr>
    </w:tbl>
    <w:p>
      <w:pPr>
        <w:pStyle w:val="Heading1"/>
      </w:pPr>
      <w:r>
        <w:t>49. Product Governance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Board / function</w:t>
            </w:r>
          </w:p>
        </w:tc>
        <w:tc>
          <w:tcPr>
            <w:tcW w:type="dxa" w:w="5083"/>
            <w:vAlign w:val="center"/>
          </w:tcPr>
          <w:p>
            <w:pPr>
              <w:spacing w:after="20"/>
            </w:pPr>
            <w:r>
              <w:rPr>
                <w:b/>
                <w:sz w:val="16"/>
              </w:rPr>
              <w:t>Responsibility</w:t>
            </w:r>
          </w:p>
        </w:tc>
      </w:tr>
      <w:tr>
        <w:tc>
          <w:tcPr>
            <w:tcW w:type="dxa" w:w="5083"/>
            <w:vAlign w:val="top"/>
          </w:tcPr>
          <w:p>
            <w:pPr>
              <w:spacing w:after="20"/>
            </w:pPr>
            <w:r>
              <w:rPr>
                <w:sz w:val="16"/>
              </w:rPr>
              <w:t>Clinical Safety Board</w:t>
            </w:r>
          </w:p>
        </w:tc>
        <w:tc>
          <w:tcPr>
            <w:tcW w:type="dxa" w:w="5083"/>
            <w:vAlign w:val="top"/>
          </w:tcPr>
          <w:p>
            <w:pPr>
              <w:spacing w:after="20"/>
            </w:pPr>
            <w:r>
              <w:rPr>
                <w:sz w:val="16"/>
              </w:rPr>
              <w:t>Clinical hazards, CDS, templates, medication/lab safety, release review.</w:t>
            </w:r>
          </w:p>
        </w:tc>
      </w:tr>
      <w:tr>
        <w:tc>
          <w:tcPr>
            <w:tcW w:type="dxa" w:w="5083"/>
            <w:vAlign w:val="top"/>
          </w:tcPr>
          <w:p>
            <w:pPr>
              <w:spacing w:after="20"/>
            </w:pPr>
            <w:r>
              <w:rPr>
                <w:sz w:val="16"/>
              </w:rPr>
              <w:t>Data Governance &amp; Privacy</w:t>
            </w:r>
          </w:p>
        </w:tc>
        <w:tc>
          <w:tcPr>
            <w:tcW w:type="dxa" w:w="5083"/>
            <w:vAlign w:val="top"/>
          </w:tcPr>
          <w:p>
            <w:pPr>
              <w:spacing w:after="20"/>
            </w:pPr>
            <w:r>
              <w:rPr>
                <w:sz w:val="16"/>
              </w:rPr>
              <w:t>Lawful processing, access policy, retention, disclosures, research and data rights.</w:t>
            </w:r>
          </w:p>
        </w:tc>
      </w:tr>
      <w:tr>
        <w:tc>
          <w:tcPr>
            <w:tcW w:type="dxa" w:w="5083"/>
            <w:vAlign w:val="top"/>
          </w:tcPr>
          <w:p>
            <w:pPr>
              <w:spacing w:after="20"/>
            </w:pPr>
            <w:r>
              <w:rPr>
                <w:sz w:val="16"/>
              </w:rPr>
              <w:t>Architecture Review Board</w:t>
            </w:r>
          </w:p>
        </w:tc>
        <w:tc>
          <w:tcPr>
            <w:tcW w:type="dxa" w:w="5083"/>
            <w:vAlign w:val="top"/>
          </w:tcPr>
          <w:p>
            <w:pPr>
              <w:spacing w:after="20"/>
            </w:pPr>
            <w:r>
              <w:rPr>
                <w:sz w:val="16"/>
              </w:rPr>
              <w:t>Domain boundaries, interoperability, technical standards and non-functional quality.</w:t>
            </w:r>
          </w:p>
        </w:tc>
      </w:tr>
      <w:tr>
        <w:tc>
          <w:tcPr>
            <w:tcW w:type="dxa" w:w="5083"/>
            <w:vAlign w:val="top"/>
          </w:tcPr>
          <w:p>
            <w:pPr>
              <w:spacing w:after="20"/>
            </w:pPr>
            <w:r>
              <w:rPr>
                <w:sz w:val="16"/>
              </w:rPr>
              <w:t>Security Function</w:t>
            </w:r>
          </w:p>
        </w:tc>
        <w:tc>
          <w:tcPr>
            <w:tcW w:type="dxa" w:w="5083"/>
            <w:vAlign w:val="top"/>
          </w:tcPr>
          <w:p>
            <w:pPr>
              <w:spacing w:after="20"/>
            </w:pPr>
            <w:r>
              <w:rPr>
                <w:sz w:val="16"/>
              </w:rPr>
              <w:t>Threat modelling, incident response, vulnerability management and privileged access.</w:t>
            </w:r>
          </w:p>
        </w:tc>
      </w:tr>
      <w:tr>
        <w:tc>
          <w:tcPr>
            <w:tcW w:type="dxa" w:w="5083"/>
            <w:vAlign w:val="top"/>
          </w:tcPr>
          <w:p>
            <w:pPr>
              <w:spacing w:after="20"/>
            </w:pPr>
            <w:r>
              <w:rPr>
                <w:sz w:val="16"/>
              </w:rPr>
              <w:t>Change Advisory / Release</w:t>
            </w:r>
          </w:p>
        </w:tc>
        <w:tc>
          <w:tcPr>
            <w:tcW w:type="dxa" w:w="5083"/>
            <w:vAlign w:val="top"/>
          </w:tcPr>
          <w:p>
            <w:pPr>
              <w:spacing w:after="20"/>
            </w:pPr>
            <w:r>
              <w:rPr>
                <w:sz w:val="16"/>
              </w:rPr>
              <w:t>Production change risk, rollout, rollback and communication.</w:t>
            </w:r>
          </w:p>
        </w:tc>
      </w:tr>
      <w:tr>
        <w:tc>
          <w:tcPr>
            <w:tcW w:type="dxa" w:w="5083"/>
            <w:vAlign w:val="top"/>
          </w:tcPr>
          <w:p>
            <w:pPr>
              <w:spacing w:after="20"/>
            </w:pPr>
            <w:r>
              <w:rPr>
                <w:sz w:val="16"/>
              </w:rPr>
              <w:t>Terminology Governance</w:t>
            </w:r>
          </w:p>
        </w:tc>
        <w:tc>
          <w:tcPr>
            <w:tcW w:type="dxa" w:w="5083"/>
            <w:vAlign w:val="top"/>
          </w:tcPr>
          <w:p>
            <w:pPr>
              <w:spacing w:after="20"/>
            </w:pPr>
            <w:r>
              <w:rPr>
                <w:sz w:val="16"/>
              </w:rPr>
              <w:t>Code systems, mappings, value sets and local terminology.</w:t>
            </w:r>
          </w:p>
        </w:tc>
      </w:tr>
      <w:tr>
        <w:tc>
          <w:tcPr>
            <w:tcW w:type="dxa" w:w="5083"/>
            <w:vAlign w:val="top"/>
          </w:tcPr>
          <w:p>
            <w:pPr>
              <w:spacing w:after="20"/>
            </w:pPr>
            <w:r>
              <w:rPr>
                <w:sz w:val="16"/>
              </w:rPr>
              <w:t>Facility Governance</w:t>
            </w:r>
          </w:p>
        </w:tc>
        <w:tc>
          <w:tcPr>
            <w:tcW w:type="dxa" w:w="5083"/>
            <w:vAlign w:val="top"/>
          </w:tcPr>
          <w:p>
            <w:pPr>
              <w:spacing w:after="20"/>
            </w:pPr>
            <w:r>
              <w:rPr>
                <w:sz w:val="16"/>
              </w:rPr>
              <w:t>Local workflows, roles, tariffs, inventory, referral policy and adoption.</w:t>
            </w:r>
          </w:p>
        </w:tc>
      </w:tr>
    </w:tbl>
    <w:p>
      <w:pPr>
        <w:pStyle w:val="Heading1"/>
      </w:pPr>
      <w:r>
        <w:t>50. Final Architecture Position</w:t>
      </w:r>
    </w:p>
    <w:p>
      <w:r>
        <w:t>Pulse should be built as one configurable healthcare platform, not a collection of unrelated hospital modules. The clinical record, anatomy engine, diagnostics, medication, operational systems, inventory, revenue and referral network must share a canonical patient/encounter model, common security/governance services and standards-aligned integration contracts.</w:t>
      </w:r>
    </w:p>
    <w:p>
      <w:r>
        <w:t>Its differentiating capability is not the number of features. It is the combination of clinically coherent workflows, visual anatomical documentation, resilient hospital operations, traceable departmental inventory and a governed inter-hospital care network that prepares the receiving institution before the patient arrives.</w:t>
      </w:r>
    </w:p>
    <w:p>
      <w:r>
        <w:t>This document is the master blueprint. Detailed implementation should proceed through subordinate specifications: domain data dictionaries, BPMN/state-machine workflows, FHIR implementation guide, role-permission matrix, clinical safety case, API catalogue, UI design system, infrastructure deployment specification, threat model, data-protection impact assessment, test catalogue and facility onboarding/configuration handbook.</w:t>
      </w:r>
    </w:p>
    <w:p>
      <w:pPr>
        <w:pStyle w:val="Heading1"/>
      </w:pPr>
      <w:r>
        <w:t>Appendix A — Required Subordinate Documents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pPr>
              <w:spacing w:after="20"/>
            </w:pPr>
            <w:r>
              <w:rPr>
                <w:b/>
                <w:sz w:val="16"/>
              </w:rPr>
              <w:t>ID</w:t>
            </w:r>
          </w:p>
        </w:tc>
        <w:tc>
          <w:tcPr>
            <w:tcW w:type="dxa" w:w="5083"/>
            <w:vAlign w:val="center"/>
          </w:tcPr>
          <w:p>
            <w:pPr>
              <w:spacing w:after="20"/>
            </w:pPr>
            <w:r>
              <w:rPr>
                <w:b/>
                <w:sz w:val="16"/>
              </w:rPr>
              <w:t>Document</w:t>
            </w:r>
          </w:p>
        </w:tc>
      </w:tr>
      <w:tr>
        <w:tc>
          <w:tcPr>
            <w:tcW w:type="dxa" w:w="5083"/>
            <w:vAlign w:val="top"/>
          </w:tcPr>
          <w:p>
            <w:pPr>
              <w:spacing w:after="20"/>
            </w:pPr>
            <w:r>
              <w:rPr>
                <w:sz w:val="16"/>
              </w:rPr>
              <w:t>PULSE-ARCH-001</w:t>
            </w:r>
          </w:p>
        </w:tc>
        <w:tc>
          <w:tcPr>
            <w:tcW w:type="dxa" w:w="5083"/>
            <w:vAlign w:val="top"/>
          </w:tcPr>
          <w:p>
            <w:pPr>
              <w:spacing w:after="20"/>
            </w:pPr>
            <w:r>
              <w:rPr>
                <w:sz w:val="16"/>
              </w:rPr>
              <w:t>Logical &amp; Physical Architecture Specification</w:t>
            </w:r>
          </w:p>
        </w:tc>
      </w:tr>
      <w:tr>
        <w:tc>
          <w:tcPr>
            <w:tcW w:type="dxa" w:w="5083"/>
            <w:vAlign w:val="top"/>
          </w:tcPr>
          <w:p>
            <w:pPr>
              <w:spacing w:after="20"/>
            </w:pPr>
            <w:r>
              <w:rPr>
                <w:sz w:val="16"/>
              </w:rPr>
              <w:t>PULSE-DATA-001</w:t>
            </w:r>
          </w:p>
        </w:tc>
        <w:tc>
          <w:tcPr>
            <w:tcW w:type="dxa" w:w="5083"/>
            <w:vAlign w:val="top"/>
          </w:tcPr>
          <w:p>
            <w:pPr>
              <w:spacing w:after="20"/>
            </w:pPr>
            <w:r>
              <w:rPr>
                <w:sz w:val="16"/>
              </w:rPr>
              <w:t>Canonical Data Model, ERD &amp; Data Dictionary</w:t>
            </w:r>
          </w:p>
        </w:tc>
      </w:tr>
      <w:tr>
        <w:tc>
          <w:tcPr>
            <w:tcW w:type="dxa" w:w="5083"/>
            <w:vAlign w:val="top"/>
          </w:tcPr>
          <w:p>
            <w:pPr>
              <w:spacing w:after="20"/>
            </w:pPr>
            <w:r>
              <w:rPr>
                <w:sz w:val="16"/>
              </w:rPr>
              <w:t>PULSE-CLIN-001</w:t>
            </w:r>
          </w:p>
        </w:tc>
        <w:tc>
          <w:tcPr>
            <w:tcW w:type="dxa" w:w="5083"/>
            <w:vAlign w:val="top"/>
          </w:tcPr>
          <w:p>
            <w:pPr>
              <w:spacing w:after="20"/>
            </w:pPr>
            <w:r>
              <w:rPr>
                <w:sz w:val="16"/>
              </w:rPr>
              <w:t>Clinical Workflow &amp; Safety Specification</w:t>
            </w:r>
          </w:p>
        </w:tc>
      </w:tr>
      <w:tr>
        <w:tc>
          <w:tcPr>
            <w:tcW w:type="dxa" w:w="5083"/>
            <w:vAlign w:val="top"/>
          </w:tcPr>
          <w:p>
            <w:pPr>
              <w:spacing w:after="20"/>
            </w:pPr>
            <w:r>
              <w:rPr>
                <w:sz w:val="16"/>
              </w:rPr>
              <w:t>PULSE-ANAT-001</w:t>
            </w:r>
          </w:p>
        </w:tc>
        <w:tc>
          <w:tcPr>
            <w:tcW w:type="dxa" w:w="5083"/>
            <w:vAlign w:val="top"/>
          </w:tcPr>
          <w:p>
            <w:pPr>
              <w:spacing w:after="20"/>
            </w:pPr>
            <w:r>
              <w:rPr>
                <w:sz w:val="16"/>
              </w:rPr>
              <w:t>Anatomical Mapping Engine Specification</w:t>
            </w:r>
          </w:p>
        </w:tc>
      </w:tr>
      <w:tr>
        <w:tc>
          <w:tcPr>
            <w:tcW w:type="dxa" w:w="5083"/>
            <w:vAlign w:val="top"/>
          </w:tcPr>
          <w:p>
            <w:pPr>
              <w:spacing w:after="20"/>
            </w:pPr>
            <w:r>
              <w:rPr>
                <w:sz w:val="16"/>
              </w:rPr>
              <w:t>PULSE-REF-001</w:t>
            </w:r>
          </w:p>
        </w:tc>
        <w:tc>
          <w:tcPr>
            <w:tcW w:type="dxa" w:w="5083"/>
            <w:vAlign w:val="top"/>
          </w:tcPr>
          <w:p>
            <w:pPr>
              <w:spacing w:after="20"/>
            </w:pPr>
            <w:r>
              <w:rPr>
                <w:sz w:val="16"/>
              </w:rPr>
              <w:t>Inter-Hospital Referral &amp; Transfer Exchange Specification</w:t>
            </w:r>
          </w:p>
        </w:tc>
      </w:tr>
      <w:tr>
        <w:tc>
          <w:tcPr>
            <w:tcW w:type="dxa" w:w="5083"/>
            <w:vAlign w:val="top"/>
          </w:tcPr>
          <w:p>
            <w:pPr>
              <w:spacing w:after="20"/>
            </w:pPr>
            <w:r>
              <w:rPr>
                <w:sz w:val="16"/>
              </w:rPr>
              <w:t>PULSE-LAB-001</w:t>
            </w:r>
          </w:p>
        </w:tc>
        <w:tc>
          <w:tcPr>
            <w:tcW w:type="dxa" w:w="5083"/>
            <w:vAlign w:val="top"/>
          </w:tcPr>
          <w:p>
            <w:pPr>
              <w:spacing w:after="20"/>
            </w:pPr>
            <w:r>
              <w:rPr>
                <w:sz w:val="16"/>
              </w:rPr>
              <w:t>Laboratory Workflow &amp; Integration Specification</w:t>
            </w:r>
          </w:p>
        </w:tc>
      </w:tr>
      <w:tr>
        <w:tc>
          <w:tcPr>
            <w:tcW w:type="dxa" w:w="5083"/>
            <w:vAlign w:val="top"/>
          </w:tcPr>
          <w:p>
            <w:pPr>
              <w:spacing w:after="20"/>
            </w:pPr>
            <w:r>
              <w:rPr>
                <w:sz w:val="16"/>
              </w:rPr>
              <w:t>PULSE-IMG-001</w:t>
            </w:r>
          </w:p>
        </w:tc>
        <w:tc>
          <w:tcPr>
            <w:tcW w:type="dxa" w:w="5083"/>
            <w:vAlign w:val="top"/>
          </w:tcPr>
          <w:p>
            <w:pPr>
              <w:spacing w:after="20"/>
            </w:pPr>
            <w:r>
              <w:rPr>
                <w:sz w:val="16"/>
              </w:rPr>
              <w:t>Radiology/PACS/DICOM Integration Specification</w:t>
            </w:r>
          </w:p>
        </w:tc>
      </w:tr>
      <w:tr>
        <w:tc>
          <w:tcPr>
            <w:tcW w:type="dxa" w:w="5083"/>
            <w:vAlign w:val="top"/>
          </w:tcPr>
          <w:p>
            <w:pPr>
              <w:spacing w:after="20"/>
            </w:pPr>
            <w:r>
              <w:rPr>
                <w:sz w:val="16"/>
              </w:rPr>
              <w:t>PULSE-MED-001</w:t>
            </w:r>
          </w:p>
        </w:tc>
        <w:tc>
          <w:tcPr>
            <w:tcW w:type="dxa" w:w="5083"/>
            <w:vAlign w:val="top"/>
          </w:tcPr>
          <w:p>
            <w:pPr>
              <w:spacing w:after="20"/>
            </w:pPr>
            <w:r>
              <w:rPr>
                <w:sz w:val="16"/>
              </w:rPr>
              <w:t>Medication, Pharmacy &amp; eMAR Specification</w:t>
            </w:r>
          </w:p>
        </w:tc>
      </w:tr>
      <w:tr>
        <w:tc>
          <w:tcPr>
            <w:tcW w:type="dxa" w:w="5083"/>
            <w:vAlign w:val="top"/>
          </w:tcPr>
          <w:p>
            <w:pPr>
              <w:spacing w:after="20"/>
            </w:pPr>
            <w:r>
              <w:rPr>
                <w:sz w:val="16"/>
              </w:rPr>
              <w:t>PULSE-INV-001</w:t>
            </w:r>
          </w:p>
        </w:tc>
        <w:tc>
          <w:tcPr>
            <w:tcW w:type="dxa" w:w="5083"/>
            <w:vAlign w:val="top"/>
          </w:tcPr>
          <w:p>
            <w:pPr>
              <w:spacing w:after="20"/>
            </w:pPr>
            <w:r>
              <w:rPr>
                <w:sz w:val="16"/>
              </w:rPr>
              <w:t>Inventory, Stores &amp; Procurement Specification</w:t>
            </w:r>
          </w:p>
        </w:tc>
      </w:tr>
      <w:tr>
        <w:tc>
          <w:tcPr>
            <w:tcW w:type="dxa" w:w="5083"/>
            <w:vAlign w:val="top"/>
          </w:tcPr>
          <w:p>
            <w:pPr>
              <w:spacing w:after="20"/>
            </w:pPr>
            <w:r>
              <w:rPr>
                <w:sz w:val="16"/>
              </w:rPr>
              <w:t>PULSE-REV-001</w:t>
            </w:r>
          </w:p>
        </w:tc>
        <w:tc>
          <w:tcPr>
            <w:tcW w:type="dxa" w:w="5083"/>
            <w:vAlign w:val="top"/>
          </w:tcPr>
          <w:p>
            <w:pPr>
              <w:spacing w:after="20"/>
            </w:pPr>
            <w:r>
              <w:rPr>
                <w:sz w:val="16"/>
              </w:rPr>
              <w:t>Billing, Payments, Insurance &amp; Claims Specification</w:t>
            </w:r>
          </w:p>
        </w:tc>
      </w:tr>
      <w:tr>
        <w:tc>
          <w:tcPr>
            <w:tcW w:type="dxa" w:w="5083"/>
            <w:vAlign w:val="top"/>
          </w:tcPr>
          <w:p>
            <w:pPr>
              <w:spacing w:after="20"/>
            </w:pPr>
            <w:r>
              <w:rPr>
                <w:sz w:val="16"/>
              </w:rPr>
              <w:t>PULSE-IAM-001</w:t>
            </w:r>
          </w:p>
        </w:tc>
        <w:tc>
          <w:tcPr>
            <w:tcW w:type="dxa" w:w="5083"/>
            <w:vAlign w:val="top"/>
          </w:tcPr>
          <w:p>
            <w:pPr>
              <w:spacing w:after="20"/>
            </w:pPr>
            <w:r>
              <w:rPr>
                <w:sz w:val="16"/>
              </w:rPr>
              <w:t>Identity, Roles, Privileges, Consent &amp; Access Control</w:t>
            </w:r>
          </w:p>
        </w:tc>
      </w:tr>
      <w:tr>
        <w:tc>
          <w:tcPr>
            <w:tcW w:type="dxa" w:w="5083"/>
            <w:vAlign w:val="top"/>
          </w:tcPr>
          <w:p>
            <w:pPr>
              <w:spacing w:after="20"/>
            </w:pPr>
            <w:r>
              <w:rPr>
                <w:sz w:val="16"/>
              </w:rPr>
              <w:t>PULSE-FHIR-001</w:t>
            </w:r>
          </w:p>
        </w:tc>
        <w:tc>
          <w:tcPr>
            <w:tcW w:type="dxa" w:w="5083"/>
            <w:vAlign w:val="top"/>
          </w:tcPr>
          <w:p>
            <w:pPr>
              <w:spacing w:after="20"/>
            </w:pPr>
            <w:r>
              <w:rPr>
                <w:sz w:val="16"/>
              </w:rPr>
              <w:t>FHIR Implementation Guide &amp; API Catalogue</w:t>
            </w:r>
          </w:p>
        </w:tc>
      </w:tr>
      <w:tr>
        <w:tc>
          <w:tcPr>
            <w:tcW w:type="dxa" w:w="5083"/>
            <w:vAlign w:val="top"/>
          </w:tcPr>
          <w:p>
            <w:pPr>
              <w:spacing w:after="20"/>
            </w:pPr>
            <w:r>
              <w:rPr>
                <w:sz w:val="16"/>
              </w:rPr>
              <w:t>PULSE-SEC-001</w:t>
            </w:r>
          </w:p>
        </w:tc>
        <w:tc>
          <w:tcPr>
            <w:tcW w:type="dxa" w:w="5083"/>
            <w:vAlign w:val="top"/>
          </w:tcPr>
          <w:p>
            <w:pPr>
              <w:spacing w:after="20"/>
            </w:pPr>
            <w:r>
              <w:rPr>
                <w:sz w:val="16"/>
              </w:rPr>
              <w:t>Security Architecture &amp; Threat Model</w:t>
            </w:r>
          </w:p>
        </w:tc>
      </w:tr>
      <w:tr>
        <w:tc>
          <w:tcPr>
            <w:tcW w:type="dxa" w:w="5083"/>
            <w:vAlign w:val="top"/>
          </w:tcPr>
          <w:p>
            <w:pPr>
              <w:spacing w:after="20"/>
            </w:pPr>
            <w:r>
              <w:rPr>
                <w:sz w:val="16"/>
              </w:rPr>
              <w:t>PULSE-PRIV-001</w:t>
            </w:r>
          </w:p>
        </w:tc>
        <w:tc>
          <w:tcPr>
            <w:tcW w:type="dxa" w:w="5083"/>
            <w:vAlign w:val="top"/>
          </w:tcPr>
          <w:p>
            <w:pPr>
              <w:spacing w:after="20"/>
            </w:pPr>
            <w:r>
              <w:rPr>
                <w:sz w:val="16"/>
              </w:rPr>
              <w:t>Privacy, DPIA &amp; Data Governance Framework</w:t>
            </w:r>
          </w:p>
        </w:tc>
      </w:tr>
      <w:tr>
        <w:tc>
          <w:tcPr>
            <w:tcW w:type="dxa" w:w="5083"/>
            <w:vAlign w:val="top"/>
          </w:tcPr>
          <w:p>
            <w:pPr>
              <w:spacing w:after="20"/>
            </w:pPr>
            <w:r>
              <w:rPr>
                <w:sz w:val="16"/>
              </w:rPr>
              <w:t>PULSE-NFR-001</w:t>
            </w:r>
          </w:p>
        </w:tc>
        <w:tc>
          <w:tcPr>
            <w:tcW w:type="dxa" w:w="5083"/>
            <w:vAlign w:val="top"/>
          </w:tcPr>
          <w:p>
            <w:pPr>
              <w:spacing w:after="20"/>
            </w:pPr>
            <w:r>
              <w:rPr>
                <w:sz w:val="16"/>
              </w:rPr>
              <w:t>Non-Functional Requirements &amp; SLO/SLA Catalogue</w:t>
            </w:r>
          </w:p>
        </w:tc>
      </w:tr>
      <w:tr>
        <w:tc>
          <w:tcPr>
            <w:tcW w:type="dxa" w:w="5083"/>
            <w:vAlign w:val="top"/>
          </w:tcPr>
          <w:p>
            <w:pPr>
              <w:spacing w:after="20"/>
            </w:pPr>
            <w:r>
              <w:rPr>
                <w:sz w:val="16"/>
              </w:rPr>
              <w:t>PULSE-UX-001</w:t>
            </w:r>
          </w:p>
        </w:tc>
        <w:tc>
          <w:tcPr>
            <w:tcW w:type="dxa" w:w="5083"/>
            <w:vAlign w:val="top"/>
          </w:tcPr>
          <w:p>
            <w:pPr>
              <w:spacing w:after="20"/>
            </w:pPr>
            <w:r>
              <w:rPr>
                <w:sz w:val="16"/>
              </w:rPr>
              <w:t>UI/UX Design System &amp; Role-Based Screen Catalogue</w:t>
            </w:r>
          </w:p>
        </w:tc>
      </w:tr>
      <w:tr>
        <w:tc>
          <w:tcPr>
            <w:tcW w:type="dxa" w:w="5083"/>
            <w:vAlign w:val="top"/>
          </w:tcPr>
          <w:p>
            <w:pPr>
              <w:spacing w:after="20"/>
            </w:pPr>
            <w:r>
              <w:rPr>
                <w:sz w:val="16"/>
              </w:rPr>
              <w:t>PULSE-QA-001</w:t>
            </w:r>
          </w:p>
        </w:tc>
        <w:tc>
          <w:tcPr>
            <w:tcW w:type="dxa" w:w="5083"/>
            <w:vAlign w:val="top"/>
          </w:tcPr>
          <w:p>
            <w:pPr>
              <w:spacing w:after="20"/>
            </w:pPr>
            <w:r>
              <w:rPr>
                <w:sz w:val="16"/>
              </w:rPr>
              <w:t>Verification, Validation &amp; Clinical Safety Test Catalogue</w:t>
            </w:r>
          </w:p>
        </w:tc>
      </w:tr>
      <w:tr>
        <w:tc>
          <w:tcPr>
            <w:tcW w:type="dxa" w:w="5083"/>
            <w:vAlign w:val="top"/>
          </w:tcPr>
          <w:p>
            <w:pPr>
              <w:spacing w:after="20"/>
            </w:pPr>
            <w:r>
              <w:rPr>
                <w:sz w:val="16"/>
              </w:rPr>
              <w:t>PULSE-OPS-001</w:t>
            </w:r>
          </w:p>
        </w:tc>
        <w:tc>
          <w:tcPr>
            <w:tcW w:type="dxa" w:w="5083"/>
            <w:vAlign w:val="top"/>
          </w:tcPr>
          <w:p>
            <w:pPr>
              <w:spacing w:after="20"/>
            </w:pPr>
            <w:r>
              <w:rPr>
                <w:sz w:val="16"/>
              </w:rPr>
              <w:t>Deployment, Backup, DR, Observability &amp; Support Runbook</w:t>
            </w:r>
          </w:p>
        </w:tc>
      </w:tr>
      <w:tr>
        <w:tc>
          <w:tcPr>
            <w:tcW w:type="dxa" w:w="5083"/>
            <w:vAlign w:val="top"/>
          </w:tcPr>
          <w:p>
            <w:pPr>
              <w:spacing w:after="20"/>
            </w:pPr>
            <w:r>
              <w:rPr>
                <w:sz w:val="16"/>
              </w:rPr>
              <w:t>PULSE-MIG-001</w:t>
            </w:r>
          </w:p>
        </w:tc>
        <w:tc>
          <w:tcPr>
            <w:tcW w:type="dxa" w:w="5083"/>
            <w:vAlign w:val="top"/>
          </w:tcPr>
          <w:p>
            <w:pPr>
              <w:spacing w:after="20"/>
            </w:pPr>
            <w:r>
              <w:rPr>
                <w:sz w:val="16"/>
              </w:rPr>
              <w:t>Data Migration &amp; Cutover Plan</w:t>
            </w:r>
          </w:p>
        </w:tc>
      </w:tr>
      <w:tr>
        <w:tc>
          <w:tcPr>
            <w:tcW w:type="dxa" w:w="5083"/>
            <w:vAlign w:val="top"/>
          </w:tcPr>
          <w:p>
            <w:pPr>
              <w:spacing w:after="20"/>
            </w:pPr>
            <w:r>
              <w:rPr>
                <w:sz w:val="16"/>
              </w:rPr>
              <w:t>PULSE-ONB-001</w:t>
            </w:r>
          </w:p>
        </w:tc>
        <w:tc>
          <w:tcPr>
            <w:tcW w:type="dxa" w:w="5083"/>
            <w:vAlign w:val="top"/>
          </w:tcPr>
          <w:p>
            <w:pPr>
              <w:spacing w:after="20"/>
            </w:pPr>
            <w:r>
              <w:rPr>
                <w:sz w:val="16"/>
              </w:rPr>
              <w:t>Facility Discovery, Configuration, Training &amp; Go-Live Handbook</w:t>
            </w:r>
          </w:p>
        </w:tc>
      </w:tr>
    </w:tbl>
    <w:p>
      <w:pPr>
        <w:pStyle w:val="Heading1"/>
      </w:pPr>
      <w:r>
        <w:t>Appendix B — Source Proposal Consolidation</w:t>
      </w:r>
    </w:p>
    <w:p>
      <w:r>
        <w:t>The baseline product direction consolidates the Obudu Clinic EMR proposal's single longitudinal patient record, workflow fidelity, diagnostics, medication/pharmacy, nursing handover, billing, reporting, role-based security and offline-tolerant direction with the broader MMS proposal's department/unit management, workforce hierarchy, shifts/rosters, recurring treatment, equipment, analytics, clinical decision support, anatomical annotation, research and configurable workflow concepts. This blueprint extends those source ideas into a multi-facility, standards-aligned platform and referral network.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Confidential • Product / Clinical / Architecture Specification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PULSE HEALTH PLATFORM  |  MASTER SYSTEM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