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color w:val="2F75B5"/>
        </w:rPr>
        <w:t>SARATHI</w:t>
      </w:r>
    </w:p>
    <w:p>
      <w:pPr>
        <w:pStyle w:val="Title"/>
        <w:jc w:val="left"/>
      </w:pPr>
      <w:r>
        <w:t>Sarathi Multi Agent Disaster Intelligence Platform</w:t>
      </w:r>
    </w:p>
    <w:p>
      <w:pPr>
        <w:spacing w:after="480"/>
      </w:pPr>
      <w:r>
        <w:rPr>
          <w:rFonts w:ascii="Aptos Display" w:hAnsi="Aptos Display"/>
          <w:color w:val="667085"/>
          <w:sz w:val="32"/>
        </w:rPr>
        <w:t>Problem Statement Technology Stack and Solution Design</w:t>
      </w:r>
    </w:p>
    <w:tbl>
      <w:tblPr>
        <w:tblW w:type="auto" w:w="0"/>
        <w:jc w:val="left"/>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939"/>
        <w:gridCol w:w="4939"/>
      </w:tblGrid>
      <w:tr>
        <w:tc>
          <w:tcPr>
            <w:tcW w:type="dxa" w:w="1944"/>
            <w:tcMar>
              <w:top w:w="90" w:type="dxa"/>
              <w:start w:w="0" w:type="dxa"/>
              <w:bottom w:w="90" w:type="dxa"/>
              <w:end w:w="80" w:type="dxa"/>
            </w:tcMar>
          </w:tcPr>
          <w:p>
            <w:pPr>
              <w:spacing w:after="0"/>
            </w:pPr>
            <w:r>
              <w:rPr>
                <w:b/>
                <w:color w:val="667085"/>
              </w:rPr>
              <w:t>Prepared for</w:t>
            </w:r>
          </w:p>
        </w:tc>
        <w:tc>
          <w:tcPr>
            <w:tcW w:type="dxa" w:w="6912"/>
            <w:tcMar>
              <w:top w:w="90" w:type="dxa"/>
              <w:start w:w="0" w:type="dxa"/>
              <w:bottom w:w="90" w:type="dxa"/>
              <w:end w:w="80" w:type="dxa"/>
            </w:tcMar>
          </w:tcPr>
          <w:p>
            <w:pPr>
              <w:spacing w:after="0"/>
            </w:pPr>
            <w:r>
              <w:t>InnoVax</w:t>
            </w:r>
          </w:p>
        </w:tc>
      </w:tr>
      <w:tr>
        <w:tc>
          <w:tcPr>
            <w:tcW w:type="dxa" w:w="1944"/>
            <w:tcMar>
              <w:top w:w="90" w:type="dxa"/>
              <w:start w:w="0" w:type="dxa"/>
              <w:bottom w:w="90" w:type="dxa"/>
              <w:end w:w="80" w:type="dxa"/>
            </w:tcMar>
          </w:tcPr>
          <w:p>
            <w:pPr>
              <w:spacing w:after="0"/>
            </w:pPr>
            <w:r>
              <w:rPr>
                <w:b/>
                <w:color w:val="667085"/>
              </w:rPr>
              <w:t>Document type</w:t>
            </w:r>
          </w:p>
        </w:tc>
        <w:tc>
          <w:tcPr>
            <w:tcW w:type="dxa" w:w="6912"/>
            <w:tcMar>
              <w:top w:w="90" w:type="dxa"/>
              <w:start w:w="0" w:type="dxa"/>
              <w:bottom w:w="90" w:type="dxa"/>
              <w:end w:w="80" w:type="dxa"/>
            </w:tcMar>
          </w:tcPr>
          <w:p>
            <w:pPr>
              <w:spacing w:after="0"/>
            </w:pPr>
            <w:r>
              <w:t>Technical solution documentation</w:t>
            </w:r>
          </w:p>
        </w:tc>
      </w:tr>
      <w:tr>
        <w:tc>
          <w:tcPr>
            <w:tcW w:type="dxa" w:w="1944"/>
            <w:tcMar>
              <w:top w:w="90" w:type="dxa"/>
              <w:start w:w="0" w:type="dxa"/>
              <w:bottom w:w="90" w:type="dxa"/>
              <w:end w:w="80" w:type="dxa"/>
            </w:tcMar>
          </w:tcPr>
          <w:p>
            <w:pPr>
              <w:spacing w:after="0"/>
            </w:pPr>
            <w:r>
              <w:rPr>
                <w:b/>
                <w:color w:val="667085"/>
              </w:rPr>
              <w:t>Date</w:t>
            </w:r>
          </w:p>
        </w:tc>
        <w:tc>
          <w:tcPr>
            <w:tcW w:type="dxa" w:w="6912"/>
            <w:tcMar>
              <w:top w:w="90" w:type="dxa"/>
              <w:start w:w="0" w:type="dxa"/>
              <w:bottom w:w="90" w:type="dxa"/>
              <w:end w:w="80" w:type="dxa"/>
            </w:tcMar>
          </w:tcPr>
          <w:p>
            <w:pPr>
              <w:spacing w:after="0"/>
            </w:pPr>
            <w:r>
              <w:t>7 October 2026</w:t>
            </w:r>
          </w:p>
        </w:tc>
      </w:tr>
    </w:tbl>
    <w:p>
      <w:pPr>
        <w:spacing w:after="560"/>
      </w:pPr>
    </w:p>
    <w:p>
      <w:pPr>
        <w:spacing w:after="200"/>
      </w:pPr>
      <w:r>
        <w:rPr>
          <w:b/>
          <w:sz w:val="23"/>
        </w:rPr>
        <w:t>Purpose</w:t>
      </w:r>
    </w:p>
    <w:p>
      <w:pPr>
        <w:spacing w:after="160"/>
      </w:pPr>
      <w:r>
        <w:t>This document explains the operational problem Sarathi addresses, the technologies used in the current repository, the implemented solution, its safety and reliability controls, and the next capabilities required for a complete incident intelligence platform.</w:t>
      </w:r>
    </w:p>
    <w:p>
      <w:pPr>
        <w:spacing w:after="160"/>
      </w:pPr>
      <w:r>
        <w:t>The current release already combines live public data, map-based situational awareness, selective multi-agent routing, source-attributed answers, authentication, storage, and operational observability. It deliberately does not claim verified risk scoring, official warning authority, shelter routing, or alert delivery where those providers and workflows are not yet connected.</w:t>
      </w:r>
    </w:p>
    <w:p>
      <w:r>
        <w:br w:type="page"/>
      </w:r>
    </w:p>
    <w:p>
      <w:pPr>
        <w:pStyle w:val="Heading1"/>
        <w:keepNext/>
      </w:pPr>
      <w:r>
        <w:t>Executive Overview</w:t>
      </w:r>
    </w:p>
    <w:p>
      <w:pPr>
        <w:spacing w:after="160"/>
      </w:pPr>
      <w:r>
        <w:t>Emergency and disaster information is distributed across weather services, earthquake feeds, natural-event trackers, news sources, maps, and local operational systems. Operators must reconcile different formats, timestamps, authority levels, and failure modes before they can create a useful situation picture. The process is slow, difficult to audit, and vulnerable to both missed evidence and overconfident interpretation.</w:t>
      </w:r>
    </w:p>
    <w:p>
      <w:pPr>
        <w:spacing w:after="160"/>
      </w:pPr>
      <w:r>
        <w:t>Sarathi addresses this problem as one disaster-intelligence workspace. It retrieves relevant public evidence, routes a question to the necessary specialists, records source status and token use, and produces a concise synthesis that stays within the collected evidence. A web command center supports maps, warnings, source inspection, agent activity, situation reports, administration, and question answering. A dependency-free Python backend supports local, offline, scheduled, and command-line operation.</w:t>
      </w:r>
    </w:p>
    <w:p>
      <w:pPr>
        <w:pStyle w:val="Heading1"/>
        <w:keepNext/>
      </w:pPr>
      <w:r>
        <w:t>Problem Statement</w:t>
      </w:r>
    </w:p>
    <w:p>
      <w:pPr>
        <w:pStyle w:val="ListNumber"/>
        <w:spacing w:after="140"/>
        <w:ind w:left="403" w:hanging="317"/>
      </w:pPr>
      <w:r>
        <w:rPr>
          <w:b/>
        </w:rPr>
        <w:t xml:space="preserve">Fragmented evidence  </w:t>
      </w:r>
      <w:r>
        <w:t>Weather, seismic, natural-event, climate, and news data arrive through separate providers and schemas. Users must switch tools and manually align place, time, and authority.</w:t>
      </w:r>
    </w:p>
    <w:p>
      <w:pPr>
        <w:pStyle w:val="ListNumber"/>
        <w:spacing w:after="140"/>
        <w:ind w:left="403" w:hanging="317"/>
      </w:pPr>
      <w:r>
        <w:rPr>
          <w:b/>
        </w:rPr>
        <w:t xml:space="preserve">Uneven trust and freshness  </w:t>
      </w:r>
      <w:r>
        <w:t>A successful response may be stale, incomplete, malformed, or non-authoritative. Provider outages and valid empty feeds must be distinguished from a zero-valued observation.</w:t>
      </w:r>
    </w:p>
    <w:p>
      <w:pPr>
        <w:pStyle w:val="ListNumber"/>
        <w:spacing w:after="140"/>
        <w:ind w:left="403" w:hanging="317"/>
      </w:pPr>
      <w:r>
        <w:rPr>
          <w:b/>
        </w:rPr>
        <w:t xml:space="preserve">High coordination cost  </w:t>
      </w:r>
      <w:r>
        <w:t>Broad situation reports require several specialist views, while a narrow question should not trigger every data source or model. Manual coordination adds latency and cost.</w:t>
      </w:r>
    </w:p>
    <w:p>
      <w:pPr>
        <w:pStyle w:val="ListNumber"/>
        <w:spacing w:after="140"/>
        <w:ind w:left="403" w:hanging="317"/>
      </w:pPr>
      <w:r>
        <w:rPr>
          <w:b/>
        </w:rPr>
        <w:t xml:space="preserve">Unsafe automated interpretation  </w:t>
      </w:r>
      <w:r>
        <w:t>A language model can invent warnings, casualties, routes, shelters, risk scores, or confidence values unless its evidence and instructions are tightly bounded.</w:t>
      </w:r>
    </w:p>
    <w:p>
      <w:pPr>
        <w:pStyle w:val="ListNumber"/>
        <w:spacing w:after="140"/>
        <w:ind w:left="403" w:hanging="317"/>
      </w:pPr>
      <w:r>
        <w:rPr>
          <w:b/>
        </w:rPr>
        <w:t xml:space="preserve">Limited traceability  </w:t>
      </w:r>
      <w:r>
        <w:t>Operational users need to know which sources and agents ran, what failed, how long the run took, which model was used, and how many tokens were consumed.</w:t>
      </w:r>
    </w:p>
    <w:p>
      <w:pPr>
        <w:pStyle w:val="ListNumber"/>
        <w:spacing w:after="140"/>
        <w:ind w:left="403" w:hanging="317"/>
      </w:pPr>
      <w:r>
        <w:rPr>
          <w:b/>
        </w:rPr>
        <w:t xml:space="preserve">Weak continuity during disruption  </w:t>
      </w:r>
      <w:r>
        <w:t>A network or model outage should reduce capability gracefully rather than erase the situation picture. Field and local users also need a usable offline path.</w:t>
      </w:r>
    </w:p>
    <w:p>
      <w:pPr>
        <w:pStyle w:val="Heading1"/>
        <w:keepNext/>
      </w:pPr>
      <w:r>
        <w:t>Solution Objectives</w:t>
      </w:r>
    </w:p>
    <w:p>
      <w:pPr>
        <w:pStyle w:val="ListBullet"/>
        <w:spacing w:after="80"/>
        <w:ind w:left="360" w:hanging="259"/>
      </w:pPr>
      <w:r>
        <w:t>Present one coherent operating surface instead of exposing a collection of independent chatbots.</w:t>
      </w:r>
    </w:p>
    <w:p>
      <w:pPr>
        <w:pStyle w:val="ListBullet"/>
        <w:spacing w:after="80"/>
        <w:ind w:left="360" w:hanging="259"/>
      </w:pPr>
      <w:r>
        <w:t>Use live, attributable evidence and make unavailable data explicit.</w:t>
      </w:r>
    </w:p>
    <w:p>
      <w:pPr>
        <w:pStyle w:val="ListBullet"/>
        <w:spacing w:after="80"/>
        <w:ind w:left="360" w:hanging="259"/>
      </w:pPr>
      <w:r>
        <w:t>Select only relevant sources and specialist agents for each request.</w:t>
      </w:r>
    </w:p>
    <w:p>
      <w:pPr>
        <w:pStyle w:val="ListBullet"/>
        <w:spacing w:after="80"/>
        <w:ind w:left="360" w:hanging="259"/>
      </w:pPr>
      <w:r>
        <w:t>Keep AI synthesis bounded by source evidence and deterministic budgets.</w:t>
      </w:r>
    </w:p>
    <w:p>
      <w:pPr>
        <w:pStyle w:val="ListBullet"/>
        <w:spacing w:after="80"/>
        <w:ind w:left="360" w:hanging="259"/>
      </w:pPr>
      <w:r>
        <w:t>Preserve local operation, cache fallback, and evidence-only output when AI is unavailable.</w:t>
      </w:r>
    </w:p>
    <w:p>
      <w:pPr>
        <w:pStyle w:val="ListBullet"/>
        <w:spacing w:after="80"/>
        <w:ind w:left="360" w:hanging="259"/>
      </w:pPr>
      <w:r>
        <w:t>Separate implemented capabilities from planned operational workflows.</w:t>
      </w:r>
    </w:p>
    <w:p>
      <w:pPr>
        <w:pStyle w:val="Heading1"/>
        <w:keepNext/>
        <w:pageBreakBefore/>
      </w:pPr>
      <w:r>
        <w:t>Solution Architecture</w:t>
      </w:r>
    </w:p>
    <w:p>
      <w:pPr>
        <w:spacing w:after="160"/>
      </w:pPr>
      <w:r>
        <w:t>Sarathi uses a layered architecture. The interface and CLI send a task and location into a routing layer. The router selects relevant evidence adapters and specialist agents. Specialists validate and structure source payloads in parallel, then Sarathi Central produces one bounded synthesis. Storage records runs, source snapshots, agent outputs, cache entries, and retryable writes.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val="true"/>
        </w:trPr>
        <w:tc>
          <w:tcPr>
            <w:tcW w:type="dxa" w:w="1512"/>
            <w:shd w:fill="17365D"/>
            <w:tcMar>
              <w:top w:w="120" w:type="dxa"/>
              <w:start w:w="130" w:type="dxa"/>
              <w:bottom w:w="120" w:type="dxa"/>
              <w:end w:w="130" w:type="dxa"/>
            </w:tcMar>
            <w:vAlign w:val="center"/>
          </w:tcPr>
          <w:p>
            <w:pPr>
              <w:spacing w:after="0"/>
              <w:jc w:val="left"/>
            </w:pPr>
            <w:r>
              <w:rPr>
                <w:b/>
                <w:color w:val="FFFFFF"/>
                <w:sz w:val="18"/>
              </w:rPr>
              <w:t>Layer</w:t>
            </w:r>
          </w:p>
        </w:tc>
        <w:tc>
          <w:tcPr>
            <w:tcW w:type="dxa" w:w="3671"/>
            <w:shd w:fill="17365D"/>
            <w:tcMar>
              <w:top w:w="120" w:type="dxa"/>
              <w:start w:w="130" w:type="dxa"/>
              <w:bottom w:w="120" w:type="dxa"/>
              <w:end w:w="130" w:type="dxa"/>
            </w:tcMar>
            <w:vAlign w:val="center"/>
          </w:tcPr>
          <w:p>
            <w:pPr>
              <w:spacing w:after="0"/>
              <w:jc w:val="left"/>
            </w:pPr>
            <w:r>
              <w:rPr>
                <w:b/>
                <w:color w:val="FFFFFF"/>
                <w:sz w:val="18"/>
              </w:rPr>
              <w:t>Main components</w:t>
            </w:r>
          </w:p>
        </w:tc>
        <w:tc>
          <w:tcPr>
            <w:tcW w:type="dxa" w:w="4680"/>
            <w:shd w:fill="17365D"/>
            <w:tcMar>
              <w:top w:w="120" w:type="dxa"/>
              <w:start w:w="130" w:type="dxa"/>
              <w:bottom w:w="120" w:type="dxa"/>
              <w:end w:w="130" w:type="dxa"/>
            </w:tcMar>
            <w:vAlign w:val="center"/>
          </w:tcPr>
          <w:p>
            <w:pPr>
              <w:spacing w:after="0"/>
              <w:jc w:val="left"/>
            </w:pPr>
            <w:r>
              <w:rPr>
                <w:b/>
                <w:color w:val="FFFFFF"/>
                <w:sz w:val="18"/>
              </w:rPr>
              <w:t>Responsibility</w:t>
            </w:r>
          </w:p>
        </w:tc>
      </w:tr>
      <w:tr>
        <w:trPr>
          <w:cantSplit w:val="true"/>
        </w:trPr>
        <w:tc>
          <w:tcPr>
            <w:tcW w:type="dxa" w:w="1512"/>
            <w:tcMar>
              <w:top w:w="110" w:type="dxa"/>
              <w:start w:w="130" w:type="dxa"/>
              <w:bottom w:w="110" w:type="dxa"/>
              <w:end w:w="130" w:type="dxa"/>
            </w:tcMar>
            <w:vAlign w:val="center"/>
          </w:tcPr>
          <w:p>
            <w:pPr>
              <w:spacing w:after="0" w:line="252" w:lineRule="auto"/>
            </w:pPr>
            <w:r>
              <w:rPr>
                <w:sz w:val="18"/>
              </w:rPr>
              <w:t>Experience</w:t>
            </w:r>
          </w:p>
        </w:tc>
        <w:tc>
          <w:tcPr>
            <w:tcW w:type="dxa" w:w="3671"/>
            <w:tcMar>
              <w:top w:w="110" w:type="dxa"/>
              <w:start w:w="130" w:type="dxa"/>
              <w:bottom w:w="110" w:type="dxa"/>
              <w:end w:w="130" w:type="dxa"/>
            </w:tcMar>
            <w:vAlign w:val="center"/>
          </w:tcPr>
          <w:p>
            <w:pPr>
              <w:spacing w:after="0" w:line="252" w:lineRule="auto"/>
            </w:pPr>
            <w:r>
              <w:rPr>
                <w:sz w:val="18"/>
              </w:rPr>
              <w:t>Next.js web application, interactive map, Ask workflow, CLI</w:t>
            </w:r>
          </w:p>
        </w:tc>
        <w:tc>
          <w:tcPr>
            <w:tcW w:type="dxa" w:w="4680"/>
            <w:tcMar>
              <w:top w:w="110" w:type="dxa"/>
              <w:start w:w="130" w:type="dxa"/>
              <w:bottom w:w="110" w:type="dxa"/>
              <w:end w:w="130" w:type="dxa"/>
            </w:tcMar>
            <w:vAlign w:val="center"/>
          </w:tcPr>
          <w:p>
            <w:pPr>
              <w:spacing w:after="0" w:line="252" w:lineRule="auto"/>
            </w:pPr>
            <w:r>
              <w:rPr>
                <w:sz w:val="18"/>
              </w:rPr>
              <w:t>Collect user intent and present evidence, status, reports, maps, and administration views.</w:t>
            </w:r>
          </w:p>
        </w:tc>
      </w:tr>
      <w:tr>
        <w:trPr>
          <w:cantSplit w:val="true"/>
        </w:trPr>
        <w:tc>
          <w:tcPr>
            <w:tcW w:type="dxa" w:w="1512"/>
            <w:shd w:fill="EAF2F8"/>
            <w:tcMar>
              <w:top w:w="110" w:type="dxa"/>
              <w:start w:w="130" w:type="dxa"/>
              <w:bottom w:w="110" w:type="dxa"/>
              <w:end w:w="130" w:type="dxa"/>
            </w:tcMar>
            <w:vAlign w:val="center"/>
          </w:tcPr>
          <w:p>
            <w:pPr>
              <w:spacing w:after="0" w:line="252" w:lineRule="auto"/>
            </w:pPr>
            <w:r>
              <w:rPr>
                <w:sz w:val="18"/>
              </w:rPr>
              <w:t>Application</w:t>
            </w:r>
          </w:p>
        </w:tc>
        <w:tc>
          <w:tcPr>
            <w:tcW w:type="dxa" w:w="3671"/>
            <w:shd w:fill="EAF2F8"/>
            <w:tcMar>
              <w:top w:w="110" w:type="dxa"/>
              <w:start w:w="130" w:type="dxa"/>
              <w:bottom w:w="110" w:type="dxa"/>
              <w:end w:w="130" w:type="dxa"/>
            </w:tcMar>
            <w:vAlign w:val="center"/>
          </w:tcPr>
          <w:p>
            <w:pPr>
              <w:spacing w:after="0" w:line="252" w:lineRule="auto"/>
            </w:pPr>
            <w:r>
              <w:rPr>
                <w:sz w:val="18"/>
              </w:rPr>
              <w:t>Next.js route handlers and Python HTTP service</w:t>
            </w:r>
          </w:p>
        </w:tc>
        <w:tc>
          <w:tcPr>
            <w:tcW w:type="dxa" w:w="4680"/>
            <w:shd w:fill="EAF2F8"/>
            <w:tcMar>
              <w:top w:w="110" w:type="dxa"/>
              <w:start w:w="130" w:type="dxa"/>
              <w:bottom w:w="110" w:type="dxa"/>
              <w:end w:w="130" w:type="dxa"/>
            </w:tcMar>
            <w:vAlign w:val="center"/>
          </w:tcPr>
          <w:p>
            <w:pPr>
              <w:spacing w:after="0" w:line="252" w:lineRule="auto"/>
            </w:pPr>
            <w:r>
              <w:rPr>
                <w:sz w:val="18"/>
              </w:rPr>
              <w:t>Expose dashboard, source, warning, intelligence, agent, SITREP, Ask, and administration endpoints.</w:t>
            </w:r>
          </w:p>
        </w:tc>
      </w:tr>
      <w:tr>
        <w:trPr>
          <w:cantSplit w:val="true"/>
        </w:trPr>
        <w:tc>
          <w:tcPr>
            <w:tcW w:type="dxa" w:w="1512"/>
            <w:tcMar>
              <w:top w:w="110" w:type="dxa"/>
              <w:start w:w="130" w:type="dxa"/>
              <w:bottom w:w="110" w:type="dxa"/>
              <w:end w:w="130" w:type="dxa"/>
            </w:tcMar>
            <w:vAlign w:val="center"/>
          </w:tcPr>
          <w:p>
            <w:pPr>
              <w:spacing w:after="0" w:line="252" w:lineRule="auto"/>
            </w:pPr>
            <w:r>
              <w:rPr>
                <w:sz w:val="18"/>
              </w:rPr>
              <w:t>Coordination</w:t>
            </w:r>
          </w:p>
        </w:tc>
        <w:tc>
          <w:tcPr>
            <w:tcW w:type="dxa" w:w="3671"/>
            <w:tcMar>
              <w:top w:w="110" w:type="dxa"/>
              <w:start w:w="130" w:type="dxa"/>
              <w:bottom w:w="110" w:type="dxa"/>
              <w:end w:w="130" w:type="dxa"/>
            </w:tcMar>
            <w:vAlign w:val="center"/>
          </w:tcPr>
          <w:p>
            <w:pPr>
              <w:spacing w:after="0" w:line="252" w:lineRule="auto"/>
            </w:pPr>
            <w:r>
              <w:rPr>
                <w:sz w:val="18"/>
              </w:rPr>
              <w:t>Query router, token budget, parallel specialist runner, Sarathi Central</w:t>
            </w:r>
          </w:p>
        </w:tc>
        <w:tc>
          <w:tcPr>
            <w:tcW w:type="dxa" w:w="4680"/>
            <w:tcMar>
              <w:top w:w="110" w:type="dxa"/>
              <w:start w:w="130" w:type="dxa"/>
              <w:bottom w:w="110" w:type="dxa"/>
              <w:end w:w="130" w:type="dxa"/>
            </w:tcMar>
            <w:vAlign w:val="center"/>
          </w:tcPr>
          <w:p>
            <w:pPr>
              <w:spacing w:after="0" w:line="252" w:lineRule="auto"/>
            </w:pPr>
            <w:r>
              <w:rPr>
                <w:sz w:val="18"/>
              </w:rPr>
              <w:t>Choose work, enforce budgets, coordinate results, and produce one evidence-bounded answer.</w:t>
            </w:r>
          </w:p>
        </w:tc>
      </w:tr>
      <w:tr>
        <w:trPr>
          <w:cantSplit w:val="true"/>
        </w:trPr>
        <w:tc>
          <w:tcPr>
            <w:tcW w:type="dxa" w:w="1512"/>
            <w:shd w:fill="EAF2F8"/>
            <w:tcMar>
              <w:top w:w="110" w:type="dxa"/>
              <w:start w:w="130" w:type="dxa"/>
              <w:bottom w:w="110" w:type="dxa"/>
              <w:end w:w="130" w:type="dxa"/>
            </w:tcMar>
            <w:vAlign w:val="center"/>
          </w:tcPr>
          <w:p>
            <w:pPr>
              <w:spacing w:after="0" w:line="252" w:lineRule="auto"/>
            </w:pPr>
            <w:r>
              <w:rPr>
                <w:sz w:val="18"/>
              </w:rPr>
              <w:t>Evidence</w:t>
            </w:r>
          </w:p>
        </w:tc>
        <w:tc>
          <w:tcPr>
            <w:tcW w:type="dxa" w:w="3671"/>
            <w:shd w:fill="EAF2F8"/>
            <w:tcMar>
              <w:top w:w="110" w:type="dxa"/>
              <w:start w:w="130" w:type="dxa"/>
              <w:bottom w:w="110" w:type="dxa"/>
              <w:end w:w="130" w:type="dxa"/>
            </w:tcMar>
            <w:vAlign w:val="center"/>
          </w:tcPr>
          <w:p>
            <w:pPr>
              <w:spacing w:after="0" w:line="252" w:lineRule="auto"/>
            </w:pPr>
            <w:r>
              <w:rPr>
                <w:sz w:val="18"/>
              </w:rPr>
              <w:t>Weather, climate, news, seismic, and natural-event adapters</w:t>
            </w:r>
          </w:p>
        </w:tc>
        <w:tc>
          <w:tcPr>
            <w:tcW w:type="dxa" w:w="4680"/>
            <w:shd w:fill="EAF2F8"/>
            <w:tcMar>
              <w:top w:w="110" w:type="dxa"/>
              <w:start w:w="130" w:type="dxa"/>
              <w:bottom w:w="110" w:type="dxa"/>
              <w:end w:w="130" w:type="dxa"/>
            </w:tcMar>
            <w:vAlign w:val="center"/>
          </w:tcPr>
          <w:p>
            <w:pPr>
              <w:spacing w:after="0" w:line="252" w:lineRule="auto"/>
            </w:pPr>
            <w:r>
              <w:rPr>
                <w:sz w:val="18"/>
              </w:rPr>
              <w:t>Fetch, validate, normalize, attribute, and report source health.</w:t>
            </w:r>
          </w:p>
        </w:tc>
      </w:tr>
      <w:tr>
        <w:trPr>
          <w:cantSplit w:val="true"/>
        </w:trPr>
        <w:tc>
          <w:tcPr>
            <w:tcW w:type="dxa" w:w="1512"/>
            <w:tcMar>
              <w:top w:w="110" w:type="dxa"/>
              <w:start w:w="130" w:type="dxa"/>
              <w:bottom w:w="110" w:type="dxa"/>
              <w:end w:w="130" w:type="dxa"/>
            </w:tcMar>
            <w:vAlign w:val="center"/>
          </w:tcPr>
          <w:p>
            <w:pPr>
              <w:spacing w:after="0" w:line="252" w:lineRule="auto"/>
            </w:pPr>
            <w:r>
              <w:rPr>
                <w:sz w:val="18"/>
              </w:rPr>
              <w:t>Persistence</w:t>
            </w:r>
          </w:p>
        </w:tc>
        <w:tc>
          <w:tcPr>
            <w:tcW w:type="dxa" w:w="3671"/>
            <w:tcMar>
              <w:top w:w="110" w:type="dxa"/>
              <w:start w:w="130" w:type="dxa"/>
              <w:bottom w:w="110" w:type="dxa"/>
              <w:end w:w="130" w:type="dxa"/>
            </w:tcMar>
            <w:vAlign w:val="center"/>
          </w:tcPr>
          <w:p>
            <w:pPr>
              <w:spacing w:after="0" w:line="252" w:lineRule="auto"/>
            </w:pPr>
            <w:r>
              <w:rPr>
                <w:sz w:val="18"/>
              </w:rPr>
              <w:t>SQLite cache and outbox, Supabase PostgreSQL and Realtime</w:t>
            </w:r>
          </w:p>
        </w:tc>
        <w:tc>
          <w:tcPr>
            <w:tcW w:type="dxa" w:w="4680"/>
            <w:tcMar>
              <w:top w:w="110" w:type="dxa"/>
              <w:start w:w="130" w:type="dxa"/>
              <w:bottom w:w="110" w:type="dxa"/>
              <w:end w:w="130" w:type="dxa"/>
            </w:tcMar>
            <w:vAlign w:val="center"/>
          </w:tcPr>
          <w:p>
            <w:pPr>
              <w:spacing w:after="0" w:line="252" w:lineRule="auto"/>
            </w:pPr>
            <w:r>
              <w:rPr>
                <w:sz w:val="18"/>
              </w:rPr>
              <w:t>Store runs, snapshots, outputs, local cache, and deferred cloud writes.</w:t>
            </w:r>
          </w:p>
        </w:tc>
      </w:tr>
      <w:tr>
        <w:trPr>
          <w:cantSplit w:val="true"/>
        </w:trPr>
        <w:tc>
          <w:tcPr>
            <w:tcW w:type="dxa" w:w="1512"/>
            <w:shd w:fill="EAF2F8"/>
            <w:tcMar>
              <w:top w:w="110" w:type="dxa"/>
              <w:start w:w="130" w:type="dxa"/>
              <w:bottom w:w="110" w:type="dxa"/>
              <w:end w:w="130" w:type="dxa"/>
            </w:tcMar>
            <w:vAlign w:val="center"/>
          </w:tcPr>
          <w:p>
            <w:pPr>
              <w:spacing w:after="0" w:line="252" w:lineRule="auto"/>
            </w:pPr>
            <w:r>
              <w:rPr>
                <w:sz w:val="18"/>
              </w:rPr>
              <w:t>Security</w:t>
            </w:r>
          </w:p>
        </w:tc>
        <w:tc>
          <w:tcPr>
            <w:tcW w:type="dxa" w:w="3671"/>
            <w:shd w:fill="EAF2F8"/>
            <w:tcMar>
              <w:top w:w="110" w:type="dxa"/>
              <w:start w:w="130" w:type="dxa"/>
              <w:bottom w:w="110" w:type="dxa"/>
              <w:end w:w="130" w:type="dxa"/>
            </w:tcMar>
            <w:vAlign w:val="center"/>
          </w:tcPr>
          <w:p>
            <w:pPr>
              <w:spacing w:after="0" w:line="252" w:lineRule="auto"/>
            </w:pPr>
            <w:r>
              <w:rPr>
                <w:sz w:val="18"/>
              </w:rPr>
              <w:t>Supabase Auth, Row Level Security, Turnstile, server-side secrets</w:t>
            </w:r>
          </w:p>
        </w:tc>
        <w:tc>
          <w:tcPr>
            <w:tcW w:type="dxa" w:w="4680"/>
            <w:shd w:fill="EAF2F8"/>
            <w:tcMar>
              <w:top w:w="110" w:type="dxa"/>
              <w:start w:w="130" w:type="dxa"/>
              <w:bottom w:w="110" w:type="dxa"/>
              <w:end w:w="130" w:type="dxa"/>
            </w:tcMar>
            <w:vAlign w:val="center"/>
          </w:tcPr>
          <w:p>
            <w:pPr>
              <w:spacing w:after="0" w:line="252" w:lineRule="auto"/>
            </w:pPr>
            <w:r>
              <w:rPr>
                <w:sz w:val="18"/>
              </w:rPr>
              <w:t>Protect accounts and operator records while keeping approved public snapshots readable.</w:t>
            </w:r>
          </w:p>
        </w:tc>
      </w:tr>
    </w:tbl>
    <w:p>
      <w:pPr>
        <w:spacing w:after="40"/>
      </w:pPr>
    </w:p>
    <w:p>
      <w:pPr>
        <w:pStyle w:val="Heading2"/>
        <w:keepNext/>
      </w:pPr>
      <w:r>
        <w:t>End to End Request Flow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val="true"/>
        </w:trPr>
        <w:tc>
          <w:tcPr>
            <w:tcW w:type="dxa" w:w="792"/>
            <w:shd w:fill="17365D"/>
            <w:tcMar>
              <w:top w:w="120" w:type="dxa"/>
              <w:start w:w="130" w:type="dxa"/>
              <w:bottom w:w="120" w:type="dxa"/>
              <w:end w:w="130" w:type="dxa"/>
            </w:tcMar>
            <w:vAlign w:val="center"/>
          </w:tcPr>
          <w:p>
            <w:pPr>
              <w:spacing w:after="0"/>
              <w:jc w:val="left"/>
            </w:pPr>
            <w:r>
              <w:rPr>
                <w:b/>
                <w:color w:val="FFFFFF"/>
                <w:sz w:val="18"/>
              </w:rPr>
              <w:t>Step</w:t>
            </w:r>
          </w:p>
        </w:tc>
        <w:tc>
          <w:tcPr>
            <w:tcW w:type="dxa" w:w="1800"/>
            <w:shd w:fill="17365D"/>
            <w:tcMar>
              <w:top w:w="120" w:type="dxa"/>
              <w:start w:w="130" w:type="dxa"/>
              <w:bottom w:w="120" w:type="dxa"/>
              <w:end w:w="130" w:type="dxa"/>
            </w:tcMar>
            <w:vAlign w:val="center"/>
          </w:tcPr>
          <w:p>
            <w:pPr>
              <w:spacing w:after="0"/>
              <w:jc w:val="left"/>
            </w:pPr>
            <w:r>
              <w:rPr>
                <w:b/>
                <w:color w:val="FFFFFF"/>
                <w:sz w:val="18"/>
              </w:rPr>
              <w:t>Stage</w:t>
            </w:r>
          </w:p>
        </w:tc>
        <w:tc>
          <w:tcPr>
            <w:tcW w:type="dxa" w:w="7272"/>
            <w:shd w:fill="17365D"/>
            <w:tcMar>
              <w:top w:w="120" w:type="dxa"/>
              <w:start w:w="130" w:type="dxa"/>
              <w:bottom w:w="120" w:type="dxa"/>
              <w:end w:w="130" w:type="dxa"/>
            </w:tcMar>
            <w:vAlign w:val="center"/>
          </w:tcPr>
          <w:p>
            <w:pPr>
              <w:spacing w:after="0"/>
              <w:jc w:val="left"/>
            </w:pPr>
            <w:r>
              <w:rPr>
                <w:b/>
                <w:color w:val="FFFFFF"/>
                <w:sz w:val="18"/>
              </w:rPr>
              <w:t>Result</w:t>
            </w:r>
          </w:p>
        </w:tc>
      </w:tr>
      <w:tr>
        <w:trPr>
          <w:cantSplit w:val="true"/>
        </w:trPr>
        <w:tc>
          <w:tcPr>
            <w:tcW w:type="dxa" w:w="792"/>
            <w:tcMar>
              <w:top w:w="110" w:type="dxa"/>
              <w:start w:w="130" w:type="dxa"/>
              <w:bottom w:w="110" w:type="dxa"/>
              <w:end w:w="130" w:type="dxa"/>
            </w:tcMar>
            <w:vAlign w:val="center"/>
          </w:tcPr>
          <w:p>
            <w:pPr>
              <w:spacing w:after="0" w:line="252" w:lineRule="auto"/>
            </w:pPr>
            <w:r>
              <w:rPr>
                <w:sz w:val="18"/>
              </w:rPr>
              <w:t>1</w:t>
            </w:r>
          </w:p>
        </w:tc>
        <w:tc>
          <w:tcPr>
            <w:tcW w:type="dxa" w:w="1800"/>
            <w:tcMar>
              <w:top w:w="110" w:type="dxa"/>
              <w:start w:w="130" w:type="dxa"/>
              <w:bottom w:w="110" w:type="dxa"/>
              <w:end w:w="130" w:type="dxa"/>
            </w:tcMar>
            <w:vAlign w:val="center"/>
          </w:tcPr>
          <w:p>
            <w:pPr>
              <w:spacing w:after="0" w:line="252" w:lineRule="auto"/>
            </w:pPr>
            <w:r>
              <w:rPr>
                <w:sz w:val="18"/>
              </w:rPr>
              <w:t>Route</w:t>
            </w:r>
          </w:p>
        </w:tc>
        <w:tc>
          <w:tcPr>
            <w:tcW w:type="dxa" w:w="7272"/>
            <w:tcMar>
              <w:top w:w="110" w:type="dxa"/>
              <w:start w:w="130" w:type="dxa"/>
              <w:bottom w:w="110" w:type="dxa"/>
              <w:end w:w="130" w:type="dxa"/>
            </w:tcMar>
            <w:vAlign w:val="center"/>
          </w:tcPr>
          <w:p>
            <w:pPr>
              <w:spacing w:after="0" w:line="252" w:lineRule="auto"/>
            </w:pPr>
            <w:r>
              <w:rPr>
                <w:sz w:val="18"/>
              </w:rPr>
              <w:t>Classify the question as narrow or broad and select the necessary sources and specialists.</w:t>
            </w:r>
          </w:p>
        </w:tc>
      </w:tr>
      <w:tr>
        <w:trPr>
          <w:cantSplit w:val="true"/>
        </w:trPr>
        <w:tc>
          <w:tcPr>
            <w:tcW w:type="dxa" w:w="792"/>
            <w:shd w:fill="EAF2F8"/>
            <w:tcMar>
              <w:top w:w="110" w:type="dxa"/>
              <w:start w:w="130" w:type="dxa"/>
              <w:bottom w:w="110" w:type="dxa"/>
              <w:end w:w="130" w:type="dxa"/>
            </w:tcMar>
            <w:vAlign w:val="center"/>
          </w:tcPr>
          <w:p>
            <w:pPr>
              <w:spacing w:after="0" w:line="252" w:lineRule="auto"/>
            </w:pPr>
            <w:r>
              <w:rPr>
                <w:sz w:val="18"/>
              </w:rPr>
              <w:t>2</w:t>
            </w:r>
          </w:p>
        </w:tc>
        <w:tc>
          <w:tcPr>
            <w:tcW w:type="dxa" w:w="1800"/>
            <w:shd w:fill="EAF2F8"/>
            <w:tcMar>
              <w:top w:w="110" w:type="dxa"/>
              <w:start w:w="130" w:type="dxa"/>
              <w:bottom w:w="110" w:type="dxa"/>
              <w:end w:w="130" w:type="dxa"/>
            </w:tcMar>
            <w:vAlign w:val="center"/>
          </w:tcPr>
          <w:p>
            <w:pPr>
              <w:spacing w:after="0" w:line="252" w:lineRule="auto"/>
            </w:pPr>
            <w:r>
              <w:rPr>
                <w:sz w:val="18"/>
              </w:rPr>
              <w:t>Collect</w:t>
            </w:r>
          </w:p>
        </w:tc>
        <w:tc>
          <w:tcPr>
            <w:tcW w:type="dxa" w:w="7272"/>
            <w:shd w:fill="EAF2F8"/>
            <w:tcMar>
              <w:top w:w="110" w:type="dxa"/>
              <w:start w:w="130" w:type="dxa"/>
              <w:bottom w:w="110" w:type="dxa"/>
              <w:end w:w="130" w:type="dxa"/>
            </w:tcMar>
            <w:vAlign w:val="center"/>
          </w:tcPr>
          <w:p>
            <w:pPr>
              <w:spacing w:after="0" w:line="252" w:lineRule="auto"/>
            </w:pPr>
            <w:r>
              <w:rPr>
                <w:sz w:val="18"/>
              </w:rPr>
              <w:t>Fetch relevant providers concurrently, validate payload shape, and record source health.</w:t>
            </w:r>
          </w:p>
        </w:tc>
      </w:tr>
      <w:tr>
        <w:trPr>
          <w:cantSplit w:val="true"/>
        </w:trPr>
        <w:tc>
          <w:tcPr>
            <w:tcW w:type="dxa" w:w="792"/>
            <w:tcMar>
              <w:top w:w="110" w:type="dxa"/>
              <w:start w:w="130" w:type="dxa"/>
              <w:bottom w:w="110" w:type="dxa"/>
              <w:end w:w="130" w:type="dxa"/>
            </w:tcMar>
            <w:vAlign w:val="center"/>
          </w:tcPr>
          <w:p>
            <w:pPr>
              <w:spacing w:after="0" w:line="252" w:lineRule="auto"/>
            </w:pPr>
            <w:r>
              <w:rPr>
                <w:sz w:val="18"/>
              </w:rPr>
              <w:t>3</w:t>
            </w:r>
          </w:p>
        </w:tc>
        <w:tc>
          <w:tcPr>
            <w:tcW w:type="dxa" w:w="1800"/>
            <w:tcMar>
              <w:top w:w="110" w:type="dxa"/>
              <w:start w:w="130" w:type="dxa"/>
              <w:bottom w:w="110" w:type="dxa"/>
              <w:end w:w="130" w:type="dxa"/>
            </w:tcMar>
            <w:vAlign w:val="center"/>
          </w:tcPr>
          <w:p>
            <w:pPr>
              <w:spacing w:after="0" w:line="252" w:lineRule="auto"/>
            </w:pPr>
            <w:r>
              <w:rPr>
                <w:sz w:val="18"/>
              </w:rPr>
              <w:t>Analyze</w:t>
            </w:r>
          </w:p>
        </w:tc>
        <w:tc>
          <w:tcPr>
            <w:tcW w:type="dxa" w:w="7272"/>
            <w:tcMar>
              <w:top w:w="110" w:type="dxa"/>
              <w:start w:w="130" w:type="dxa"/>
              <w:bottom w:w="110" w:type="dxa"/>
              <w:end w:w="130" w:type="dxa"/>
            </w:tcMar>
            <w:vAlign w:val="center"/>
          </w:tcPr>
          <w:p>
            <w:pPr>
              <w:spacing w:after="0" w:line="252" w:lineRule="auto"/>
            </w:pPr>
            <w:r>
              <w:rPr>
                <w:sz w:val="18"/>
              </w:rPr>
              <w:t>Run specialist evidence reports in parallel; model use depends on the selected AI strategy.</w:t>
            </w:r>
          </w:p>
        </w:tc>
      </w:tr>
      <w:tr>
        <w:trPr>
          <w:cantSplit w:val="true"/>
        </w:trPr>
        <w:tc>
          <w:tcPr>
            <w:tcW w:type="dxa" w:w="792"/>
            <w:shd w:fill="EAF2F8"/>
            <w:tcMar>
              <w:top w:w="110" w:type="dxa"/>
              <w:start w:w="130" w:type="dxa"/>
              <w:bottom w:w="110" w:type="dxa"/>
              <w:end w:w="130" w:type="dxa"/>
            </w:tcMar>
            <w:vAlign w:val="center"/>
          </w:tcPr>
          <w:p>
            <w:pPr>
              <w:spacing w:after="0" w:line="252" w:lineRule="auto"/>
            </w:pPr>
            <w:r>
              <w:rPr>
                <w:sz w:val="18"/>
              </w:rPr>
              <w:t>4</w:t>
            </w:r>
          </w:p>
        </w:tc>
        <w:tc>
          <w:tcPr>
            <w:tcW w:type="dxa" w:w="1800"/>
            <w:shd w:fill="EAF2F8"/>
            <w:tcMar>
              <w:top w:w="110" w:type="dxa"/>
              <w:start w:w="130" w:type="dxa"/>
              <w:bottom w:w="110" w:type="dxa"/>
              <w:end w:w="130" w:type="dxa"/>
            </w:tcMar>
            <w:vAlign w:val="center"/>
          </w:tcPr>
          <w:p>
            <w:pPr>
              <w:spacing w:after="0" w:line="252" w:lineRule="auto"/>
            </w:pPr>
            <w:r>
              <w:rPr>
                <w:sz w:val="18"/>
              </w:rPr>
              <w:t>Verify boundaries</w:t>
            </w:r>
          </w:p>
        </w:tc>
        <w:tc>
          <w:tcPr>
            <w:tcW w:type="dxa" w:w="7272"/>
            <w:shd w:fill="EAF2F8"/>
            <w:tcMar>
              <w:top w:w="110" w:type="dxa"/>
              <w:start w:w="130" w:type="dxa"/>
              <w:bottom w:w="110" w:type="dxa"/>
              <w:end w:w="130" w:type="dxa"/>
            </w:tcMar>
            <w:vAlign w:val="center"/>
          </w:tcPr>
          <w:p>
            <w:pPr>
              <w:spacing w:after="0" w:line="252" w:lineRule="auto"/>
            </w:pPr>
            <w:r>
              <w:rPr>
                <w:sz w:val="18"/>
              </w:rPr>
              <w:t>Preserve source attribution, outages, cache age, uncertainty, and prohibited claims.</w:t>
            </w:r>
          </w:p>
        </w:tc>
      </w:tr>
      <w:tr>
        <w:trPr>
          <w:cantSplit w:val="true"/>
        </w:trPr>
        <w:tc>
          <w:tcPr>
            <w:tcW w:type="dxa" w:w="792"/>
            <w:tcMar>
              <w:top w:w="110" w:type="dxa"/>
              <w:start w:w="130" w:type="dxa"/>
              <w:bottom w:w="110" w:type="dxa"/>
              <w:end w:w="130" w:type="dxa"/>
            </w:tcMar>
            <w:vAlign w:val="center"/>
          </w:tcPr>
          <w:p>
            <w:pPr>
              <w:spacing w:after="0" w:line="252" w:lineRule="auto"/>
            </w:pPr>
            <w:r>
              <w:rPr>
                <w:sz w:val="18"/>
              </w:rPr>
              <w:t>5</w:t>
            </w:r>
          </w:p>
        </w:tc>
        <w:tc>
          <w:tcPr>
            <w:tcW w:type="dxa" w:w="1800"/>
            <w:tcMar>
              <w:top w:w="110" w:type="dxa"/>
              <w:start w:w="130" w:type="dxa"/>
              <w:bottom w:w="110" w:type="dxa"/>
              <w:end w:w="130" w:type="dxa"/>
            </w:tcMar>
            <w:vAlign w:val="center"/>
          </w:tcPr>
          <w:p>
            <w:pPr>
              <w:spacing w:after="0" w:line="252" w:lineRule="auto"/>
            </w:pPr>
            <w:r>
              <w:rPr>
                <w:sz w:val="18"/>
              </w:rPr>
              <w:t>Synthesize</w:t>
            </w:r>
          </w:p>
        </w:tc>
        <w:tc>
          <w:tcPr>
            <w:tcW w:type="dxa" w:w="7272"/>
            <w:tcMar>
              <w:top w:w="110" w:type="dxa"/>
              <w:start w:w="130" w:type="dxa"/>
              <w:bottom w:w="110" w:type="dxa"/>
              <w:end w:w="130" w:type="dxa"/>
            </w:tcMar>
            <w:vAlign w:val="center"/>
          </w:tcPr>
          <w:p>
            <w:pPr>
              <w:spacing w:after="0" w:line="252" w:lineRule="auto"/>
            </w:pPr>
            <w:r>
              <w:rPr>
                <w:sz w:val="18"/>
              </w:rPr>
              <w:t>Use at most the allowed model calls and reserve context for the central answer.</w:t>
            </w:r>
          </w:p>
        </w:tc>
      </w:tr>
      <w:tr>
        <w:trPr>
          <w:cantSplit w:val="true"/>
        </w:trPr>
        <w:tc>
          <w:tcPr>
            <w:tcW w:type="dxa" w:w="792"/>
            <w:shd w:fill="EAF2F8"/>
            <w:tcMar>
              <w:top w:w="110" w:type="dxa"/>
              <w:start w:w="130" w:type="dxa"/>
              <w:bottom w:w="110" w:type="dxa"/>
              <w:end w:w="130" w:type="dxa"/>
            </w:tcMar>
            <w:vAlign w:val="center"/>
          </w:tcPr>
          <w:p>
            <w:pPr>
              <w:spacing w:after="0" w:line="252" w:lineRule="auto"/>
            </w:pPr>
            <w:r>
              <w:rPr>
                <w:sz w:val="18"/>
              </w:rPr>
              <w:t>6</w:t>
            </w:r>
          </w:p>
        </w:tc>
        <w:tc>
          <w:tcPr>
            <w:tcW w:type="dxa" w:w="1800"/>
            <w:shd w:fill="EAF2F8"/>
            <w:tcMar>
              <w:top w:w="110" w:type="dxa"/>
              <w:start w:w="130" w:type="dxa"/>
              <w:bottom w:w="110" w:type="dxa"/>
              <w:end w:w="130" w:type="dxa"/>
            </w:tcMar>
            <w:vAlign w:val="center"/>
          </w:tcPr>
          <w:p>
            <w:pPr>
              <w:spacing w:after="0" w:line="252" w:lineRule="auto"/>
            </w:pPr>
            <w:r>
              <w:rPr>
                <w:sz w:val="18"/>
              </w:rPr>
              <w:t>Persist and present</w:t>
            </w:r>
          </w:p>
        </w:tc>
        <w:tc>
          <w:tcPr>
            <w:tcW w:type="dxa" w:w="7272"/>
            <w:shd w:fill="EAF2F8"/>
            <w:tcMar>
              <w:top w:w="110" w:type="dxa"/>
              <w:start w:w="130" w:type="dxa"/>
              <w:bottom w:w="110" w:type="dxa"/>
              <w:end w:w="130" w:type="dxa"/>
            </w:tcMar>
            <w:vAlign w:val="center"/>
          </w:tcPr>
          <w:p>
            <w:pPr>
              <w:spacing w:after="0" w:line="252" w:lineRule="auto"/>
            </w:pPr>
            <w:r>
              <w:rPr>
                <w:sz w:val="18"/>
              </w:rPr>
              <w:t>Save the run and metrics, synchronize to Supabase when configured, and render the answer and trace.</w:t>
            </w:r>
          </w:p>
        </w:tc>
      </w:tr>
    </w:tbl>
    <w:p>
      <w:pPr>
        <w:spacing w:after="40"/>
      </w:pPr>
    </w:p>
    <w:p>
      <w:pPr>
        <w:pStyle w:val="Heading2"/>
        <w:keepNext/>
      </w:pPr>
      <w:r>
        <w:t>Agent Model</w:t>
      </w:r>
    </w:p>
    <w:p>
      <w:pPr>
        <w:spacing w:after="160"/>
      </w:pPr>
      <w:r>
        <w:t>The primary Python backend defines five current specialists: Weather Intelligence, Climate Context, News Management, Seismic Intelligence, and Natural Events. Broad briefing requests select the team; narrow questions select only matching specialists. The default central-only strategy performs local evidence extraction in the specialists and allows one central model call. Full mode enables specialist model calls, while off mode produces an evidence-only report.</w:t>
      </w:r>
    </w:p>
    <w:p>
      <w:pPr>
        <w:pStyle w:val="Heading1"/>
        <w:keepNext/>
        <w:pageBreakBefore/>
      </w:pPr>
      <w:r>
        <w:t>Technology Stack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val="true"/>
        </w:trPr>
        <w:tc>
          <w:tcPr>
            <w:tcW w:type="dxa" w:w="1728"/>
            <w:shd w:fill="17365D"/>
            <w:tcMar>
              <w:top w:w="120" w:type="dxa"/>
              <w:start w:w="130" w:type="dxa"/>
              <w:bottom w:w="120" w:type="dxa"/>
              <w:end w:w="130" w:type="dxa"/>
            </w:tcMar>
            <w:vAlign w:val="center"/>
          </w:tcPr>
          <w:p>
            <w:pPr>
              <w:spacing w:after="0"/>
              <w:jc w:val="left"/>
            </w:pPr>
            <w:r>
              <w:rPr>
                <w:b/>
                <w:color w:val="FFFFFF"/>
                <w:sz w:val="17"/>
              </w:rPr>
              <w:t>Area</w:t>
            </w:r>
          </w:p>
        </w:tc>
        <w:tc>
          <w:tcPr>
            <w:tcW w:type="dxa" w:w="3168"/>
            <w:shd w:fill="17365D"/>
            <w:tcMar>
              <w:top w:w="120" w:type="dxa"/>
              <w:start w:w="130" w:type="dxa"/>
              <w:bottom w:w="120" w:type="dxa"/>
              <w:end w:w="130" w:type="dxa"/>
            </w:tcMar>
            <w:vAlign w:val="center"/>
          </w:tcPr>
          <w:p>
            <w:pPr>
              <w:spacing w:after="0"/>
              <w:jc w:val="left"/>
            </w:pPr>
            <w:r>
              <w:rPr>
                <w:b/>
                <w:color w:val="FFFFFF"/>
                <w:sz w:val="17"/>
              </w:rPr>
              <w:t>Technology</w:t>
            </w:r>
          </w:p>
        </w:tc>
        <w:tc>
          <w:tcPr>
            <w:tcW w:type="dxa" w:w="4968"/>
            <w:shd w:fill="17365D"/>
            <w:tcMar>
              <w:top w:w="120" w:type="dxa"/>
              <w:start w:w="130" w:type="dxa"/>
              <w:bottom w:w="120" w:type="dxa"/>
              <w:end w:w="130" w:type="dxa"/>
            </w:tcMar>
            <w:vAlign w:val="center"/>
          </w:tcPr>
          <w:p>
            <w:pPr>
              <w:spacing w:after="0"/>
              <w:jc w:val="left"/>
            </w:pPr>
            <w:r>
              <w:rPr>
                <w:b/>
                <w:color w:val="FFFFFF"/>
                <w:sz w:val="17"/>
              </w:rPr>
              <w:t>Use in Sarathi</w:t>
            </w:r>
          </w:p>
        </w:tc>
      </w:tr>
      <w:tr>
        <w:trPr>
          <w:cantSplit w:val="true"/>
        </w:trPr>
        <w:tc>
          <w:tcPr>
            <w:tcW w:type="dxa" w:w="1728"/>
            <w:tcMar>
              <w:top w:w="110" w:type="dxa"/>
              <w:start w:w="130" w:type="dxa"/>
              <w:bottom w:w="110" w:type="dxa"/>
              <w:end w:w="130" w:type="dxa"/>
            </w:tcMar>
            <w:vAlign w:val="center"/>
          </w:tcPr>
          <w:p>
            <w:pPr>
              <w:spacing w:after="0" w:line="252" w:lineRule="auto"/>
            </w:pPr>
            <w:r>
              <w:rPr>
                <w:sz w:val="17"/>
              </w:rPr>
              <w:t>Web framework</w:t>
            </w:r>
          </w:p>
        </w:tc>
        <w:tc>
          <w:tcPr>
            <w:tcW w:type="dxa" w:w="3168"/>
            <w:tcMar>
              <w:top w:w="110" w:type="dxa"/>
              <w:start w:w="130" w:type="dxa"/>
              <w:bottom w:w="110" w:type="dxa"/>
              <w:end w:w="130" w:type="dxa"/>
            </w:tcMar>
            <w:vAlign w:val="center"/>
          </w:tcPr>
          <w:p>
            <w:pPr>
              <w:spacing w:after="0" w:line="252" w:lineRule="auto"/>
            </w:pPr>
            <w:r>
              <w:rPr>
                <w:sz w:val="17"/>
              </w:rPr>
              <w:t>Next.js 16, React 19, TypeScript 5</w:t>
            </w:r>
          </w:p>
        </w:tc>
        <w:tc>
          <w:tcPr>
            <w:tcW w:type="dxa" w:w="4968"/>
            <w:tcMar>
              <w:top w:w="110" w:type="dxa"/>
              <w:start w:w="130" w:type="dxa"/>
              <w:bottom w:w="110" w:type="dxa"/>
              <w:end w:w="130" w:type="dxa"/>
            </w:tcMar>
            <w:vAlign w:val="center"/>
          </w:tcPr>
          <w:p>
            <w:pPr>
              <w:spacing w:after="0" w:line="252" w:lineRule="auto"/>
            </w:pPr>
            <w:r>
              <w:rPr>
                <w:sz w:val="17"/>
              </w:rPr>
              <w:t>Application routes, server handlers, typed components, and production build.</w:t>
            </w:r>
          </w:p>
        </w:tc>
      </w:tr>
      <w:tr>
        <w:trPr>
          <w:cantSplit w:val="true"/>
        </w:trPr>
        <w:tc>
          <w:tcPr>
            <w:tcW w:type="dxa" w:w="1728"/>
            <w:shd w:fill="EAF2F8"/>
            <w:tcMar>
              <w:top w:w="110" w:type="dxa"/>
              <w:start w:w="130" w:type="dxa"/>
              <w:bottom w:w="110" w:type="dxa"/>
              <w:end w:w="130" w:type="dxa"/>
            </w:tcMar>
            <w:vAlign w:val="center"/>
          </w:tcPr>
          <w:p>
            <w:pPr>
              <w:spacing w:after="0" w:line="252" w:lineRule="auto"/>
            </w:pPr>
            <w:r>
              <w:rPr>
                <w:sz w:val="17"/>
              </w:rPr>
              <w:t>Interface</w:t>
            </w:r>
          </w:p>
        </w:tc>
        <w:tc>
          <w:tcPr>
            <w:tcW w:type="dxa" w:w="3168"/>
            <w:shd w:fill="EAF2F8"/>
            <w:tcMar>
              <w:top w:w="110" w:type="dxa"/>
              <w:start w:w="130" w:type="dxa"/>
              <w:bottom w:w="110" w:type="dxa"/>
              <w:end w:w="130" w:type="dxa"/>
            </w:tcMar>
            <w:vAlign w:val="center"/>
          </w:tcPr>
          <w:p>
            <w:pPr>
              <w:spacing w:after="0" w:line="252" w:lineRule="auto"/>
            </w:pPr>
            <w:r>
              <w:rPr>
                <w:sz w:val="17"/>
              </w:rPr>
              <w:t>Tailwind CSS 4, shadcn, Base UI, Radix UI, Lucide</w:t>
            </w:r>
          </w:p>
        </w:tc>
        <w:tc>
          <w:tcPr>
            <w:tcW w:type="dxa" w:w="4968"/>
            <w:shd w:fill="EAF2F8"/>
            <w:tcMar>
              <w:top w:w="110" w:type="dxa"/>
              <w:start w:w="130" w:type="dxa"/>
              <w:bottom w:w="110" w:type="dxa"/>
              <w:end w:w="130" w:type="dxa"/>
            </w:tcMar>
            <w:vAlign w:val="center"/>
          </w:tcPr>
          <w:p>
            <w:pPr>
              <w:spacing w:after="0" w:line="252" w:lineRule="auto"/>
            </w:pPr>
            <w:r>
              <w:rPr>
                <w:sz w:val="17"/>
              </w:rPr>
              <w:t>Responsive navigation, accessible controls, forms, dialogs, and visual hierarchy.</w:t>
            </w:r>
          </w:p>
        </w:tc>
      </w:tr>
      <w:tr>
        <w:trPr>
          <w:cantSplit w:val="true"/>
        </w:trPr>
        <w:tc>
          <w:tcPr>
            <w:tcW w:type="dxa" w:w="1728"/>
            <w:tcMar>
              <w:top w:w="110" w:type="dxa"/>
              <w:start w:w="130" w:type="dxa"/>
              <w:bottom w:w="110" w:type="dxa"/>
              <w:end w:w="130" w:type="dxa"/>
            </w:tcMar>
            <w:vAlign w:val="center"/>
          </w:tcPr>
          <w:p>
            <w:pPr>
              <w:spacing w:after="0" w:line="252" w:lineRule="auto"/>
            </w:pPr>
            <w:r>
              <w:rPr>
                <w:sz w:val="17"/>
              </w:rPr>
              <w:t>Maps and charts</w:t>
            </w:r>
          </w:p>
        </w:tc>
        <w:tc>
          <w:tcPr>
            <w:tcW w:type="dxa" w:w="3168"/>
            <w:tcMar>
              <w:top w:w="110" w:type="dxa"/>
              <w:start w:w="130" w:type="dxa"/>
              <w:bottom w:w="110" w:type="dxa"/>
              <w:end w:w="130" w:type="dxa"/>
            </w:tcMar>
            <w:vAlign w:val="center"/>
          </w:tcPr>
          <w:p>
            <w:pPr>
              <w:spacing w:after="0" w:line="252" w:lineRule="auto"/>
            </w:pPr>
            <w:r>
              <w:rPr>
                <w:sz w:val="17"/>
              </w:rPr>
              <w:t>Leaflet, OpenStreetMap, Recharts</w:t>
            </w:r>
          </w:p>
        </w:tc>
        <w:tc>
          <w:tcPr>
            <w:tcW w:type="dxa" w:w="4968"/>
            <w:tcMar>
              <w:top w:w="110" w:type="dxa"/>
              <w:start w:w="130" w:type="dxa"/>
              <w:bottom w:w="110" w:type="dxa"/>
              <w:end w:w="130" w:type="dxa"/>
            </w:tcMar>
            <w:vAlign w:val="center"/>
          </w:tcPr>
          <w:p>
            <w:pPr>
              <w:spacing w:after="0" w:line="252" w:lineRule="auto"/>
            </w:pPr>
            <w:r>
              <w:rPr>
                <w:sz w:val="17"/>
              </w:rPr>
              <w:t>Hazard/event maps, map interaction, weather trends, and operational visualizations.</w:t>
            </w:r>
          </w:p>
        </w:tc>
      </w:tr>
      <w:tr>
        <w:trPr>
          <w:cantSplit w:val="true"/>
        </w:trPr>
        <w:tc>
          <w:tcPr>
            <w:tcW w:type="dxa" w:w="1728"/>
            <w:shd w:fill="EAF2F8"/>
            <w:tcMar>
              <w:top w:w="110" w:type="dxa"/>
              <w:start w:w="130" w:type="dxa"/>
              <w:bottom w:w="110" w:type="dxa"/>
              <w:end w:w="130" w:type="dxa"/>
            </w:tcMar>
            <w:vAlign w:val="center"/>
          </w:tcPr>
          <w:p>
            <w:pPr>
              <w:spacing w:after="0" w:line="252" w:lineRule="auto"/>
            </w:pPr>
            <w:r>
              <w:rPr>
                <w:sz w:val="17"/>
              </w:rPr>
              <w:t>Backend</w:t>
            </w:r>
          </w:p>
        </w:tc>
        <w:tc>
          <w:tcPr>
            <w:tcW w:type="dxa" w:w="3168"/>
            <w:shd w:fill="EAF2F8"/>
            <w:tcMar>
              <w:top w:w="110" w:type="dxa"/>
              <w:start w:w="130" w:type="dxa"/>
              <w:bottom w:w="110" w:type="dxa"/>
              <w:end w:w="130" w:type="dxa"/>
            </w:tcMar>
            <w:vAlign w:val="center"/>
          </w:tcPr>
          <w:p>
            <w:pPr>
              <w:spacing w:after="0" w:line="252" w:lineRule="auto"/>
            </w:pPr>
            <w:r>
              <w:rPr>
                <w:sz w:val="17"/>
              </w:rPr>
              <w:t>Python 3.10+ standard library</w:t>
            </w:r>
          </w:p>
        </w:tc>
        <w:tc>
          <w:tcPr>
            <w:tcW w:type="dxa" w:w="4968"/>
            <w:shd w:fill="EAF2F8"/>
            <w:tcMar>
              <w:top w:w="110" w:type="dxa"/>
              <w:start w:w="130" w:type="dxa"/>
              <w:bottom w:w="110" w:type="dxa"/>
              <w:end w:w="130" w:type="dxa"/>
            </w:tcMar>
            <w:vAlign w:val="center"/>
          </w:tcPr>
          <w:p>
            <w:pPr>
              <w:spacing w:after="0" w:line="252" w:lineRule="auto"/>
            </w:pPr>
            <w:r>
              <w:rPr>
                <w:sz w:val="17"/>
              </w:rPr>
              <w:t>Primary local CLI and HTTP service with no pip installation requirement.</w:t>
            </w:r>
          </w:p>
        </w:tc>
      </w:tr>
      <w:tr>
        <w:trPr>
          <w:cantSplit w:val="true"/>
        </w:trPr>
        <w:tc>
          <w:tcPr>
            <w:tcW w:type="dxa" w:w="1728"/>
            <w:tcMar>
              <w:top w:w="110" w:type="dxa"/>
              <w:start w:w="130" w:type="dxa"/>
              <w:bottom w:w="110" w:type="dxa"/>
              <w:end w:w="130" w:type="dxa"/>
            </w:tcMar>
            <w:vAlign w:val="center"/>
          </w:tcPr>
          <w:p>
            <w:pPr>
              <w:spacing w:after="0" w:line="252" w:lineRule="auto"/>
            </w:pPr>
            <w:r>
              <w:rPr>
                <w:sz w:val="17"/>
              </w:rPr>
              <w:t>Secondary runtime</w:t>
            </w:r>
          </w:p>
        </w:tc>
        <w:tc>
          <w:tcPr>
            <w:tcW w:type="dxa" w:w="3168"/>
            <w:tcMar>
              <w:top w:w="110" w:type="dxa"/>
              <w:start w:w="130" w:type="dxa"/>
              <w:bottom w:w="110" w:type="dxa"/>
              <w:end w:w="130" w:type="dxa"/>
            </w:tcMar>
            <w:vAlign w:val="center"/>
          </w:tcPr>
          <w:p>
            <w:pPr>
              <w:spacing w:after="0" w:line="252" w:lineRule="auto"/>
            </w:pPr>
            <w:r>
              <w:rPr>
                <w:sz w:val="17"/>
              </w:rPr>
              <w:t>Node.js ES modules</w:t>
            </w:r>
          </w:p>
        </w:tc>
        <w:tc>
          <w:tcPr>
            <w:tcW w:type="dxa" w:w="4968"/>
            <w:tcMar>
              <w:top w:w="110" w:type="dxa"/>
              <w:start w:w="130" w:type="dxa"/>
              <w:bottom w:w="110" w:type="dxa"/>
              <w:end w:w="130" w:type="dxa"/>
            </w:tcMar>
            <w:vAlign w:val="center"/>
          </w:tcPr>
          <w:p>
            <w:pPr>
              <w:spacing w:after="0" w:line="252" w:lineRule="auto"/>
            </w:pPr>
            <w:r>
              <w:rPr>
                <w:sz w:val="17"/>
              </w:rPr>
              <w:t>Alternative orchestration and CLI implementation plus frontend tooling.</w:t>
            </w:r>
          </w:p>
        </w:tc>
      </w:tr>
      <w:tr>
        <w:trPr>
          <w:cantSplit w:val="true"/>
        </w:trPr>
        <w:tc>
          <w:tcPr>
            <w:tcW w:type="dxa" w:w="1728"/>
            <w:shd w:fill="EAF2F8"/>
            <w:tcMar>
              <w:top w:w="110" w:type="dxa"/>
              <w:start w:w="130" w:type="dxa"/>
              <w:bottom w:w="110" w:type="dxa"/>
              <w:end w:w="130" w:type="dxa"/>
            </w:tcMar>
            <w:vAlign w:val="center"/>
          </w:tcPr>
          <w:p>
            <w:pPr>
              <w:spacing w:after="0" w:line="252" w:lineRule="auto"/>
            </w:pPr>
            <w:r>
              <w:rPr>
                <w:sz w:val="17"/>
              </w:rPr>
              <w:t>AI</w:t>
            </w:r>
          </w:p>
        </w:tc>
        <w:tc>
          <w:tcPr>
            <w:tcW w:type="dxa" w:w="3168"/>
            <w:shd w:fill="EAF2F8"/>
            <w:tcMar>
              <w:top w:w="110" w:type="dxa"/>
              <w:start w:w="130" w:type="dxa"/>
              <w:bottom w:w="110" w:type="dxa"/>
              <w:end w:w="130" w:type="dxa"/>
            </w:tcMar>
            <w:vAlign w:val="center"/>
          </w:tcPr>
          <w:p>
            <w:pPr>
              <w:spacing w:after="0" w:line="252" w:lineRule="auto"/>
            </w:pPr>
            <w:r>
              <w:rPr>
                <w:sz w:val="17"/>
              </w:rPr>
              <w:t>OpenAI Responses API</w:t>
            </w:r>
          </w:p>
        </w:tc>
        <w:tc>
          <w:tcPr>
            <w:tcW w:type="dxa" w:w="4968"/>
            <w:shd w:fill="EAF2F8"/>
            <w:tcMar>
              <w:top w:w="110" w:type="dxa"/>
              <w:start w:w="130" w:type="dxa"/>
              <w:bottom w:w="110" w:type="dxa"/>
              <w:end w:w="130" w:type="dxa"/>
            </w:tcMar>
            <w:vAlign w:val="center"/>
          </w:tcPr>
          <w:p>
            <w:pPr>
              <w:spacing w:after="0" w:line="252" w:lineRule="auto"/>
            </w:pPr>
            <w:r>
              <w:rPr>
                <w:sz w:val="17"/>
              </w:rPr>
              <w:t>Optional central or full multi-agent synthesis with per-agent model overrides.</w:t>
            </w:r>
          </w:p>
        </w:tc>
      </w:tr>
      <w:tr>
        <w:trPr>
          <w:cantSplit w:val="true"/>
        </w:trPr>
        <w:tc>
          <w:tcPr>
            <w:tcW w:type="dxa" w:w="1728"/>
            <w:tcMar>
              <w:top w:w="110" w:type="dxa"/>
              <w:start w:w="130" w:type="dxa"/>
              <w:bottom w:w="110" w:type="dxa"/>
              <w:end w:w="130" w:type="dxa"/>
            </w:tcMar>
            <w:vAlign w:val="center"/>
          </w:tcPr>
          <w:p>
            <w:pPr>
              <w:spacing w:after="0" w:line="252" w:lineRule="auto"/>
            </w:pPr>
            <w:r>
              <w:rPr>
                <w:sz w:val="17"/>
              </w:rPr>
              <w:t>Data and auth</w:t>
            </w:r>
          </w:p>
        </w:tc>
        <w:tc>
          <w:tcPr>
            <w:tcW w:type="dxa" w:w="3168"/>
            <w:tcMar>
              <w:top w:w="110" w:type="dxa"/>
              <w:start w:w="130" w:type="dxa"/>
              <w:bottom w:w="110" w:type="dxa"/>
              <w:end w:w="130" w:type="dxa"/>
            </w:tcMar>
            <w:vAlign w:val="center"/>
          </w:tcPr>
          <w:p>
            <w:pPr>
              <w:spacing w:after="0" w:line="252" w:lineRule="auto"/>
            </w:pPr>
            <w:r>
              <w:rPr>
                <w:sz w:val="17"/>
              </w:rPr>
              <w:t>Supabase PostgreSQL, Data API, Realtime, Auth, Row Level Security</w:t>
            </w:r>
          </w:p>
        </w:tc>
        <w:tc>
          <w:tcPr>
            <w:tcW w:type="dxa" w:w="4968"/>
            <w:tcMar>
              <w:top w:w="110" w:type="dxa"/>
              <w:start w:w="130" w:type="dxa"/>
              <w:bottom w:w="110" w:type="dxa"/>
              <w:end w:w="130" w:type="dxa"/>
            </w:tcMar>
            <w:vAlign w:val="center"/>
          </w:tcPr>
          <w:p>
            <w:pPr>
              <w:spacing w:after="0" w:line="252" w:lineRule="auto"/>
            </w:pPr>
            <w:r>
              <w:rPr>
                <w:sz w:val="17"/>
              </w:rPr>
              <w:t>Cloud persistence, accounts, protected administration, and live snapshot distribution.</w:t>
            </w:r>
          </w:p>
        </w:tc>
      </w:tr>
      <w:tr>
        <w:trPr>
          <w:cantSplit w:val="true"/>
        </w:trPr>
        <w:tc>
          <w:tcPr>
            <w:tcW w:type="dxa" w:w="1728"/>
            <w:shd w:fill="EAF2F8"/>
            <w:tcMar>
              <w:top w:w="110" w:type="dxa"/>
              <w:start w:w="130" w:type="dxa"/>
              <w:bottom w:w="110" w:type="dxa"/>
              <w:end w:w="130" w:type="dxa"/>
            </w:tcMar>
            <w:vAlign w:val="center"/>
          </w:tcPr>
          <w:p>
            <w:pPr>
              <w:spacing w:after="0" w:line="252" w:lineRule="auto"/>
            </w:pPr>
            <w:r>
              <w:rPr>
                <w:sz w:val="17"/>
              </w:rPr>
              <w:t>Local resilience</w:t>
            </w:r>
          </w:p>
        </w:tc>
        <w:tc>
          <w:tcPr>
            <w:tcW w:type="dxa" w:w="3168"/>
            <w:shd w:fill="EAF2F8"/>
            <w:tcMar>
              <w:top w:w="110" w:type="dxa"/>
              <w:start w:w="130" w:type="dxa"/>
              <w:bottom w:w="110" w:type="dxa"/>
              <w:end w:w="130" w:type="dxa"/>
            </w:tcMar>
            <w:vAlign w:val="center"/>
          </w:tcPr>
          <w:p>
            <w:pPr>
              <w:spacing w:after="0" w:line="252" w:lineRule="auto"/>
            </w:pPr>
            <w:r>
              <w:rPr>
                <w:sz w:val="17"/>
              </w:rPr>
              <w:t>SQLite</w:t>
            </w:r>
          </w:p>
        </w:tc>
        <w:tc>
          <w:tcPr>
            <w:tcW w:type="dxa" w:w="4968"/>
            <w:shd w:fill="EAF2F8"/>
            <w:tcMar>
              <w:top w:w="110" w:type="dxa"/>
              <w:start w:w="130" w:type="dxa"/>
              <w:bottom w:w="110" w:type="dxa"/>
              <w:end w:w="130" w:type="dxa"/>
            </w:tcMar>
            <w:vAlign w:val="center"/>
          </w:tcPr>
          <w:p>
            <w:pPr>
              <w:spacing w:after="0" w:line="252" w:lineRule="auto"/>
            </w:pPr>
            <w:r>
              <w:rPr>
                <w:sz w:val="17"/>
              </w:rPr>
              <w:t>Provider cache, persisted runs, offline evidence, and a retry outbox for failed cloud writes.</w:t>
            </w:r>
          </w:p>
        </w:tc>
      </w:tr>
      <w:tr>
        <w:trPr>
          <w:cantSplit w:val="true"/>
        </w:trPr>
        <w:tc>
          <w:tcPr>
            <w:tcW w:type="dxa" w:w="1728"/>
            <w:tcMar>
              <w:top w:w="110" w:type="dxa"/>
              <w:start w:w="130" w:type="dxa"/>
              <w:bottom w:w="110" w:type="dxa"/>
              <w:end w:w="130" w:type="dxa"/>
            </w:tcMar>
            <w:vAlign w:val="center"/>
          </w:tcPr>
          <w:p>
            <w:pPr>
              <w:spacing w:after="0" w:line="252" w:lineRule="auto"/>
            </w:pPr>
            <w:r>
              <w:rPr>
                <w:sz w:val="17"/>
              </w:rPr>
              <w:t>Validation</w:t>
            </w:r>
          </w:p>
        </w:tc>
        <w:tc>
          <w:tcPr>
            <w:tcW w:type="dxa" w:w="3168"/>
            <w:tcMar>
              <w:top w:w="110" w:type="dxa"/>
              <w:start w:w="130" w:type="dxa"/>
              <w:bottom w:w="110" w:type="dxa"/>
              <w:end w:w="130" w:type="dxa"/>
            </w:tcMar>
            <w:vAlign w:val="center"/>
          </w:tcPr>
          <w:p>
            <w:pPr>
              <w:spacing w:after="0" w:line="252" w:lineRule="auto"/>
            </w:pPr>
            <w:r>
              <w:rPr>
                <w:sz w:val="17"/>
              </w:rPr>
              <w:t>Zod and explicit payload checks</w:t>
            </w:r>
          </w:p>
        </w:tc>
        <w:tc>
          <w:tcPr>
            <w:tcW w:type="dxa" w:w="4968"/>
            <w:tcMar>
              <w:top w:w="110" w:type="dxa"/>
              <w:start w:w="130" w:type="dxa"/>
              <w:bottom w:w="110" w:type="dxa"/>
              <w:end w:w="130" w:type="dxa"/>
            </w:tcMar>
            <w:vAlign w:val="center"/>
          </w:tcPr>
          <w:p>
            <w:pPr>
              <w:spacing w:after="0" w:line="252" w:lineRule="auto"/>
            </w:pPr>
            <w:r>
              <w:rPr>
                <w:sz w:val="17"/>
              </w:rPr>
              <w:t>Frontend contracts and rejection of incomplete or malformed provider data.</w:t>
            </w:r>
          </w:p>
        </w:tc>
      </w:tr>
      <w:tr>
        <w:trPr>
          <w:cantSplit w:val="true"/>
        </w:trPr>
        <w:tc>
          <w:tcPr>
            <w:tcW w:type="dxa" w:w="1728"/>
            <w:shd w:fill="EAF2F8"/>
            <w:tcMar>
              <w:top w:w="110" w:type="dxa"/>
              <w:start w:w="130" w:type="dxa"/>
              <w:bottom w:w="110" w:type="dxa"/>
              <w:end w:w="130" w:type="dxa"/>
            </w:tcMar>
            <w:vAlign w:val="center"/>
          </w:tcPr>
          <w:p>
            <w:pPr>
              <w:spacing w:after="0" w:line="252" w:lineRule="auto"/>
            </w:pPr>
            <w:r>
              <w:rPr>
                <w:sz w:val="17"/>
              </w:rPr>
              <w:t>Deployment</w:t>
            </w:r>
          </w:p>
        </w:tc>
        <w:tc>
          <w:tcPr>
            <w:tcW w:type="dxa" w:w="3168"/>
            <w:shd w:fill="EAF2F8"/>
            <w:tcMar>
              <w:top w:w="110" w:type="dxa"/>
              <w:start w:w="130" w:type="dxa"/>
              <w:bottom w:w="110" w:type="dxa"/>
              <w:end w:w="130" w:type="dxa"/>
            </w:tcMar>
            <w:vAlign w:val="center"/>
          </w:tcPr>
          <w:p>
            <w:pPr>
              <w:spacing w:after="0" w:line="252" w:lineRule="auto"/>
            </w:pPr>
            <w:r>
              <w:rPr>
                <w:sz w:val="17"/>
              </w:rPr>
              <w:t>Cloudflare Workers tooling and Wrangler</w:t>
            </w:r>
          </w:p>
        </w:tc>
        <w:tc>
          <w:tcPr>
            <w:tcW w:type="dxa" w:w="4968"/>
            <w:shd w:fill="EAF2F8"/>
            <w:tcMar>
              <w:top w:w="110" w:type="dxa"/>
              <w:start w:w="130" w:type="dxa"/>
              <w:bottom w:w="110" w:type="dxa"/>
              <w:end w:w="130" w:type="dxa"/>
            </w:tcMar>
            <w:vAlign w:val="center"/>
          </w:tcPr>
          <w:p>
            <w:pPr>
              <w:spacing w:after="0" w:line="252" w:lineRule="auto"/>
            </w:pPr>
            <w:r>
              <w:rPr>
                <w:sz w:val="17"/>
              </w:rPr>
              <w:t>Production-worker build and local production-runtime simulation.</w:t>
            </w:r>
          </w:p>
        </w:tc>
      </w:tr>
      <w:tr>
        <w:trPr>
          <w:cantSplit w:val="true"/>
        </w:trPr>
        <w:tc>
          <w:tcPr>
            <w:tcW w:type="dxa" w:w="1728"/>
            <w:tcMar>
              <w:top w:w="110" w:type="dxa"/>
              <w:start w:w="130" w:type="dxa"/>
              <w:bottom w:w="110" w:type="dxa"/>
              <w:end w:w="130" w:type="dxa"/>
            </w:tcMar>
            <w:vAlign w:val="center"/>
          </w:tcPr>
          <w:p>
            <w:pPr>
              <w:spacing w:after="0" w:line="252" w:lineRule="auto"/>
            </w:pPr>
            <w:r>
              <w:rPr>
                <w:sz w:val="17"/>
              </w:rPr>
              <w:t>Testing</w:t>
            </w:r>
          </w:p>
        </w:tc>
        <w:tc>
          <w:tcPr>
            <w:tcW w:type="dxa" w:w="3168"/>
            <w:tcMar>
              <w:top w:w="110" w:type="dxa"/>
              <w:start w:w="130" w:type="dxa"/>
              <w:bottom w:w="110" w:type="dxa"/>
              <w:end w:w="130" w:type="dxa"/>
            </w:tcMar>
            <w:vAlign w:val="center"/>
          </w:tcPr>
          <w:p>
            <w:pPr>
              <w:spacing w:after="0" w:line="252" w:lineRule="auto"/>
            </w:pPr>
            <w:r>
              <w:rPr>
                <w:sz w:val="17"/>
              </w:rPr>
              <w:t>Node test runner, Python unittest, TypeScript, ESLint</w:t>
            </w:r>
          </w:p>
        </w:tc>
        <w:tc>
          <w:tcPr>
            <w:tcW w:type="dxa" w:w="4968"/>
            <w:tcMar>
              <w:top w:w="110" w:type="dxa"/>
              <w:start w:w="130" w:type="dxa"/>
              <w:bottom w:w="110" w:type="dxa"/>
              <w:end w:w="130" w:type="dxa"/>
            </w:tcMar>
            <w:vAlign w:val="center"/>
          </w:tcPr>
          <w:p>
            <w:pPr>
              <w:spacing w:after="0" w:line="252" w:lineRule="auto"/>
            </w:pPr>
            <w:r>
              <w:rPr>
                <w:sz w:val="17"/>
              </w:rPr>
              <w:t>Provider failure, partial outage, malformed response, budget, contract, and build checks.</w:t>
            </w:r>
          </w:p>
        </w:tc>
      </w:tr>
    </w:tbl>
    <w:p>
      <w:pPr>
        <w:spacing w:after="40"/>
      </w:pPr>
    </w:p>
    <w:p>
      <w:pPr>
        <w:pStyle w:val="Heading2"/>
        <w:keepNext/>
      </w:pPr>
      <w:r>
        <w:t>Connected Data Sources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val="true"/>
        </w:trPr>
        <w:tc>
          <w:tcPr>
            <w:tcW w:type="dxa" w:w="1800"/>
            <w:shd w:fill="17365D"/>
            <w:tcMar>
              <w:top w:w="120" w:type="dxa"/>
              <w:start w:w="130" w:type="dxa"/>
              <w:bottom w:w="120" w:type="dxa"/>
              <w:end w:w="130" w:type="dxa"/>
            </w:tcMar>
            <w:vAlign w:val="center"/>
          </w:tcPr>
          <w:p>
            <w:pPr>
              <w:spacing w:after="0"/>
              <w:jc w:val="left"/>
            </w:pPr>
            <w:r>
              <w:rPr>
                <w:b/>
                <w:color w:val="FFFFFF"/>
                <w:sz w:val="17"/>
              </w:rPr>
              <w:t>Provider</w:t>
            </w:r>
          </w:p>
        </w:tc>
        <w:tc>
          <w:tcPr>
            <w:tcW w:type="dxa" w:w="3240"/>
            <w:shd w:fill="17365D"/>
            <w:tcMar>
              <w:top w:w="120" w:type="dxa"/>
              <w:start w:w="130" w:type="dxa"/>
              <w:bottom w:w="120" w:type="dxa"/>
              <w:end w:w="130" w:type="dxa"/>
            </w:tcMar>
            <w:vAlign w:val="center"/>
          </w:tcPr>
          <w:p>
            <w:pPr>
              <w:spacing w:after="0"/>
              <w:jc w:val="left"/>
            </w:pPr>
            <w:r>
              <w:rPr>
                <w:b/>
                <w:color w:val="FFFFFF"/>
                <w:sz w:val="17"/>
              </w:rPr>
              <w:t>Purpose</w:t>
            </w:r>
          </w:p>
        </w:tc>
        <w:tc>
          <w:tcPr>
            <w:tcW w:type="dxa" w:w="4824"/>
            <w:shd w:fill="17365D"/>
            <w:tcMar>
              <w:top w:w="120" w:type="dxa"/>
              <w:start w:w="130" w:type="dxa"/>
              <w:bottom w:w="120" w:type="dxa"/>
              <w:end w:w="130" w:type="dxa"/>
            </w:tcMar>
            <w:vAlign w:val="center"/>
          </w:tcPr>
          <w:p>
            <w:pPr>
              <w:spacing w:after="0"/>
              <w:jc w:val="left"/>
            </w:pPr>
            <w:r>
              <w:rPr>
                <w:b/>
                <w:color w:val="FFFFFF"/>
                <w:sz w:val="17"/>
              </w:rPr>
              <w:t>Credential and interpretation</w:t>
            </w:r>
          </w:p>
        </w:tc>
      </w:tr>
      <w:tr>
        <w:trPr>
          <w:cantSplit w:val="true"/>
        </w:trPr>
        <w:tc>
          <w:tcPr>
            <w:tcW w:type="dxa" w:w="1800"/>
            <w:tcMar>
              <w:top w:w="110" w:type="dxa"/>
              <w:start w:w="130" w:type="dxa"/>
              <w:bottom w:w="110" w:type="dxa"/>
              <w:end w:w="130" w:type="dxa"/>
            </w:tcMar>
            <w:vAlign w:val="center"/>
          </w:tcPr>
          <w:p>
            <w:pPr>
              <w:spacing w:after="0" w:line="252" w:lineRule="auto"/>
            </w:pPr>
            <w:r>
              <w:rPr>
                <w:sz w:val="17"/>
              </w:rPr>
              <w:t>Open-Meteo</w:t>
            </w:r>
          </w:p>
        </w:tc>
        <w:tc>
          <w:tcPr>
            <w:tcW w:type="dxa" w:w="3240"/>
            <w:tcMar>
              <w:top w:w="110" w:type="dxa"/>
              <w:start w:w="130" w:type="dxa"/>
              <w:bottom w:w="110" w:type="dxa"/>
              <w:end w:w="130" w:type="dxa"/>
            </w:tcMar>
            <w:vAlign w:val="center"/>
          </w:tcPr>
          <w:p>
            <w:pPr>
              <w:spacing w:after="0" w:line="252" w:lineRule="auto"/>
            </w:pPr>
            <w:r>
              <w:rPr>
                <w:sz w:val="17"/>
              </w:rPr>
              <w:t>Current conditions and hourly precipitation forecast</w:t>
            </w:r>
          </w:p>
        </w:tc>
        <w:tc>
          <w:tcPr>
            <w:tcW w:type="dxa" w:w="4824"/>
            <w:tcMar>
              <w:top w:w="110" w:type="dxa"/>
              <w:start w:w="130" w:type="dxa"/>
              <w:bottom w:w="110" w:type="dxa"/>
              <w:end w:w="130" w:type="dxa"/>
            </w:tcMar>
            <w:vAlign w:val="center"/>
          </w:tcPr>
          <w:p>
            <w:pPr>
              <w:spacing w:after="0" w:line="252" w:lineRule="auto"/>
            </w:pPr>
            <w:r>
              <w:rPr>
                <w:sz w:val="17"/>
              </w:rPr>
              <w:t>No key. Forecast/model data is not an official warning.</w:t>
            </w:r>
          </w:p>
        </w:tc>
      </w:tr>
      <w:tr>
        <w:trPr>
          <w:cantSplit w:val="true"/>
        </w:trPr>
        <w:tc>
          <w:tcPr>
            <w:tcW w:type="dxa" w:w="1800"/>
            <w:shd w:fill="EAF2F8"/>
            <w:tcMar>
              <w:top w:w="110" w:type="dxa"/>
              <w:start w:w="130" w:type="dxa"/>
              <w:bottom w:w="110" w:type="dxa"/>
              <w:end w:w="130" w:type="dxa"/>
            </w:tcMar>
            <w:vAlign w:val="center"/>
          </w:tcPr>
          <w:p>
            <w:pPr>
              <w:spacing w:after="0" w:line="252" w:lineRule="auto"/>
            </w:pPr>
            <w:r>
              <w:rPr>
                <w:sz w:val="17"/>
              </w:rPr>
              <w:t>NASA POWER</w:t>
            </w:r>
          </w:p>
        </w:tc>
        <w:tc>
          <w:tcPr>
            <w:tcW w:type="dxa" w:w="3240"/>
            <w:shd w:fill="EAF2F8"/>
            <w:tcMar>
              <w:top w:w="110" w:type="dxa"/>
              <w:start w:w="130" w:type="dxa"/>
              <w:bottom w:w="110" w:type="dxa"/>
              <w:end w:w="130" w:type="dxa"/>
            </w:tcMar>
            <w:vAlign w:val="center"/>
          </w:tcPr>
          <w:p>
            <w:pPr>
              <w:spacing w:after="0" w:line="252" w:lineRule="auto"/>
            </w:pPr>
            <w:r>
              <w:rPr>
                <w:sz w:val="17"/>
              </w:rPr>
              <w:t>Long-term point climatology</w:t>
            </w:r>
          </w:p>
        </w:tc>
        <w:tc>
          <w:tcPr>
            <w:tcW w:type="dxa" w:w="4824"/>
            <w:shd w:fill="EAF2F8"/>
            <w:tcMar>
              <w:top w:w="110" w:type="dxa"/>
              <w:start w:w="130" w:type="dxa"/>
              <w:bottom w:w="110" w:type="dxa"/>
              <w:end w:w="130" w:type="dxa"/>
            </w:tcMar>
            <w:vAlign w:val="center"/>
          </w:tcPr>
          <w:p>
            <w:pPr>
              <w:spacing w:after="0" w:line="252" w:lineRule="auto"/>
            </w:pPr>
            <w:r>
              <w:rPr>
                <w:sz w:val="17"/>
              </w:rPr>
              <w:t>No key. Climate baseline is not a live observation.</w:t>
            </w:r>
          </w:p>
        </w:tc>
      </w:tr>
      <w:tr>
        <w:trPr>
          <w:cantSplit w:val="true"/>
        </w:trPr>
        <w:tc>
          <w:tcPr>
            <w:tcW w:type="dxa" w:w="1800"/>
            <w:tcMar>
              <w:top w:w="110" w:type="dxa"/>
              <w:start w:w="130" w:type="dxa"/>
              <w:bottom w:w="110" w:type="dxa"/>
              <w:end w:w="130" w:type="dxa"/>
            </w:tcMar>
            <w:vAlign w:val="center"/>
          </w:tcPr>
          <w:p>
            <w:pPr>
              <w:spacing w:after="0" w:line="252" w:lineRule="auto"/>
            </w:pPr>
            <w:r>
              <w:rPr>
                <w:sz w:val="17"/>
              </w:rPr>
              <w:t>Google News RSS</w:t>
            </w:r>
          </w:p>
        </w:tc>
        <w:tc>
          <w:tcPr>
            <w:tcW w:type="dxa" w:w="3240"/>
            <w:tcMar>
              <w:top w:w="110" w:type="dxa"/>
              <w:start w:w="130" w:type="dxa"/>
              <w:bottom w:w="110" w:type="dxa"/>
              <w:end w:w="130" w:type="dxa"/>
            </w:tcMar>
            <w:vAlign w:val="center"/>
          </w:tcPr>
          <w:p>
            <w:pPr>
              <w:spacing w:after="0" w:line="252" w:lineRule="auto"/>
            </w:pPr>
            <w:r>
              <w:rPr>
                <w:sz w:val="17"/>
              </w:rPr>
              <w:t>Recent disaster reporting</w:t>
            </w:r>
          </w:p>
        </w:tc>
        <w:tc>
          <w:tcPr>
            <w:tcW w:type="dxa" w:w="4824"/>
            <w:tcMar>
              <w:top w:w="110" w:type="dxa"/>
              <w:start w:w="130" w:type="dxa"/>
              <w:bottom w:w="110" w:type="dxa"/>
              <w:end w:w="130" w:type="dxa"/>
            </w:tcMar>
            <w:vAlign w:val="center"/>
          </w:tcPr>
          <w:p>
            <w:pPr>
              <w:spacing w:after="0" w:line="252" w:lineRule="auto"/>
            </w:pPr>
            <w:r>
              <w:rPr>
                <w:sz w:val="17"/>
              </w:rPr>
              <w:t>No key. News claims are attributed and are not official verification.</w:t>
            </w:r>
          </w:p>
        </w:tc>
      </w:tr>
      <w:tr>
        <w:trPr>
          <w:cantSplit w:val="true"/>
        </w:trPr>
        <w:tc>
          <w:tcPr>
            <w:tcW w:type="dxa" w:w="1800"/>
            <w:shd w:fill="EAF2F8"/>
            <w:tcMar>
              <w:top w:w="110" w:type="dxa"/>
              <w:start w:w="130" w:type="dxa"/>
              <w:bottom w:w="110" w:type="dxa"/>
              <w:end w:w="130" w:type="dxa"/>
            </w:tcMar>
            <w:vAlign w:val="center"/>
          </w:tcPr>
          <w:p>
            <w:pPr>
              <w:spacing w:after="0" w:line="252" w:lineRule="auto"/>
            </w:pPr>
            <w:r>
              <w:rPr>
                <w:sz w:val="17"/>
              </w:rPr>
              <w:t>USGS</w:t>
            </w:r>
          </w:p>
        </w:tc>
        <w:tc>
          <w:tcPr>
            <w:tcW w:type="dxa" w:w="3240"/>
            <w:shd w:fill="EAF2F8"/>
            <w:tcMar>
              <w:top w:w="110" w:type="dxa"/>
              <w:start w:w="130" w:type="dxa"/>
              <w:bottom w:w="110" w:type="dxa"/>
              <w:end w:w="130" w:type="dxa"/>
            </w:tcMar>
            <w:vAlign w:val="center"/>
          </w:tcPr>
          <w:p>
            <w:pPr>
              <w:spacing w:after="0" w:line="252" w:lineRule="auto"/>
            </w:pPr>
            <w:r>
              <w:rPr>
                <w:sz w:val="17"/>
              </w:rPr>
              <w:t>Significant earthquakes during the past week</w:t>
            </w:r>
          </w:p>
        </w:tc>
        <w:tc>
          <w:tcPr>
            <w:tcW w:type="dxa" w:w="4824"/>
            <w:shd w:fill="EAF2F8"/>
            <w:tcMar>
              <w:top w:w="110" w:type="dxa"/>
              <w:start w:w="130" w:type="dxa"/>
              <w:bottom w:w="110" w:type="dxa"/>
              <w:end w:w="130" w:type="dxa"/>
            </w:tcMar>
            <w:vAlign w:val="center"/>
          </w:tcPr>
          <w:p>
            <w:pPr>
              <w:spacing w:after="0" w:line="252" w:lineRule="auto"/>
            </w:pPr>
            <w:r>
              <w:rPr>
                <w:sz w:val="17"/>
              </w:rPr>
              <w:t>No key. Magnitude alone is not treated as verified impact.</w:t>
            </w:r>
          </w:p>
        </w:tc>
      </w:tr>
      <w:tr>
        <w:trPr>
          <w:cantSplit w:val="true"/>
        </w:trPr>
        <w:tc>
          <w:tcPr>
            <w:tcW w:type="dxa" w:w="1800"/>
            <w:tcMar>
              <w:top w:w="110" w:type="dxa"/>
              <w:start w:w="130" w:type="dxa"/>
              <w:bottom w:w="110" w:type="dxa"/>
              <w:end w:w="130" w:type="dxa"/>
            </w:tcMar>
            <w:vAlign w:val="center"/>
          </w:tcPr>
          <w:p>
            <w:pPr>
              <w:spacing w:after="0" w:line="252" w:lineRule="auto"/>
            </w:pPr>
            <w:r>
              <w:rPr>
                <w:sz w:val="17"/>
              </w:rPr>
              <w:t>NASA EONET</w:t>
            </w:r>
          </w:p>
        </w:tc>
        <w:tc>
          <w:tcPr>
            <w:tcW w:type="dxa" w:w="3240"/>
            <w:tcMar>
              <w:top w:w="110" w:type="dxa"/>
              <w:start w:w="130" w:type="dxa"/>
              <w:bottom w:w="110" w:type="dxa"/>
              <w:end w:w="130" w:type="dxa"/>
            </w:tcMar>
            <w:vAlign w:val="center"/>
          </w:tcPr>
          <w:p>
            <w:pPr>
              <w:spacing w:after="0" w:line="252" w:lineRule="auto"/>
            </w:pPr>
            <w:r>
              <w:rPr>
                <w:sz w:val="17"/>
              </w:rPr>
              <w:t>Open global natural events</w:t>
            </w:r>
          </w:p>
        </w:tc>
        <w:tc>
          <w:tcPr>
            <w:tcW w:type="dxa" w:w="4824"/>
            <w:tcMar>
              <w:top w:w="110" w:type="dxa"/>
              <w:start w:w="130" w:type="dxa"/>
              <w:bottom w:w="110" w:type="dxa"/>
              <w:end w:w="130" w:type="dxa"/>
            </w:tcMar>
            <w:vAlign w:val="center"/>
          </w:tcPr>
          <w:p>
            <w:pPr>
              <w:spacing w:after="0" w:line="252" w:lineRule="auto"/>
            </w:pPr>
            <w:r>
              <w:rPr>
                <w:sz w:val="17"/>
              </w:rPr>
              <w:t>No key. The feed is an event tracker, not a local warning service.</w:t>
            </w:r>
          </w:p>
        </w:tc>
      </w:tr>
      <w:tr>
        <w:trPr>
          <w:cantSplit w:val="true"/>
        </w:trPr>
        <w:tc>
          <w:tcPr>
            <w:tcW w:type="dxa" w:w="1800"/>
            <w:shd w:fill="EAF2F8"/>
            <w:tcMar>
              <w:top w:w="110" w:type="dxa"/>
              <w:start w:w="130" w:type="dxa"/>
              <w:bottom w:w="110" w:type="dxa"/>
              <w:end w:w="130" w:type="dxa"/>
            </w:tcMar>
            <w:vAlign w:val="center"/>
          </w:tcPr>
          <w:p>
            <w:pPr>
              <w:spacing w:after="0" w:line="252" w:lineRule="auto"/>
            </w:pPr>
            <w:r>
              <w:rPr>
                <w:sz w:val="17"/>
              </w:rPr>
              <w:t>OpenWeather</w:t>
            </w:r>
          </w:p>
        </w:tc>
        <w:tc>
          <w:tcPr>
            <w:tcW w:type="dxa" w:w="3240"/>
            <w:shd w:fill="EAF2F8"/>
            <w:tcMar>
              <w:top w:w="110" w:type="dxa"/>
              <w:start w:w="130" w:type="dxa"/>
              <w:bottom w:w="110" w:type="dxa"/>
              <w:end w:w="130" w:type="dxa"/>
            </w:tcMar>
            <w:vAlign w:val="center"/>
          </w:tcPr>
          <w:p>
            <w:pPr>
              <w:spacing w:after="0" w:line="252" w:lineRule="auto"/>
            </w:pPr>
            <w:r>
              <w:rPr>
                <w:sz w:val="17"/>
              </w:rPr>
              <w:t>Optional current conditions and provider-carried alerts</w:t>
            </w:r>
          </w:p>
        </w:tc>
        <w:tc>
          <w:tcPr>
            <w:tcW w:type="dxa" w:w="4824"/>
            <w:shd w:fill="EAF2F8"/>
            <w:tcMar>
              <w:top w:w="110" w:type="dxa"/>
              <w:start w:w="130" w:type="dxa"/>
              <w:bottom w:w="110" w:type="dxa"/>
              <w:end w:w="130" w:type="dxa"/>
            </w:tcMar>
            <w:vAlign w:val="center"/>
          </w:tcPr>
          <w:p>
            <w:pPr>
              <w:spacing w:after="0" w:line="252" w:lineRule="auto"/>
            </w:pPr>
            <w:r>
              <w:rPr>
                <w:sz w:val="17"/>
              </w:rPr>
              <w:t>Requires a One Call subscription and server-side API key.</w:t>
            </w:r>
          </w:p>
        </w:tc>
      </w:tr>
      <w:tr>
        <w:trPr>
          <w:cantSplit w:val="true"/>
        </w:trPr>
        <w:tc>
          <w:tcPr>
            <w:tcW w:type="dxa" w:w="1800"/>
            <w:tcMar>
              <w:top w:w="110" w:type="dxa"/>
              <w:start w:w="130" w:type="dxa"/>
              <w:bottom w:w="110" w:type="dxa"/>
              <w:end w:w="130" w:type="dxa"/>
            </w:tcMar>
            <w:vAlign w:val="center"/>
          </w:tcPr>
          <w:p>
            <w:pPr>
              <w:spacing w:after="0" w:line="252" w:lineRule="auto"/>
            </w:pPr>
            <w:r>
              <w:rPr>
                <w:sz w:val="17"/>
              </w:rPr>
              <w:t>OpenStreetMap</w:t>
            </w:r>
          </w:p>
        </w:tc>
        <w:tc>
          <w:tcPr>
            <w:tcW w:type="dxa" w:w="3240"/>
            <w:tcMar>
              <w:top w:w="110" w:type="dxa"/>
              <w:start w:w="130" w:type="dxa"/>
              <w:bottom w:w="110" w:type="dxa"/>
              <w:end w:w="130" w:type="dxa"/>
            </w:tcMar>
            <w:vAlign w:val="center"/>
          </w:tcPr>
          <w:p>
            <w:pPr>
              <w:spacing w:after="0" w:line="252" w:lineRule="auto"/>
            </w:pPr>
            <w:r>
              <w:rPr>
                <w:sz w:val="17"/>
              </w:rPr>
              <w:t>Interactive street basemap</w:t>
            </w:r>
          </w:p>
        </w:tc>
        <w:tc>
          <w:tcPr>
            <w:tcW w:type="dxa" w:w="4824"/>
            <w:tcMar>
              <w:top w:w="110" w:type="dxa"/>
              <w:start w:w="130" w:type="dxa"/>
              <w:bottom w:w="110" w:type="dxa"/>
              <w:end w:w="130" w:type="dxa"/>
            </w:tcMar>
            <w:vAlign w:val="center"/>
          </w:tcPr>
          <w:p>
            <w:pPr>
              <w:spacing w:after="0" w:line="252" w:lineRule="auto"/>
            </w:pPr>
            <w:r>
              <w:rPr>
                <w:sz w:val="17"/>
              </w:rPr>
              <w:t>Leaflet renders attributed raster tiles; no bulk prefetch or offline tile download.</w:t>
            </w:r>
          </w:p>
        </w:tc>
      </w:tr>
    </w:tbl>
    <w:p>
      <w:pPr>
        <w:spacing w:after="40"/>
      </w:pPr>
    </w:p>
    <w:p>
      <w:pPr>
        <w:pStyle w:val="Heading1"/>
        <w:keepNext/>
      </w:pPr>
      <w:r>
        <w:t>Implemented Solutions</w:t>
      </w:r>
    </w:p>
    <w:p>
      <w:pPr>
        <w:pStyle w:val="Heading2"/>
        <w:keepNext/>
      </w:pPr>
      <w:r>
        <w:t>Live Evidence Collection</w:t>
      </w:r>
    </w:p>
    <w:p>
      <w:pPr>
        <w:spacing w:after="160"/>
      </w:pPr>
      <w:r>
        <w:t>Source adapters retrieve data concurrently and return a consistent available, cached, or unavailable state. Validation prevents malformed payloads from appearing as valid observations. Successful empty feeds remain distinct from outages. The frontend calculates displayed rainfall totals only from valid hourly series and preserves null for unavailable risk data.</w:t>
      </w:r>
    </w:p>
    <w:p>
      <w:pPr>
        <w:pStyle w:val="Heading2"/>
        <w:keepNext/>
      </w:pPr>
      <w:r>
        <w:t>Selective Multi Agent Coordination</w:t>
      </w:r>
    </w:p>
    <w:p>
      <w:pPr>
        <w:spacing w:after="160"/>
      </w:pPr>
      <w:r>
        <w:t>The query router maps question terms to relevant specialists and sources. Weather questions can run only the weather path; earthquake questions can run only the seismic path; broad briefing and SITREP requests select the full team. Parallel specialist execution reduces latency, while the central agent receives compact specialist outputs for synthesis.</w:t>
      </w:r>
    </w:p>
    <w:p>
      <w:pPr>
        <w:pStyle w:val="Heading2"/>
        <w:keepNext/>
      </w:pPr>
      <w:r>
        <w:t>Bounded AI and Evidence Only Fallback</w:t>
      </w:r>
    </w:p>
    <w:p>
      <w:pPr>
        <w:spacing w:after="160"/>
      </w:pPr>
      <w:r>
        <w:t>Every agent is instructed to use only the supplied evidence and to refuse invented measurements, warnings, casualties, routes, shelters, risk scores, probabilities, confidence values, or official actions. If an API key is absent, a model call fails, or a token or credit limit is reached, Sarathi retains the evidence and returns a deterministic report with an explicit AI status. A circuit breaker stops further model calls after credit or rate-limit failure.</w:t>
      </w:r>
    </w:p>
    <w:p>
      <w:pPr>
        <w:pStyle w:val="Heading2"/>
        <w:keepNext/>
      </w:pPr>
      <w:r>
        <w:t>Token and Cost Control</w:t>
      </w:r>
    </w:p>
    <w:p>
      <w:pPr>
        <w:spacing w:after="160"/>
      </w:pPr>
      <w:r>
        <w:t>Remote, standard, and deep profiles define maximum model calls and input, output, and total token limits. The budget reserves central-agent input before specialists run so that parallel work cannot exhaust the final synthesis context. Each executed call records model, status, latency, token usage, cached input tokens when reported, reasoning tokens when reported, and whether preflight counting was exact or estimated.</w:t>
      </w:r>
    </w:p>
    <w:p>
      <w:pPr>
        <w:pStyle w:val="Heading2"/>
        <w:keepNext/>
      </w:pPr>
      <w:r>
        <w:t>Resilient Storage</w:t>
      </w:r>
    </w:p>
    <w:p>
      <w:pPr>
        <w:spacing w:after="160"/>
      </w:pPr>
      <w:r>
        <w:t>The Python backend stores provider cache entries and complete runs in SQLite. Offline mode prevents network access and works from cached evidence. When Supabase is configured, runs, current source snapshots, and agent outputs synchronize through the Data API. Failed writes enter a local outbox and retry during a later connected run.</w:t>
      </w:r>
    </w:p>
    <w:p>
      <w:pPr>
        <w:pStyle w:val="Heading2"/>
        <w:keepNext/>
      </w:pPr>
      <w:r>
        <w:t>Secure Accounts and Administration</w:t>
      </w:r>
    </w:p>
    <w:p>
      <w:pPr>
        <w:keepLines/>
        <w:spacing w:after="160"/>
      </w:pPr>
      <w:r>
        <w:t>Supabase email and password authentication provides user accounts. Cloudflare Turnstile can protect login and signup. Row Level Security separates public source snapshots from protected operational records. Administrative access is assigned through a server-controlled profile role; the browser cannot promote itself. Secrets stay outside NEXT_PUBLIC variables and model reasoning is not exposed.</w:t>
      </w:r>
    </w:p>
    <w:p>
      <w:pPr>
        <w:pStyle w:val="Heading2"/>
        <w:keepNext/>
      </w:pPr>
      <w:r>
        <w:t>Operational Interface</w:t>
      </w:r>
    </w:p>
    <w:p>
      <w:pPr>
        <w:spacing w:after="160"/>
      </w:pPr>
      <w:r>
        <w:t>The web application provides dashboard, warnings, intelligence, event, source, agent, SITREP, Ask, system, profile, authentication, and administration routes. The map supports pan, zoom, recenter, event search, source filtering, event focus, and device-location centering when the user grants permission. The local runner starts both the Python API and frontend on Windows, while the CLI supports JSON output, saved runs, scheduled refresh, offline mode, and evidence-only mode.</w:t>
      </w:r>
    </w:p>
    <w:p>
      <w:pPr>
        <w:pStyle w:val="Heading1"/>
        <w:keepNext/>
      </w:pPr>
      <w:r>
        <w:t>Safety Reliability and Governance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val="true"/>
        </w:trPr>
        <w:tc>
          <w:tcPr>
            <w:tcW w:type="dxa" w:w="1944"/>
            <w:shd w:fill="17365D"/>
            <w:tcMar>
              <w:top w:w="120" w:type="dxa"/>
              <w:start w:w="130" w:type="dxa"/>
              <w:bottom w:w="120" w:type="dxa"/>
              <w:end w:w="130" w:type="dxa"/>
            </w:tcMar>
            <w:vAlign w:val="center"/>
          </w:tcPr>
          <w:p>
            <w:pPr>
              <w:spacing w:after="0"/>
              <w:jc w:val="left"/>
            </w:pPr>
            <w:r>
              <w:rPr>
                <w:b/>
                <w:color w:val="FFFFFF"/>
                <w:sz w:val="17"/>
              </w:rPr>
              <w:t>Control</w:t>
            </w:r>
          </w:p>
        </w:tc>
        <w:tc>
          <w:tcPr>
            <w:tcW w:type="dxa" w:w="4392"/>
            <w:shd w:fill="17365D"/>
            <w:tcMar>
              <w:top w:w="120" w:type="dxa"/>
              <w:start w:w="130" w:type="dxa"/>
              <w:bottom w:w="120" w:type="dxa"/>
              <w:end w:w="130" w:type="dxa"/>
            </w:tcMar>
            <w:vAlign w:val="center"/>
          </w:tcPr>
          <w:p>
            <w:pPr>
              <w:spacing w:after="0"/>
              <w:jc w:val="left"/>
            </w:pPr>
            <w:r>
              <w:rPr>
                <w:b/>
                <w:color w:val="FFFFFF"/>
                <w:sz w:val="17"/>
              </w:rPr>
              <w:t>Implementation</w:t>
            </w:r>
          </w:p>
        </w:tc>
        <w:tc>
          <w:tcPr>
            <w:tcW w:type="dxa" w:w="3528"/>
            <w:shd w:fill="17365D"/>
            <w:tcMar>
              <w:top w:w="120" w:type="dxa"/>
              <w:start w:w="130" w:type="dxa"/>
              <w:bottom w:w="120" w:type="dxa"/>
              <w:end w:w="130" w:type="dxa"/>
            </w:tcMar>
            <w:vAlign w:val="center"/>
          </w:tcPr>
          <w:p>
            <w:pPr>
              <w:spacing w:after="0"/>
              <w:jc w:val="left"/>
            </w:pPr>
            <w:r>
              <w:rPr>
                <w:b/>
                <w:color w:val="FFFFFF"/>
                <w:sz w:val="17"/>
              </w:rPr>
              <w:t>Operational value</w:t>
            </w:r>
          </w:p>
        </w:tc>
      </w:tr>
      <w:tr>
        <w:trPr>
          <w:cantSplit w:val="true"/>
        </w:trPr>
        <w:tc>
          <w:tcPr>
            <w:tcW w:type="dxa" w:w="1944"/>
            <w:tcMar>
              <w:top w:w="110" w:type="dxa"/>
              <w:start w:w="130" w:type="dxa"/>
              <w:bottom w:w="110" w:type="dxa"/>
              <w:end w:w="130" w:type="dxa"/>
            </w:tcMar>
            <w:vAlign w:val="center"/>
          </w:tcPr>
          <w:p>
            <w:pPr>
              <w:spacing w:after="0" w:line="252" w:lineRule="auto"/>
            </w:pPr>
            <w:r>
              <w:rPr>
                <w:sz w:val="17"/>
              </w:rPr>
              <w:t>Source attribution</w:t>
            </w:r>
          </w:p>
        </w:tc>
        <w:tc>
          <w:tcPr>
            <w:tcW w:type="dxa" w:w="4392"/>
            <w:tcMar>
              <w:top w:w="110" w:type="dxa"/>
              <w:start w:w="130" w:type="dxa"/>
              <w:bottom w:w="110" w:type="dxa"/>
              <w:end w:w="130" w:type="dxa"/>
            </w:tcMar>
            <w:vAlign w:val="center"/>
          </w:tcPr>
          <w:p>
            <w:pPr>
              <w:spacing w:after="0" w:line="252" w:lineRule="auto"/>
            </w:pPr>
            <w:r>
              <w:rPr>
                <w:sz w:val="17"/>
              </w:rPr>
              <w:t>Provider and authority are preserved in normalized payloads and responses.</w:t>
            </w:r>
          </w:p>
        </w:tc>
        <w:tc>
          <w:tcPr>
            <w:tcW w:type="dxa" w:w="3528"/>
            <w:tcMar>
              <w:top w:w="110" w:type="dxa"/>
              <w:start w:w="130" w:type="dxa"/>
              <w:bottom w:w="110" w:type="dxa"/>
              <w:end w:w="130" w:type="dxa"/>
            </w:tcMar>
            <w:vAlign w:val="center"/>
          </w:tcPr>
          <w:p>
            <w:pPr>
              <w:spacing w:after="0" w:line="252" w:lineRule="auto"/>
            </w:pPr>
            <w:r>
              <w:rPr>
                <w:sz w:val="17"/>
              </w:rPr>
              <w:t>Users can inspect the origin and interpretation limits of a claim.</w:t>
            </w:r>
          </w:p>
        </w:tc>
      </w:tr>
      <w:tr>
        <w:trPr>
          <w:cantSplit w:val="true"/>
        </w:trPr>
        <w:tc>
          <w:tcPr>
            <w:tcW w:type="dxa" w:w="1944"/>
            <w:shd w:fill="EAF2F8"/>
            <w:tcMar>
              <w:top w:w="110" w:type="dxa"/>
              <w:start w:w="130" w:type="dxa"/>
              <w:bottom w:w="110" w:type="dxa"/>
              <w:end w:w="130" w:type="dxa"/>
            </w:tcMar>
            <w:vAlign w:val="center"/>
          </w:tcPr>
          <w:p>
            <w:pPr>
              <w:spacing w:after="0" w:line="252" w:lineRule="auto"/>
            </w:pPr>
            <w:r>
              <w:rPr>
                <w:sz w:val="17"/>
              </w:rPr>
              <w:t>Explicit unavailability</w:t>
            </w:r>
          </w:p>
        </w:tc>
        <w:tc>
          <w:tcPr>
            <w:tcW w:type="dxa" w:w="4392"/>
            <w:shd w:fill="EAF2F8"/>
            <w:tcMar>
              <w:top w:w="110" w:type="dxa"/>
              <w:start w:w="130" w:type="dxa"/>
              <w:bottom w:w="110" w:type="dxa"/>
              <w:end w:w="130" w:type="dxa"/>
            </w:tcMar>
            <w:vAlign w:val="center"/>
          </w:tcPr>
          <w:p>
            <w:pPr>
              <w:spacing w:after="0" w:line="252" w:lineRule="auto"/>
            </w:pPr>
            <w:r>
              <w:rPr>
                <w:sz w:val="17"/>
              </w:rPr>
              <w:t>Failures and malformed responses remain unavailable instead of becoming zero.</w:t>
            </w:r>
          </w:p>
        </w:tc>
        <w:tc>
          <w:tcPr>
            <w:tcW w:type="dxa" w:w="3528"/>
            <w:shd w:fill="EAF2F8"/>
            <w:tcMar>
              <w:top w:w="110" w:type="dxa"/>
              <w:start w:w="130" w:type="dxa"/>
              <w:bottom w:w="110" w:type="dxa"/>
              <w:end w:w="130" w:type="dxa"/>
            </w:tcMar>
            <w:vAlign w:val="center"/>
          </w:tcPr>
          <w:p>
            <w:pPr>
              <w:spacing w:after="0" w:line="252" w:lineRule="auto"/>
            </w:pPr>
            <w:r>
              <w:rPr>
                <w:sz w:val="17"/>
              </w:rPr>
              <w:t>Prevents false reassurance and misleading dashboards.</w:t>
            </w:r>
          </w:p>
        </w:tc>
      </w:tr>
      <w:tr>
        <w:trPr>
          <w:cantSplit w:val="true"/>
        </w:trPr>
        <w:tc>
          <w:tcPr>
            <w:tcW w:type="dxa" w:w="1944"/>
            <w:tcMar>
              <w:top w:w="110" w:type="dxa"/>
              <w:start w:w="130" w:type="dxa"/>
              <w:bottom w:w="110" w:type="dxa"/>
              <w:end w:w="130" w:type="dxa"/>
            </w:tcMar>
            <w:vAlign w:val="center"/>
          </w:tcPr>
          <w:p>
            <w:pPr>
              <w:spacing w:after="0" w:line="252" w:lineRule="auto"/>
            </w:pPr>
            <w:r>
              <w:rPr>
                <w:sz w:val="17"/>
              </w:rPr>
              <w:t>Prompt injection resistance</w:t>
            </w:r>
          </w:p>
        </w:tc>
        <w:tc>
          <w:tcPr>
            <w:tcW w:type="dxa" w:w="4392"/>
            <w:tcMar>
              <w:top w:w="110" w:type="dxa"/>
              <w:start w:w="130" w:type="dxa"/>
              <w:bottom w:w="110" w:type="dxa"/>
              <w:end w:w="130" w:type="dxa"/>
            </w:tcMar>
            <w:vAlign w:val="center"/>
          </w:tcPr>
          <w:p>
            <w:pPr>
              <w:spacing w:after="0" w:line="252" w:lineRule="auto"/>
            </w:pPr>
            <w:r>
              <w:rPr>
                <w:sz w:val="17"/>
              </w:rPr>
              <w:t>Source fields and specialist text are treated as untrusted data.</w:t>
            </w:r>
          </w:p>
        </w:tc>
        <w:tc>
          <w:tcPr>
            <w:tcW w:type="dxa" w:w="3528"/>
            <w:tcMar>
              <w:top w:w="110" w:type="dxa"/>
              <w:start w:w="130" w:type="dxa"/>
              <w:bottom w:w="110" w:type="dxa"/>
              <w:end w:w="130" w:type="dxa"/>
            </w:tcMar>
            <w:vAlign w:val="center"/>
          </w:tcPr>
          <w:p>
            <w:pPr>
              <w:spacing w:after="0" w:line="252" w:lineRule="auto"/>
            </w:pPr>
            <w:r>
              <w:rPr>
                <w:sz w:val="17"/>
              </w:rPr>
              <w:t>Instructions embedded in external content are not followed.</w:t>
            </w:r>
          </w:p>
        </w:tc>
      </w:tr>
      <w:tr>
        <w:trPr>
          <w:cantSplit w:val="true"/>
        </w:trPr>
        <w:tc>
          <w:tcPr>
            <w:tcW w:type="dxa" w:w="1944"/>
            <w:shd w:fill="EAF2F8"/>
            <w:tcMar>
              <w:top w:w="110" w:type="dxa"/>
              <w:start w:w="130" w:type="dxa"/>
              <w:bottom w:w="110" w:type="dxa"/>
              <w:end w:w="130" w:type="dxa"/>
            </w:tcMar>
            <w:vAlign w:val="center"/>
          </w:tcPr>
          <w:p>
            <w:pPr>
              <w:spacing w:after="0" w:line="252" w:lineRule="auto"/>
            </w:pPr>
            <w:r>
              <w:rPr>
                <w:sz w:val="17"/>
              </w:rPr>
              <w:t>No unsupported risk</w:t>
            </w:r>
          </w:p>
        </w:tc>
        <w:tc>
          <w:tcPr>
            <w:tcW w:type="dxa" w:w="4392"/>
            <w:shd w:fill="EAF2F8"/>
            <w:tcMar>
              <w:top w:w="110" w:type="dxa"/>
              <w:start w:w="130" w:type="dxa"/>
              <w:bottom w:w="110" w:type="dxa"/>
              <w:end w:w="130" w:type="dxa"/>
            </w:tcMar>
            <w:vAlign w:val="center"/>
          </w:tcPr>
          <w:p>
            <w:pPr>
              <w:spacing w:after="0" w:line="252" w:lineRule="auto"/>
            </w:pPr>
            <w:r>
              <w:rPr>
                <w:sz w:val="17"/>
              </w:rPr>
              <w:t>Risk remains null without a verified provider or deterministic engine.</w:t>
            </w:r>
          </w:p>
        </w:tc>
        <w:tc>
          <w:tcPr>
            <w:tcW w:type="dxa" w:w="3528"/>
            <w:shd w:fill="EAF2F8"/>
            <w:tcMar>
              <w:top w:w="110" w:type="dxa"/>
              <w:start w:w="130" w:type="dxa"/>
              <w:bottom w:w="110" w:type="dxa"/>
              <w:end w:w="130" w:type="dxa"/>
            </w:tcMar>
            <w:vAlign w:val="center"/>
          </w:tcPr>
          <w:p>
            <w:pPr>
              <w:spacing w:after="0" w:line="252" w:lineRule="auto"/>
            </w:pPr>
            <w:r>
              <w:rPr>
                <w:sz w:val="17"/>
              </w:rPr>
              <w:t>The interface does not manufacture severity or confidence.</w:t>
            </w:r>
          </w:p>
        </w:tc>
      </w:tr>
      <w:tr>
        <w:trPr>
          <w:cantSplit w:val="true"/>
        </w:trPr>
        <w:tc>
          <w:tcPr>
            <w:tcW w:type="dxa" w:w="1944"/>
            <w:tcMar>
              <w:top w:w="110" w:type="dxa"/>
              <w:start w:w="130" w:type="dxa"/>
              <w:bottom w:w="110" w:type="dxa"/>
              <w:end w:w="130" w:type="dxa"/>
            </w:tcMar>
            <w:vAlign w:val="center"/>
          </w:tcPr>
          <w:p>
            <w:pPr>
              <w:spacing w:after="0" w:line="252" w:lineRule="auto"/>
            </w:pPr>
            <w:r>
              <w:rPr>
                <w:sz w:val="17"/>
              </w:rPr>
              <w:t>Budget enforcement</w:t>
            </w:r>
          </w:p>
        </w:tc>
        <w:tc>
          <w:tcPr>
            <w:tcW w:type="dxa" w:w="4392"/>
            <w:tcMar>
              <w:top w:w="110" w:type="dxa"/>
              <w:start w:w="130" w:type="dxa"/>
              <w:bottom w:w="110" w:type="dxa"/>
              <w:end w:w="130" w:type="dxa"/>
            </w:tcMar>
            <w:vAlign w:val="center"/>
          </w:tcPr>
          <w:p>
            <w:pPr>
              <w:spacing w:after="0" w:line="252" w:lineRule="auto"/>
            </w:pPr>
            <w:r>
              <w:rPr>
                <w:sz w:val="17"/>
              </w:rPr>
              <w:t>Preflight reservation, hard limits, and call-level metrics control AI use.</w:t>
            </w:r>
          </w:p>
        </w:tc>
        <w:tc>
          <w:tcPr>
            <w:tcW w:type="dxa" w:w="3528"/>
            <w:tcMar>
              <w:top w:w="110" w:type="dxa"/>
              <w:start w:w="130" w:type="dxa"/>
              <w:bottom w:w="110" w:type="dxa"/>
              <w:end w:w="130" w:type="dxa"/>
            </w:tcMar>
            <w:vAlign w:val="center"/>
          </w:tcPr>
          <w:p>
            <w:pPr>
              <w:spacing w:after="0" w:line="252" w:lineRule="auto"/>
            </w:pPr>
            <w:r>
              <w:rPr>
                <w:sz w:val="17"/>
              </w:rPr>
              <w:t>Reduces runaway cost and preserves central synthesis capacity.</w:t>
            </w:r>
          </w:p>
        </w:tc>
      </w:tr>
      <w:tr>
        <w:trPr>
          <w:cantSplit w:val="true"/>
        </w:trPr>
        <w:tc>
          <w:tcPr>
            <w:tcW w:type="dxa" w:w="1944"/>
            <w:shd w:fill="EAF2F8"/>
            <w:tcMar>
              <w:top w:w="110" w:type="dxa"/>
              <w:start w:w="130" w:type="dxa"/>
              <w:bottom w:w="110" w:type="dxa"/>
              <w:end w:w="130" w:type="dxa"/>
            </w:tcMar>
            <w:vAlign w:val="center"/>
          </w:tcPr>
          <w:p>
            <w:pPr>
              <w:spacing w:after="0" w:line="252" w:lineRule="auto"/>
            </w:pPr>
            <w:r>
              <w:rPr>
                <w:sz w:val="17"/>
              </w:rPr>
              <w:t>Graceful degradation</w:t>
            </w:r>
          </w:p>
        </w:tc>
        <w:tc>
          <w:tcPr>
            <w:tcW w:type="dxa" w:w="4392"/>
            <w:shd w:fill="EAF2F8"/>
            <w:tcMar>
              <w:top w:w="110" w:type="dxa"/>
              <w:start w:w="130" w:type="dxa"/>
              <w:bottom w:w="110" w:type="dxa"/>
              <w:end w:w="130" w:type="dxa"/>
            </w:tcMar>
            <w:vAlign w:val="center"/>
          </w:tcPr>
          <w:p>
            <w:pPr>
              <w:spacing w:after="0" w:line="252" w:lineRule="auto"/>
            </w:pPr>
            <w:r>
              <w:rPr>
                <w:sz w:val="17"/>
              </w:rPr>
              <w:t>Cache fallback, offline mode, evidence-only output, and an AI circuit breaker.</w:t>
            </w:r>
          </w:p>
        </w:tc>
        <w:tc>
          <w:tcPr>
            <w:tcW w:type="dxa" w:w="3528"/>
            <w:shd w:fill="EAF2F8"/>
            <w:tcMar>
              <w:top w:w="110" w:type="dxa"/>
              <w:start w:w="130" w:type="dxa"/>
              <w:bottom w:w="110" w:type="dxa"/>
              <w:end w:w="130" w:type="dxa"/>
            </w:tcMar>
            <w:vAlign w:val="center"/>
          </w:tcPr>
          <w:p>
            <w:pPr>
              <w:spacing w:after="0" w:line="252" w:lineRule="auto"/>
            </w:pPr>
            <w:r>
              <w:rPr>
                <w:sz w:val="17"/>
              </w:rPr>
              <w:t>Core evidence remains available during network or model disruption.</w:t>
            </w:r>
          </w:p>
        </w:tc>
      </w:tr>
      <w:tr>
        <w:trPr>
          <w:cantSplit w:val="true"/>
        </w:trPr>
        <w:tc>
          <w:tcPr>
            <w:tcW w:type="dxa" w:w="1944"/>
            <w:tcMar>
              <w:top w:w="110" w:type="dxa"/>
              <w:start w:w="130" w:type="dxa"/>
              <w:bottom w:w="110" w:type="dxa"/>
              <w:end w:w="130" w:type="dxa"/>
            </w:tcMar>
            <w:vAlign w:val="center"/>
          </w:tcPr>
          <w:p>
            <w:pPr>
              <w:spacing w:after="0" w:line="252" w:lineRule="auto"/>
            </w:pPr>
            <w:r>
              <w:rPr>
                <w:sz w:val="17"/>
              </w:rPr>
              <w:t>Access control</w:t>
            </w:r>
          </w:p>
        </w:tc>
        <w:tc>
          <w:tcPr>
            <w:tcW w:type="dxa" w:w="4392"/>
            <w:tcMar>
              <w:top w:w="110" w:type="dxa"/>
              <w:start w:w="130" w:type="dxa"/>
              <w:bottom w:w="110" w:type="dxa"/>
              <w:end w:w="130" w:type="dxa"/>
            </w:tcMar>
            <w:vAlign w:val="center"/>
          </w:tcPr>
          <w:p>
            <w:pPr>
              <w:spacing w:after="0" w:line="252" w:lineRule="auto"/>
            </w:pPr>
            <w:r>
              <w:rPr>
                <w:sz w:val="17"/>
              </w:rPr>
              <w:t>Auth, server-side roles, Row Level Security, CAPTCHA, and backend-only secrets.</w:t>
            </w:r>
          </w:p>
        </w:tc>
        <w:tc>
          <w:tcPr>
            <w:tcW w:type="dxa" w:w="3528"/>
            <w:tcMar>
              <w:top w:w="110" w:type="dxa"/>
              <w:start w:w="130" w:type="dxa"/>
              <w:bottom w:w="110" w:type="dxa"/>
              <w:end w:w="130" w:type="dxa"/>
            </w:tcMar>
            <w:vAlign w:val="center"/>
          </w:tcPr>
          <w:p>
            <w:pPr>
              <w:spacing w:after="0" w:line="252" w:lineRule="auto"/>
            </w:pPr>
            <w:r>
              <w:rPr>
                <w:sz w:val="17"/>
              </w:rPr>
              <w:t>Limits access to sensitive run and agent records.</w:t>
            </w:r>
          </w:p>
        </w:tc>
      </w:tr>
      <w:tr>
        <w:trPr>
          <w:cantSplit w:val="true"/>
        </w:trPr>
        <w:tc>
          <w:tcPr>
            <w:tcW w:type="dxa" w:w="1944"/>
            <w:shd w:fill="EAF2F8"/>
            <w:tcMar>
              <w:top w:w="110" w:type="dxa"/>
              <w:start w:w="130" w:type="dxa"/>
              <w:bottom w:w="110" w:type="dxa"/>
              <w:end w:w="130" w:type="dxa"/>
            </w:tcMar>
            <w:vAlign w:val="center"/>
          </w:tcPr>
          <w:p>
            <w:pPr>
              <w:spacing w:after="0" w:line="252" w:lineRule="auto"/>
            </w:pPr>
            <w:r>
              <w:rPr>
                <w:sz w:val="17"/>
              </w:rPr>
              <w:t>Auditability</w:t>
            </w:r>
          </w:p>
        </w:tc>
        <w:tc>
          <w:tcPr>
            <w:tcW w:type="dxa" w:w="4392"/>
            <w:shd w:fill="EAF2F8"/>
            <w:tcMar>
              <w:top w:w="110" w:type="dxa"/>
              <w:start w:w="130" w:type="dxa"/>
              <w:bottom w:w="110" w:type="dxa"/>
              <w:end w:w="130" w:type="dxa"/>
            </w:tcMar>
            <w:vAlign w:val="center"/>
          </w:tcPr>
          <w:p>
            <w:pPr>
              <w:spacing w:after="0" w:line="252" w:lineRule="auto"/>
            </w:pPr>
            <w:r>
              <w:rPr>
                <w:sz w:val="17"/>
              </w:rPr>
              <w:t>Runs record source health, stages, models, latency, errors, and token usage.</w:t>
            </w:r>
          </w:p>
        </w:tc>
        <w:tc>
          <w:tcPr>
            <w:tcW w:type="dxa" w:w="3528"/>
            <w:shd w:fill="EAF2F8"/>
            <w:tcMar>
              <w:top w:w="110" w:type="dxa"/>
              <w:start w:w="130" w:type="dxa"/>
              <w:bottom w:w="110" w:type="dxa"/>
              <w:end w:w="130" w:type="dxa"/>
            </w:tcMar>
            <w:vAlign w:val="center"/>
          </w:tcPr>
          <w:p>
            <w:pPr>
              <w:spacing w:after="0" w:line="252" w:lineRule="auto"/>
            </w:pPr>
            <w:r>
              <w:rPr>
                <w:sz w:val="17"/>
              </w:rPr>
              <w:t>Supports operational review without exposing chain-of-thought.</w:t>
            </w:r>
          </w:p>
        </w:tc>
      </w:tr>
    </w:tbl>
    <w:p>
      <w:pPr>
        <w:spacing w:after="40"/>
      </w:pPr>
    </w:p>
    <w:p>
      <w:pPr>
        <w:pStyle w:val="Heading2"/>
        <w:keepNext/>
      </w:pPr>
      <w:r>
        <w:t>Quality Assurance</w:t>
      </w:r>
    </w:p>
    <w:p>
      <w:pPr>
        <w:spacing w:after="160"/>
      </w:pPr>
      <w:r>
        <w:t>The repository includes Python and Node backend tests, frontend live-data and AI tests, TypeScript compilation, ESLint, and production build checks. Tests cover complete provider failure, partial outage, valid empty feeds, malformed responses, and UTC precipitation windows. Test fixtures are isolated from the application.</w:t>
      </w:r>
    </w:p>
    <w:p>
      <w:pPr>
        <w:pStyle w:val="Heading1"/>
        <w:keepNext/>
      </w:pPr>
      <w:r>
        <w:t>Known Boundaries</w:t>
      </w:r>
    </w:p>
    <w:p>
      <w:pPr>
        <w:spacing w:after="160"/>
      </w:pPr>
      <w:r>
        <w:t>The current release is a live evidence and source-linked assistance platform. It is not yet a complete emergency-management authority or automated response system. The following capabilities must not be represented as operational until their data, rules, and review workflows are implemented and verified.</w:t>
      </w:r>
    </w:p>
    <w:p>
      <w:pPr>
        <w:pStyle w:val="ListBullet"/>
        <w:spacing w:after="80"/>
        <w:ind w:left="360" w:hanging="259"/>
      </w:pPr>
      <w:r>
        <w:t>Persistent incident records that group related signals across hazard, place, and time.</w:t>
      </w:r>
    </w:p>
    <w:p>
      <w:pPr>
        <w:pStyle w:val="ListBullet"/>
        <w:spacing w:after="80"/>
        <w:ind w:left="360" w:hanging="259"/>
      </w:pPr>
      <w:r>
        <w:t>A full verification engine that scores authority, freshness, cross-source agreement, conflicts, and anomalies.</w:t>
      </w:r>
    </w:p>
    <w:p>
      <w:pPr>
        <w:pStyle w:val="ListBullet"/>
        <w:spacing w:after="80"/>
        <w:ind w:left="360" w:hanging="259"/>
      </w:pPr>
      <w:r>
        <w:t>Deterministic risk scoring, trend calculation, and threshold-based early warning.</w:t>
      </w:r>
    </w:p>
    <w:p>
      <w:pPr>
        <w:pStyle w:val="ListBullet"/>
        <w:spacing w:after="80"/>
        <w:ind w:left="360" w:hanging="259"/>
      </w:pPr>
      <w:r>
        <w:t>A cited knowledge base for NDMA, IMD, state procedures, and historical situation reports.</w:t>
      </w:r>
    </w:p>
    <w:p>
      <w:pPr>
        <w:pStyle w:val="ListBullet"/>
        <w:spacing w:after="80"/>
        <w:ind w:left="360" w:hanging="259"/>
      </w:pPr>
      <w:r>
        <w:t>Public-report ingestion, corroboration, and geospatial classification.</w:t>
      </w:r>
    </w:p>
    <w:p>
      <w:pPr>
        <w:pStyle w:val="ListBullet"/>
        <w:spacing w:after="80"/>
        <w:ind w:left="360" w:hanging="259"/>
      </w:pPr>
      <w:r>
        <w:t>Verified shelter, hospital, route, infrastructure exposure, and resource recommendations.</w:t>
      </w:r>
    </w:p>
    <w:p>
      <w:pPr>
        <w:pStyle w:val="ListBullet"/>
        <w:spacing w:after="80"/>
        <w:ind w:left="360" w:hanging="259"/>
      </w:pPr>
      <w:r>
        <w:t>Operator-reviewed official alert delivery and end-to-end delivery audit history.</w:t>
      </w:r>
    </w:p>
    <w:p>
      <w:pPr>
        <w:pStyle w:val="ListBullet"/>
        <w:spacing w:after="80"/>
        <w:ind w:left="360" w:hanging="259"/>
      </w:pPr>
      <w:r>
        <w:t>Continuous event streaming across all panels beyond successful source refresh synchronization.</w:t>
      </w:r>
    </w:p>
    <w:p>
      <w:pPr>
        <w:pStyle w:val="Heading1"/>
        <w:keepNext/>
      </w:pPr>
      <w:r>
        <w:t>Recommended Solution Roadmap</w:t>
      </w:r>
    </w:p>
    <w:p>
      <w:pPr>
        <w:spacing w:after="160"/>
      </w:pPr>
      <w:r>
        <w:t>The next phase should extend the current evidence platform into a durable incident workflow without weakening its source and safety boundaries.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val="true"/>
        </w:trPr>
        <w:tc>
          <w:tcPr>
            <w:tcW w:type="dxa" w:w="936"/>
            <w:shd w:fill="17365D"/>
            <w:tcMar>
              <w:top w:w="120" w:type="dxa"/>
              <w:start w:w="130" w:type="dxa"/>
              <w:bottom w:w="120" w:type="dxa"/>
              <w:end w:w="130" w:type="dxa"/>
            </w:tcMar>
            <w:vAlign w:val="center"/>
          </w:tcPr>
          <w:p>
            <w:pPr>
              <w:spacing w:after="0"/>
              <w:jc w:val="left"/>
            </w:pPr>
            <w:r>
              <w:rPr>
                <w:b/>
                <w:color w:val="FFFFFF"/>
                <w:sz w:val="18"/>
              </w:rPr>
              <w:t>Priority</w:t>
            </w:r>
          </w:p>
        </w:tc>
        <w:tc>
          <w:tcPr>
            <w:tcW w:type="dxa" w:w="2880"/>
            <w:shd w:fill="17365D"/>
            <w:tcMar>
              <w:top w:w="120" w:type="dxa"/>
              <w:start w:w="130" w:type="dxa"/>
              <w:bottom w:w="120" w:type="dxa"/>
              <w:end w:w="130" w:type="dxa"/>
            </w:tcMar>
            <w:vAlign w:val="center"/>
          </w:tcPr>
          <w:p>
            <w:pPr>
              <w:spacing w:after="0"/>
              <w:jc w:val="left"/>
            </w:pPr>
            <w:r>
              <w:rPr>
                <w:b/>
                <w:color w:val="FFFFFF"/>
                <w:sz w:val="18"/>
              </w:rPr>
              <w:t>Deliverable</w:t>
            </w:r>
          </w:p>
        </w:tc>
        <w:tc>
          <w:tcPr>
            <w:tcW w:type="dxa" w:w="6048"/>
            <w:shd w:fill="17365D"/>
            <w:tcMar>
              <w:top w:w="120" w:type="dxa"/>
              <w:start w:w="130" w:type="dxa"/>
              <w:bottom w:w="120" w:type="dxa"/>
              <w:end w:w="130" w:type="dxa"/>
            </w:tcMar>
            <w:vAlign w:val="center"/>
          </w:tcPr>
          <w:p>
            <w:pPr>
              <w:spacing w:after="0"/>
              <w:jc w:val="left"/>
            </w:pPr>
            <w:r>
              <w:rPr>
                <w:b/>
                <w:color w:val="FFFFFF"/>
                <w:sz w:val="18"/>
              </w:rPr>
              <w:t>Acceptance outcome</w:t>
            </w:r>
          </w:p>
        </w:tc>
      </w:tr>
      <w:tr>
        <w:trPr>
          <w:cantSplit w:val="true"/>
        </w:trPr>
        <w:tc>
          <w:tcPr>
            <w:tcW w:type="dxa" w:w="936"/>
            <w:tcMar>
              <w:top w:w="110" w:type="dxa"/>
              <w:start w:w="130" w:type="dxa"/>
              <w:bottom w:w="110" w:type="dxa"/>
              <w:end w:w="130" w:type="dxa"/>
            </w:tcMar>
            <w:vAlign w:val="center"/>
          </w:tcPr>
          <w:p>
            <w:pPr>
              <w:spacing w:after="0" w:line="252" w:lineRule="auto"/>
            </w:pPr>
            <w:r>
              <w:rPr>
                <w:sz w:val="18"/>
              </w:rPr>
              <w:t>1</w:t>
            </w:r>
          </w:p>
        </w:tc>
        <w:tc>
          <w:tcPr>
            <w:tcW w:type="dxa" w:w="2880"/>
            <w:tcMar>
              <w:top w:w="110" w:type="dxa"/>
              <w:start w:w="130" w:type="dxa"/>
              <w:bottom w:w="110" w:type="dxa"/>
              <w:end w:w="130" w:type="dxa"/>
            </w:tcMar>
            <w:vAlign w:val="center"/>
          </w:tcPr>
          <w:p>
            <w:pPr>
              <w:spacing w:after="0" w:line="252" w:lineRule="auto"/>
            </w:pPr>
            <w:r>
              <w:rPr>
                <w:sz w:val="18"/>
              </w:rPr>
              <w:t>Complete one incident lifecycle</w:t>
            </w:r>
          </w:p>
        </w:tc>
        <w:tc>
          <w:tcPr>
            <w:tcW w:type="dxa" w:w="6048"/>
            <w:tcMar>
              <w:top w:w="110" w:type="dxa"/>
              <w:start w:w="130" w:type="dxa"/>
              <w:bottom w:w="110" w:type="dxa"/>
              <w:end w:w="130" w:type="dxa"/>
            </w:tcMar>
            <w:vAlign w:val="center"/>
          </w:tcPr>
          <w:p>
            <w:pPr>
              <w:spacing w:after="0" w:line="252" w:lineRule="auto"/>
            </w:pPr>
            <w:r>
              <w:rPr>
                <w:sz w:val="18"/>
              </w:rPr>
              <w:t>A Chennai weather signal becomes a persisted incident with evidence, verification result, deterministic risk assessment, explanation, and versioned SITREP.</w:t>
            </w:r>
          </w:p>
        </w:tc>
      </w:tr>
      <w:tr>
        <w:trPr>
          <w:cantSplit w:val="true"/>
        </w:trPr>
        <w:tc>
          <w:tcPr>
            <w:tcW w:type="dxa" w:w="936"/>
            <w:shd w:fill="EAF2F8"/>
            <w:tcMar>
              <w:top w:w="110" w:type="dxa"/>
              <w:start w:w="130" w:type="dxa"/>
              <w:bottom w:w="110" w:type="dxa"/>
              <w:end w:w="130" w:type="dxa"/>
            </w:tcMar>
            <w:vAlign w:val="center"/>
          </w:tcPr>
          <w:p>
            <w:pPr>
              <w:spacing w:after="0" w:line="252" w:lineRule="auto"/>
            </w:pPr>
            <w:r>
              <w:rPr>
                <w:sz w:val="18"/>
              </w:rPr>
              <w:t>2</w:t>
            </w:r>
          </w:p>
        </w:tc>
        <w:tc>
          <w:tcPr>
            <w:tcW w:type="dxa" w:w="2880"/>
            <w:shd w:fill="EAF2F8"/>
            <w:tcMar>
              <w:top w:w="110" w:type="dxa"/>
              <w:start w:w="130" w:type="dxa"/>
              <w:bottom w:w="110" w:type="dxa"/>
              <w:end w:w="130" w:type="dxa"/>
            </w:tcMar>
            <w:vAlign w:val="center"/>
          </w:tcPr>
          <w:p>
            <w:pPr>
              <w:spacing w:after="0" w:line="252" w:lineRule="auto"/>
            </w:pPr>
            <w:r>
              <w:rPr>
                <w:sz w:val="18"/>
              </w:rPr>
              <w:t>Add missing providers</w:t>
            </w:r>
          </w:p>
        </w:tc>
        <w:tc>
          <w:tcPr>
            <w:tcW w:type="dxa" w:w="6048"/>
            <w:shd w:fill="EAF2F8"/>
            <w:tcMar>
              <w:top w:w="110" w:type="dxa"/>
              <w:start w:w="130" w:type="dxa"/>
              <w:bottom w:w="110" w:type="dxa"/>
              <w:end w:w="130" w:type="dxa"/>
            </w:tcMar>
            <w:vAlign w:val="center"/>
          </w:tcPr>
          <w:p>
            <w:pPr>
              <w:spacing w:after="0" w:line="252" w:lineRule="auto"/>
            </w:pPr>
            <w:r>
              <w:rPr>
                <w:sz w:val="18"/>
              </w:rPr>
              <w:t>Fire and thermal, news, and geospatial infrastructure adapters expose typed data, health, freshness, and explicit outage states.</w:t>
            </w:r>
          </w:p>
        </w:tc>
      </w:tr>
      <w:tr>
        <w:trPr>
          <w:cantSplit w:val="true"/>
        </w:trPr>
        <w:tc>
          <w:tcPr>
            <w:tcW w:type="dxa" w:w="936"/>
            <w:tcMar>
              <w:top w:w="110" w:type="dxa"/>
              <w:start w:w="130" w:type="dxa"/>
              <w:bottom w:w="110" w:type="dxa"/>
              <w:end w:w="130" w:type="dxa"/>
            </w:tcMar>
            <w:vAlign w:val="center"/>
          </w:tcPr>
          <w:p>
            <w:pPr>
              <w:spacing w:after="0" w:line="252" w:lineRule="auto"/>
            </w:pPr>
            <w:r>
              <w:rPr>
                <w:sz w:val="18"/>
              </w:rPr>
              <w:t>3</w:t>
            </w:r>
          </w:p>
        </w:tc>
        <w:tc>
          <w:tcPr>
            <w:tcW w:type="dxa" w:w="2880"/>
            <w:tcMar>
              <w:top w:w="110" w:type="dxa"/>
              <w:start w:w="130" w:type="dxa"/>
              <w:bottom w:w="110" w:type="dxa"/>
              <w:end w:w="130" w:type="dxa"/>
            </w:tcMar>
            <w:vAlign w:val="center"/>
          </w:tcPr>
          <w:p>
            <w:pPr>
              <w:spacing w:after="0" w:line="252" w:lineRule="auto"/>
            </w:pPr>
            <w:r>
              <w:rPr>
                <w:sz w:val="18"/>
              </w:rPr>
              <w:t>Add authoritative retrieval</w:t>
            </w:r>
          </w:p>
        </w:tc>
        <w:tc>
          <w:tcPr>
            <w:tcW w:type="dxa" w:w="6048"/>
            <w:tcMar>
              <w:top w:w="110" w:type="dxa"/>
              <w:start w:w="130" w:type="dxa"/>
              <w:bottom w:w="110" w:type="dxa"/>
              <w:end w:w="130" w:type="dxa"/>
            </w:tcMar>
            <w:vAlign w:val="center"/>
          </w:tcPr>
          <w:p>
            <w:pPr>
              <w:spacing w:after="0" w:line="252" w:lineRule="auto"/>
            </w:pPr>
            <w:r>
              <w:rPr>
                <w:sz w:val="18"/>
              </w:rPr>
              <w:t>Procedures and response guidance come from cited NDMA, IMD, state SOP, and historical SITREP content, separated from live facts.</w:t>
            </w:r>
          </w:p>
        </w:tc>
      </w:tr>
      <w:tr>
        <w:trPr>
          <w:cantSplit w:val="true"/>
        </w:trPr>
        <w:tc>
          <w:tcPr>
            <w:tcW w:type="dxa" w:w="936"/>
            <w:shd w:fill="EAF2F8"/>
            <w:tcMar>
              <w:top w:w="110" w:type="dxa"/>
              <w:start w:w="130" w:type="dxa"/>
              <w:bottom w:w="110" w:type="dxa"/>
              <w:end w:w="130" w:type="dxa"/>
            </w:tcMar>
            <w:vAlign w:val="center"/>
          </w:tcPr>
          <w:p>
            <w:pPr>
              <w:spacing w:after="0" w:line="252" w:lineRule="auto"/>
            </w:pPr>
            <w:r>
              <w:rPr>
                <w:sz w:val="18"/>
              </w:rPr>
              <w:t>4</w:t>
            </w:r>
          </w:p>
        </w:tc>
        <w:tc>
          <w:tcPr>
            <w:tcW w:type="dxa" w:w="2880"/>
            <w:shd w:fill="EAF2F8"/>
            <w:tcMar>
              <w:top w:w="110" w:type="dxa"/>
              <w:start w:w="130" w:type="dxa"/>
              <w:bottom w:w="110" w:type="dxa"/>
              <w:end w:w="130" w:type="dxa"/>
            </w:tcMar>
            <w:vAlign w:val="center"/>
          </w:tcPr>
          <w:p>
            <w:pPr>
              <w:spacing w:after="0" w:line="252" w:lineRule="auto"/>
            </w:pPr>
            <w:r>
              <w:rPr>
                <w:sz w:val="18"/>
              </w:rPr>
              <w:t>Add public reports and planning</w:t>
            </w:r>
          </w:p>
        </w:tc>
        <w:tc>
          <w:tcPr>
            <w:tcW w:type="dxa" w:w="6048"/>
            <w:shd w:fill="EAF2F8"/>
            <w:tcMar>
              <w:top w:w="110" w:type="dxa"/>
              <w:start w:w="130" w:type="dxa"/>
              <w:bottom w:w="110" w:type="dxa"/>
              <w:end w:w="130" w:type="dxa"/>
            </w:tcMar>
            <w:vAlign w:val="center"/>
          </w:tcPr>
          <w:p>
            <w:pPr>
              <w:spacing w:after="0" w:line="252" w:lineRule="auto"/>
            </w:pPr>
            <w:r>
              <w:rPr>
                <w:sz w:val="18"/>
              </w:rPr>
              <w:t>Reports remain unverified until corroborated; recommendations use verified shelters, hospitals, roads, and resources.</w:t>
            </w:r>
          </w:p>
        </w:tc>
      </w:tr>
      <w:tr>
        <w:trPr>
          <w:cantSplit w:val="true"/>
        </w:trPr>
        <w:tc>
          <w:tcPr>
            <w:tcW w:type="dxa" w:w="936"/>
            <w:tcMar>
              <w:top w:w="110" w:type="dxa"/>
              <w:start w:w="130" w:type="dxa"/>
              <w:bottom w:w="110" w:type="dxa"/>
              <w:end w:w="130" w:type="dxa"/>
            </w:tcMar>
            <w:vAlign w:val="center"/>
          </w:tcPr>
          <w:p>
            <w:pPr>
              <w:spacing w:after="0" w:line="252" w:lineRule="auto"/>
            </w:pPr>
            <w:r>
              <w:rPr>
                <w:sz w:val="18"/>
              </w:rPr>
              <w:t>5</w:t>
            </w:r>
          </w:p>
        </w:tc>
        <w:tc>
          <w:tcPr>
            <w:tcW w:type="dxa" w:w="2880"/>
            <w:tcMar>
              <w:top w:w="110" w:type="dxa"/>
              <w:start w:w="130" w:type="dxa"/>
              <w:bottom w:w="110" w:type="dxa"/>
              <w:end w:w="130" w:type="dxa"/>
            </w:tcMar>
            <w:vAlign w:val="center"/>
          </w:tcPr>
          <w:p>
            <w:pPr>
              <w:spacing w:after="0" w:line="252" w:lineRule="auto"/>
            </w:pPr>
            <w:r>
              <w:rPr>
                <w:sz w:val="18"/>
              </w:rPr>
              <w:t>Add reviewed alerts and streaming</w:t>
            </w:r>
          </w:p>
        </w:tc>
        <w:tc>
          <w:tcPr>
            <w:tcW w:type="dxa" w:w="6048"/>
            <w:tcMar>
              <w:top w:w="110" w:type="dxa"/>
              <w:start w:w="130" w:type="dxa"/>
              <w:bottom w:w="110" w:type="dxa"/>
              <w:end w:w="130" w:type="dxa"/>
            </w:tcMar>
            <w:vAlign w:val="center"/>
          </w:tcPr>
          <w:p>
            <w:pPr>
              <w:spacing w:after="0" w:line="252" w:lineRule="auto"/>
            </w:pPr>
            <w:r>
              <w:rPr>
                <w:sz w:val="18"/>
              </w:rPr>
              <w:t>Deterministic triggers create drafts for operator approval, delivery adapters record status, and changed outputs update the interface in real time.</w:t>
            </w:r>
          </w:p>
        </w:tc>
      </w:tr>
    </w:tbl>
    <w:p>
      <w:pPr>
        <w:spacing w:after="40"/>
      </w:pPr>
    </w:p>
    <w:p>
      <w:pPr>
        <w:pStyle w:val="Heading2"/>
        <w:keepNext/>
      </w:pPr>
      <w:r>
        <w:t>Recommended Delivery Principles</w:t>
      </w:r>
    </w:p>
    <w:p>
      <w:pPr>
        <w:pStyle w:val="ListBullet"/>
        <w:spacing w:after="80"/>
        <w:ind w:left="360" w:hanging="259"/>
      </w:pPr>
      <w:r>
        <w:t>Keep current facts, historical knowledge, and model explanation as separate evidence classes.</w:t>
      </w:r>
    </w:p>
    <w:p>
      <w:pPr>
        <w:pStyle w:val="ListBullet"/>
        <w:spacing w:after="80"/>
        <w:ind w:left="360" w:hanging="259"/>
      </w:pPr>
      <w:r>
        <w:t>Require deterministic calculations for risk, thresholds, and alert triggers; use AI only to explain approved results.</w:t>
      </w:r>
    </w:p>
    <w:p>
      <w:pPr>
        <w:pStyle w:val="ListBullet"/>
        <w:spacing w:after="80"/>
        <w:ind w:left="360" w:hanging="259"/>
      </w:pPr>
      <w:r>
        <w:t>Make every operational recommendation traceable to verified geospatial data and authoritative guidance.</w:t>
      </w:r>
    </w:p>
    <w:p>
      <w:pPr>
        <w:pStyle w:val="ListBullet"/>
        <w:spacing w:after="80"/>
        <w:ind w:left="360" w:hanging="259"/>
      </w:pPr>
      <w:r>
        <w:t>Preserve human approval for public alerts and other externally consequential actions.</w:t>
      </w:r>
    </w:p>
    <w:p>
      <w:pPr>
        <w:pStyle w:val="ListBullet"/>
        <w:spacing w:after="80"/>
        <w:ind w:left="360" w:hanging="259"/>
      </w:pPr>
      <w:r>
        <w:t>Expand observability with incident-level latency, freshness, provider reliability, cost, and delivery metrics.</w:t>
      </w:r>
    </w:p>
    <w:p>
      <w:pPr>
        <w:pStyle w:val="Heading1"/>
        <w:keepNext/>
      </w:pPr>
      <w:r>
        <w:t>Conclusion</w:t>
      </w:r>
    </w:p>
    <w:p>
      <w:pPr>
        <w:keepLines/>
        <w:spacing w:after="160"/>
      </w:pPr>
      <w:r>
        <w:t>Sarathi provides a practical foundation for multi-source disaster intelligence: a single interface, selective specialist routing, evidence-bounded AI, live public data, resilient local storage, cloud synchronization, account security, and detailed operational metrics. Its strongest design decision is that missing authority is visible. The system can assist users with current evidence without pretending that forecasts are warnings, news is verification, or an unconnected risk engine exists.</w:t>
      </w:r>
    </w:p>
    <w:p>
      <w:pPr>
        <w:keepLines/>
        <w:spacing w:after="160"/>
      </w:pPr>
      <w:r>
        <w:t>For InnoVax, the next investment should focus on a complete, auditable incident lifecycle. Persisted incidents, deterministic verification and risk, authoritative retrieval, verified response assets, and reviewed alert delivery will convert the current situational-awareness platform into an operational decision-support system while preserving its existing safety controls.</w:t>
      </w:r>
    </w:p>
    <w:p>
      <w:pPr>
        <w:pStyle w:val="Heading1"/>
        <w:keepNext/>
      </w:pPr>
      <w:r>
        <w:t>Repository Basis</w:t>
      </w:r>
    </w:p>
    <w:p>
      <w:pPr>
        <w:spacing w:after="160"/>
      </w:pPr>
      <w:r>
        <w:t>This documentation was derived from the current Sarathi repository, including the root README, product workflows, frontend package configuration, Python and Node orchestration, live-data adapters, Supabase migrations, environment configuration, and automated tests.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072" w:val="left"/>
      </w:tabs>
      <w:jc w:val="right"/>
    </w:pPr>
    <w:r>
      <w:rPr>
        <w:color w:val="667085"/>
        <w:sz w:val="17"/>
      </w:rPr>
      <w:t>Sarathi Technical Documentation  |  InnoVax</w:t>
    </w:r>
    <w:r>
      <w:tab/>
    </w:r>
    <w:r>
      <w:rPr>
        <w:rFonts w:ascii="Aptos" w:hAnsi="Aptos"/>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Sarathi Multi Agent Disaster Intelligence Platform</dc:title>
  <dc:subject>Problem statement technology stack and solution design</dc:subject>
  <dc:creator>InnoVax</dc:creator>
  <cp:keywords>Sarathi, multi-agent, disaster intelligence, InnoVax</cp:keywords>
  <dc:description>generated by python-docx</dc:description>
  <cp:lastModifiedBy/>
  <cp:revision>1</cp:revision>
  <dcterms:created xsi:type="dcterms:W3CDTF">2013-12-23T23:15:00Z</dcterms:created>
  <dcterms:modified xsi:type="dcterms:W3CDTF">2013-12-23T23:15:00Z</dcterms:modified>
  <cp:category/>
</cp:coreProperties>
</file>