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after="420" w:line="456"/>
        <w:jc w:val="center"/>
        <w:rPr>
          <w:color w:val="8a6d3b"/>
        </w:rPr>
      </w:pPr>
      <w:r>
        <w:rPr>
          <w:rFonts w:hint="eastAsia" w:ascii="Source Han Serif SC" w:hAnsi="Source Han Serif SC" w:eastAsia="Source Han Serif SC" w:cs="Source Han Serif SC"/>
          <w:color w:val="8a6d3b"/>
          <w:spacing w:val="96"/>
          <w:sz w:val="20"/>
        </w:rPr>
        <w:t>统 计 方 法 报 告</w:t>
      </w:r>
    </w:p>
    <w:p w14:paraId="7A8006A1">
      <w:pPr>
        <w:pStyle w:val="000004"/>
        <w:keepNext w:val="1"/>
        <w:keepLines w:val="1"/>
        <w:spacing w:before="100" w:beforeAutospacing="1" w:after="100" w:afterAutospacing="1" w:line="456"/>
        <w:jc w:val="center"/>
        <w:outlineLvl w:val="0"/>
        <w:rPr>
          <w:color w:val="1f3864"/>
          <w:kern w:val="44"/>
          <w:sz w:val="44"/>
          <w:szCs w:val="44"/>
        </w:rPr>
      </w:pPr>
      <w:r>
        <w:rPr>
          <w:rFonts w:hint="eastAsia" w:ascii="Source Han Serif SC" w:hAnsi="Source Han Serif SC" w:eastAsia="Source Han Serif SC" w:cs="Source Han Serif SC"/>
          <w:b w:val="1"/>
          <w:color w:val="1f3864"/>
          <w:spacing w:val="19"/>
          <w:sz w:val="51"/>
        </w:rPr>
        <w:t>统计口径标准报告</w:t>
      </w:r>
    </w:p>
    <w:p w14:paraId="0DF9E39E">
      <w:pPr>
        <w:spacing w:after="1050" w:line="456"/>
        <w:jc w:val="center"/>
        <w:rPr>
          <w:color w:val="5a6472"/>
        </w:rPr>
      </w:pPr>
      <w:r>
        <w:rPr>
          <w:rFonts w:hint="eastAsia" w:ascii="Source Han Serif SC" w:hAnsi="Source Han Serif SC" w:eastAsia="Source Han Serif SC" w:cs="Source Han Serif SC"/>
          <w:color w:val="5a6472"/>
          <w:sz w:val="24"/>
        </w:rPr>
        <w:t>互联网框架模型支持度统计 · 八个维度逐一复盘：两种标准 · 出现原因 · 最终选择</w:t>
      </w:r>
    </w:p>
    <w:p w14:paraId="29EDE35B">
      <w:pPr>
        <w:spacing w:line="528"/>
        <w:jc w:val="center"/>
        <w:rPr>
          <w:color w:val="7a828e"/>
        </w:rPr>
      </w:pPr>
      <w:r>
        <w:rPr>
          <w:rFonts w:hint="eastAsia" w:ascii="Source Han Serif SC" w:hAnsi="Source Han Serif SC" w:eastAsia="Source Han Serif SC" w:cs="Source Han Serif SC"/>
          <w:b w:val="1"/>
          <w:color w:val="4a5560"/>
          <w:sz w:val="20"/>
        </w:rPr>
        <w:t>统计对象</w:t>
      </w:r>
      <w:r>
        <w:rPr>
          <w:rFonts w:hint="eastAsia" w:ascii="Source Han Serif SC" w:hAnsi="Source Han Serif SC" w:eastAsia="Source Han Serif SC" w:cs="Source Han Serif SC"/>
          <w:color w:val="7a828e"/>
          <w:sz w:val="20"/>
        </w:rPr>
        <w:t>：verl · veOmni · Oxygen-xLLM · Areal · TorchTurbo</w:t>
      </w:r>
      <w:r>
        <w:br w:type="textWrapping"/>
      </w:r>
      <w:r>
        <w:rPr>
          <w:rFonts w:hint="eastAsia" w:ascii="Source Han Serif SC" w:hAnsi="Source Han Serif SC" w:eastAsia="Source Han Serif SC" w:cs="Source Han Serif SC"/>
          <w:b w:val="1"/>
          <w:color w:val="4a5560"/>
          <w:sz w:val="20"/>
        </w:rPr>
        <w:t>统计指标</w:t>
      </w:r>
      <w:r>
        <w:rPr>
          <w:rFonts w:hint="eastAsia" w:ascii="Source Han Serif SC" w:hAnsi="Source Han Serif SC" w:eastAsia="Source Han Serif SC" w:cs="Source Han Serif SC"/>
          <w:color w:val="7a828e"/>
          <w:sz w:val="20"/>
        </w:rPr>
        <w:t>：NV 支持模型 / 26 年 NV 新增 / NPU 支持模型 / 26 年 NPU 新增</w:t>
      </w:r>
      <w:r>
        <w:br w:type="textWrapping"/>
      </w:r>
      <w:r>
        <w:rPr>
          <w:rFonts w:hint="eastAsia" w:ascii="Source Han Serif SC" w:hAnsi="Source Han Serif SC" w:eastAsia="Source Han Serif SC" w:cs="Source Han Serif SC"/>
          <w:b w:val="1"/>
          <w:color w:val="4a5560"/>
          <w:sz w:val="20"/>
        </w:rPr>
        <w:t>报告日期</w:t>
      </w:r>
      <w:r>
        <w:rPr>
          <w:rFonts w:hint="eastAsia" w:ascii="Source Han Serif SC" w:hAnsi="Source Han Serif SC" w:eastAsia="Source Han Serif SC" w:cs="Source Han Serif SC"/>
          <w:color w:val="7a828e"/>
          <w:sz w:val="20"/>
        </w:rPr>
        <w:t xml:space="preserve">：2026 年 10 月 23 日 </w:t>
      </w:r>
    </w:p>
    <w:p w14:paraId="220013DD">
      <w:pPr>
        <w:pStyle w:val="000005"/>
        <w:keepNext w:val="1"/>
        <w:keepLines w:val="1"/>
        <w:pBdr>
          <w:left w:val="single" w:color="c9a24b" w:sz="24" w:space="9"/>
        </w:pBdr>
        <w:spacing w:before="100" w:beforeAutospacing="1" w:after="100" w:afterAutospacing="1" w:line="456"/>
        <w:outlineLvl w:val="1"/>
        <w:rPr>
          <w:color w:val="1f3864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1f3864"/>
          <w:sz w:val="30"/>
        </w:rPr>
        <w:t>目 录</w:t>
      </w:r>
    </w:p>
    <w:p w14:paraId="7D6563D0">
      <w:pPr>
        <w:numPr>
          <w:ilvl w:val="0"/>
          <w:numId w:val="1"/>
        </w:numPr>
        <w:spacing w:line="576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背景</w:t>
      </w:r>
    </w:p>
    <w:p w14:paraId="49001043">
      <w:pPr>
        <w:numPr>
          <w:ilvl w:val="0"/>
          <w:numId w:val="1"/>
        </w:numPr>
        <w:spacing w:line="576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八个口径维度逐一复盘</w:t>
      </w:r>
    </w:p>
    <w:p w14:paraId="3492BA75">
      <w:pPr>
        <w:numPr>
          <w:ilvl w:val="0"/>
          <w:numId w:val="1"/>
        </w:numPr>
        <w:spacing w:line="576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统一结果速览与最终数字</w:t>
      </w:r>
    </w:p>
    <w:p w14:paraId="0E4AF558">
      <w:pPr>
        <w:numPr>
          <w:ilvl w:val="0"/>
          <w:numId w:val="1"/>
        </w:numPr>
        <w:spacing w:line="576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结语</w:t>
      </w:r>
    </w:p>
    <w:p w14:paraId="3A64D945">
      <w:pPr>
        <w:pBdr>
          <w:bottom w:val="single" w:color="e3e7ec" w:sz="6"/>
        </w:pBdr>
        <w:spacing w:line="456"/>
        <w:rPr>
          <w:color w:val="98a0aa"/>
        </w:rPr>
      </w:pPr>
      <w:r>
        <w:rPr>
          <w:rFonts w:hint="eastAsia" w:ascii="Source Han Serif SC" w:hAnsi="Source Han Serif SC" w:eastAsia="Source Han Serif SC" w:cs="Source Han Serif SC"/>
          <w:color w:val="98a0aa"/>
          <w:sz w:val="17"/>
        </w:rPr>
        <w:t>统计口径标准报告 · 2026-10-23 · 依据源码快照与五轮交叉审计记录编制 · 执行层操作细则见执行规范，不在本报告展开</w:t>
      </w:r>
    </w:p>
    <w:p w14:paraId="515B15C2">
      <w:pPr>
        <w:pStyle w:val="000005"/>
        <w:keepNext w:val="1"/>
        <w:keepLines w:val="1"/>
        <w:pBdr>
          <w:left w:val="single" w:color="c9a24b" w:sz="24" w:space="9"/>
        </w:pBdr>
        <w:spacing w:before="630" w:beforeAutospacing="1" w:after="630" w:afterAutospacing="1" w:line="456"/>
        <w:ind w:left="630" w:right="630"/>
        <w:outlineLvl w:val="1"/>
        <w:rPr>
          <w:color w:val="1f3864"/>
          <w:sz w:val="32"/>
          <w:szCs w:val="32"/>
        </w:rPr>
      </w:pPr>
      <w:bookmarkStart w:id="1" w:name="section-1"/>
      <w:r>
        <w:rPr>
          <w:rFonts w:hint="eastAsia" w:ascii="Source Han Serif SC" w:hAnsi="Source Han Serif SC" w:eastAsia="Source Han Serif SC" w:cs="Source Han Serif SC"/>
          <w:b w:val="1"/>
          <w:color w:val="1f3864"/>
          <w:sz w:val="30"/>
        </w:rPr>
        <w:t>一、背景</w:t>
      </w:r>
      <w:bookmarkEnd w:id="1"/>
    </w:p>
    <w:p w14:paraId="03EE6F13">
      <w:pPr>
        <w:spacing w:before="120" w:after="120" w:line="456"/>
        <w:ind w:left="120" w:right="120"/>
        <w:jc w:val="both"/>
        <w:rPr>
          <w:color w:val="3d4650"/>
        </w:rPr>
      </w:pPr>
      <w:r>
        <w:rPr>
          <w:rFonts w:hint="eastAsia" w:ascii="Source Han Serif SC" w:hAnsi="Source Han Serif SC" w:eastAsia="Source Han Serif SC" w:cs="Source Han Serif SC"/>
          <w:color w:val="3d4650"/>
          <w:sz w:val="21"/>
        </w:rPr>
        <w:t>本次统计回答五个开源框架各自「支持哪些模型」，拆出四个指标：NV 支持的模型列表、26 年 NV 新增、NPU 支持的模型列表、26 年 NPU 新增。任务由两条独立统计线各自执行，完成后交叉比对——几乎每个指标都出现了数字分歧。</w:t>
      </w:r>
    </w:p>
    <w:p w14:paraId="3FEBE936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逐项回溯后确认：分歧的根源不在计算过程，而在于两条统计线各自默认了一套不同的口径标准。本报告按八个维度逐一复盘：每个维度先列出当时出现的两种标准，再说明这两种标准各自为什么会出现（各自的合理性来源），最后给出统一后采用了哪种标准、为什么。执行层面的操作细节已固化进执行规范，不在本报告展开。</w:t>
      </w:r>
    </w:p>
    <w:p w14:paraId="46E5426F">
      <w:pPr>
        <w:pStyle w:val="000005"/>
        <w:keepNext w:val="1"/>
        <w:keepLines w:val="1"/>
        <w:pBdr>
          <w:left w:val="single" w:color="c9a24b" w:sz="24" w:space="9"/>
        </w:pBdr>
        <w:spacing w:before="630" w:beforeAutospacing="1" w:after="630" w:afterAutospacing="1" w:line="456"/>
        <w:ind w:left="630" w:right="630"/>
        <w:outlineLvl w:val="1"/>
        <w:rPr>
          <w:color w:val="1f3864"/>
          <w:sz w:val="32"/>
          <w:szCs w:val="32"/>
        </w:rPr>
      </w:pPr>
      <w:bookmarkStart w:id="2" w:name="section-2"/>
      <w:r>
        <w:rPr>
          <w:rFonts w:hint="eastAsia" w:ascii="Source Han Serif SC" w:hAnsi="Source Han Serif SC" w:eastAsia="Source Han Serif SC" w:cs="Source Han Serif SC"/>
          <w:b w:val="1"/>
          <w:color w:val="1f3864"/>
          <w:sz w:val="30"/>
        </w:rPr>
        <w:t>二、八个口径维度逐一复盘</w:t>
      </w:r>
      <w:bookmarkEnd w:id="2"/>
    </w:p>
    <w:p w14:paraId="3B805214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1　模型计数单位：按模型族，还是按具体型号</w:t>
      </w:r>
    </w:p>
    <w:p w14:paraId="669237F1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标准甲：按模型族计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——代码仓库按架构组织（qwen3、qwen3_moe 各一个目录），一个目录一条，Areal 数出 6 个。</w:t>
      </w:r>
    </w:p>
    <w:p w14:paraId="7DBAA456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标准乙：按具体型号计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——每个可独立下载的权重各算一条（Qwen3-8B、Qwen3-32B 是两条），数出 22 个。</w:t>
      </w:r>
    </w:p>
    <w:p w14:paraId="7EC99940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：标准甲从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框架代码仓库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出发——开发者眼里，一个目录就是一份实现、一次注册，族的边界稳定、统计成本低，这是工程侧的自然单位。标准乙从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模型使用侧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出发——权重按型号发布在 HuggingFace 上，业务问「能不能跑某个模型」时指的是具体型号，这是部署侧的自然单位。两种标准各自站在自己最熟悉的一侧，都合理。</w:t>
      </w:r>
    </w:p>
    <w:p w14:paraId="47492B38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：标准乙——主表按具体型号计，另设「按族汇总」表承接族级数字。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：型号与可下载权重一一对应，每个条目都能被独立验证；业务问「能跑多少模型」时指向的是可部署的东西，无法下载一个叫「qwen3」的族。族级信息由附表保留，两层不丢信息。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63C8EFD7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：数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菜系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还是数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菜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——「川菜」算 1 个，还是水煮鱼、毛血旺各算 1 个？主报告数菜，附表数菜系，两全。</w:t>
            </w:r>
          </w:p>
        </w:tc>
      </w:tr>
    </w:tbl>
    <w:p w14:paraId="69653985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2　「支持」的认定：要实测记录，还是看适配代码</w:t>
      </w:r>
    </w:p>
    <w:p w14:paraId="5B01E8C3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标准甲：NPU 须有实测跑通记录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——昇腾上有验证记录才算支持，veOmni 数出 2 个。</w:t>
      </w:r>
    </w:p>
    <w:p w14:paraId="3BAEE7F4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标准乙：模型级适配代码随版本发布即算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——官方为模型生成 NPU 适配文件并正式发布即计入，数出 12 个。</w:t>
      </w:r>
    </w:p>
    <w:p w14:paraId="406C5967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：标准甲的合理性在于——RL 训练框架「支持」的最终证明是真能跑出结果，尤其昇腾生态里「宣称支持」与「实际能跑」常有差距，实测记录是最硬的证据，这个标准保守、不会高估。标准乙的合理性在于——适配文件是官方工程产出、随版本正式发布，是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已完成的工作事实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；而实测需要昇腾集群资源，统计阶段通常不具备，用代码事实才能覆盖全部已适配模型。</w:t>
      </w:r>
    </w:p>
    <w:p w14:paraId="766C22A8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：标准乙，并将实测信息用 L1（代码声明）/ L2（有运行配置）/ L3（已验证）三档标注。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：适配代码与运行脚本是可核验的仓库事实，判定不依赖拿不到的集群资源；档位标注让「12 个中有几个实测过」随时可拆开说明——两个标准的合理关切同时满足，不丢信息。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16AB3711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：说「餐厅支持素食」，一个人要看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顾客吃过素食的评价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，另一个人看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后厨备好了料、菜单上了菜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。评价要去实际吃一顿才有；12 道素食已备料上菜单。按备料计数，评价信息用星级标注。</w:t>
            </w:r>
          </w:p>
        </w:tc>
      </w:tr>
    </w:tbl>
    <w:p w14:paraId="3DD6E1E0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3　NPU 证据形态：只看正式文件，还是三类全扫</w:t>
      </w:r>
    </w:p>
    <w:p w14:paraId="12CB657B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标准甲：只认适配补丁与验证文档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——最正式的两类证据，verl 的 NPU 新增数出 24（一度 28，全部新增）。</w:t>
      </w:r>
    </w:p>
    <w:p w14:paraId="2273D10C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标准乙：补丁 / 文档 / ASCEND 运行脚本三类全扫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——verl 基线版本里已有 21 个 NPU 运行脚本，覆盖 11 个文档模型，修正后新增为 13。</w:t>
      </w:r>
    </w:p>
    <w:p w14:paraId="68DA4A00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：标准甲的合理性在于——补丁和官方文档是最显眼、最「正式」的证据，误报少、扫描成本低，且这两类确实覆盖了多数框架的多数证据。标准乙的合理性在于——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证据形态由框架自己的工程实践决定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：verl 把 NPU 支持写在运行脚本里（脚本含 ASCEND 环境配置），不扫脚本就系统性漏判；TorchTurbo 的支持甚至写在指南指向的脚本里。</w:t>
      </w:r>
    </w:p>
    <w:p w14:paraId="55D89F92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：标准乙——三类证据任一存在即计入：① 模型级专属代码（npu.py、补丁、算子适配、条件编译）；② 含 ASCEND 专属标记的运行脚本/配置；③ 官方验证配置或清单。纯叙述性文档不计入，但其指向的仓库内脚本必须回扫。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：框架把 NPU 支持写在哪类文件里，统计就该去哪类文件里找——证据形态跟着框架的工程实践走，而不是跟着统计者的习惯走。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3773A39A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：判断「餐厅去年能不能做素食」，只翻菜谱和新菜研发记录会漏——还得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看灶台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：去年就有 21 口素食灶在烧。菜谱没写，不代表灶台没开火。</w:t>
            </w:r>
          </w:p>
        </w:tc>
      </w:tr>
    </w:tbl>
    <w:p w14:paraId="5FBD15FA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4　新增判定方法：git 日期归因，还是快照对比</w:t>
      </w:r>
    </w:p>
    <w:p w14:paraId="19139E3A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标准甲：git 文件日期归因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——查每个文件的首次提交日期是否在 26 年，verl 数出 45 个新增。</w:t>
      </w:r>
    </w:p>
    <w:p w14:paraId="4A014CE9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标准乙：版本快照内容 diff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——对比 25 年末 release 与当前 release 的源码，实际新增 22 个。</w:t>
      </w:r>
    </w:p>
    <w:p w14:paraId="08951716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：标准甲的合理性在于——在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没有重构的仓库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里，文件首次提交日期是「支持何时出现」的合理代理，精确到天、可自动化，审计友好。标准乙的合理性在于——verl 这类仓库会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整体重构目录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：老脚本搬进新目录后 git「生日」全部重置，25 年就存在的 Qwen2.5 主力型号被整批误判；直接对比两个版本的源码，才能回答「这个版本比上个版本多支持什么」。</w:t>
      </w:r>
    </w:p>
    <w:p w14:paraId="6E1F16BA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：标准乙——版本/时间点快照 diff 为唯一判定方法（专用分支对比分支的两个时间点快照）；git 日期只作审计注记；基线独立全量扫描，允许基线并集大于当前（仓库存在改名与废弃）。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：业务问的是能力增量，diff 直接对齐这个问题；diff 完全可复现、不受仓库搬家和历史改写影响。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1201F233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：餐厅年初换了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新账本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，老菜谱原样誊抄，翻新账本看日期每道菜都像今年新上的。数新增要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对比新旧两张菜单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，不是翻被换过的账本。</w:t>
            </w:r>
          </w:p>
        </w:tc>
      </w:tr>
    </w:tbl>
    <w:p w14:paraId="19AEB565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5　统计数据源：多来源取大，还是唯一权威主来源</w:t>
      </w:r>
    </w:p>
    <w:p w14:paraId="06BF6CCB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标准甲：多来源取大 / 从外围层算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——verl 的数字随扫描范围在 25~48 之间浮动；xLLM 从 python 封装层只数出 6 个。</w:t>
      </w:r>
    </w:p>
    <w:p w14:paraId="7E11774F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标准乙：逐框架唯一权威主来源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——verl 以官方脚本与验证文档为准；xLLM 是 C++ 引擎，唯一主来源是 models.h 编译分支（15 个）。</w:t>
      </w:r>
    </w:p>
    <w:p w14:paraId="2112EEA6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：标准甲的合理性在于——多扫几处来源总比漏掉强，且封装层（python/）最容易扫、门槛最低，先从它下手很自然。标准乙的合理性在于——xLLM 的案例证明了外围层的致命缺陷：它是 C++ 引擎，真正的支持清单在 models.h 编译分支里，封装层只是摘抄，从外围数会把引擎主体整个漏掉。</w:t>
      </w:r>
    </w:p>
    <w:p w14:paraId="2D566E23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：标准乙——逐框架唯一主来源，按框架类型约定：推理引擎看编译清单、训练框架看官方实证、自研实现框架看实现文件；次要来源只进备注。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：来源固定后，同一规则人人可复现、版本间 diff 才有意义；「挑大的算」和「主体漏扫」两种病一次治好。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24BF44D7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：xLLM 是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只做后厨的中央厨房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，门口小黑板只摘抄了 6 道招牌菜的简介；进后厨看真正决定「每个硬件版本配哪些菜」的出菜单子，才是 15 道。</w:t>
            </w:r>
          </w:p>
        </w:tc>
      </w:tr>
    </w:tbl>
    <w:p w14:paraId="769DC680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6　计数粒度：族与型号混计，还是同列纯粒度</w:t>
      </w:r>
    </w:p>
    <w:p w14:paraId="2B0100C5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标准甲：混计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——veOmni 报「12 个适配模型族 + 2 个实测型号 = 14」。</w:t>
      </w:r>
    </w:p>
    <w:p w14:paraId="18E493FF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标准乙：同列纯粒度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——那 2 个型号本就属于其中的 qwen3_5 族，权威计数是 12。</w:t>
      </w:r>
    </w:p>
    <w:p w14:paraId="62AF82E9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：标准甲的合理性在于——想同时表达两层信息：支持广度（12 个族）和验证深度（其中 2 个型号实测过），把两类信息都塞进一个数字，出发点是让数字显得更有分量。标准乙的合理性在于——那 2 个型号本就在 qwen3_5 族里，混计等于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同一模型被两层描述各算一次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，数字无法审计。</w:t>
      </w:r>
    </w:p>
    <w:p w14:paraId="4E74E07D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：标准乙——同列纯粒度，族级已有证据的族下型号不叠加。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：数量必须可加总、可审计；「其中几个实测过」的深度信息由 L1/L2/L3 档位标注完整承接——数量不变，信息不丢。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734FC6B4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：数全班人数——"全班 40 人，再加上张三和李四，共 42 人。"张三和李四本来就在那 40 人里。想强调他俩，说"40 人中他俩已验证"即可。</w:t>
            </w:r>
          </w:p>
        </w:tc>
      </w:tr>
    </w:tbl>
    <w:p w14:paraId="4A6AB6A5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7　通用实现计法：只计专属优化，还是官方声明即计入</w:t>
      </w:r>
    </w:p>
    <w:p w14:paraId="7CC8009A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标准甲：只计专属优化实现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——xLLM 的 53 项里 45 项有 NPU 专属实现，8 项走通用路径，只数专属是 44。</w:t>
      </w:r>
    </w:p>
    <w:p w14:paraId="2E6AC647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标准乙：官方编译声明即计入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——通用实现同样对应具体模型、被编译进昇腾版，计入是 53。</w:t>
      </w:r>
    </w:p>
    <w:p w14:paraId="04C8122B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：标准甲的合理性在于——专属实现是「为 NPU 专门做了工程工作」的强信号，通用路径没做优化，若把「支持」理解为「做过适配努力」，不计专属以外的条目更严格。标准乙的合理性在于——通用实现同样对应具体模型（deepseek_v4 的通用路径就是该模型的 NPU 编译声明）、随昇腾版一起发布，用户实际能跑；「没特调」不等于「不支持」，不计会系统性低估昇腾可覆盖的模型面。</w:t>
      </w:r>
    </w:p>
    <w:p w14:paraId="42F82F10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：标准乙——计入主数，增设「实现类型」列区分专属/通用。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：官方编译声明即支持承诺；类型列让两种口径随时可换算（53 = 45 + 8），工程信息（哪些有优化）一点不丢。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05E7CE14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：昇腾版手机出厂预装 53 个 App——43 个是为这颗芯片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专门优化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的，10 个是</w:t>
            </w: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通用版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（官方声明兼容、能正常用，只是没特调）。只数特调版会漏掉 10 个能用的。</w:t>
            </w:r>
          </w:p>
        </w:tc>
      </w:tr>
    </w:tbl>
    <w:p w14:paraId="5CD82FE7">
      <w:pPr>
        <w:pStyle w:val="000009"/>
        <w:keepNext w:val="1"/>
        <w:keepLines w:val="1"/>
        <w:spacing w:before="390" w:beforeAutospacing="1" w:after="390" w:afterAutospacing="1" w:line="456"/>
        <w:ind w:left="390" w:right="390"/>
        <w:outlineLvl w:val="2"/>
        <w:rPr>
          <w:color w:val="2f4d7a"/>
          <w:sz w:val="32"/>
          <w:szCs w:val="32"/>
        </w:rPr>
      </w:pPr>
      <w:r>
        <w:rPr>
          <w:rFonts w:hint="eastAsia" w:ascii="Source Han Serif SC" w:hAnsi="Source Han Serif SC" w:eastAsia="Source Han Serif SC" w:cs="Source Han Serif SC"/>
          <w:b w:val="1"/>
          <w:color w:val="2f4d7a"/>
          <w:sz w:val="23"/>
        </w:rPr>
        <w:t>维度 8　变体命名归并：同架构合并，还是规格变体各算一条</w:t>
      </w:r>
    </w:p>
    <w:p w14:paraId="10485BB0">
      <w:pPr>
        <w:shd w:val="clear" w:fill="f7f8fa"/>
        <w:spacing w:before="120" w:after="120" w:line="456"/>
        <w:ind w:left="120" w:right="120"/>
        <w:jc w:val="both"/>
        <w:rPr>
          <w:color w:val="7a4a12"/>
        </w:rPr>
      </w:pPr>
      <w:r>
        <w:rPr>
          <w:rFonts w:hint="eastAsia" w:ascii="Source Han Serif SC" w:hAnsi="Source Han Serif SC" w:eastAsia="Source Han Serif SC" w:cs="Source Han Serif SC"/>
          <w:b w:val="1"/>
          <w:color w:val="7a4a12"/>
          <w:sz w:val="20"/>
        </w:rPr>
        <w:t>标准甲：同架构合并</w:t>
      </w:r>
      <w:r>
        <w:rPr>
          <w:rFonts w:hint="eastAsia" w:ascii="Source Han Serif SC" w:hAnsi="Source Han Serif SC" w:eastAsia="Source Han Serif SC" w:cs="Source Han Serif SC"/>
          <w:color w:val="7a4a12"/>
          <w:sz w:val="20"/>
        </w:rPr>
        <w:t>——Qwen3-30B-A3B 与其 -Base、-Instruct-2507 变体共享同一份模型代码，合并算 1 条。</w:t>
      </w:r>
    </w:p>
    <w:p w14:paraId="17037144">
      <w:pPr>
        <w:shd w:val="clear" w:fill="f7f8fa"/>
        <w:spacing w:before="120" w:after="120" w:line="456"/>
        <w:ind w:left="120" w:right="120"/>
        <w:jc w:val="both"/>
        <w:rPr>
          <w:color w:val="1f4d7a"/>
        </w:rPr>
      </w:pPr>
      <w:r>
        <w:rPr>
          <w:rFonts w:hint="eastAsia" w:ascii="Source Han Serif SC" w:hAnsi="Source Han Serif SC" w:eastAsia="Source Han Serif SC" w:cs="Source Han Serif SC"/>
          <w:b w:val="1"/>
          <w:color w:val="1f4d7a"/>
          <w:sz w:val="20"/>
        </w:rPr>
        <w:t>标准乙：规格变体各算一条</w:t>
      </w:r>
      <w:r>
        <w:rPr>
          <w:rFonts w:hint="eastAsia" w:ascii="Source Han Serif SC" w:hAnsi="Source Han Serif SC" w:eastAsia="Source Han Serif SC" w:cs="Source Han Serif SC"/>
          <w:color w:val="1f4d7a"/>
          <w:sz w:val="20"/>
        </w:rPr>
        <w:t>——它们是不同的权重文件，该系共 4 条。</w:t>
      </w:r>
    </w:p>
    <w:p w14:paraId="1914A637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两种标准出现的原因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：标准甲的合理性在于——变体共享同一份模型实现代码，从「支持了几种模型」的架构视角看，合并更直观、数字更精炼。标准乙的合理性在于——变体是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不同的权重文件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：基础版不会对话、指令版才是业务部署形态、显存占用各不相同，业务问的从来都是具体某个权重。</w:t>
      </w:r>
    </w:p>
    <w:p w14:paraId="7A70F8D3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最终采用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：标准乙——规格变体各算一条，族级汇总表归并；大小写变体归并为一条，命名采用仓库原文。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原因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：支持承诺要精确到权重——合并口径无法回答「235B-Instruct 能不能跑」这类实际问句；架构级摘要由族表承接。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5b7fa6" w:sz="24"/>
              <w:bottom w:val="none" w:sz="8"/>
              <w:right w:val="none" w:sz="8"/>
            </w:tcBorders>
            <w:shd w:val="clear" w:fill="f0f4f8"/>
            <w:vAlign w:val="center"/>
          </w:tcPr>
          <w:p w14:paraId="6447DF05">
            <w:pPr>
              <w:rPr>
                <w:color w:val="2f4256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1f3864"/>
                <w:sz w:val="20"/>
              </w:rPr>
              <w:t>通俗版</w:t>
            </w:r>
            <w:r>
              <w:rPr>
                <w:rFonts w:hint="eastAsia" w:ascii="Source Han Serif SC" w:hAnsi="Source Han Serif SC" w:eastAsia="Source Han Serif SC" w:cs="Source Han Serif SC"/>
                <w:color w:val="2f4256"/>
                <w:sz w:val="20"/>
              </w:rPr>
              <w:t>：同一款车的手动挡、自动挡、电动版——代码上是同一架构，但客户买的是具体某一台，报价也得按配置分开。</w:t>
            </w:r>
          </w:p>
        </w:tc>
      </w:tr>
    </w:tbl>
    <w:p w14:paraId="7A3D34A1">
      <w:pPr>
        <w:pStyle w:val="000005"/>
        <w:keepNext w:val="1"/>
        <w:keepLines w:val="1"/>
        <w:pBdr>
          <w:left w:val="single" w:color="c9a24b" w:sz="24" w:space="9"/>
        </w:pBdr>
        <w:spacing w:before="630" w:beforeAutospacing="1" w:after="630" w:afterAutospacing="1" w:line="456"/>
        <w:ind w:left="630" w:right="630"/>
        <w:outlineLvl w:val="1"/>
        <w:rPr>
          <w:color w:val="1f3864"/>
          <w:sz w:val="32"/>
          <w:szCs w:val="32"/>
        </w:rPr>
      </w:pPr>
      <w:bookmarkStart w:id="3" w:name="section-3"/>
      <w:r>
        <w:rPr>
          <w:rFonts w:hint="eastAsia" w:ascii="Source Han Serif SC" w:hAnsi="Source Han Serif SC" w:eastAsia="Source Han Serif SC" w:cs="Source Han Serif SC"/>
          <w:b w:val="1"/>
          <w:color w:val="1f3864"/>
          <w:sz w:val="30"/>
        </w:rPr>
        <w:t>三、统一结果速览与最终数字</w:t>
      </w:r>
      <w:bookmarkEnd w:id="3"/>
    </w:p>
    <w:tbl>
      <w:tblPr>
        <w:tblW w:w="8306" w:type="dxa"/>
        <w:shd w:color="26282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811"/>
      </w:tblGrid>
      <w:tr>
        <w:trPr>
          <w:tblHeader w:val="1"/>
        </w:trPr>
        <w:tc>
          <w:tcPr>
            <w:tcW w:w="149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D9C57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维度</w:t>
            </w:r>
          </w:p>
        </w:tc>
        <w:tc>
          <w:tcPr>
            <w:tcW w:w="681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2CF5D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统一后采用的标准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34B9D46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1 计数单位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2F1632C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主表按具体型号；另设按族汇总表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2FD2BBA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2 支持认定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213267C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模型级可执行 NPU 路径计入（代码 / ASCEND 脚本 / 验证配置），L1/L2/L3 档位标注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2232FCA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3 证据形态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847D205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补丁、文档、ASCEND 运行脚本三类全扫；纯文档不计入但回扫其指向的脚本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82E0AF5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4 新增判定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7C85250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版本/时间点快照 diff 唯一方法；git 日期仅作注记；基线独立全量扫描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590D5DC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5 数据源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47F4FFE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逐框架唯一权威主来源；权威口径 = 双方清单并集 + 逐项源码核验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4653861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6 计数粒度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448E95D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同列纯粒度；个体可信度用档位标注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45A31C9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7 通用实现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6486AAA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计入主数；实现类型列区分专属/通用</w:t>
            </w:r>
          </w:p>
        </w:tc>
      </w:tr>
      <w:tr>
        <w:trPr/>
        <w:tc>
          <w:tcPr>
            <w:tcW w:w="149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666131F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8 变体命名</w:t>
            </w:r>
          </w:p>
        </w:tc>
        <w:tc>
          <w:tcPr>
            <w:tcW w:w="6811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3DE1295">
            <w:pPr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color w:val="26282e"/>
                <w:sz w:val="19"/>
              </w:rPr>
              <w:t>规格变体各算一条；族表归并；大小写归并</w:t>
            </w:r>
          </w:p>
        </w:tc>
      </w:tr>
    </w:tbl>
    <w:p w14:paraId="212CD7A1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八项标准确认后，两条统计线按同一规则各自重算，经五轮清单级交叉核验，20 项指标全部收敛一致：</w:t>
      </w:r>
    </w:p>
    <w:tbl>
      <w:tblPr>
        <w:tblW w:w="8306" w:type="dxa"/>
        <w:shd w:color="26282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1765"/>
        <w:gridCol w:w="1765"/>
        <w:gridCol w:w="1765"/>
        <w:gridCol w:w="1765"/>
      </w:tblGrid>
      <w:tr>
        <w:trPr>
          <w:tblHeader w:val="1"/>
        </w:trPr>
        <w:tc>
          <w:tcPr>
            <w:tcW w:w="124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11477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框架</w:t>
            </w:r>
          </w:p>
        </w:tc>
        <w:tc>
          <w:tcPr>
            <w:tcW w:w="176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C769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C（NV 支持）</w:t>
            </w:r>
          </w:p>
        </w:tc>
        <w:tc>
          <w:tcPr>
            <w:tcW w:w="176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57DDF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D（26 年 NV 新增）</w:t>
            </w:r>
          </w:p>
        </w:tc>
        <w:tc>
          <w:tcPr>
            <w:tcW w:w="176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EE1AA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E（NPU 支持）</w:t>
            </w:r>
          </w:p>
        </w:tc>
        <w:tc>
          <w:tcPr>
            <w:tcW w:w="176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6C525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ffffff"/>
                <w:sz w:val="19"/>
              </w:rPr>
              <w:t>F（26 年 NPU 新增）</w:t>
            </w:r>
          </w:p>
        </w:tc>
      </w:tr>
      <w:tr>
        <w:trPr/>
        <w:tc>
          <w:tcPr>
            <w:tcW w:w="124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094F3CF">
            <w:pPr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color w:val="26282e"/>
                <w:sz w:val="19"/>
              </w:rPr>
              <w:t>verl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9F34049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54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2DBB273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22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B3A24B5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24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C028AE7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13</w:t>
            </w:r>
          </w:p>
        </w:tc>
      </w:tr>
      <w:tr>
        <w:trPr/>
        <w:tc>
          <w:tcPr>
            <w:tcW w:w="124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C11426B">
            <w:pPr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color w:val="26282e"/>
                <w:sz w:val="19"/>
              </w:rPr>
              <w:t>veOmni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C76D103">
            <w:pPr>
              <w:jc w:val="center"/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26282e"/>
                <w:sz w:val="19"/>
              </w:rPr>
              <w:t>40（26 族 + 14 型号）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5666109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14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0EFE095">
            <w:pPr>
              <w:jc w:val="center"/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26282e"/>
                <w:sz w:val="19"/>
              </w:rPr>
              <w:t>12（族）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90E766B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12</w:t>
            </w:r>
          </w:p>
        </w:tc>
      </w:tr>
      <w:tr>
        <w:trPr/>
        <w:tc>
          <w:tcPr>
            <w:tcW w:w="124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001B751">
            <w:pPr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color w:val="26282e"/>
                <w:sz w:val="19"/>
              </w:rPr>
              <w:t>Oxygen-xLLM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93D074B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15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38190DA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9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3A301ED">
            <w:pPr>
              <w:jc w:val="center"/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26282e"/>
                <w:sz w:val="19"/>
              </w:rPr>
              <w:t>53（专属 45 + 通用 8）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4387DAF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33</w:t>
            </w:r>
          </w:p>
        </w:tc>
      </w:tr>
      <w:tr>
        <w:trPr/>
        <w:tc>
          <w:tcPr>
            <w:tcW w:w="124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6F0B8AB">
            <w:pPr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color w:val="26282e"/>
                <w:sz w:val="19"/>
              </w:rPr>
              <w:t>Areal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FDD5A95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22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0B9FC97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11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DE7030E">
            <w:pPr>
              <w:jc w:val="center"/>
              <w:rPr>
                <w:color w:val="26282e"/>
              </w:rPr>
            </w:pPr>
            <w:r>
              <w:rPr>
                <w:rFonts w:hint="eastAsia" w:ascii="Source Han Serif SC" w:hAnsi="Source Han Serif SC" w:eastAsia="Source Han Serif SC" w:cs="Source Han Serif SC"/>
                <w:b w:val="1"/>
                <w:color w:val="26282e"/>
                <w:sz w:val="19"/>
              </w:rPr>
              <w:t>10（ascend 分支）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5f7fa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08F93BF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9</w:t>
            </w:r>
          </w:p>
        </w:tc>
      </w:tr>
      <w:tr>
        <w:trPr/>
        <w:tc>
          <w:tcPr>
            <w:tcW w:w="124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76DAE5">
            <w:pPr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color w:val="26282e"/>
                <w:sz w:val="19"/>
              </w:rPr>
              <w:t>TorchTurbo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1663937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10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A019D71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10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DE9E9B3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7</w:t>
            </w:r>
          </w:p>
        </w:tc>
        <w:tc>
          <w:tcPr>
            <w:tcW w:w="1765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755CDD8">
            <w:pPr>
              <w:jc w:val="center"/>
              <w:rPr>
                <w:color w:val="26282e"/>
              </w:rPr>
            </w:pPr>
            <w:r>
              <w:rPr>
                <w:rFonts w:ascii="Source Han Serif SC" w:hAnsi="Source Han Serif SC" w:eastAsia="Source Han Serif SC" w:cs="Source Han Serif SC"/>
                <w:b w:val="1"/>
                <w:color w:val="26282e"/>
                <w:sz w:val="19"/>
              </w:rPr>
              <w:t>7</w:t>
            </w:r>
          </w:p>
        </w:tc>
      </w:tr>
    </w:tbl>
    <w:p w14:paraId="7D77B8E3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说明：verl 的 54 为两条独立扫描线清单的并集（单方扫描必有盲区，并集经逐项源码核验）；veOmni 的 C 列为 26 个模型目录（族）+ 14 个配置型号，粒度混合系仓库现实、已标注；Areal 的 E/F 取自官方 NPU 维护分支 ascend-v1.0.5，来源已在表格注明。</w:t>
      </w:r>
    </w:p>
    <w:p w14:paraId="0A8EAEA4">
      <w:pPr>
        <w:pStyle w:val="000005"/>
        <w:keepNext w:val="1"/>
        <w:keepLines w:val="1"/>
        <w:pBdr>
          <w:left w:val="single" w:color="c9a24b" w:sz="24" w:space="9"/>
        </w:pBdr>
        <w:spacing w:before="630" w:beforeAutospacing="1" w:after="630" w:afterAutospacing="1" w:line="456"/>
        <w:ind w:left="630" w:right="630"/>
        <w:outlineLvl w:val="1"/>
        <w:rPr>
          <w:color w:val="1f3864"/>
          <w:sz w:val="32"/>
          <w:szCs w:val="32"/>
        </w:rPr>
      </w:pPr>
      <w:bookmarkStart w:id="4" w:name="section-4"/>
      <w:r>
        <w:rPr>
          <w:rFonts w:hint="eastAsia" w:ascii="Source Han Serif SC" w:hAnsi="Source Han Serif SC" w:eastAsia="Source Han Serif SC" w:cs="Source Han Serif SC"/>
          <w:b w:val="1"/>
          <w:color w:val="1f3864"/>
          <w:sz w:val="30"/>
        </w:rPr>
        <w:t>四、结语</w:t>
      </w:r>
      <w:bookmarkEnd w:id="4"/>
    </w:p>
    <w:p w14:paraId="57252F0D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八个维度的分歧，没有一处是计算错误——全部是「统计什么、从哪里算、怎么算」的事先约定缺失。值得注意的是，</w:t>
      </w:r>
      <w:r>
        <w:rPr>
          <w:rFonts w:hint="eastAsia" w:ascii="Source Han Serif SC" w:hAnsi="Source Han Serif SC" w:eastAsia="Source Han Serif SC" w:cs="Source Han Serif SC"/>
          <w:b w:val="1"/>
          <w:color w:val="26282e"/>
          <w:sz w:val="21"/>
        </w:rPr>
        <w:t>当时出现的每种标准在它自己的视角下都是合理的</w:t>
      </w: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：工程视角看族、部署视角看型号；求稳的看实测、看事实的看代码；图省事的从外围扫、求复现的钉死主来源。分歧不是谁错了，而是两个都对的视角没有事先拼到一起。</w:t>
      </w:r>
    </w:p>
    <w:p w14:paraId="0F376C28">
      <w:pPr>
        <w:spacing w:before="120" w:after="120" w:line="456"/>
        <w:ind w:left="120" w:right="120"/>
        <w:jc w:val="both"/>
        <w:rPr>
          <w:color w:val="26282e"/>
        </w:rPr>
      </w:pPr>
      <w:r>
        <w:rPr>
          <w:rFonts w:hint="eastAsia" w:ascii="Source Han Serif SC" w:hAnsi="Source Han Serif SC" w:eastAsia="Source Han Serif SC" w:cs="Source Han Serif SC"/>
          <w:color w:val="26282e"/>
          <w:sz w:val="21"/>
        </w:rPr>
        <w:t>统一口径的过程，就是把每种视角的合理部分各安其位：主表答「能部署什么」、按族表答「支持多广」、档位答「多可信」、实现类型答「优化多深」。统一之后，不同的人、不同的时间、按同一规范执行，得到的是同一组数字。</w:t>
      </w:r>
    </w:p>
    <w:p w14:paraId="7166DA4B">
      <w:pPr>
        <w:pBdr>
          <w:top w:val="single" w:color="e3e7ec" w:sz="6" w:space="4"/>
        </w:pBdr>
        <w:spacing w:before="600" w:line="456"/>
        <w:rPr>
          <w:color w:val="98a0aa"/>
        </w:rPr>
      </w:pPr>
      <w:r>
        <w:rPr>
          <w:rFonts w:hint="eastAsia" w:ascii="Source Han Serif SC" w:hAnsi="Source Han Serif SC" w:eastAsia="Source Han Serif SC" w:cs="Source Han Serif SC"/>
          <w:color w:val="98a0aa"/>
          <w:sz w:val="17"/>
        </w:rPr>
        <w:t>统计口径标准报告 · 编制日期 2026-10-23 · 依据：源码快照（11 份版本存档）、五轮交叉审计信件与逐条源码核验证据 · 执行层操作细则见《统计口径说明（详细版）》执行规范</w:t>
      </w:r>
    </w:p>
    <w:p w14:paraId="172C3A5B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17A51E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086A50D9">
    <w:pPr>
      <w:jc w:val="center"/>
    </w:pPr>
    <w:r>
      <w:rPr>
        <w:rFonts w:hint="eastAsia"/>
      </w:rPr>
      <w:t>统计口径标准报告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return" w:semiHidden="1" w:unhideWhenUsed="1"/>
    <w:lsdException w:name="List Bullet 2" w:semiHidden="1" w:unhideWhenUsed="1"/>
    <w:lsdException w:name="List 3" w:semiHidden="1" w:unhideWhenUsed="1"/>
    <w:lsdException w:name="List Bullet 4" w:semiHidden="1" w:unhideWhenUsed="1"/>
    <w:lsdException w:name="toc 1" w:uiPriority="39" w:semiHidden="1" w:unhideWhenUsed="1"/>
    <w:lsdException w:name="toc 9" w:uiPriority="39" w:semiHidden="1" w:unhideWhenUsed="1"/>
    <w:lsdException w:name="index 8" w:semiHidden="1" w:unhideWhenUsed="1"/>
    <w:lsdException w:name="Hyperlink" w:semiHidden="1" w:unhideWhenUsed="1"/>
    <w:lsdException w:name="index heading" w:semiHidden="1" w:unhideWhenUsed="1"/>
    <w:lsdException w:name="Default Paragraph Font" w:uiPriority="1" w:semiHidden="1" w:unhideWhenUsed="1"/>
    <w:lsdException w:name="Block Text" w:semiHidden="1" w:unhideWhenUsed="1"/>
    <w:lsdException w:name="toc 8" w:uiPriority="39" w:semiHidden="1" w:unhideWhenUsed="1"/>
    <w:lsdException w:name="List Bullet 3" w:semiHidden="1" w:unhideWhenUsed="1"/>
    <w:lsdException w:name="heading 6" w:uiPriority="9" w:semiHidden="1" w:unhideWhenUsed="1" w:qFormat="1"/>
    <w:lsdException w:name="endnote reference" w:semiHidden="1" w:unhideWhenUsed="1"/>
    <w:lsdException w:name="toc 3" w:uiPriority="39" w:semiHidden="1" w:unhideWhenUsed="1"/>
    <w:lsdException w:name="Body Text First Indent 2" w:semiHidden="1" w:unhideWhenUsed="1"/>
    <w:lsdException w:name="List Continue 2" w:semiHidden="1" w:unhideWhenUsed="1"/>
    <w:lsdException w:name="List 2" w:semiHidden="1" w:unhideWhenUsed="1"/>
    <w:lsdException w:name="Subtitle" w:uiPriority="11" w:qFormat="1"/>
    <w:lsdException w:name="List Number 4" w:semiHidden="1" w:unhideWhenUsed="1"/>
    <w:lsdException w:name="List" w:semiHidden="1" w:unhideWhenUsed="1"/>
    <w:lsdException w:name="heading 1" w:uiPriority="9" w:qFormat="1"/>
    <w:lsdException w:name="annotation text" w:semiHidden="1" w:unhideWhenUsed="1"/>
    <w:lsdException w:name="List Number" w:semiHidden="1" w:unhideWhenUsed="1"/>
    <w:lsdException w:name="annotation reference" w:semiHidden="1" w:unhideWhenUsed="1"/>
    <w:lsdException w:name="Body Text Indent 2" w:semiHidden="1" w:unhideWhenUsed="1"/>
    <w:lsdException w:name="Signature" w:semiHidden="1" w:unhideWhenUsed="1"/>
    <w:lsdException w:name="Title" w:uiPriority="10" w:qFormat="1"/>
    <w:lsdException w:name="Salutation" w:semiHidden="1" w:unhideWhenUsed="1"/>
    <w:lsdException w:name="List 5" w:semiHidden="1" w:unhideWhenUsed="1"/>
    <w:lsdException w:name="Message Header" w:semiHidden="1" w:unhideWhenUsed="1"/>
    <w:lsdException w:name="Note Heading" w:semiHidden="1" w:unhideWhenUsed="1"/>
    <w:lsdException w:name="page number" w:semiHidden="1" w:unhideWhenUsed="1"/>
    <w:lsdException w:name="header" w:semiHidden="1" w:unhideWhenUsed="1"/>
    <w:lsdException w:name="List Number 5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footnote reference" w:semiHidden="1" w:unhideWhenUsed="1"/>
    <w:lsdException w:name="heading 5" w:uiPriority="9" w:semiHidden="1" w:unhideWhenUsed="1" w:qFormat="1"/>
    <w:lsdException w:name="toc 7" w:uiPriority="39" w:semiHidden="1" w:unhideWhenUsed="1"/>
    <w:lsdException w:name="List Continue 3" w:semiHidden="1" w:unhideWhenUsed="1"/>
    <w:lsdException w:name="Body Text" w:semiHidden="1" w:unhideWhenUsed="1"/>
    <w:lsdException w:name="index 2" w:semiHidden="1" w:unhideWhenUsed="1"/>
    <w:lsdException w:name="index 4" w:semiHidden="1" w:unhideWhenUsed="1"/>
    <w:lsdException w:name="List Bullet" w:semiHidden="1" w:unhideWhenUsed="1"/>
    <w:lsdException w:name="List 4" w:semiHidden="1" w:unhideWhenUsed="1"/>
    <w:lsdException w:name="Closing" w:semiHidden="1" w:unhideWhenUsed="1"/>
    <w:lsdException w:name="heading 9" w:uiPriority="9" w:semiHidden="1" w:unhideWhenUsed="1" w:qFormat="1"/>
    <w:lsdException w:name="List Bullet 5" w:semiHidden="1" w:unhideWhenUsed="1"/>
    <w:lsdException w:name="envelope address" w:semiHidden="1" w:unhideWhenUsed="1"/>
    <w:lsdException w:name="Body Text First Indent" w:semiHidden="1" w:unhideWhenUsed="1"/>
    <w:lsdException w:name="footer" w:semiHidden="1" w:unhideWhenUsed="1"/>
    <w:lsdException w:name="index 7" w:semiHidden="1" w:unhideWhenUsed="1"/>
    <w:lsdException w:name="index 9" w:semiHidden="1" w:unhideWhenUsed="1"/>
    <w:lsdException w:name="Body Text Indent" w:semiHidden="1" w:unhideWhenUsed="1"/>
    <w:lsdException w:name="caption" w:uiPriority="35" w:semiHidden="1" w:unhideWhenUsed="1" w:qFormat="1"/>
    <w:lsdException w:name="FollowedHyperlink" w:semiHidden="1" w:unhideWhenUsed="1"/>
    <w:lsdException w:name="line number" w:semiHidden="1" w:unhideWhenUsed="1"/>
    <w:lsdException w:name="index 6" w:semiHidden="1" w:unhideWhenUsed="1"/>
    <w:lsdException w:name="table of figures" w:semiHidden="1" w:unhideWhenUsed="1"/>
    <w:lsdException w:name="List Number 2" w:semiHidden="1" w:unhideWhenUsed="1"/>
    <w:lsdException w:name="Date" w:semiHidden="1" w:unhideWhenUsed="1"/>
    <w:lsdException w:name="List Continue" w:semiHidden="1" w:unhideWhenUsed="1"/>
    <w:lsdException w:name="index 5" w:semiHidden="1" w:unhideWhenUsed="1"/>
    <w:lsdException w:name="index 1" w:semiHidden="1" w:unhideWhenUsed="1"/>
    <w:lsdException w:name="index 3" w:semiHidden="1" w:unhideWhenUsed="1"/>
    <w:lsdException w:name="table of authorities" w:semiHidden="1" w:unhideWhenUsed="1"/>
    <w:lsdException w:name="macro" w:semiHidden="1" w:unhideWhenUsed="1"/>
    <w:lsdException w:name="Strong" w:uiPriority="22" w:qFormat="1"/>
    <w:lsdException w:name="heading 8" w:uiPriority="9" w:semiHidden="1" w:unhideWhenUsed="1" w:qFormat="1"/>
    <w:lsdException w:name="Body Text 3" w:semiHidden="1" w:unhideWhenUsed="1"/>
    <w:lsdException w:name="List Continue 5" w:semiHidden="1" w:unhideWhenUsed="1"/>
    <w:lsdException w:name="endnote text" w:semiHidden="1" w:unhideWhenUsed="1"/>
    <w:lsdException w:name="footnote text" w:semiHidden="1" w:unhideWhenUsed="1"/>
    <w:lsdException w:name="toa heading" w:semiHidden="1" w:unhideWhenUsed="1"/>
    <w:lsdException w:name="Body Text 2" w:semiHidden="1" w:unhideWhenUsed="1"/>
    <w:lsdException w:name="Normal" w:uiPriority="0" w:qFormat="1"/>
    <w:lsdException w:name="toc 4" w:uiPriority="39" w:semiHidden="1" w:unhideWhenUsed="1"/>
    <w:lsdException w:name="toc 6" w:uiPriority="39" w:semiHidden="1" w:unhideWhenUsed="1"/>
    <w:lsdException w:name="heading 7" w:uiPriority="9" w:semiHidden="1" w:unhideWhenUsed="1" w:qFormat="1"/>
    <w:lsdException w:name="toc 2" w:uiPriority="39" w:semiHidden="1" w:unhideWhenUsed="1"/>
    <w:lsdException w:name="heading 3" w:uiPriority="9" w:semiHidden="1" w:unhideWhenUsed="1" w:qFormat="1"/>
    <w:lsdException w:name="toc 5" w:uiPriority="39" w:semiHidden="1" w:unhideWhenUsed="1"/>
    <w:lsdException w:name="Normal Indent" w:semiHidden="1" w:unhideWhenUsed="1"/>
    <w:lsdException w:name="Body Text Indent 3" w:semiHidden="1" w:unhideWhenUsed="1"/>
    <w:lsdException w:name="List Continue 4" w:semiHidden="1" w:unhideWhenUsed="1"/>
    <w:lsdException w:name="List Number 3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header" Target="head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2026-10-23T09:33:44Z</dcterms:created>
  <dcterms:modified xsi:type="dcterms:W3CDTF">2026-10-23T09:33:44Z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"01a166618d297d49b6baff2b5aeff687", "ReservedCode1": "", "ContentPropagator": "00119111010856365494821B355", "PropagateID": "01a166618d297d49b6baff2b5aeff687", "ReservedCode2": ""}}</vt:lpwstr>
  </property>
</Properties>
</file>