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272adozxhp8" w:id="0"/>
      <w:bookmarkEnd w:id="0"/>
      <w:r w:rsidDel="00000000" w:rsidR="00000000" w:rsidRPr="00000000">
        <w:rPr>
          <w:rtl w:val="0"/>
        </w:rPr>
        <w:t xml:space="preserve">Construire les entités à partir des données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jghhx1igdumq" w:id="1"/>
      <w:bookmarkEnd w:id="1"/>
      <w:r w:rsidDel="00000000" w:rsidR="00000000" w:rsidRPr="00000000">
        <w:rPr>
          <w:rtl w:val="0"/>
        </w:rPr>
        <w:t xml:space="preserve">Par Mohamed Amine Acherkouk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ARTICLE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id_article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titre_article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contenu_article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date_publication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statut_article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image_article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id_auteur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id_categorie</w:t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AUTEUR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id_auteur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nom_auteur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prenom_auteur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email_auteur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id_ville</w:t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VILLE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id_ville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nom_ville</w:t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CATEGORIE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id_categorie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nom_categorie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description_categorie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