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Arial" w:cs="Arial" w:eastAsia="Arial" w:hAnsi="Arial"/>
          <w:b/>
          <w:bCs/>
          <w:color w:val="1F3864"/>
          <w:sz w:val="32"/>
          <w:szCs w:val="32"/>
        </w:rPr>
        <w:t xml:space="preserve">Merative Admissions Methodology — What Changed</w:t>
      </w:r>
    </w:p>
    <w:p>
      <w:pPr>
        <w:spacing w:after="100" w:line="264"/>
      </w:pPr>
      <w:r>
        <w:rPr>
          <w:rFonts w:ascii="Arial" w:cs="Arial" w:eastAsia="Arial" w:hAnsi="Arial"/>
          <w:color w:val="595959"/>
          <w:sz w:val="17"/>
          <w:szCs w:val="17"/>
        </w:rPr>
        <w:t xml:space="preserve">Advantage Suite 5.4 Admission Build (IBM 2019, Data Manager's Guide ch. 9)  →  Truven Flexible Analytics Inpatient Admission Grouper v11.12.0 (Merative, Dec 2025). Prepared by Tonya Chernyshova, Velir Engineering, September 30, 2026.</w:t>
      </w:r>
    </w:p>
    <w:p>
      <w:pPr>
        <w:spacing w:after="160" w:line="264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Scope. </w:t>
      </w:r>
      <w:r>
        <w:rPr>
          <w:rFonts w:ascii="Arial" w:cs="Arial" w:eastAsia="Arial" w:hAnsi="Arial"/>
          <w:sz w:val="19"/>
          <w:szCs w:val="19"/>
        </w:rPr>
        <w:t xml:space="preserve">Only metric calculations that differ between the two guides are listed. Everything not listed here reconciled as equivalent (admit/discharge dates, transfer detection, financial summation rules, cost-trim thresholds, MDC/DRG-final mapping, disease category and stage, primary-physician selection). Items marked </w:t>
      </w:r>
      <w:r>
        <w:rPr>
          <w:rFonts w:ascii="Arial" w:cs="Arial" w:eastAsia="Arial" w:hAnsi="Arial"/>
          <w:b/>
          <w:bCs/>
          <w:sz w:val="19"/>
          <w:szCs w:val="19"/>
        </w:rPr>
        <w:t xml:space="preserve">Unclear</w:t>
      </w:r>
      <w:r>
        <w:rPr>
          <w:rFonts w:ascii="Arial" w:cs="Arial" w:eastAsia="Arial" w:hAnsi="Arial"/>
          <w:sz w:val="19"/>
          <w:szCs w:val="19"/>
        </w:rPr>
        <w:t xml:space="preserve"> are documented in the legacy guide but not addressed in the new one; confirm with Merative or in output data before relying on them.</w:t>
      </w:r>
    </w:p>
    <w:tbl>
      <w:tblPr>
        <w:tblW w:type="dxa" w:w="140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950"/>
        <w:gridCol w:w="3500"/>
        <w:gridCol w:w="3500"/>
        <w:gridCol w:w="3950"/>
        <w:gridCol w:w="1140"/>
      </w:tblGrid>
      <w:tr>
        <w:trPr>
          <w:tblHeader/>
        </w:trP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Metric / logic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Legacy (Advantage Suite 5.4)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New (Flexible Analytics 11.12.0)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Effect on our data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Impact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Length of stay (adm_los_cnt → los)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Built from the covered Days field on room-and-board claims with overlap accounting; capped at discharge − admit + 1. Could be below the calendar span (covered days) or equal to span + 1. (p. 9-9 to 9-12)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los = discharge date − admit date; 1 when equal. Pure calendar difference. (p. 40)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Systematic ±1-day shifts; larger increases where covered days &lt; calendar days. Average LOS, bed-days, los_trim and any per-diem metric move.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Admission ID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Patient Key + Admit Start Period Key + 2-digit sequence; stable across updates unless dates change. (p. 9-9)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Patient sequence number (from 1) + 7-digit number from the admission date; regenerated every run. (p. 36)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 lineage to legacy adm_id. Re-key all joins on patient_id + admit_date + discharge_date.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Days since previous / until next admission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Acute only; 0 when no neighbouring admission; both set to 0 if gap &gt; 365 days; transfer-to/from pairs skipped. (p. 9-21 to 9-22)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Acute only (excludes place group 2, 3); blank when none; no 365-day cap; transfer exclusion not documented. (p. 38–39)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Readmission logic must test for blank instead of 0; gaps &gt; 365 now carry real values; filter transfer pairs with transfer_from_type_cd.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Field named "drg"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"DRG Code" = grouper's initial DRG before POA.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"drg" = pass-through of the DRG on the latest room-and-board claim; grouper result is calculated_drg; POA-adjusted result is drg_final. (p. 37, 39)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Map legacy DRG → calculated_drg and DRG Final → drg_final. Never compare legacy DRG with new "drg".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Deconstruction of voided admissions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Admissions with total allowed ≤ 0 deleted (client-customizable); capitated R&amp;B and newborn admissions exempt. (p. 9-17 to 9-18)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Not documented. Only reference: capitated admissions "will not be deconstructed". (p. 38)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Zero/negative-dollar admissions may now be present; admission counts and cost denominators change. Unclear.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Incremental build, reconstruction, recalculation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Update vs Rebuild mode; late claims trigger Reconstruction (rebuild window) or Recalculation (re-assign fields). (p. 9-4 to 9-8, 9-14)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Full-file run per API request; no update mode. (p. 26)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Late claims handled by re-running full member history. IDs are not stable across refreshes.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Claims eligible to join an admission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Place group inpatient acute / non-acute / missing, plus ER and observation-room outpatient identified by ER/OR Flag Code and Place of Service Code. (p. 9-1 to 9-2)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All facility and professional claims with claim_type_cd = 1; inpatient = std_place_group 1, 2 (LTC), 3. ER/OR identified by revenue 0450–0459, 0768, 0680–0689, 0981, POS 23 or proc group 111 (with provider-range / MDC 19–20 rules). Telehealth claims now included; LTC claims excludable by parameter. (p. 32–34)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More claims and dollars can group into an admission (telehealth, LTC unless excluded). ER inclusion at the admission edge can differ because a flag is replaced by code rules.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Admit type, admit source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From the first room-and-board record. (p. 9-20)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From the latest room-and-board record with a non-missing value. (p. 36)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Different values on multi-claim admissions and transfers.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Age, sex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Last-best-rank rule; mother's claim sorts before the newborn's, so the mother's age and sex win on combined admissions. (p. 9-6, Table 9-3)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From the latest room-and-board record with a non-missing value. (p. 36, 40)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Combined mother/newborn admissions may carry the newborn's age and sex.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Newborn days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If Newborn Days Indicator = Y, copy full LOS; else 0. (p. 9-22)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Days the newborn spent in a mother-and-newborn admission (rb_indicator 2, or 1 + 3 combination). Indicator field gone. (p. 41)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Lower newborn_days on combined admissions; no indicator to filter on.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Room-and-board identification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Pre-tagged Room and Board Flag Code from dimension tables. (p. 9-1, 9-5)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rb_indicator supplied on header, else derived from revenue codes: 1 R&amp;B (0100–0169 / 0180–0219 / 1000–1005), 2 mother+newborn, 3 nursery (0170–0179), 4 rehab (0118/0128/0138/0148). (p. 27–28)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Claims whose R&amp;B line is coded outside these ranges no longer open admissions; rehab transfers depend on the four rehab codes.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Trim flags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Cost, LOS and Per Diem trims; acute admissions only. (p. 9-22 to 9-23)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cost_trim and los_trim with identical thresholds; blank if DRG not found or benchmarks are 0. Per-diem trim not documented. (p. 40, 43–44)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cost_trim should reconcile; los_trim moves with LOS; per-diem trim must be derived in-house (allowed / los). Dropped / Unclear.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Disease Staging outputs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Disease Category, Stage, Mortality Risk, Scale DRG, Scale LOS and Scale Charge (+ std errors); acute only. (p. 9-21)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dxcat and stage only. (p. 17, 42)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Mortality risk and scale fields not available from admission output. Dropped.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Days not covered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Days Not Covered = (discharge − admit) − LOS, floored at 0. (p. 9-21)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days_not_submitted = los − submitted_los. The printed definition of submitted_los is a copy of admit_date (misprint). (p. 38, 43)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Computed from opposite directions; confirm submitted_los definition before use. Unclear.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DRG grouper version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Grouper (IRP) chosen by ICD version of the diagnosis matrix (9 vs 0). (p. 9-19)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Version by discharge date (32 … 421) or fixed via drgVersion parameter; unsupported version → blank DRG; drg_version output. (p. 37–38)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DRG comparisons must be made at the same drg_version; ICD-9 data always DRG 32.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Diagnosis matrix and PDX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Codes from claims (professional claims optionally excluded via ADMISSIONSPROFCLMDRG); PDX rotated when MDC 0 / DRG 998–999; MDC 14 circumcision fix; ICD-9 650 → 66971 for C-section. (p. 9-19)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dx1 = principal dx of latest R&amp;B record; then other R&amp;B latest→earliest, other facility earliest→latest, professional earliest→latest, up to 50 unique. No exclusion option; PDX corrections not documented. Missing POA → "W". (p. 41–42)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Order now defined; small DRG/MDC differences where legacy rotation or corrections applied. Unclear whether corrections survive.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Low–Medium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Coding system of the admission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ICD 9 if all codes ICD-9; otherwise ICD-10 grouper (mixed treated as ICD-10). (p. 9-19)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icd_flag from the earliest R&amp;B record; blank → record dropped from clinical assignment. (p. 31)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Mixed-version admissions and blank icd_flag records handled differently.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Low–Medium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Time-window begin date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Later of Date of First Service and claim-level Admission Date; records could extend a window backwards in rebuild mode. (p. 9-5 to 9-6)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Begin date / date of first service only; no backward extension. (p. 28–30)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Admit dates can differ where pre-admission testing or the admission-date field previously shifted the start.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Low–Medium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Sort order / voids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Explicit sort: begin date, calculated days, died-status last, adjustments and voids after originals, mother before newborn, record-ID tiebreak. (p. 9-5 to 9-6)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Sort order not defined; adjustment/void handling not mentioned.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Voids with valid dates could open admissions or shift admit dates. Unclear.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Low–Medium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Overlapping-admission claim assignment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Hold array: provider match against providers on each admission's claims → place group → shorter admission → first admission. (p. 9-13 to 9-14)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First admission matching facility_id_std / prov_id (ER: or std_place_group) → shortest admission; equal-length tiebreak not stated. (p. 31–33)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Occasional differences in which of two transfer admissions a claim lands in.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Hospital / facility ID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Facility ID Standard from first valid R&amp;B record; hosp_id source configurable (HOSPID_ALIAS). (p. 9-4, 9-9)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hospital_id = prov_id of first facility R&amp;B claim; no alias option. (p. 40)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Any client using a tax-ID alias loses it.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Primary physician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Highest sum of total_rvu, provider type 200–799; no tie-break stated. (Table 9-3)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Highest RVU sum in a parameterised std_prov range; tie → lowest prov_id (ASCII); provider type tie → lowest std_prov. total_rvu on output = the primary physician's RVU sum. (p. 34–35)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Ties now deterministic; do not read new total_rvu as the admission-wide RVU total.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Service subcategory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Claim-level service categories refreshed after build (ADM_SVC_CAT_* parameters). (p. 9-4)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admission-level adm_svc_sub_cat_cd = subcategory with highest allowed pay (p. 43 says facility records only; p. 24 says all records). (p. 23–24, 43)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field; confirm which population is used.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Low</w:t>
            </w:r>
          </w:p>
        </w:tc>
      </w:tr>
      <w:tr>
        <w:tc>
          <w:tcPr>
            <w:tcW w:type="dxa" w:w="1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New output fields with no legacy equivalent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  <w:tc>
          <w:tcPr>
            <w:tcW w:type="dxa" w:w="3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base_drg, drg_version, adm_fac_allow/net/submit_pay, adm_prm_allow/submit_pay, adm_prm_rvu, rb_indicator, exc_flag (N), rec_type (I), non-grouped records file, statistics.csv.</w:t>
            </w:r>
          </w:p>
        </w:tc>
        <w:tc>
          <w:tcPr>
            <w:tcW w:type="dxa" w:w="39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Available for use; no reconciliation needed.</w:t>
            </w:r>
          </w:p>
        </w:tc>
        <w:tc>
          <w:tcPr>
            <w:tcW w:type="dxa" w:w="114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spacing w:after="30" w:line="240"/>
            </w:pPr>
            <w:r>
              <w:rPr>
                <w:rFonts w:ascii="Arial" w:cs="Arial" w:eastAsia="Arial" w:hAnsi="Arial"/>
                <w:sz w:val="16"/>
                <w:szCs w:val="16"/>
              </w:rPr>
              <w:t xml:space="preserve">—</w:t>
            </w:r>
          </w:p>
        </w:tc>
      </w:tr>
    </w:tbl>
    <w:p>
      <w:pPr>
        <w:spacing w:after="120"/>
      </w:pPr>
    </w:p>
    <w:p>
      <w:pPr>
        <w:spacing w:after="100" w:line="264"/>
      </w:pPr>
      <w:r>
        <w:rPr>
          <w:rFonts w:ascii="Arial" w:cs="Arial" w:eastAsia="Arial" w:hAnsi="Arial"/>
          <w:b/>
          <w:bCs/>
          <w:sz w:val="17"/>
          <w:szCs w:val="17"/>
        </w:rPr>
        <w:t xml:space="preserve">Open questions for Merative: </w:t>
      </w:r>
      <w:r>
        <w:rPr>
          <w:rFonts w:ascii="Arial" w:cs="Arial" w:eastAsia="Arial" w:hAnsi="Arial"/>
          <w:sz w:val="17"/>
          <w:szCs w:val="17"/>
        </w:rPr>
        <w:t xml:space="preserve">current deconstruction rule; definition of submitted_los; handling of adjustment/void claims in time-window build; availability of per-diem trim, mortality risk and scale fields; whether PDX rotation and maternity DRG corrections still apply; whether transfer pairs are excluded from days_since/until fields; whether clinical assignments remain acute-only.</w:t>
      </w:r>
    </w:p>
    <w:p>
      <w:pPr>
        <w:spacing w:after="100" w:line="264"/>
      </w:pPr>
      <w:r>
        <w:rPr>
          <w:rFonts w:ascii="Arial" w:cs="Arial" w:eastAsia="Arial" w:hAnsi="Arial"/>
          <w:b/>
          <w:bCs/>
          <w:color w:val="595959"/>
          <w:sz w:val="15"/>
          <w:szCs w:val="15"/>
        </w:rPr>
        <w:t xml:space="preserve">Page references: </w:t>
      </w:r>
      <w:r>
        <w:rPr>
          <w:rFonts w:ascii="Arial" w:cs="Arial" w:eastAsia="Arial" w:hAnsi="Arial"/>
          <w:color w:val="595959"/>
          <w:sz w:val="15"/>
          <w:szCs w:val="15"/>
        </w:rPr>
        <w:t xml:space="preserve">"p. 9-x" = Advantage Suite 5.4 Data Manager's Guide ch. 9; "p. n" = Flexible Analytics Inpatient Admission Grouper Methodology Guide v11.12.0.</w:t>
      </w:r>
    </w:p>
    <w:sectPr>
      <w:headerReference w:type="default" r:id="rId7"/>
      <w:footerReference w:type="default" r:id="rId8"/>
      <w:pgSz w:w="15840" w:h="12240" w:orient="landscape"/>
      <w:pgMar w:top="800" w:right="900" w:bottom="8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95959"/>
        <w:sz w:val="15"/>
        <w:szCs w:val="15"/>
      </w:rPr>
      <w:t xml:space="preserve">Velir Engineering — internal working document — Page </w:t>
    </w:r>
    <w:r>
      <w:rPr>
        <w:rFonts w:ascii="Arial" w:cs="Arial" w:eastAsia="Arial" w:hAnsi="Arial"/>
        <w:color w:val="595959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595959"/>
        <w:sz w:val="15"/>
        <w:szCs w:val="15"/>
      </w:rPr>
      <w:t xml:space="preserve">Merative Admissions Methodology — What Changed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Merative Admissions Methodology — What Changed</dc:title>
  <dc:creator>Tonya Chernyshova</dc:creator>
  <cp:lastModifiedBy>Un-named</cp:lastModifiedBy>
  <cp:revision>1</cp:revision>
  <dcterms:created xsi:type="dcterms:W3CDTF">2026-09-30T17:24:47.851Z</dcterms:created>
  <dcterms:modified xsi:type="dcterms:W3CDTF">2026-09-30T17:24:47.852Z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