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1F3864"/>
          <w:sz w:val="32"/>
          <w:szCs w:val="32"/>
        </w:rPr>
        <w:t xml:space="preserve">Merative Admissions Methodology — What Changed</w:t>
      </w:r>
    </w:p>
    <w:p>
      <w:pPr>
        <w:spacing w:after="100" w:line="264"/>
      </w:pPr>
      <w:r>
        <w:rPr>
          <w:rFonts w:ascii="Arial" w:cs="Arial" w:eastAsia="Arial" w:hAnsi="Arial"/>
          <w:color w:val="595959"/>
          <w:sz w:val="17"/>
          <w:szCs w:val="17"/>
        </w:rPr>
        <w:t xml:space="preserve">Advantage Suite 5.4 Admission Build (IBM 2019, Data Manager's Guide ch. 9)  →  Truven Flexible Analytics Inpatient Admission Grouper v11.12.0 (Merative, Dec 2025). Prepared by Tonya Chernyshova, Velir Engineering, September 30, 2026.</w:t>
      </w:r>
    </w:p>
    <w:p>
      <w:pPr>
        <w:spacing w:after="60" w:before="160"/>
      </w:pPr>
      <w:r>
        <w:rPr>
          <w:rFonts w:ascii="Arial" w:cs="Arial" w:eastAsia="Arial" w:hAnsi="Arial"/>
          <w:b/>
          <w:bCs/>
          <w:color w:val="1F3864"/>
          <w:sz w:val="22"/>
          <w:szCs w:val="22"/>
        </w:rPr>
        <w:t xml:space="preserve">Background</w:t>
      </w:r>
    </w:p>
    <w:p>
      <w:pPr>
        <w:spacing w:after="100" w:line="264"/>
      </w:pPr>
      <w:r>
        <w:rPr>
          <w:rFonts w:ascii="Arial" w:cs="Arial" w:eastAsia="Arial" w:hAnsi="Arial"/>
          <w:sz w:val="19"/>
          <w:szCs w:val="19"/>
        </w:rPr>
        <w:t xml:space="preserve">Merative is retiring the admission logic that ran inside the Advantage Suite data warehouse (the "Admission Build" batch process, documented in Chapter 9 of the Advantage Suite 5.4 Data Manager's Guide, IBM 2019) and replacing it with the Truven Flexible Analytics Inpatient Admission Grouper, an API-driven methodology that reads a medical claims file and returns admission-level output files (Methodology Guide v11.12.0, general availability December 2025). Both build the same thing: one record per inpatient stay, assembled from facility room-and-board claims and the facility and professional claims that fall inside the stay, with length of stay, financial totals, DRG, disease stage and outlier flags attached.</w:t>
      </w:r>
    </w:p>
    <w:p>
      <w:pPr>
        <w:spacing w:after="100" w:line="264"/>
      </w:pPr>
      <w:r>
        <w:rPr>
          <w:rFonts w:ascii="Arial" w:cs="Arial" w:eastAsia="Arial" w:hAnsi="Arial"/>
          <w:sz w:val="19"/>
          <w:szCs w:val="19"/>
        </w:rPr>
        <w:t xml:space="preserve">Our reporting depends on those admission-level values. This note is for the data team: it lists only the calculations that differ between the two guides, what each side does, and what that means for the numbers we publish and the joins we maintain. The full section-by-section walkthrough, field matrix and validation plan are in the companion file </w:t>
      </w:r>
      <w:r>
        <w:rPr>
          <w:rFonts w:ascii="Arial" w:cs="Arial" w:eastAsia="Arial" w:hAnsi="Arial"/>
          <w:i/>
          <w:iCs/>
          <w:sz w:val="19"/>
          <w:szCs w:val="19"/>
        </w:rPr>
        <w:t xml:space="preserve">Merative_Admissions_Methodology_Parity_Comparison_Detailed.docx</w:t>
      </w:r>
      <w:r>
        <w:rPr>
          <w:rFonts w:ascii="Arial" w:cs="Arial" w:eastAsia="Arial" w:hAnsi="Arial"/>
          <w:sz w:val="19"/>
          <w:szCs w:val="19"/>
        </w:rPr>
        <w:t xml:space="preserve">.</w:t>
      </w:r>
    </w:p>
    <w:p>
      <w:pPr>
        <w:spacing w:after="60" w:before="160"/>
      </w:pPr>
      <w:r>
        <w:rPr>
          <w:rFonts w:ascii="Arial" w:cs="Arial" w:eastAsia="Arial" w:hAnsi="Arial"/>
          <w:b/>
          <w:bCs/>
          <w:color w:val="1F3864"/>
          <w:sz w:val="22"/>
          <w:szCs w:val="22"/>
        </w:rPr>
        <w:t xml:space="preserve">Documents compared</w:t>
      </w:r>
    </w:p>
    <w:tbl>
      <w:tblPr>
        <w:tblW w:type="dxa" w:w="139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6100"/>
        <w:gridCol w:w="6100"/>
      </w:tblGrid>
      <w:tr>
        <w:trPr>
          <w:tblHeader/>
        </w:trPr>
        <w:tc>
          <w:tcPr>
            <w:tcW w:type="dxa" w:w="1700"/>
            <w:tcBorders>
              <w:top w:val="single" w:color="BFBFBF" w:sz="4"/>
              <w:left w:val="single" w:color="BFBFBF" w:sz="4"/>
              <w:bottom w:val="single" w:color="BFBFBF" w:sz="4"/>
              <w:right w:val="single" w:color="BFBFBF" w:sz="4"/>
            </w:tcBorders>
            <w:shd w:fill="D9E2F3" w:color="auto" w:val="clear"/>
            <w:tcMar>
              <w:top w:type="dxa" w:w="50"/>
              <w:left w:type="dxa" w:w="80"/>
              <w:bottom w:type="dxa" w:w="50"/>
              <w:right w:type="dxa" w:w="80"/>
            </w:tcMar>
          </w:tcPr>
          <w:p>
            <w:pPr>
              <w:spacing w:after="30" w:line="240"/>
            </w:pPr>
            <w:r>
              <w:rPr>
                <w:rFonts w:ascii="Arial" w:cs="Arial" w:eastAsia="Arial" w:hAnsi="Arial"/>
                <w:b/>
                <w:bCs/>
                <w:sz w:val="16"/>
                <w:szCs w:val="16"/>
              </w:rPr>
              <w:t xml:space="preserve"/>
            </w:r>
          </w:p>
        </w:tc>
        <w:tc>
          <w:tcPr>
            <w:tcW w:type="dxa" w:w="6100"/>
            <w:tcBorders>
              <w:top w:val="single" w:color="BFBFBF" w:sz="4"/>
              <w:left w:val="single" w:color="BFBFBF" w:sz="4"/>
              <w:bottom w:val="single" w:color="BFBFBF" w:sz="4"/>
              <w:right w:val="single" w:color="BFBFBF" w:sz="4"/>
            </w:tcBorders>
            <w:shd w:fill="D9E2F3" w:color="auto" w:val="clear"/>
            <w:tcMar>
              <w:top w:type="dxa" w:w="50"/>
              <w:left w:type="dxa" w:w="80"/>
              <w:bottom w:type="dxa" w:w="50"/>
              <w:right w:type="dxa" w:w="80"/>
            </w:tcMar>
          </w:tcPr>
          <w:p>
            <w:pPr>
              <w:spacing w:after="30" w:line="240"/>
            </w:pPr>
            <w:r>
              <w:rPr>
                <w:rFonts w:ascii="Arial" w:cs="Arial" w:eastAsia="Arial" w:hAnsi="Arial"/>
                <w:b/>
                <w:bCs/>
                <w:sz w:val="16"/>
                <w:szCs w:val="16"/>
              </w:rPr>
              <w:t xml:space="preserve">Legacy</w:t>
            </w:r>
          </w:p>
        </w:tc>
        <w:tc>
          <w:tcPr>
            <w:tcW w:type="dxa" w:w="6100"/>
            <w:tcBorders>
              <w:top w:val="single" w:color="BFBFBF" w:sz="4"/>
              <w:left w:val="single" w:color="BFBFBF" w:sz="4"/>
              <w:bottom w:val="single" w:color="BFBFBF" w:sz="4"/>
              <w:right w:val="single" w:color="BFBFBF" w:sz="4"/>
            </w:tcBorders>
            <w:shd w:fill="D9E2F3" w:color="auto" w:val="clear"/>
            <w:tcMar>
              <w:top w:type="dxa" w:w="50"/>
              <w:left w:type="dxa" w:w="80"/>
              <w:bottom w:type="dxa" w:w="50"/>
              <w:right w:type="dxa" w:w="80"/>
            </w:tcMar>
          </w:tcPr>
          <w:p>
            <w:pPr>
              <w:spacing w:after="30" w:line="240"/>
            </w:pPr>
            <w:r>
              <w:rPr>
                <w:rFonts w:ascii="Arial" w:cs="Arial" w:eastAsia="Arial" w:hAnsi="Arial"/>
                <w:b/>
                <w:bCs/>
                <w:sz w:val="16"/>
                <w:szCs w:val="16"/>
              </w:rPr>
              <w:t xml:space="preserve">New</w:t>
            </w:r>
          </w:p>
        </w:tc>
      </w:tr>
      <w:tr>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line="240"/>
            </w:pPr>
            <w:r>
              <w:rPr>
                <w:rFonts w:ascii="Arial" w:cs="Arial" w:eastAsia="Arial" w:hAnsi="Arial"/>
                <w:sz w:val="16"/>
                <w:szCs w:val="16"/>
              </w:rPr>
              <w:t xml:space="preserve">Document</w:t>
            </w:r>
          </w:p>
        </w:tc>
        <w:tc>
          <w:tcPr>
            <w:tcW w:type="dxa" w:w="6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line="240"/>
            </w:pPr>
            <w:r>
              <w:rPr>
                <w:rFonts w:ascii="Arial" w:cs="Arial" w:eastAsia="Arial" w:hAnsi="Arial"/>
                <w:sz w:val="16"/>
                <w:szCs w:val="16"/>
              </w:rPr>
              <w:t xml:space="preserve">Advantage Suite 5.4 Data Manager's Guide, Chapter 9 "Aggregates / Admission Summary", pp. 9-1 to 9-23 (IBM, 2019)</w:t>
            </w:r>
          </w:p>
        </w:tc>
        <w:tc>
          <w:tcPr>
            <w:tcW w:type="dxa" w:w="6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line="240"/>
            </w:pPr>
            <w:r>
              <w:rPr>
                <w:rFonts w:ascii="Arial" w:cs="Arial" w:eastAsia="Arial" w:hAnsi="Arial"/>
                <w:sz w:val="16"/>
                <w:szCs w:val="16"/>
              </w:rPr>
              <w:t xml:space="preserve">Truven Flexible Analytics Inpatient Admission Grouper Methodology Guide v11.12.0, 45 pp. (Merative, Dec 2025); supports FA releases 3.3.5.0 through 3.4.15.0</w:t>
            </w:r>
          </w:p>
        </w:tc>
      </w:tr>
      <w:tr>
        <w:tc>
          <w:tcPr>
            <w:tcW w:type="dxa" w:w="17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pPr>
            <w:r>
              <w:rPr>
                <w:rFonts w:ascii="Arial" w:cs="Arial" w:eastAsia="Arial" w:hAnsi="Arial"/>
                <w:sz w:val="16"/>
                <w:szCs w:val="16"/>
              </w:rPr>
              <w:t xml:space="preserve">How it runs</w:t>
            </w:r>
          </w:p>
        </w:tc>
        <w:tc>
          <w:tcPr>
            <w:tcW w:type="dxa" w:w="61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pPr>
            <w:r>
              <w:rPr>
                <w:rFonts w:ascii="Arial" w:cs="Arial" w:eastAsia="Arial" w:hAnsi="Arial"/>
                <w:sz w:val="16"/>
                <w:szCs w:val="16"/>
              </w:rPr>
              <w:t xml:space="preserve">Batch step inside the warehouse; Update or Rebuild mode; incremental reconstruction of affected admissions</w:t>
            </w:r>
          </w:p>
        </w:tc>
        <w:tc>
          <w:tcPr>
            <w:tcW w:type="dxa" w:w="61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pPr>
            <w:r>
              <w:rPr>
                <w:rFonts w:ascii="Arial" w:cs="Arial" w:eastAsia="Arial" w:hAnsi="Arial"/>
                <w:sz w:val="16"/>
                <w:szCs w:val="16"/>
              </w:rPr>
              <w:t xml:space="preserve">Stateless API request over a full claims file; every run rebuilds all admissions in the file</w:t>
            </w:r>
          </w:p>
        </w:tc>
      </w:tr>
      <w:tr>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line="240"/>
            </w:pPr>
            <w:r>
              <w:rPr>
                <w:rFonts w:ascii="Arial" w:cs="Arial" w:eastAsia="Arial" w:hAnsi="Arial"/>
                <w:sz w:val="16"/>
                <w:szCs w:val="16"/>
              </w:rPr>
              <w:t xml:space="preserve">Where output lands</w:t>
            </w:r>
          </w:p>
        </w:tc>
        <w:tc>
          <w:tcPr>
            <w:tcW w:type="dxa" w:w="6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line="240"/>
            </w:pPr>
            <w:r>
              <w:rPr>
                <w:rFonts w:ascii="Arial" w:cs="Arial" w:eastAsia="Arial" w:hAnsi="Arial"/>
                <w:sz w:val="16"/>
                <w:szCs w:val="16"/>
              </w:rPr>
              <w:t xml:space="preserve">Star-schema tables: F_ADMIT, D_ADMIT_DX, D_ADMIT_OTHER, D_GRPR_DX, D_GRPR_PROC, A_ADMIT_CLM</w:t>
            </w:r>
          </w:p>
        </w:tc>
        <w:tc>
          <w:tcPr>
            <w:tcW w:type="dxa" w:w="6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line="240"/>
            </w:pPr>
            <w:r>
              <w:rPr>
                <w:rFonts w:ascii="Arial" w:cs="Arial" w:eastAsia="Arial" w:hAnsi="Arial"/>
                <w:sz w:val="16"/>
                <w:szCs w:val="16"/>
              </w:rPr>
              <w:t xml:space="preserve">Flat files: admissions, admission-medical link, non-grouped records, admission-episode link, statistics.csv</w:t>
            </w:r>
          </w:p>
        </w:tc>
      </w:tr>
      <w:tr>
        <w:tc>
          <w:tcPr>
            <w:tcW w:type="dxa" w:w="17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pPr>
            <w:r>
              <w:rPr>
                <w:rFonts w:ascii="Arial" w:cs="Arial" w:eastAsia="Arial" w:hAnsi="Arial"/>
                <w:sz w:val="16"/>
                <w:szCs w:val="16"/>
              </w:rPr>
              <w:t xml:space="preserve">Tuning</w:t>
            </w:r>
          </w:p>
        </w:tc>
        <w:tc>
          <w:tcPr>
            <w:tcW w:type="dxa" w:w="61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pPr>
            <w:r>
              <w:rPr>
                <w:rFonts w:ascii="Arial" w:cs="Arial" w:eastAsia="Arial" w:hAnsi="Arial"/>
                <w:sz w:val="16"/>
                <w:szCs w:val="16"/>
              </w:rPr>
              <w:t xml:space="preserve">Client-editable rules tables (B_ADM_RULES, B_ADM_DECONST) and build parameters</w:t>
            </w:r>
          </w:p>
        </w:tc>
        <w:tc>
          <w:tcPr>
            <w:tcW w:type="dxa" w:w="61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pPr>
            <w:r>
              <w:rPr>
                <w:rFonts w:ascii="Arial" w:cs="Arial" w:eastAsia="Arial" w:hAnsi="Arial"/>
                <w:sz w:val="16"/>
                <w:szCs w:val="16"/>
              </w:rPr>
              <w:t xml:space="preserve">Request parameters only: drgVersion, excludeSVCCAT, long-term-care exclusion, statistics</w:t>
            </w:r>
          </w:p>
        </w:tc>
      </w:tr>
    </w:tbl>
    <w:p>
      <w:pPr>
        <w:spacing w:after="60"/>
      </w:pPr>
    </w:p>
    <w:p>
      <w:pPr>
        <w:spacing w:after="60" w:before="160"/>
      </w:pPr>
      <w:r>
        <w:rPr>
          <w:rFonts w:ascii="Arial" w:cs="Arial" w:eastAsia="Arial" w:hAnsi="Arial"/>
          <w:b/>
          <w:bCs/>
          <w:color w:val="1F3864"/>
          <w:sz w:val="22"/>
          <w:szCs w:val="22"/>
        </w:rPr>
        <w:t xml:space="preserve">What matters most</w:t>
      </w:r>
    </w:p>
    <w:p>
      <w:pPr>
        <w:spacing w:after="100" w:line="264"/>
      </w:pPr>
      <w:r>
        <w:rPr>
          <w:rFonts w:ascii="Arial" w:cs="Arial" w:eastAsia="Arial" w:hAnsi="Arial"/>
          <w:sz w:val="19"/>
          <w:szCs w:val="19"/>
        </w:rPr>
        <w:t xml:space="preserve">Five changes will visibly move reported numbers or break existing logic: length of stay is now a calendar difference rather than a sum of covered days; admission IDs are rebuilt on every run with no lineage to the old adm_id; the readmission-gap fields use blank instead of 0 and have no 365-day cap; the output field named "drg" is a pass-through of the claim DRG, not the grouper result; and the legacy rule that deleted zero-dollar (voided) admissions is no longer documented. Everything else in the table is a smaller shift or a documentation gap to confirm with Merative.</w:t>
      </w:r>
    </w:p>
    <w:p>
      <w:r>
        <w:br w:type="page"/>
      </w:r>
    </w:p>
    <w:p>
      <w:pPr>
        <w:spacing w:after="60" w:before="160"/>
      </w:pPr>
      <w:r>
        <w:rPr>
          <w:rFonts w:ascii="Arial" w:cs="Arial" w:eastAsia="Arial" w:hAnsi="Arial"/>
          <w:b/>
          <w:bCs/>
          <w:color w:val="1F3864"/>
          <w:sz w:val="22"/>
          <w:szCs w:val="22"/>
        </w:rPr>
        <w:t xml:space="preserve">How admissions are grouped: step by step</w:t>
      </w:r>
    </w:p>
    <w:p>
      <w:pPr>
        <w:spacing w:after="100" w:line="264"/>
      </w:pPr>
      <w:r>
        <w:rPr>
          <w:rFonts w:ascii="Arial" w:cs="Arial" w:eastAsia="Arial" w:hAnsi="Arial"/>
          <w:sz w:val="19"/>
          <w:szCs w:val="19"/>
        </w:rPr>
        <w:t xml:space="preserve">Both methodologies follow the same overall sequence: find the bed-charge claims, use them to draw the stay window, decide whether a second bed claim is a continuation or a transfer, pull the other claims into the window, then summarize. The table walks that sequence once and flags where the two versions diverge. It is a conceptual sequence assembled from the two guides, not a verified internal execution order; neither guide publishes the exact order of operations end to end.</w:t>
      </w:r>
    </w:p>
    <w:tbl>
      <w:tblPr>
        <w:tblW w:type="dxa" w:w="140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5100"/>
        <w:gridCol w:w="5100"/>
        <w:gridCol w:w="2340"/>
      </w:tblGrid>
      <w:tr>
        <w:trPr>
          <w:tblHeader/>
        </w:trPr>
        <w:tc>
          <w:tcPr>
            <w:tcW w:type="dxa" w:w="1500"/>
            <w:tcBorders>
              <w:top w:val="single" w:color="BFBFBF" w:sz="4"/>
              <w:left w:val="single" w:color="BFBFBF" w:sz="4"/>
              <w:bottom w:val="single" w:color="BFBFBF" w:sz="4"/>
              <w:right w:val="single" w:color="BFBFBF" w:sz="4"/>
            </w:tcBorders>
            <w:shd w:fill="D9E2F3" w:color="auto" w:val="clear"/>
            <w:tcMar>
              <w:top w:type="dxa" w:w="50"/>
              <w:left w:type="dxa" w:w="80"/>
              <w:bottom w:type="dxa" w:w="50"/>
              <w:right w:type="dxa" w:w="80"/>
            </w:tcMar>
          </w:tcPr>
          <w:p>
            <w:pPr>
              <w:spacing w:after="30" w:line="240"/>
            </w:pPr>
            <w:r>
              <w:rPr>
                <w:rFonts w:ascii="Arial" w:cs="Arial" w:eastAsia="Arial" w:hAnsi="Arial"/>
                <w:b/>
                <w:bCs/>
                <w:sz w:val="16"/>
                <w:szCs w:val="16"/>
              </w:rPr>
              <w:t xml:space="preserve">Step</w:t>
            </w:r>
          </w:p>
        </w:tc>
        <w:tc>
          <w:tcPr>
            <w:tcW w:type="dxa" w:w="5100"/>
            <w:tcBorders>
              <w:top w:val="single" w:color="BFBFBF" w:sz="4"/>
              <w:left w:val="single" w:color="BFBFBF" w:sz="4"/>
              <w:bottom w:val="single" w:color="BFBFBF" w:sz="4"/>
              <w:right w:val="single" w:color="BFBFBF" w:sz="4"/>
            </w:tcBorders>
            <w:shd w:fill="D9E2F3" w:color="auto" w:val="clear"/>
            <w:tcMar>
              <w:top w:type="dxa" w:w="50"/>
              <w:left w:type="dxa" w:w="80"/>
              <w:bottom w:type="dxa" w:w="50"/>
              <w:right w:type="dxa" w:w="80"/>
            </w:tcMar>
          </w:tcPr>
          <w:p>
            <w:pPr>
              <w:spacing w:after="30" w:line="240"/>
            </w:pPr>
            <w:r>
              <w:rPr>
                <w:rFonts w:ascii="Arial" w:cs="Arial" w:eastAsia="Arial" w:hAnsi="Arial"/>
                <w:b/>
                <w:bCs/>
                <w:sz w:val="16"/>
                <w:szCs w:val="16"/>
              </w:rPr>
              <w:t xml:space="preserve">Legacy — Advantage Suite 5.4 Admission Build</w:t>
            </w:r>
          </w:p>
        </w:tc>
        <w:tc>
          <w:tcPr>
            <w:tcW w:type="dxa" w:w="5100"/>
            <w:tcBorders>
              <w:top w:val="single" w:color="BFBFBF" w:sz="4"/>
              <w:left w:val="single" w:color="BFBFBF" w:sz="4"/>
              <w:bottom w:val="single" w:color="BFBFBF" w:sz="4"/>
              <w:right w:val="single" w:color="BFBFBF" w:sz="4"/>
            </w:tcBorders>
            <w:shd w:fill="D9E2F3" w:color="auto" w:val="clear"/>
            <w:tcMar>
              <w:top w:type="dxa" w:w="50"/>
              <w:left w:type="dxa" w:w="80"/>
              <w:bottom w:type="dxa" w:w="50"/>
              <w:right w:type="dxa" w:w="80"/>
            </w:tcMar>
          </w:tcPr>
          <w:p>
            <w:pPr>
              <w:spacing w:after="30" w:line="240"/>
            </w:pPr>
            <w:r>
              <w:rPr>
                <w:rFonts w:ascii="Arial" w:cs="Arial" w:eastAsia="Arial" w:hAnsi="Arial"/>
                <w:b/>
                <w:bCs/>
                <w:sz w:val="16"/>
                <w:szCs w:val="16"/>
              </w:rPr>
              <w:t xml:space="preserve">New — Flexible Analytics Inpatient Admission Grouper</w:t>
            </w:r>
          </w:p>
        </w:tc>
        <w:tc>
          <w:tcPr>
            <w:tcW w:type="dxa" w:w="2340"/>
            <w:tcBorders>
              <w:top w:val="single" w:color="BFBFBF" w:sz="4"/>
              <w:left w:val="single" w:color="BFBFBF" w:sz="4"/>
              <w:bottom w:val="single" w:color="BFBFBF" w:sz="4"/>
              <w:right w:val="single" w:color="BFBFBF" w:sz="4"/>
            </w:tcBorders>
            <w:shd w:fill="D9E2F3" w:color="auto" w:val="clear"/>
            <w:tcMar>
              <w:top w:type="dxa" w:w="50"/>
              <w:left w:type="dxa" w:w="80"/>
              <w:bottom w:type="dxa" w:w="50"/>
              <w:right w:type="dxa" w:w="80"/>
            </w:tcMar>
          </w:tcPr>
          <w:p>
            <w:pPr>
              <w:spacing w:after="30" w:line="240"/>
            </w:pPr>
            <w:r>
              <w:rPr>
                <w:rFonts w:ascii="Arial" w:cs="Arial" w:eastAsia="Arial" w:hAnsi="Arial"/>
                <w:b/>
                <w:bCs/>
                <w:sz w:val="16"/>
                <w:szCs w:val="16"/>
              </w:rPr>
              <w:t xml:space="preserve">Same / Changed</w:t>
            </w:r>
          </w:p>
        </w:tc>
      </w:tr>
      <w:tr>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line="240"/>
            </w:pPr>
            <w:r>
              <w:rPr>
                <w:rFonts w:ascii="Arial" w:cs="Arial" w:eastAsia="Arial" w:hAnsi="Arial"/>
                <w:sz w:val="16"/>
                <w:szCs w:val="16"/>
              </w:rPr>
              <w:t xml:space="preserve">1. Read claims</w:t>
            </w:r>
          </w:p>
        </w:tc>
        <w:tc>
          <w:tcPr>
            <w:tcW w:type="dxa" w:w="5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line="240"/>
            </w:pPr>
            <w:r>
              <w:rPr>
                <w:rFonts w:ascii="Arial" w:cs="Arial" w:eastAsia="Arial" w:hAnsi="Arial"/>
                <w:sz w:val="16"/>
                <w:szCs w:val="16"/>
              </w:rPr>
              <w:t xml:space="preserve">Batch job after the warehouse load, in Update mode (only patients with new claims) or Rebuild mode (everyone). Reads only claims that are inpatient (acute, non-acute or missing place group) or flagged ER / observation room. (p. 9-1 to 9-5)</w:t>
            </w:r>
          </w:p>
        </w:tc>
        <w:tc>
          <w:tcPr>
            <w:tcW w:type="dxa" w:w="5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line="240"/>
            </w:pPr>
            <w:r>
              <w:rPr>
                <w:rFonts w:ascii="Arial" w:cs="Arial" w:eastAsia="Arial" w:hAnsi="Arial"/>
                <w:sz w:val="16"/>
                <w:szCs w:val="16"/>
              </w:rPr>
              <w:t xml:space="preserve">One API request over one medical claims file; every patient in the file is built from scratch. Reads all medical claims (claim_type_cd = 1). (p. 26, 32)</w:t>
            </w:r>
          </w:p>
        </w:tc>
        <w:tc>
          <w:tcPr>
            <w:tcW w:type="dxa" w:w="234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line="240"/>
            </w:pPr>
            <w:r>
              <w:rPr>
                <w:rFonts w:ascii="Arial" w:cs="Arial" w:eastAsia="Arial" w:hAnsi="Arial"/>
                <w:sz w:val="16"/>
                <w:szCs w:val="16"/>
              </w:rPr>
              <w:t xml:space="preserve">Changed — wider intake, no incremental mode</w:t>
            </w:r>
          </w:p>
        </w:tc>
      </w:tr>
      <w:tr>
        <w:tc>
          <w:tcPr>
            <w:tcW w:type="dxa" w:w="15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pPr>
            <w:r>
              <w:rPr>
                <w:rFonts w:ascii="Arial" w:cs="Arial" w:eastAsia="Arial" w:hAnsi="Arial"/>
                <w:sz w:val="16"/>
                <w:szCs w:val="16"/>
              </w:rPr>
              <w:t xml:space="preserve">2. Sort claims</w:t>
            </w:r>
          </w:p>
        </w:tc>
        <w:tc>
          <w:tcPr>
            <w:tcW w:type="dxa" w:w="51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pPr>
            <w:r>
              <w:rPr>
                <w:rFonts w:ascii="Arial" w:cs="Arial" w:eastAsia="Arial" w:hAnsi="Arial"/>
                <w:sz w:val="16"/>
                <w:szCs w:val="16"/>
              </w:rPr>
              <w:t xml:space="preserve">Explicit order: begin date, then calculated days (short transfer-from bill before long transfer-to bill), died-status last, adjustments and voids after originals, mother before newborn, record ID as tiebreak. (p. 9-5 to 9-6)</w:t>
            </w:r>
          </w:p>
        </w:tc>
        <w:tc>
          <w:tcPr>
            <w:tcW w:type="dxa" w:w="51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pPr>
            <w:r>
              <w:rPr>
                <w:rFonts w:ascii="Arial" w:cs="Arial" w:eastAsia="Arial" w:hAnsi="Arial"/>
                <w:sz w:val="16"/>
                <w:szCs w:val="16"/>
              </w:rPr>
              <w:t xml:space="preserve">Refers to "the sort order of the time window" but does not define it; adjustments and voids not mentioned. (p. 36)</w:t>
            </w:r>
          </w:p>
        </w:tc>
        <w:tc>
          <w:tcPr>
            <w:tcW w:type="dxa" w:w="234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pPr>
            <w:r>
              <w:rPr>
                <w:rFonts w:ascii="Arial" w:cs="Arial" w:eastAsia="Arial" w:hAnsi="Arial"/>
                <w:sz w:val="16"/>
                <w:szCs w:val="16"/>
              </w:rPr>
              <w:t xml:space="preserve">Unclear</w:t>
            </w:r>
          </w:p>
        </w:tc>
      </w:tr>
      <w:tr>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line="240"/>
            </w:pPr>
            <w:r>
              <w:rPr>
                <w:rFonts w:ascii="Arial" w:cs="Arial" w:eastAsia="Arial" w:hAnsi="Arial"/>
                <w:sz w:val="16"/>
                <w:szCs w:val="16"/>
              </w:rPr>
              <w:t xml:space="preserve">3. Find the bed-charge claims</w:t>
            </w:r>
          </w:p>
        </w:tc>
        <w:tc>
          <w:tcPr>
            <w:tcW w:type="dxa" w:w="5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line="240"/>
            </w:pPr>
            <w:r>
              <w:rPr>
                <w:rFonts w:ascii="Arial" w:cs="Arial" w:eastAsia="Arial" w:hAnsi="Arial"/>
                <w:sz w:val="16"/>
                <w:szCs w:val="16"/>
              </w:rPr>
              <w:t xml:space="preserve">Uses a Room and Board Flag Code already tagged on the facility header by the warehouse. (p. 9-1, 9-5)</w:t>
            </w:r>
          </w:p>
        </w:tc>
        <w:tc>
          <w:tcPr>
            <w:tcW w:type="dxa" w:w="5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line="240"/>
            </w:pPr>
            <w:r>
              <w:rPr>
                <w:rFonts w:ascii="Arial" w:cs="Arial" w:eastAsia="Arial" w:hAnsi="Arial"/>
                <w:sz w:val="16"/>
                <w:szCs w:val="16"/>
              </w:rPr>
              <w:t xml:space="preserve">Uses rb_indicator if supplied; otherwise derives it from revenue codes: 1 room and board (0100–0169, 0180–0219, 1000–1005), 2 mother and newborn, 3 nursery (0170–0179), 4 rehab (0118/0128/0138/0148). (p. 27–28)</w:t>
            </w:r>
          </w:p>
        </w:tc>
        <w:tc>
          <w:tcPr>
            <w:tcW w:type="dxa" w:w="234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line="240"/>
            </w:pPr>
            <w:r>
              <w:rPr>
                <w:rFonts w:ascii="Arial" w:cs="Arial" w:eastAsia="Arial" w:hAnsi="Arial"/>
                <w:sz w:val="16"/>
                <w:szCs w:val="16"/>
              </w:rPr>
              <w:t xml:space="preserve">Changed — derived from codes instead of a pre-set flag</w:t>
            </w:r>
          </w:p>
        </w:tc>
      </w:tr>
      <w:tr>
        <w:tc>
          <w:tcPr>
            <w:tcW w:type="dxa" w:w="15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pPr>
            <w:r>
              <w:rPr>
                <w:rFonts w:ascii="Arial" w:cs="Arial" w:eastAsia="Arial" w:hAnsi="Arial"/>
                <w:sz w:val="16"/>
                <w:szCs w:val="16"/>
              </w:rPr>
              <w:t xml:space="preserve">4. Build the stay window</w:t>
            </w:r>
          </w:p>
        </w:tc>
        <w:tc>
          <w:tcPr>
            <w:tcW w:type="dxa" w:w="51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pPr>
            <w:r>
              <w:rPr>
                <w:rFonts w:ascii="Arial" w:cs="Arial" w:eastAsia="Arial" w:hAnsi="Arial"/>
                <w:sz w:val="16"/>
                <w:szCs w:val="16"/>
              </w:rPr>
              <w:t xml:space="preserve">First bed claim sets admit and discharge dates (begin date = later of first service and claim-level admission date). Each further bed claim either fits inside, extends forward, extends backward (rebuild only), is adjacent (next day), or starts a new window. (p. 9-5 to 9-7)</w:t>
            </w:r>
          </w:p>
        </w:tc>
        <w:tc>
          <w:tcPr>
            <w:tcW w:type="dxa" w:w="51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pPr>
            <w:r>
              <w:rPr>
                <w:rFonts w:ascii="Arial" w:cs="Arial" w:eastAsia="Arial" w:hAnsi="Arial"/>
                <w:sz w:val="16"/>
                <w:szCs w:val="16"/>
              </w:rPr>
              <w:t xml:space="preserve">First bed claim sets admit and discharge dates (begin date = first service). Each further bed claim fits inside, extends forward, is adjacent, or starts a new window. No backward extension. A claim ending exactly on the discharge date "fits" rather than triggering the transfer test. (p. 28–30)</w:t>
            </w:r>
          </w:p>
        </w:tc>
        <w:tc>
          <w:tcPr>
            <w:tcW w:type="dxa" w:w="234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pPr>
            <w:r>
              <w:rPr>
                <w:rFonts w:ascii="Arial" w:cs="Arial" w:eastAsia="Arial" w:hAnsi="Arial"/>
                <w:sz w:val="16"/>
                <w:szCs w:val="16"/>
              </w:rPr>
              <w:t xml:space="preserve">Same shape; begin-date source and discharge-day edge differ</w:t>
            </w:r>
          </w:p>
        </w:tc>
      </w:tr>
      <w:tr>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line="240"/>
            </w:pPr>
            <w:r>
              <w:rPr>
                <w:rFonts w:ascii="Arial" w:cs="Arial" w:eastAsia="Arial" w:hAnsi="Arial"/>
                <w:sz w:val="16"/>
                <w:szCs w:val="16"/>
              </w:rPr>
              <w:t xml:space="preserve">5. Decide continuation vs. transfer</w:t>
            </w:r>
          </w:p>
        </w:tc>
        <w:tc>
          <w:tcPr>
            <w:tcW w:type="dxa" w:w="5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line="240"/>
            </w:pPr>
            <w:r>
              <w:rPr>
                <w:rFonts w:ascii="Arial" w:cs="Arial" w:eastAsia="Arial" w:hAnsi="Arial"/>
                <w:sz w:val="16"/>
                <w:szCs w:val="16"/>
              </w:rPr>
              <w:t xml:space="preserve">When a bed claim extends or abuts the window: rehab ↔ non-rehab switch → transfer; both facility IDs valid and different → transfer; else if admission status says transfer (or it already has a transfer-from code), compare discharge statuses; else compare place groups. (p. 9-8)</w:t>
            </w:r>
          </w:p>
        </w:tc>
        <w:tc>
          <w:tcPr>
            <w:tcW w:type="dxa" w:w="5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line="240"/>
            </w:pPr>
            <w:r>
              <w:rPr>
                <w:rFonts w:ascii="Arial" w:cs="Arial" w:eastAsia="Arial" w:hAnsi="Arial"/>
                <w:sz w:val="16"/>
                <w:szCs w:val="16"/>
              </w:rPr>
              <w:t xml:space="preserve">Same four tests in the same order, using rb_indicator, facility_id_std, discharge status and std_place_group; facility IDs need only be non-missing (legacy: valid), and the "already has a transfer-from code" gate is not mentioned. (p. 31)</w:t>
            </w:r>
          </w:p>
        </w:tc>
        <w:tc>
          <w:tcPr>
            <w:tcW w:type="dxa" w:w="234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line="240"/>
            </w:pPr>
            <w:r>
              <w:rPr>
                <w:rFonts w:ascii="Arial" w:cs="Arial" w:eastAsia="Arial" w:hAnsi="Arial"/>
                <w:sz w:val="16"/>
                <w:szCs w:val="16"/>
              </w:rPr>
              <w:t xml:space="preserve">Mostly same — legacy requires valid facility IDs (v11: non-missing) and has an extra transfer-from gate</w:t>
            </w:r>
          </w:p>
        </w:tc>
      </w:tr>
      <w:tr>
        <w:tc>
          <w:tcPr>
            <w:tcW w:type="dxa" w:w="15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pPr>
            <w:r>
              <w:rPr>
                <w:rFonts w:ascii="Arial" w:cs="Arial" w:eastAsia="Arial" w:hAnsi="Arial"/>
                <w:sz w:val="16"/>
                <w:szCs w:val="16"/>
              </w:rPr>
              <w:t xml:space="preserve">6. Attach the other claims</w:t>
            </w:r>
          </w:p>
        </w:tc>
        <w:tc>
          <w:tcPr>
            <w:tcW w:type="dxa" w:w="51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pPr>
            <w:r>
              <w:rPr>
                <w:rFonts w:ascii="Arial" w:cs="Arial" w:eastAsia="Arial" w:hAnsi="Arial"/>
                <w:sz w:val="16"/>
                <w:szCs w:val="16"/>
              </w:rPr>
              <w:t xml:space="preserve">Inpatient facility and professional claims dated inside the window; ER / observation claims the day before or during, identified by a warehouse flag. A claim that fits two windows goes to a hold array: match provider, then place group, then shorter stay, then first stay. (p. 9-12 to 9-14)</w:t>
            </w:r>
          </w:p>
        </w:tc>
        <w:tc>
          <w:tcPr>
            <w:tcW w:type="dxa" w:w="51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pPr>
            <w:r>
              <w:rPr>
                <w:rFonts w:ascii="Arial" w:cs="Arial" w:eastAsia="Arial" w:hAnsi="Arial"/>
                <w:sz w:val="16"/>
                <w:szCs w:val="16"/>
              </w:rPr>
              <w:t xml:space="preserve">Facility and professional claims inside the window; ER / observation the day before or during, identified by revenue code 0450–0459 / 0768 / 0680–0689 / 0981, place of service 23 or procedure group 111; telehealth claims inside the window; LTC claims unless excluded by parameter. A claim that fits two windows is described twice, inconsistently: p. 32 says first admission matching facility_id_std (prov_id if missing), else shortest; p. 33 says earliest admission matching facility_id_std, prov_id or std_place_group, else shortest. (p. 32–34)</w:t>
            </w:r>
          </w:p>
        </w:tc>
        <w:tc>
          <w:tcPr>
            <w:tcW w:type="dxa" w:w="234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pPr>
            <w:r>
              <w:rPr>
                <w:rFonts w:ascii="Arial" w:cs="Arial" w:eastAsia="Arial" w:hAnsi="Arial"/>
                <w:sz w:val="16"/>
                <w:szCs w:val="16"/>
              </w:rPr>
              <w:t xml:space="preserve">Changed — more claim types, code-based ER rule, narrower tie-break (and two inconsistent v11 descriptions)</w:t>
            </w:r>
          </w:p>
        </w:tc>
      </w:tr>
      <w:tr>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line="240"/>
            </w:pPr>
            <w:r>
              <w:rPr>
                <w:rFonts w:ascii="Arial" w:cs="Arial" w:eastAsia="Arial" w:hAnsi="Arial"/>
                <w:sz w:val="16"/>
                <w:szCs w:val="16"/>
              </w:rPr>
              <w:t xml:space="preserve">7. Assign admission-level fields</w:t>
            </w:r>
          </w:p>
        </w:tc>
        <w:tc>
          <w:tcPr>
            <w:tcW w:type="dxa" w:w="5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line="240"/>
            </w:pPr>
            <w:r>
              <w:rPr>
                <w:rFonts w:ascii="Arial" w:cs="Arial" w:eastAsia="Arial" w:hAnsi="Arial"/>
                <w:sz w:val="16"/>
                <w:szCs w:val="16"/>
              </w:rPr>
              <w:t xml:space="preserve">Rules table (first non-missing, last non-missing, sum, highest sum, …) drives dates, demographics, financials and primary physician; mother's claim wins on combined mother/newborn stays. DRG grouper and Disease Staging run for acute admissions only, with PDX rotation and maternity fixes. LOS from the Days field. (p. 9-9 to 9-12, 9-14 to 9-21)</w:t>
            </w:r>
          </w:p>
        </w:tc>
        <w:tc>
          <w:tcPr>
            <w:tcW w:type="dxa" w:w="5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line="240"/>
            </w:pPr>
            <w:r>
              <w:rPr>
                <w:rFonts w:ascii="Arial" w:cs="Arial" w:eastAsia="Arial" w:hAnsi="Arial"/>
                <w:sz w:val="16"/>
                <w:szCs w:val="16"/>
              </w:rPr>
              <w:t xml:space="preserve">Fixed rules: dates from earliest/latest bed claim; admit type, source, age, sex, discharge status from the latest bed claim with a value; financial sums; primary physician by highest RVU. DRG via version matched to discharge date (calculated_drg, drg_final); dxcat and stage. LOS = discharge − admit. No acute-only qualifier stated. (p. 35–44)</w:t>
            </w:r>
          </w:p>
        </w:tc>
        <w:tc>
          <w:tcPr>
            <w:tcW w:type="dxa" w:w="234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line="240"/>
            </w:pPr>
            <w:r>
              <w:rPr>
                <w:rFonts w:ascii="Arial" w:cs="Arial" w:eastAsia="Arial" w:hAnsi="Arial"/>
                <w:sz w:val="16"/>
                <w:szCs w:val="16"/>
              </w:rPr>
              <w:t xml:space="preserve">Changed — LOS formula, first-vs-latest sourcing, DRG versioning, no maternity precedence</w:t>
            </w:r>
          </w:p>
        </w:tc>
      </w:tr>
      <w:tr>
        <w:tc>
          <w:tcPr>
            <w:tcW w:type="dxa" w:w="15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pPr>
            <w:r>
              <w:rPr>
                <w:rFonts w:ascii="Arial" w:cs="Arial" w:eastAsia="Arial" w:hAnsi="Arial"/>
                <w:sz w:val="16"/>
                <w:szCs w:val="16"/>
              </w:rPr>
              <w:t xml:space="preserve">8. Remove admissions that should not exist</w:t>
            </w:r>
          </w:p>
        </w:tc>
        <w:tc>
          <w:tcPr>
            <w:tcW w:type="dxa" w:w="51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pPr>
            <w:r>
              <w:rPr>
                <w:rFonts w:ascii="Arial" w:cs="Arial" w:eastAsia="Arial" w:hAnsi="Arial"/>
                <w:sz w:val="16"/>
                <w:szCs w:val="16"/>
              </w:rPr>
              <w:t xml:space="preserve">Runs after the rules-based totals in step 7 and before DRG / Disease Staging. Deconstruction deletes admissions with total allowed ≤ 0 (voids), except capitated bed charges and newborns. In Update mode, Reconstruction rebuilds an admission when a late bed claim changes it and Recalculation re-sums fields when a late other claim joins. (p. 9-8, 9-14, 9-17 to 9-18)</w:t>
            </w:r>
          </w:p>
        </w:tc>
        <w:tc>
          <w:tcPr>
            <w:tcW w:type="dxa" w:w="51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pPr>
            <w:r>
              <w:rPr>
                <w:rFonts w:ascii="Arial" w:cs="Arial" w:eastAsia="Arial" w:hAnsi="Arial"/>
                <w:sz w:val="16"/>
                <w:szCs w:val="16"/>
              </w:rPr>
              <w:t xml:space="preserve">A deconstruction rule exists (capitated admissions are exempt from it) but its threshold is not documented. No reconstruction or recalculation; every request is a full build. (p. 38)</w:t>
            </w:r>
          </w:p>
        </w:tc>
        <w:tc>
          <w:tcPr>
            <w:tcW w:type="dxa" w:w="234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pPr>
            <w:r>
              <w:rPr>
                <w:rFonts w:ascii="Arial" w:cs="Arial" w:eastAsia="Arial" w:hAnsi="Arial"/>
                <w:sz w:val="16"/>
                <w:szCs w:val="16"/>
              </w:rPr>
              <w:t xml:space="preserve">Unclear — rule not published; incremental steps gone</w:t>
            </w:r>
          </w:p>
        </w:tc>
      </w:tr>
      <w:tr>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line="240"/>
            </w:pPr>
            <w:r>
              <w:rPr>
                <w:rFonts w:ascii="Arial" w:cs="Arial" w:eastAsia="Arial" w:hAnsi="Arial"/>
                <w:sz w:val="16"/>
                <w:szCs w:val="16"/>
              </w:rPr>
              <w:t xml:space="preserve">9. Write output</w:t>
            </w:r>
          </w:p>
        </w:tc>
        <w:tc>
          <w:tcPr>
            <w:tcW w:type="dxa" w:w="5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line="240"/>
            </w:pPr>
            <w:r>
              <w:rPr>
                <w:rFonts w:ascii="Arial" w:cs="Arial" w:eastAsia="Arial" w:hAnsi="Arial"/>
                <w:sz w:val="16"/>
                <w:szCs w:val="16"/>
              </w:rPr>
              <w:t xml:space="preserve">Star-schema tables: F_ADMIT, D_ADMIT_DX, D_ADMIT_OTHER, D_GRPR_DX, D_GRPR_PROC, A_ADMIT_CLM. Admit ID = patient key + admit period key + sequence, stable across updates. (p. 9-3 to 9-4, 9-9)</w:t>
            </w:r>
          </w:p>
        </w:tc>
        <w:tc>
          <w:tcPr>
            <w:tcW w:type="dxa" w:w="5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line="240"/>
            </w:pPr>
            <w:r>
              <w:rPr>
                <w:rFonts w:ascii="Arial" w:cs="Arial" w:eastAsia="Arial" w:hAnsi="Arial"/>
                <w:sz w:val="16"/>
                <w:szCs w:val="16"/>
              </w:rPr>
              <w:t xml:space="preserve">Flat files: admissions, admission-medical link, non-grouped records, admission-episode link (with MEG), statistics.csv. admission_id = patient sequence number + 7-digit date-derived number; stability across runs not stated. (p. 36, 44–45)</w:t>
            </w:r>
          </w:p>
        </w:tc>
        <w:tc>
          <w:tcPr>
            <w:tcW w:type="dxa" w:w="234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line="240"/>
            </w:pPr>
            <w:r>
              <w:rPr>
                <w:rFonts w:ascii="Arial" w:cs="Arial" w:eastAsia="Arial" w:hAnsi="Arial"/>
                <w:sz w:val="16"/>
                <w:szCs w:val="16"/>
              </w:rPr>
              <w:t xml:space="preserve">Changed — packaging and ID format</w:t>
            </w:r>
          </w:p>
        </w:tc>
      </w:tr>
    </w:tbl>
    <w:p>
      <w:pPr>
        <w:spacing w:after="60"/>
      </w:pPr>
    </w:p>
    <w:p>
      <w:pPr>
        <w:spacing w:after="60" w:before="160"/>
      </w:pPr>
      <w:r>
        <w:rPr>
          <w:rFonts w:ascii="Arial" w:cs="Arial" w:eastAsia="Arial" w:hAnsi="Arial"/>
          <w:b/>
          <w:bCs/>
          <w:color w:val="1F3864"/>
          <w:sz w:val="22"/>
          <w:szCs w:val="22"/>
        </w:rPr>
        <w:t xml:space="preserve">How to read the table</w:t>
      </w:r>
    </w:p>
    <w:p>
      <w:pPr>
        <w:spacing w:after="160" w:line="264"/>
      </w:pPr>
      <w:r>
        <w:rPr>
          <w:rFonts w:ascii="Arial" w:cs="Arial" w:eastAsia="Arial" w:hAnsi="Arial"/>
          <w:sz w:val="19"/>
          <w:szCs w:val="19"/>
        </w:rPr>
        <w:t xml:space="preserve">Only calculations that differ are listed, ordered by impact. Everything not listed here reconciled as equivalent (admit/discharge dates, the main transfer tests (fallback gates differ when facility IDs are missing, see step 5), financial summation rules, cost-trim thresholds, MDC/DRG-final mapping, disease category and stage, primary-physician selection). Cross-checked against the internal "Merative v11 Admission Methodology Review" (which cites the new guide as v11.2.0; the cover reads 11.12.0). Items marked </w:t>
      </w:r>
      <w:r>
        <w:rPr>
          <w:rFonts w:ascii="Arial" w:cs="Arial" w:eastAsia="Arial" w:hAnsi="Arial"/>
          <w:b/>
          <w:bCs/>
          <w:sz w:val="19"/>
          <w:szCs w:val="19"/>
        </w:rPr>
        <w:t xml:space="preserve">Unclear</w:t>
      </w:r>
      <w:r>
        <w:rPr>
          <w:rFonts w:ascii="Arial" w:cs="Arial" w:eastAsia="Arial" w:hAnsi="Arial"/>
          <w:sz w:val="19"/>
          <w:szCs w:val="19"/>
        </w:rPr>
        <w:t xml:space="preserve"> are documented in the legacy guide but not addressed in the new one; confirm with Merative or in output data before relying on them.</w:t>
      </w:r>
    </w:p>
    <w:tbl>
      <w:tblPr>
        <w:tblW w:type="dxa" w:w="140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1900"/>
        <w:gridCol w:w="3050"/>
        <w:gridCol w:w="3050"/>
        <w:gridCol w:w="3540"/>
        <w:gridCol w:w="1000"/>
      </w:tblGrid>
      <w:tr>
        <w:trPr>
          <w:tblHeader/>
        </w:trPr>
        <w:tc>
          <w:tcPr>
            <w:tcW w:type="dxa" w:w="1500"/>
            <w:tcBorders>
              <w:top w:val="single" w:color="BFBFBF" w:sz="4"/>
              <w:left w:val="single" w:color="BFBFBF" w:sz="4"/>
              <w:bottom w:val="single" w:color="BFBFBF" w:sz="4"/>
              <w:right w:val="single" w:color="BFBFBF" w:sz="4"/>
            </w:tcBorders>
            <w:shd w:fill="D9E2F3" w:color="auto" w:val="clear"/>
            <w:tcMar>
              <w:top w:type="dxa" w:w="50"/>
              <w:left w:type="dxa" w:w="80"/>
              <w:bottom w:type="dxa" w:w="50"/>
              <w:right w:type="dxa" w:w="80"/>
            </w:tcMar>
          </w:tcPr>
          <w:p>
            <w:pPr>
              <w:spacing w:after="30" w:line="240"/>
            </w:pPr>
            <w:r>
              <w:rPr>
                <w:rFonts w:ascii="Arial" w:cs="Arial" w:eastAsia="Arial" w:hAnsi="Arial"/>
                <w:b/>
                <w:bCs/>
                <w:sz w:val="16"/>
                <w:szCs w:val="16"/>
              </w:rPr>
              <w:t xml:space="preserve">Metric / logic</w:t>
            </w:r>
          </w:p>
        </w:tc>
        <w:tc>
          <w:tcPr>
            <w:tcW w:type="dxa" w:w="1900"/>
            <w:tcBorders>
              <w:top w:val="single" w:color="BFBFBF" w:sz="4"/>
              <w:left w:val="single" w:color="BFBFBF" w:sz="4"/>
              <w:bottom w:val="single" w:color="BFBFBF" w:sz="4"/>
              <w:right w:val="single" w:color="BFBFBF" w:sz="4"/>
            </w:tcBorders>
            <w:shd w:fill="D9E2F3" w:color="auto" w:val="clear"/>
            <w:tcMar>
              <w:top w:type="dxa" w:w="50"/>
              <w:left w:type="dxa" w:w="80"/>
              <w:bottom w:type="dxa" w:w="50"/>
              <w:right w:type="dxa" w:w="80"/>
            </w:tcMar>
          </w:tcPr>
          <w:p>
            <w:pPr>
              <w:spacing w:after="30" w:line="240"/>
            </w:pPr>
            <w:r>
              <w:rPr>
                <w:rFonts w:ascii="Arial" w:cs="Arial" w:eastAsia="Arial" w:hAnsi="Arial"/>
                <w:b/>
                <w:bCs/>
                <w:sz w:val="16"/>
                <w:szCs w:val="16"/>
              </w:rPr>
              <w:t xml:space="preserve">Field names (legacy → new)</w:t>
            </w:r>
          </w:p>
        </w:tc>
        <w:tc>
          <w:tcPr>
            <w:tcW w:type="dxa" w:w="3050"/>
            <w:tcBorders>
              <w:top w:val="single" w:color="BFBFBF" w:sz="4"/>
              <w:left w:val="single" w:color="BFBFBF" w:sz="4"/>
              <w:bottom w:val="single" w:color="BFBFBF" w:sz="4"/>
              <w:right w:val="single" w:color="BFBFBF" w:sz="4"/>
            </w:tcBorders>
            <w:shd w:fill="D9E2F3" w:color="auto" w:val="clear"/>
            <w:tcMar>
              <w:top w:type="dxa" w:w="50"/>
              <w:left w:type="dxa" w:w="80"/>
              <w:bottom w:type="dxa" w:w="50"/>
              <w:right w:type="dxa" w:w="80"/>
            </w:tcMar>
          </w:tcPr>
          <w:p>
            <w:pPr>
              <w:spacing w:after="30" w:line="240"/>
            </w:pPr>
            <w:r>
              <w:rPr>
                <w:rFonts w:ascii="Arial" w:cs="Arial" w:eastAsia="Arial" w:hAnsi="Arial"/>
                <w:b/>
                <w:bCs/>
                <w:sz w:val="16"/>
                <w:szCs w:val="16"/>
              </w:rPr>
              <w:t xml:space="preserve">Legacy (Advantage Suite 5.4)</w:t>
            </w:r>
          </w:p>
        </w:tc>
        <w:tc>
          <w:tcPr>
            <w:tcW w:type="dxa" w:w="3050"/>
            <w:tcBorders>
              <w:top w:val="single" w:color="BFBFBF" w:sz="4"/>
              <w:left w:val="single" w:color="BFBFBF" w:sz="4"/>
              <w:bottom w:val="single" w:color="BFBFBF" w:sz="4"/>
              <w:right w:val="single" w:color="BFBFBF" w:sz="4"/>
            </w:tcBorders>
            <w:shd w:fill="D9E2F3" w:color="auto" w:val="clear"/>
            <w:tcMar>
              <w:top w:type="dxa" w:w="50"/>
              <w:left w:type="dxa" w:w="80"/>
              <w:bottom w:type="dxa" w:w="50"/>
              <w:right w:type="dxa" w:w="80"/>
            </w:tcMar>
          </w:tcPr>
          <w:p>
            <w:pPr>
              <w:spacing w:after="30" w:line="240"/>
            </w:pPr>
            <w:r>
              <w:rPr>
                <w:rFonts w:ascii="Arial" w:cs="Arial" w:eastAsia="Arial" w:hAnsi="Arial"/>
                <w:b/>
                <w:bCs/>
                <w:sz w:val="16"/>
                <w:szCs w:val="16"/>
              </w:rPr>
              <w:t xml:space="preserve">New (Flexible Analytics 11.12.0)</w:t>
            </w:r>
          </w:p>
        </w:tc>
        <w:tc>
          <w:tcPr>
            <w:tcW w:type="dxa" w:w="3540"/>
            <w:tcBorders>
              <w:top w:val="single" w:color="BFBFBF" w:sz="4"/>
              <w:left w:val="single" w:color="BFBFBF" w:sz="4"/>
              <w:bottom w:val="single" w:color="BFBFBF" w:sz="4"/>
              <w:right w:val="single" w:color="BFBFBF" w:sz="4"/>
            </w:tcBorders>
            <w:shd w:fill="D9E2F3" w:color="auto" w:val="clear"/>
            <w:tcMar>
              <w:top w:type="dxa" w:w="50"/>
              <w:left w:type="dxa" w:w="80"/>
              <w:bottom w:type="dxa" w:w="50"/>
              <w:right w:type="dxa" w:w="80"/>
            </w:tcMar>
          </w:tcPr>
          <w:p>
            <w:pPr>
              <w:spacing w:after="30" w:line="240"/>
            </w:pPr>
            <w:r>
              <w:rPr>
                <w:rFonts w:ascii="Arial" w:cs="Arial" w:eastAsia="Arial" w:hAnsi="Arial"/>
                <w:b/>
                <w:bCs/>
                <w:sz w:val="16"/>
                <w:szCs w:val="16"/>
              </w:rPr>
              <w:t xml:space="preserve">Effect on our data</w:t>
            </w:r>
          </w:p>
        </w:tc>
        <w:tc>
          <w:tcPr>
            <w:tcW w:type="dxa" w:w="1000"/>
            <w:tcBorders>
              <w:top w:val="single" w:color="BFBFBF" w:sz="4"/>
              <w:left w:val="single" w:color="BFBFBF" w:sz="4"/>
              <w:bottom w:val="single" w:color="BFBFBF" w:sz="4"/>
              <w:right w:val="single" w:color="BFBFBF" w:sz="4"/>
            </w:tcBorders>
            <w:shd w:fill="D9E2F3" w:color="auto" w:val="clear"/>
            <w:tcMar>
              <w:top w:type="dxa" w:w="50"/>
              <w:left w:type="dxa" w:w="80"/>
              <w:bottom w:type="dxa" w:w="50"/>
              <w:right w:type="dxa" w:w="80"/>
            </w:tcMar>
          </w:tcPr>
          <w:p>
            <w:pPr>
              <w:spacing w:after="30" w:line="240"/>
            </w:pPr>
            <w:r>
              <w:rPr>
                <w:rFonts w:ascii="Arial" w:cs="Arial" w:eastAsia="Arial" w:hAnsi="Arial"/>
                <w:b/>
                <w:bCs/>
                <w:sz w:val="16"/>
                <w:szCs w:val="16"/>
              </w:rPr>
              <w:t xml:space="preserve">Impact</w:t>
            </w:r>
          </w:p>
        </w:tc>
      </w:tr>
      <w:tr>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line="240"/>
            </w:pPr>
            <w:r>
              <w:rPr>
                <w:rFonts w:ascii="Arial" w:cs="Arial" w:eastAsia="Arial" w:hAnsi="Arial"/>
                <w:sz w:val="16"/>
                <w:szCs w:val="16"/>
              </w:rPr>
              <w:t xml:space="preserve">Admission ID</w:t>
            </w:r>
          </w:p>
        </w:tc>
        <w:tc>
          <w:tcPr>
            <w:tcW w:type="dxa" w:w="1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line="240"/>
            </w:pPr>
            <w:r>
              <w:rPr>
                <w:rFonts w:ascii="Arial" w:cs="Arial" w:eastAsia="Arial" w:hAnsi="Arial"/>
                <w:sz w:val="16"/>
                <w:szCs w:val="16"/>
              </w:rPr>
              <w:t xml:space="preserve">adm_id → admission_id</w:t>
            </w:r>
          </w:p>
        </w:tc>
        <w:tc>
          <w:tcPr>
            <w:tcW w:type="dxa" w:w="30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line="240"/>
            </w:pPr>
            <w:r>
              <w:rPr>
                <w:rFonts w:ascii="Arial" w:cs="Arial" w:eastAsia="Arial" w:hAnsi="Arial"/>
                <w:sz w:val="16"/>
                <w:szCs w:val="16"/>
              </w:rPr>
              <w:t xml:space="preserve">Patient Key + Admit Start Period Key + 2-digit sequence; stable across updates unless dates change. (p. 9-9)</w:t>
            </w:r>
          </w:p>
        </w:tc>
        <w:tc>
          <w:tcPr>
            <w:tcW w:type="dxa" w:w="30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line="240"/>
            </w:pPr>
            <w:r>
              <w:rPr>
                <w:rFonts w:ascii="Arial" w:cs="Arial" w:eastAsia="Arial" w:hAnsi="Arial"/>
                <w:sz w:val="16"/>
                <w:szCs w:val="16"/>
              </w:rPr>
              <w:t xml:space="preserve">Patient sequence number (from 1) + 7-digit number from the admission date (p. 36); stability across runs not stated.</w:t>
            </w:r>
          </w:p>
        </w:tc>
        <w:tc>
          <w:tcPr>
            <w:tcW w:type="dxa" w:w="354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line="240"/>
            </w:pPr>
            <w:r>
              <w:rPr>
                <w:rFonts w:ascii="Arial" w:cs="Arial" w:eastAsia="Arial" w:hAnsi="Arial"/>
                <w:sz w:val="16"/>
                <w:szCs w:val="16"/>
              </w:rPr>
              <w:t xml:space="preserve">No lineage to legacy adm_id. Re-key all joins on patient_id + admit_date + discharge_date.</w:t>
            </w:r>
          </w:p>
          <w:p>
            <w:pPr>
              <w:spacing w:after="30" w:line="240"/>
            </w:pPr>
            <w:r>
              <w:rPr>
                <w:rFonts w:ascii="Arial" w:cs="Arial" w:eastAsia="Arial" w:hAnsi="Arial"/>
                <w:sz w:val="16"/>
                <w:szCs w:val="16"/>
              </w:rPr>
              <w:t xml:space="preserve">The ID is the key that links an admission to its claims and to anything we built on top of it. The old ID was assembled from the patient key and the admission date and stayed the same from one monthly refresh to the next. The new ID is built differently (a patient sequence number plus a date-derived number) and the guide does not say it is stable between runs. Any table that stores last month's admission ID and expects to find it again will not; the safe join is patient + admit date + discharge date.</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line="240"/>
            </w:pPr>
            <w:r>
              <w:rPr>
                <w:rFonts w:ascii="Arial" w:cs="Arial" w:eastAsia="Arial" w:hAnsi="Arial"/>
                <w:sz w:val="16"/>
                <w:szCs w:val="16"/>
              </w:rPr>
              <w:t xml:space="preserve">High</w:t>
            </w:r>
          </w:p>
        </w:tc>
      </w:tr>
      <w:tr>
        <w:tc>
          <w:tcPr>
            <w:tcW w:type="dxa" w:w="15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pPr>
            <w:r>
              <w:rPr>
                <w:rFonts w:ascii="Arial" w:cs="Arial" w:eastAsia="Arial" w:hAnsi="Arial"/>
                <w:sz w:val="16"/>
                <w:szCs w:val="16"/>
              </w:rPr>
              <w:t xml:space="preserve">Length of stay</w:t>
            </w:r>
          </w:p>
        </w:tc>
        <w:tc>
          <w:tcPr>
            <w:tcW w:type="dxa" w:w="19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pPr>
            <w:r>
              <w:rPr>
                <w:rFonts w:ascii="Arial" w:cs="Arial" w:eastAsia="Arial" w:hAnsi="Arial"/>
                <w:sz w:val="16"/>
                <w:szCs w:val="16"/>
              </w:rPr>
              <w:t xml:space="preserve">adm_los_cnt → los</w:t>
            </w:r>
          </w:p>
        </w:tc>
        <w:tc>
          <w:tcPr>
            <w:tcW w:type="dxa" w:w="305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pPr>
            <w:r>
              <w:rPr>
                <w:rFonts w:ascii="Arial" w:cs="Arial" w:eastAsia="Arial" w:hAnsi="Arial"/>
                <w:sz w:val="16"/>
                <w:szCs w:val="16"/>
              </w:rPr>
              <w:t xml:space="preserve">Built from the covered Days field on room-and-board claims with overlap accounting; capped at discharge − admit + 1. Could be below the calendar span (covered days) or equal to span + 1. (p. 9-9 to 9-12)</w:t>
            </w:r>
          </w:p>
        </w:tc>
        <w:tc>
          <w:tcPr>
            <w:tcW w:type="dxa" w:w="305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pPr>
            <w:r>
              <w:rPr>
                <w:rFonts w:ascii="Arial" w:cs="Arial" w:eastAsia="Arial" w:hAnsi="Arial"/>
                <w:sz w:val="16"/>
                <w:szCs w:val="16"/>
              </w:rPr>
              <w:t xml:space="preserve">los = discharge date − admit date; 1 when equal. Pure calendar difference. (p. 40)</w:t>
            </w:r>
          </w:p>
        </w:tc>
        <w:tc>
          <w:tcPr>
            <w:tcW w:type="dxa" w:w="354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pPr>
            <w:r>
              <w:rPr>
                <w:rFonts w:ascii="Arial" w:cs="Arial" w:eastAsia="Arial" w:hAnsi="Arial"/>
                <w:sz w:val="16"/>
                <w:szCs w:val="16"/>
              </w:rPr>
              <w:t xml:space="preserve">Systematic ±1-day shifts; larger increases where covered days &lt; calendar days. Average LOS, bed-days, los_trim and any per-diem metric move.</w:t>
            </w:r>
          </w:p>
          <w:p>
            <w:pPr>
              <w:spacing w:after="30" w:line="240"/>
            </w:pPr>
            <w:r>
              <w:rPr>
                <w:rFonts w:ascii="Arial" w:cs="Arial" w:eastAsia="Arial" w:hAnsi="Arial"/>
                <w:sz w:val="16"/>
                <w:szCs w:val="16"/>
              </w:rPr>
              <w:t xml:space="preserve">The old system took length of stay from the Days field the hospital put on its bill, with adjustments for overlapping or corrected bills and a cap at discharge − admit + 1. The new system ignores that field and simply counts calendar nights: discharge date − admit date (minimum 1). For a stay 1/10 to 1/19 the new LOS is always 9. The old LOS depended on what the hospital billed: 10 if the bill counted the discharge day, 9 if it didn't, or 4 if only four days were covered.</w:t>
            </w:r>
          </w:p>
        </w:tc>
        <w:tc>
          <w:tcPr>
            <w:tcW w:type="dxa" w:w="10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pPr>
            <w:r>
              <w:rPr>
                <w:rFonts w:ascii="Arial" w:cs="Arial" w:eastAsia="Arial" w:hAnsi="Arial"/>
                <w:sz w:val="16"/>
                <w:szCs w:val="16"/>
              </w:rPr>
              <w:t xml:space="preserve">High</w:t>
            </w:r>
          </w:p>
        </w:tc>
      </w:tr>
      <w:tr>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line="240"/>
            </w:pPr>
            <w:r>
              <w:rPr>
                <w:rFonts w:ascii="Arial" w:cs="Arial" w:eastAsia="Arial" w:hAnsi="Arial"/>
                <w:sz w:val="16"/>
                <w:szCs w:val="16"/>
              </w:rPr>
              <w:t xml:space="preserve">Days since previous / until next admission</w:t>
            </w:r>
          </w:p>
        </w:tc>
        <w:tc>
          <w:tcPr>
            <w:tcW w:type="dxa" w:w="1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line="240"/>
            </w:pPr>
            <w:r>
              <w:rPr>
                <w:rFonts w:ascii="Arial" w:cs="Arial" w:eastAsia="Arial" w:hAnsi="Arial"/>
                <w:sz w:val="16"/>
                <w:szCs w:val="16"/>
              </w:rPr>
              <w:t xml:space="preserve">Days Since Last Admit / Days to Next Admit → days_since_prev_adm / days_until_next_adm</w:t>
            </w:r>
          </w:p>
        </w:tc>
        <w:tc>
          <w:tcPr>
            <w:tcW w:type="dxa" w:w="30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line="240"/>
            </w:pPr>
            <w:r>
              <w:rPr>
                <w:rFonts w:ascii="Arial" w:cs="Arial" w:eastAsia="Arial" w:hAnsi="Arial"/>
                <w:sz w:val="16"/>
                <w:szCs w:val="16"/>
              </w:rPr>
              <w:t xml:space="preserve">Acute only; 0 when no neighbouring admission; both set to 0 if gap &gt; 365 days; transfer-to/from pairs skipped. (p. 9-21 to 9-22)</w:t>
            </w:r>
          </w:p>
        </w:tc>
        <w:tc>
          <w:tcPr>
            <w:tcW w:type="dxa" w:w="30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line="240"/>
            </w:pPr>
            <w:r>
              <w:rPr>
                <w:rFonts w:ascii="Arial" w:cs="Arial" w:eastAsia="Arial" w:hAnsi="Arial"/>
                <w:sz w:val="16"/>
                <w:szCs w:val="16"/>
              </w:rPr>
              <w:t xml:space="preserve">Acute only (excludes place group 2, 3); blank when none; no 365-day cap; transfer exclusion not documented. (p. 38–39)</w:t>
            </w:r>
          </w:p>
        </w:tc>
        <w:tc>
          <w:tcPr>
            <w:tcW w:type="dxa" w:w="354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line="240"/>
            </w:pPr>
            <w:r>
              <w:rPr>
                <w:rFonts w:ascii="Arial" w:cs="Arial" w:eastAsia="Arial" w:hAnsi="Arial"/>
                <w:sz w:val="16"/>
                <w:szCs w:val="16"/>
              </w:rPr>
              <w:t xml:space="preserve">Readmission logic must test for blank instead of 0; gaps &gt; 365 now carry real values; filter transfer pairs with transfer_from_type_cd.</w:t>
            </w:r>
          </w:p>
          <w:p>
            <w:pPr>
              <w:spacing w:after="30" w:line="240"/>
            </w:pPr>
            <w:r>
              <w:rPr>
                <w:rFonts w:ascii="Arial" w:cs="Arial" w:eastAsia="Arial" w:hAnsi="Arial"/>
                <w:sz w:val="16"/>
                <w:szCs w:val="16"/>
              </w:rPr>
              <w:t xml:space="preserve">These fields measure the gap between one hospital stay and the next for the same person, and they drive readmission rates. The arithmetic is unchanged, but the edge cases moved. A first admission used to show 0; it now shows blank, so a filter like 'days_since &lt;= 30' silently changes what it catches. Gaps over a year used to be zeroed and now show the real number. The old system also skipped transfer pairs (one stay split across two hospitals) so they would not look like same-day readmissions; the new guide does not say whether it still does.</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line="240"/>
            </w:pPr>
            <w:r>
              <w:rPr>
                <w:rFonts w:ascii="Arial" w:cs="Arial" w:eastAsia="Arial" w:hAnsi="Arial"/>
                <w:sz w:val="16"/>
                <w:szCs w:val="16"/>
              </w:rPr>
              <w:t xml:space="preserve">High</w:t>
            </w:r>
          </w:p>
        </w:tc>
      </w:tr>
      <w:tr>
        <w:tc>
          <w:tcPr>
            <w:tcW w:type="dxa" w:w="15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pPr>
            <w:r>
              <w:rPr>
                <w:rFonts w:ascii="Arial" w:cs="Arial" w:eastAsia="Arial" w:hAnsi="Arial"/>
                <w:sz w:val="16"/>
                <w:szCs w:val="16"/>
              </w:rPr>
              <w:t xml:space="preserve">Field named "drg"</w:t>
            </w:r>
          </w:p>
        </w:tc>
        <w:tc>
          <w:tcPr>
            <w:tcW w:type="dxa" w:w="19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pPr>
            <w:r>
              <w:rPr>
                <w:rFonts w:ascii="Arial" w:cs="Arial" w:eastAsia="Arial" w:hAnsi="Arial"/>
                <w:sz w:val="16"/>
                <w:szCs w:val="16"/>
              </w:rPr>
              <w:t xml:space="preserve">DRG Code → calculated_drg; DRG Code Final → drg_final; DRG Final Difference Indicator → drg_final_diff_ind; (none) → drg</w:t>
            </w:r>
          </w:p>
        </w:tc>
        <w:tc>
          <w:tcPr>
            <w:tcW w:type="dxa" w:w="305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pPr>
            <w:r>
              <w:rPr>
                <w:rFonts w:ascii="Arial" w:cs="Arial" w:eastAsia="Arial" w:hAnsi="Arial"/>
                <w:sz w:val="16"/>
                <w:szCs w:val="16"/>
              </w:rPr>
              <w:t xml:space="preserve">"DRG Code" = grouper's initial DRG before POA.</w:t>
            </w:r>
          </w:p>
        </w:tc>
        <w:tc>
          <w:tcPr>
            <w:tcW w:type="dxa" w:w="305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pPr>
            <w:r>
              <w:rPr>
                <w:rFonts w:ascii="Arial" w:cs="Arial" w:eastAsia="Arial" w:hAnsi="Arial"/>
                <w:sz w:val="16"/>
                <w:szCs w:val="16"/>
              </w:rPr>
              <w:t xml:space="preserve">"drg" = pass-through of the DRG on the latest room-and-board claim; grouper result is calculated_drg; POA-adjusted result is drg_final. (p. 37, 39)</w:t>
            </w:r>
          </w:p>
        </w:tc>
        <w:tc>
          <w:tcPr>
            <w:tcW w:type="dxa" w:w="354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pPr>
            <w:r>
              <w:rPr>
                <w:rFonts w:ascii="Arial" w:cs="Arial" w:eastAsia="Arial" w:hAnsi="Arial"/>
                <w:sz w:val="16"/>
                <w:szCs w:val="16"/>
              </w:rPr>
              <w:t xml:space="preserve">Map legacy DRG → calculated_drg and DRG Final → drg_final. Never compare legacy DRG with new "drg".</w:t>
            </w:r>
          </w:p>
          <w:p>
            <w:pPr>
              <w:spacing w:after="30" w:line="240"/>
            </w:pPr>
            <w:r>
              <w:rPr>
                <w:rFonts w:ascii="Arial" w:cs="Arial" w:eastAsia="Arial" w:hAnsi="Arial"/>
                <w:sz w:val="16"/>
                <w:szCs w:val="16"/>
              </w:rPr>
              <w:t xml:space="preserve">A DRG is the three-digit category the grouper assigns to a stay (470 = joint replacement, 291 = heart failure). In the old system the only DRG stored was the one the grouper calculated. The new output has that too (calculated_drg, and drg_final after POA), but it also has a field simply called drg, which is the DRG the hospital printed on its own bill, copied through untouched. If someone maps old DRG to new drg by name, a large share of admissions will appear to have changed DRG when all that is being compared is Merative's calculation against the hospital's label.</w:t>
            </w:r>
          </w:p>
        </w:tc>
        <w:tc>
          <w:tcPr>
            <w:tcW w:type="dxa" w:w="10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pPr>
            <w:r>
              <w:rPr>
                <w:rFonts w:ascii="Arial" w:cs="Arial" w:eastAsia="Arial" w:hAnsi="Arial"/>
                <w:sz w:val="16"/>
                <w:szCs w:val="16"/>
              </w:rPr>
              <w:t xml:space="preserve">High</w:t>
            </w:r>
          </w:p>
        </w:tc>
      </w:tr>
      <w:tr>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line="240"/>
            </w:pPr>
            <w:r>
              <w:rPr>
                <w:rFonts w:ascii="Arial" w:cs="Arial" w:eastAsia="Arial" w:hAnsi="Arial"/>
                <w:sz w:val="16"/>
                <w:szCs w:val="16"/>
              </w:rPr>
              <w:t xml:space="preserve">Deconstruction of voided admissions</w:t>
            </w:r>
          </w:p>
        </w:tc>
        <w:tc>
          <w:tcPr>
            <w:tcW w:type="dxa" w:w="1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line="240"/>
            </w:pPr>
            <w:r>
              <w:rPr>
                <w:rFonts w:ascii="Arial" w:cs="Arial" w:eastAsia="Arial" w:hAnsi="Arial"/>
                <w:sz w:val="16"/>
                <w:szCs w:val="16"/>
              </w:rPr>
              <w:t xml:space="preserve">B_ADM_DECONST rule; adm_chg_allow_amt → adm_total_allow_pay; adm_cap_rb_ind → adm_cap_svc_ind</w:t>
            </w:r>
          </w:p>
        </w:tc>
        <w:tc>
          <w:tcPr>
            <w:tcW w:type="dxa" w:w="30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line="240"/>
            </w:pPr>
            <w:r>
              <w:rPr>
                <w:rFonts w:ascii="Arial" w:cs="Arial" w:eastAsia="Arial" w:hAnsi="Arial"/>
                <w:sz w:val="16"/>
                <w:szCs w:val="16"/>
              </w:rPr>
              <w:t xml:space="preserve">Admissions with total allowed ≤ 0 deleted (client-customizable); capitated R&amp;B and newborn admissions exempt. (p. 9-17 to 9-18)</w:t>
            </w:r>
          </w:p>
        </w:tc>
        <w:tc>
          <w:tcPr>
            <w:tcW w:type="dxa" w:w="30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line="240"/>
            </w:pPr>
            <w:r>
              <w:rPr>
                <w:rFonts w:ascii="Arial" w:cs="Arial" w:eastAsia="Arial" w:hAnsi="Arial"/>
                <w:sz w:val="16"/>
                <w:szCs w:val="16"/>
              </w:rPr>
              <w:t xml:space="preserve">Not documented. Only reference: capitated admissions "will not be deconstructed". (p. 38)</w:t>
            </w:r>
          </w:p>
        </w:tc>
        <w:tc>
          <w:tcPr>
            <w:tcW w:type="dxa" w:w="354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line="240"/>
            </w:pPr>
            <w:r>
              <w:rPr>
                <w:rFonts w:ascii="Arial" w:cs="Arial" w:eastAsia="Arial" w:hAnsi="Arial"/>
                <w:sz w:val="16"/>
                <w:szCs w:val="16"/>
              </w:rPr>
              <w:t xml:space="preserve">Zero/negative-dollar admissions may now be present; admission counts and cost denominators change. Unclear.</w:t>
            </w:r>
          </w:p>
          <w:p>
            <w:pPr>
              <w:spacing w:after="30" w:line="240"/>
            </w:pPr>
            <w:r>
              <w:rPr>
                <w:rFonts w:ascii="Arial" w:cs="Arial" w:eastAsia="Arial" w:hAnsi="Arial"/>
                <w:sz w:val="16"/>
                <w:szCs w:val="16"/>
              </w:rPr>
              <w:t xml:space="preserve">When a hospital bill is cancelled, the claims system usually sends a second identical claim with negative dollars rather than deleting the first. Both rows have real dates and room-and-board codes, so the grouper would build an admission with a real LOS and a cost of $0. Deconstruction is the step that deletes those. The old guide spelled out the rule (total allowed ≤ 0) and two exemptions (capitated bed charges, newborns). The new guide only confirms that some rule exists and that capitated admissions are exempt. If the rule is weaker, admission counts rise and average cost per admission falls.</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line="240"/>
            </w:pPr>
            <w:r>
              <w:rPr>
                <w:rFonts w:ascii="Arial" w:cs="Arial" w:eastAsia="Arial" w:hAnsi="Arial"/>
                <w:sz w:val="16"/>
                <w:szCs w:val="16"/>
              </w:rPr>
              <w:t xml:space="preserve">High</w:t>
            </w:r>
          </w:p>
        </w:tc>
      </w:tr>
      <w:tr>
        <w:tc>
          <w:tcPr>
            <w:tcW w:type="dxa" w:w="15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pPr>
            <w:r>
              <w:rPr>
                <w:rFonts w:ascii="Arial" w:cs="Arial" w:eastAsia="Arial" w:hAnsi="Arial"/>
                <w:sz w:val="16"/>
                <w:szCs w:val="16"/>
              </w:rPr>
              <w:t xml:space="preserve">Incremental build, reconstruction, recalculation</w:t>
            </w:r>
          </w:p>
        </w:tc>
        <w:tc>
          <w:tcPr>
            <w:tcW w:type="dxa" w:w="19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pPr>
            <w:r>
              <w:rPr>
                <w:rFonts w:ascii="Arial" w:cs="Arial" w:eastAsia="Arial" w:hAnsi="Arial"/>
                <w:sz w:val="16"/>
                <w:szCs w:val="16"/>
              </w:rPr>
              <w:t xml:space="preserve">ADMISSIONSMODE parameter → (none)</w:t>
            </w:r>
          </w:p>
        </w:tc>
        <w:tc>
          <w:tcPr>
            <w:tcW w:type="dxa" w:w="305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pPr>
            <w:r>
              <w:rPr>
                <w:rFonts w:ascii="Arial" w:cs="Arial" w:eastAsia="Arial" w:hAnsi="Arial"/>
                <w:sz w:val="16"/>
                <w:szCs w:val="16"/>
              </w:rPr>
              <w:t xml:space="preserve">Update vs Rebuild mode; late claims trigger Reconstruction (rebuild window) or Recalculation (re-assign fields). (p. 9-4 to 9-8, 9-14)</w:t>
            </w:r>
          </w:p>
        </w:tc>
        <w:tc>
          <w:tcPr>
            <w:tcW w:type="dxa" w:w="305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pPr>
            <w:r>
              <w:rPr>
                <w:rFonts w:ascii="Arial" w:cs="Arial" w:eastAsia="Arial" w:hAnsi="Arial"/>
                <w:sz w:val="16"/>
                <w:szCs w:val="16"/>
              </w:rPr>
              <w:t xml:space="preserve">Describes a single-pass build from one input file per request (p. 26); no update mode, reconstruction or recalculation is documented. Incremental processing and ID stability across runs are not stated.</w:t>
            </w:r>
          </w:p>
        </w:tc>
        <w:tc>
          <w:tcPr>
            <w:tcW w:type="dxa" w:w="354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pPr>
            <w:r>
              <w:rPr>
                <w:rFonts w:ascii="Arial" w:cs="Arial" w:eastAsia="Arial" w:hAnsi="Arial"/>
                <w:sz w:val="16"/>
                <w:szCs w:val="16"/>
              </w:rPr>
              <w:t xml:space="preserve">Assume late claims require resubmitting the patient's full claim history and that admission IDs change between runs; confirm with Merative (API Guide / Execution Parameters Dictionary). Unclear.</w:t>
            </w:r>
          </w:p>
          <w:p>
            <w:pPr>
              <w:spacing w:after="30" w:line="240"/>
            </w:pPr>
            <w:r>
              <w:rPr>
                <w:rFonts w:ascii="Arial" w:cs="Arial" w:eastAsia="Arial" w:hAnsi="Arial"/>
                <w:sz w:val="16"/>
                <w:szCs w:val="16"/>
              </w:rPr>
              <w:t xml:space="preserve">Claims arrive for months after a stay. The old warehouse ran in Update mode: only patients with new claims were touched, a late bed bill triggered a rebuild of the affected admission (Reconstruction), and a late doctor's bill triggered a re-sum of the fields (Recalculation). The new guide describes one pass over one input file per request and says nothing about updates. The practical reading is that the pipeline must send each patient's full claim history every time and must not rely on admission IDs surviving between runs, but this is inferred, not stated.</w:t>
            </w:r>
          </w:p>
        </w:tc>
        <w:tc>
          <w:tcPr>
            <w:tcW w:type="dxa" w:w="10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pPr>
            <w:r>
              <w:rPr>
                <w:rFonts w:ascii="Arial" w:cs="Arial" w:eastAsia="Arial" w:hAnsi="Arial"/>
                <w:sz w:val="16"/>
                <w:szCs w:val="16"/>
              </w:rPr>
              <w:t xml:space="preserve">High</w:t>
            </w:r>
          </w:p>
        </w:tc>
      </w:tr>
      <w:tr>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line="240"/>
            </w:pPr>
            <w:r>
              <w:rPr>
                <w:rFonts w:ascii="Arial" w:cs="Arial" w:eastAsia="Arial" w:hAnsi="Arial"/>
                <w:sz w:val="16"/>
                <w:szCs w:val="16"/>
              </w:rPr>
              <w:t xml:space="preserve">Claims eligible to join an admission</w:t>
            </w:r>
          </w:p>
        </w:tc>
        <w:tc>
          <w:tcPr>
            <w:tcW w:type="dxa" w:w="1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line="240"/>
            </w:pPr>
            <w:r>
              <w:rPr>
                <w:rFonts w:ascii="Arial" w:cs="Arial" w:eastAsia="Arial" w:hAnsi="Arial"/>
                <w:sz w:val="16"/>
                <w:szCs w:val="16"/>
              </w:rPr>
              <w:t xml:space="preserve">Place Group Code Medstat / ER or Observation Room Flag Code / inpt_ind → std_place_group / rev_code / std_place / proc_group; claim_type_cd</w:t>
            </w:r>
          </w:p>
        </w:tc>
        <w:tc>
          <w:tcPr>
            <w:tcW w:type="dxa" w:w="30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line="240"/>
            </w:pPr>
            <w:r>
              <w:rPr>
                <w:rFonts w:ascii="Arial" w:cs="Arial" w:eastAsia="Arial" w:hAnsi="Arial"/>
                <w:sz w:val="16"/>
                <w:szCs w:val="16"/>
              </w:rPr>
              <w:t xml:space="preserve">Place group inpatient acute / non-acute / missing, plus ER and observation-room outpatient identified by ER/OR Flag Code and Place of Service Code; ADM_USE_INPT_IND (default YES) pre-filtered admissible records via inpt_ind. (p. 9-1 to 9-2, 9-4)</w:t>
            </w:r>
          </w:p>
        </w:tc>
        <w:tc>
          <w:tcPr>
            <w:tcW w:type="dxa" w:w="30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line="240"/>
            </w:pPr>
            <w:r>
              <w:rPr>
                <w:rFonts w:ascii="Arial" w:cs="Arial" w:eastAsia="Arial" w:hAnsi="Arial"/>
                <w:sz w:val="16"/>
                <w:szCs w:val="16"/>
              </w:rPr>
              <w:t xml:space="preserve">All facility and professional claims with claim_type_cd = 1; inpatient = std_place_group 1, 2 (LTC), 3. ER/OR identified by revenue 0450–0459, 0768, 0680–0689, 0981, POS 23 or proc group 111 (with provider-range / MDC 19–20 rules). Telehealth claims now included; LTC claims excludable by parameter. (p. 32–34)</w:t>
            </w:r>
          </w:p>
        </w:tc>
        <w:tc>
          <w:tcPr>
            <w:tcW w:type="dxa" w:w="354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line="240"/>
            </w:pPr>
            <w:r>
              <w:rPr>
                <w:rFonts w:ascii="Arial" w:cs="Arial" w:eastAsia="Arial" w:hAnsi="Arial"/>
                <w:sz w:val="16"/>
                <w:szCs w:val="16"/>
              </w:rPr>
              <w:t xml:space="preserve">More claims and dollars can group into an admission (telehealth, LTC unless excluded). ER inclusion at the admission edge can differ because a flag is replaced by code rules.</w:t>
            </w:r>
          </w:p>
          <w:p>
            <w:pPr>
              <w:spacing w:after="30" w:line="240"/>
            </w:pPr>
            <w:r>
              <w:rPr>
                <w:rFonts w:ascii="Arial" w:cs="Arial" w:eastAsia="Arial" w:hAnsi="Arial"/>
                <w:sz w:val="16"/>
                <w:szCs w:val="16"/>
              </w:rPr>
              <w:t xml:space="preserve">Before building anything, the system decides which claims are even allowed into the pool. The old rule let in inpatient claims plus outpatient claims flagged as ER or observation room. The new rule starts from every medical claim, identifies inpatient by place group, identifies ER/OR by explicit revenue and place-of-service codes, adds telehealth, and includes long-term-care claims unless a parameter excludes them. More claims can attach to a stay, so admission totals tend to rise, and ER visits the day before a stay may be included more consistently because a code list replaces a warehouse flag.</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line="240"/>
            </w:pPr>
            <w:r>
              <w:rPr>
                <w:rFonts w:ascii="Arial" w:cs="Arial" w:eastAsia="Arial" w:hAnsi="Arial"/>
                <w:sz w:val="16"/>
                <w:szCs w:val="16"/>
              </w:rPr>
              <w:t xml:space="preserve">Medium</w:t>
            </w:r>
          </w:p>
        </w:tc>
      </w:tr>
      <w:tr>
        <w:tc>
          <w:tcPr>
            <w:tcW w:type="dxa" w:w="15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pPr>
            <w:r>
              <w:rPr>
                <w:rFonts w:ascii="Arial" w:cs="Arial" w:eastAsia="Arial" w:hAnsi="Arial"/>
                <w:sz w:val="16"/>
                <w:szCs w:val="16"/>
              </w:rPr>
              <w:t xml:space="preserve">Admit type, admit source</w:t>
            </w:r>
          </w:p>
        </w:tc>
        <w:tc>
          <w:tcPr>
            <w:tcW w:type="dxa" w:w="19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pPr>
            <w:r>
              <w:rPr>
                <w:rFonts w:ascii="Arial" w:cs="Arial" w:eastAsia="Arial" w:hAnsi="Arial"/>
                <w:sz w:val="16"/>
                <w:szCs w:val="16"/>
              </w:rPr>
              <w:t xml:space="preserve">Admit Type Code UB → admit_type; Admit Source Code UB → admit_source</w:t>
            </w:r>
          </w:p>
        </w:tc>
        <w:tc>
          <w:tcPr>
            <w:tcW w:type="dxa" w:w="305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pPr>
            <w:r>
              <w:rPr>
                <w:rFonts w:ascii="Arial" w:cs="Arial" w:eastAsia="Arial" w:hAnsi="Arial"/>
                <w:sz w:val="16"/>
                <w:szCs w:val="16"/>
              </w:rPr>
              <w:t xml:space="preserve">From the first room-and-board record. (p. 9-20)</w:t>
            </w:r>
          </w:p>
        </w:tc>
        <w:tc>
          <w:tcPr>
            <w:tcW w:type="dxa" w:w="305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pPr>
            <w:r>
              <w:rPr>
                <w:rFonts w:ascii="Arial" w:cs="Arial" w:eastAsia="Arial" w:hAnsi="Arial"/>
                <w:sz w:val="16"/>
                <w:szCs w:val="16"/>
              </w:rPr>
              <w:t xml:space="preserve">From the latest room-and-board record with a non-missing value. (p. 36)</w:t>
            </w:r>
          </w:p>
        </w:tc>
        <w:tc>
          <w:tcPr>
            <w:tcW w:type="dxa" w:w="354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pPr>
            <w:r>
              <w:rPr>
                <w:rFonts w:ascii="Arial" w:cs="Arial" w:eastAsia="Arial" w:hAnsi="Arial"/>
                <w:sz w:val="16"/>
                <w:szCs w:val="16"/>
              </w:rPr>
              <w:t xml:space="preserve">Different values on multi-claim admissions and transfers.</w:t>
            </w:r>
          </w:p>
          <w:p>
            <w:pPr>
              <w:spacing w:after="30" w:line="240"/>
            </w:pPr>
            <w:r>
              <w:rPr>
                <w:rFonts w:ascii="Arial" w:cs="Arial" w:eastAsia="Arial" w:hAnsi="Arial"/>
                <w:sz w:val="16"/>
                <w:szCs w:val="16"/>
              </w:rPr>
              <w:t xml:space="preserve">Admit type says how urgent the admission was (emergency, elective, newborn); admit source says where the patient came from (ER, physician referral, another hospital). Both come from the hospital bill and are often blank. The old system read them from the bed bill that opened the stay; the new one reads them from the last bed bill in the stay that has a value. For a stay billed in one piece nothing changes. For stays billed monthly or merged across facilities, the second bill may carry a different code, so emergency-vs-elective and transfer-in splits can shift.</w:t>
            </w:r>
          </w:p>
        </w:tc>
        <w:tc>
          <w:tcPr>
            <w:tcW w:type="dxa" w:w="10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pPr>
            <w:r>
              <w:rPr>
                <w:rFonts w:ascii="Arial" w:cs="Arial" w:eastAsia="Arial" w:hAnsi="Arial"/>
                <w:sz w:val="16"/>
                <w:szCs w:val="16"/>
              </w:rPr>
              <w:t xml:space="preserve">Medium</w:t>
            </w:r>
          </w:p>
        </w:tc>
      </w:tr>
      <w:tr>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line="240"/>
            </w:pPr>
            <w:r>
              <w:rPr>
                <w:rFonts w:ascii="Arial" w:cs="Arial" w:eastAsia="Arial" w:hAnsi="Arial"/>
                <w:sz w:val="16"/>
                <w:szCs w:val="16"/>
              </w:rPr>
              <w:t xml:space="preserve">Age, sex</w:t>
            </w:r>
          </w:p>
        </w:tc>
        <w:tc>
          <w:tcPr>
            <w:tcW w:type="dxa" w:w="1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line="240"/>
            </w:pPr>
            <w:r>
              <w:rPr>
                <w:rFonts w:ascii="Arial" w:cs="Arial" w:eastAsia="Arial" w:hAnsi="Arial"/>
                <w:sz w:val="16"/>
                <w:szCs w:val="16"/>
              </w:rPr>
              <w:t xml:space="preserve">demog_key (Age In Years, Gender Code) → age, sex</w:t>
            </w:r>
          </w:p>
        </w:tc>
        <w:tc>
          <w:tcPr>
            <w:tcW w:type="dxa" w:w="30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line="240"/>
            </w:pPr>
            <w:r>
              <w:rPr>
                <w:rFonts w:ascii="Arial" w:cs="Arial" w:eastAsia="Arial" w:hAnsi="Arial"/>
                <w:sz w:val="16"/>
                <w:szCs w:val="16"/>
              </w:rPr>
              <w:t xml:space="preserve">Last-best-rank rule; mother's claim sorts before the newborn's, so the mother's age and sex win on combined admissions. (p. 9-6, Table 9-3)</w:t>
            </w:r>
          </w:p>
        </w:tc>
        <w:tc>
          <w:tcPr>
            <w:tcW w:type="dxa" w:w="30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line="240"/>
            </w:pPr>
            <w:r>
              <w:rPr>
                <w:rFonts w:ascii="Arial" w:cs="Arial" w:eastAsia="Arial" w:hAnsi="Arial"/>
                <w:sz w:val="16"/>
                <w:szCs w:val="16"/>
              </w:rPr>
              <w:t xml:space="preserve">From the latest room-and-board record with a non-missing value. (p. 36, 40)</w:t>
            </w:r>
          </w:p>
        </w:tc>
        <w:tc>
          <w:tcPr>
            <w:tcW w:type="dxa" w:w="354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line="240"/>
            </w:pPr>
            <w:r>
              <w:rPr>
                <w:rFonts w:ascii="Arial" w:cs="Arial" w:eastAsia="Arial" w:hAnsi="Arial"/>
                <w:sz w:val="16"/>
                <w:szCs w:val="16"/>
              </w:rPr>
              <w:t xml:space="preserve">Combined mother/newborn admissions may carry the newborn's age and sex.</w:t>
            </w:r>
          </w:p>
          <w:p>
            <w:pPr>
              <w:spacing w:after="30" w:line="240"/>
            </w:pPr>
            <w:r>
              <w:rPr>
                <w:rFonts w:ascii="Arial" w:cs="Arial" w:eastAsia="Arial" w:hAnsi="Arial"/>
                <w:sz w:val="16"/>
                <w:szCs w:val="16"/>
              </w:rPr>
              <w:t xml:space="preserve">Age and sex feed the DRG grouper and Disease Staging and are used to stratify reports. For an adult stay both systems end up reading the last bed bill and agree. The gap is maternity. When mother and newborn are billed under one person ID and combined into one admission, the old system sorted the mother's bill first so her age and sex always won. The new rule takes the latest bed bill with a value; if the nursery bill starts the day after delivery, the admission gets age 0 and the baby's sex and can group to a newborn DRG instead of a delivery DRG.</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line="240"/>
            </w:pPr>
            <w:r>
              <w:rPr>
                <w:rFonts w:ascii="Arial" w:cs="Arial" w:eastAsia="Arial" w:hAnsi="Arial"/>
                <w:sz w:val="16"/>
                <w:szCs w:val="16"/>
              </w:rPr>
              <w:t xml:space="preserve">Medium</w:t>
            </w:r>
          </w:p>
        </w:tc>
      </w:tr>
      <w:tr>
        <w:tc>
          <w:tcPr>
            <w:tcW w:type="dxa" w:w="15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pPr>
            <w:r>
              <w:rPr>
                <w:rFonts w:ascii="Arial" w:cs="Arial" w:eastAsia="Arial" w:hAnsi="Arial"/>
                <w:sz w:val="16"/>
                <w:szCs w:val="16"/>
              </w:rPr>
              <w:t xml:space="preserve">Newborn days</w:t>
            </w:r>
          </w:p>
        </w:tc>
        <w:tc>
          <w:tcPr>
            <w:tcW w:type="dxa" w:w="19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pPr>
            <w:r>
              <w:rPr>
                <w:rFonts w:ascii="Arial" w:cs="Arial" w:eastAsia="Arial" w:hAnsi="Arial"/>
                <w:sz w:val="16"/>
                <w:szCs w:val="16"/>
              </w:rPr>
              <w:t xml:space="preserve">Newborn Days Admit → newborn_days; Newborn Days Indicator → (none)</w:t>
            </w:r>
          </w:p>
        </w:tc>
        <w:tc>
          <w:tcPr>
            <w:tcW w:type="dxa" w:w="305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pPr>
            <w:r>
              <w:rPr>
                <w:rFonts w:ascii="Arial" w:cs="Arial" w:eastAsia="Arial" w:hAnsi="Arial"/>
                <w:sz w:val="16"/>
                <w:szCs w:val="16"/>
              </w:rPr>
              <w:t xml:space="preserve">If Newborn Days Indicator = Y, copy full LOS; else 0. (p. 9-22)</w:t>
            </w:r>
          </w:p>
        </w:tc>
        <w:tc>
          <w:tcPr>
            <w:tcW w:type="dxa" w:w="305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pPr>
            <w:r>
              <w:rPr>
                <w:rFonts w:ascii="Arial" w:cs="Arial" w:eastAsia="Arial" w:hAnsi="Arial"/>
                <w:sz w:val="16"/>
                <w:szCs w:val="16"/>
              </w:rPr>
              <w:t xml:space="preserve">Days the newborn spent in a mother-and-newborn admission (rb_indicator 2, or 1 + 3 combination). Indicator field gone. (p. 41)</w:t>
            </w:r>
          </w:p>
        </w:tc>
        <w:tc>
          <w:tcPr>
            <w:tcW w:type="dxa" w:w="354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pPr>
            <w:r>
              <w:rPr>
                <w:rFonts w:ascii="Arial" w:cs="Arial" w:eastAsia="Arial" w:hAnsi="Arial"/>
                <w:sz w:val="16"/>
                <w:szCs w:val="16"/>
              </w:rPr>
              <w:t xml:space="preserve">Lower newborn_days on combined admissions; no indicator to filter on.</w:t>
            </w:r>
          </w:p>
          <w:p>
            <w:pPr>
              <w:spacing w:after="30" w:line="240"/>
            </w:pPr>
            <w:r>
              <w:rPr>
                <w:rFonts w:ascii="Arial" w:cs="Arial" w:eastAsia="Arial" w:hAnsi="Arial"/>
                <w:sz w:val="16"/>
                <w:szCs w:val="16"/>
              </w:rPr>
              <w:t xml:space="preserve">Newborn days counts how many days of a combined mother-and-baby admission belong to the baby. The old system set it to the whole admission LOS whenever a newborn indicator was Y, and to 0 otherwise. The new system counts only the nursery portion, identified by rb_indicator 2 (mother and newborn) or a mix of 1 and 3 (mother's bed plus nursery). Values will be lower on combined admissions, and the yes/no indicator the old system exposed no longer exists.</w:t>
            </w:r>
          </w:p>
        </w:tc>
        <w:tc>
          <w:tcPr>
            <w:tcW w:type="dxa" w:w="10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pPr>
            <w:r>
              <w:rPr>
                <w:rFonts w:ascii="Arial" w:cs="Arial" w:eastAsia="Arial" w:hAnsi="Arial"/>
                <w:sz w:val="16"/>
                <w:szCs w:val="16"/>
              </w:rPr>
              <w:t xml:space="preserve">Medium</w:t>
            </w:r>
          </w:p>
        </w:tc>
      </w:tr>
      <w:tr>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line="240"/>
            </w:pPr>
            <w:r>
              <w:rPr>
                <w:rFonts w:ascii="Arial" w:cs="Arial" w:eastAsia="Arial" w:hAnsi="Arial"/>
                <w:sz w:val="16"/>
                <w:szCs w:val="16"/>
              </w:rPr>
              <w:t xml:space="preserve">Room-and-board identification</w:t>
            </w:r>
          </w:p>
        </w:tc>
        <w:tc>
          <w:tcPr>
            <w:tcW w:type="dxa" w:w="1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line="240"/>
            </w:pPr>
            <w:r>
              <w:rPr>
                <w:rFonts w:ascii="Arial" w:cs="Arial" w:eastAsia="Arial" w:hAnsi="Arial"/>
                <w:sz w:val="16"/>
                <w:szCs w:val="16"/>
              </w:rPr>
              <w:t xml:space="preserve">Room and Board Flag Code (fac_rb_flag_cd) → rb_indicator</w:t>
            </w:r>
          </w:p>
        </w:tc>
        <w:tc>
          <w:tcPr>
            <w:tcW w:type="dxa" w:w="30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line="240"/>
            </w:pPr>
            <w:r>
              <w:rPr>
                <w:rFonts w:ascii="Arial" w:cs="Arial" w:eastAsia="Arial" w:hAnsi="Arial"/>
                <w:sz w:val="16"/>
                <w:szCs w:val="16"/>
              </w:rPr>
              <w:t xml:space="preserve">Pre-tagged Room and Board Flag Code from dimension tables. (p. 9-1, 9-5)</w:t>
            </w:r>
          </w:p>
        </w:tc>
        <w:tc>
          <w:tcPr>
            <w:tcW w:type="dxa" w:w="30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line="240"/>
            </w:pPr>
            <w:r>
              <w:rPr>
                <w:rFonts w:ascii="Arial" w:cs="Arial" w:eastAsia="Arial" w:hAnsi="Arial"/>
                <w:sz w:val="16"/>
                <w:szCs w:val="16"/>
              </w:rPr>
              <w:t xml:space="preserve">rb_indicator supplied on header, else derived from revenue codes: 1 R&amp;B (0100–0169 / 0180–0219 / 1000–1005), 2 mother+newborn, 3 nursery (0170–0179), 4 rehab (0118/0128/0138/0148). (p. 27–28)</w:t>
            </w:r>
          </w:p>
        </w:tc>
        <w:tc>
          <w:tcPr>
            <w:tcW w:type="dxa" w:w="354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line="240"/>
            </w:pPr>
            <w:r>
              <w:rPr>
                <w:rFonts w:ascii="Arial" w:cs="Arial" w:eastAsia="Arial" w:hAnsi="Arial"/>
                <w:sz w:val="16"/>
                <w:szCs w:val="16"/>
              </w:rPr>
              <w:t xml:space="preserve">Claims whose R&amp;B line is coded outside these ranges no longer open admissions; rehab transfers depend on the four rehab codes.</w:t>
            </w:r>
          </w:p>
          <w:p>
            <w:pPr>
              <w:spacing w:after="30" w:line="240"/>
            </w:pPr>
            <w:r>
              <w:rPr>
                <w:rFonts w:ascii="Arial" w:cs="Arial" w:eastAsia="Arial" w:hAnsi="Arial"/>
                <w:sz w:val="16"/>
                <w:szCs w:val="16"/>
              </w:rPr>
              <w:t xml:space="preserve">A bed charge is what proves a patient was admitted, so it is the anchor that opens every admission. The old warehouse tagged bed charges in advance with a flag from its dimension tables. The new grouper derives the flag itself from revenue codes on the bill unless one is supplied: codes 0100–0219 and 1000–1005 mean a bed, 0170–0179 means nursery, 0118/0128/0138/0148 mean rehab. A facility claim whose bed line was coded outside those ranges will no longer open an admission, and the rehab transfer test now depends on exactly those four codes.</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line="240"/>
            </w:pPr>
            <w:r>
              <w:rPr>
                <w:rFonts w:ascii="Arial" w:cs="Arial" w:eastAsia="Arial" w:hAnsi="Arial"/>
                <w:sz w:val="16"/>
                <w:szCs w:val="16"/>
              </w:rPr>
              <w:t xml:space="preserve">Medium</w:t>
            </w:r>
          </w:p>
        </w:tc>
      </w:tr>
      <w:tr>
        <w:tc>
          <w:tcPr>
            <w:tcW w:type="dxa" w:w="15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pPr>
            <w:r>
              <w:rPr>
                <w:rFonts w:ascii="Arial" w:cs="Arial" w:eastAsia="Arial" w:hAnsi="Arial"/>
                <w:sz w:val="16"/>
                <w:szCs w:val="16"/>
              </w:rPr>
              <w:t xml:space="preserve">Trim flags</w:t>
            </w:r>
          </w:p>
        </w:tc>
        <w:tc>
          <w:tcPr>
            <w:tcW w:type="dxa" w:w="19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pPr>
            <w:r>
              <w:rPr>
                <w:rFonts w:ascii="Arial" w:cs="Arial" w:eastAsia="Arial" w:hAnsi="Arial"/>
                <w:sz w:val="16"/>
                <w:szCs w:val="16"/>
              </w:rPr>
              <w:t xml:space="preserve">Trim Flag Admit Cost → cost_trim; Trim Flag Admit LOS → los_trim; Trim Flag Admit Per Diem → (none)</w:t>
            </w:r>
          </w:p>
        </w:tc>
        <w:tc>
          <w:tcPr>
            <w:tcW w:type="dxa" w:w="305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pPr>
            <w:r>
              <w:rPr>
                <w:rFonts w:ascii="Arial" w:cs="Arial" w:eastAsia="Arial" w:hAnsi="Arial"/>
                <w:sz w:val="16"/>
                <w:szCs w:val="16"/>
              </w:rPr>
              <w:t xml:space="preserve">Cost, LOS and Per Diem trims; acute admissions only. (p. 9-22 to 9-23)</w:t>
            </w:r>
          </w:p>
        </w:tc>
        <w:tc>
          <w:tcPr>
            <w:tcW w:type="dxa" w:w="305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pPr>
            <w:r>
              <w:rPr>
                <w:rFonts w:ascii="Arial" w:cs="Arial" w:eastAsia="Arial" w:hAnsi="Arial"/>
                <w:sz w:val="16"/>
                <w:szCs w:val="16"/>
              </w:rPr>
              <w:t xml:space="preserve">cost_trim and los_trim with identical thresholds; blank if DRG not found or benchmarks are 0. Per-diem trim not documented. (p. 40, 43–44)</w:t>
            </w:r>
          </w:p>
        </w:tc>
        <w:tc>
          <w:tcPr>
            <w:tcW w:type="dxa" w:w="354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pPr>
            <w:r>
              <w:rPr>
                <w:rFonts w:ascii="Arial" w:cs="Arial" w:eastAsia="Arial" w:hAnsi="Arial"/>
                <w:sz w:val="16"/>
                <w:szCs w:val="16"/>
              </w:rPr>
              <w:t xml:space="preserve">cost_trim should reconcile; los_trim moves with LOS; per-diem trim must be derived in-house (allowed / los). Dropped / Unclear. Note: both guides' verbal bands overlap at exactly 5× (bucket 0 "up to 5×", bucket 1 "≥ 5×"); the legacy worked example puts 5× in bucket 0, so confirm the boundary when reconciling.</w:t>
            </w:r>
          </w:p>
          <w:p>
            <w:pPr>
              <w:spacing w:after="30" w:line="240"/>
            </w:pPr>
            <w:r>
              <w:rPr>
                <w:rFonts w:ascii="Arial" w:cs="Arial" w:eastAsia="Arial" w:hAnsi="Arial"/>
                <w:sz w:val="16"/>
                <w:szCs w:val="16"/>
              </w:rPr>
              <w:t xml:space="preserve">Trim flags mark admissions whose cost or length of stay is far outside the MarketScan average for their DRG, so analysts can exclude outliers. The thresholds are identical in both guides (1/15, 1/10, 1/5 of average on the low side; 5×, 10×, 15× on the high side). What changed: the LOS flag now runs on the new LOS formula so it will move with LOS; the new flags are blank when the DRG has no benchmark rather than being restricted to acute admissions; and the per-diem flag (cost divided by LOS) is not in the new guide at all.</w:t>
            </w:r>
          </w:p>
        </w:tc>
        <w:tc>
          <w:tcPr>
            <w:tcW w:type="dxa" w:w="10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pPr>
            <w:r>
              <w:rPr>
                <w:rFonts w:ascii="Arial" w:cs="Arial" w:eastAsia="Arial" w:hAnsi="Arial"/>
                <w:sz w:val="16"/>
                <w:szCs w:val="16"/>
              </w:rPr>
              <w:t xml:space="preserve">Medium</w:t>
            </w:r>
          </w:p>
        </w:tc>
      </w:tr>
      <w:tr>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line="240"/>
            </w:pPr>
            <w:r>
              <w:rPr>
                <w:rFonts w:ascii="Arial" w:cs="Arial" w:eastAsia="Arial" w:hAnsi="Arial"/>
                <w:sz w:val="16"/>
                <w:szCs w:val="16"/>
              </w:rPr>
              <w:t xml:space="preserve">Disease Staging outputs</w:t>
            </w:r>
          </w:p>
        </w:tc>
        <w:tc>
          <w:tcPr>
            <w:tcW w:type="dxa" w:w="1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line="240"/>
            </w:pPr>
            <w:r>
              <w:rPr>
                <w:rFonts w:ascii="Arial" w:cs="Arial" w:eastAsia="Arial" w:hAnsi="Arial"/>
                <w:sz w:val="16"/>
                <w:szCs w:val="16"/>
              </w:rPr>
              <w:t xml:space="preserve">Disease Category Code → dxcat; Disease Stage Code → stage; Mortality Risk, Scale DRG / LOS / Charge → (none)</w:t>
            </w:r>
          </w:p>
        </w:tc>
        <w:tc>
          <w:tcPr>
            <w:tcW w:type="dxa" w:w="30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line="240"/>
            </w:pPr>
            <w:r>
              <w:rPr>
                <w:rFonts w:ascii="Arial" w:cs="Arial" w:eastAsia="Arial" w:hAnsi="Arial"/>
                <w:sz w:val="16"/>
                <w:szCs w:val="16"/>
              </w:rPr>
              <w:t xml:space="preserve">Disease Category, Stage, Mortality Risk, Scale DRG, Scale LOS and Scale Charge (+ std errors); acute only. (p. 9-21)</w:t>
            </w:r>
          </w:p>
        </w:tc>
        <w:tc>
          <w:tcPr>
            <w:tcW w:type="dxa" w:w="30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line="240"/>
            </w:pPr>
            <w:r>
              <w:rPr>
                <w:rFonts w:ascii="Arial" w:cs="Arial" w:eastAsia="Arial" w:hAnsi="Arial"/>
                <w:sz w:val="16"/>
                <w:szCs w:val="16"/>
              </w:rPr>
              <w:t xml:space="preserve">dxcat and stage only. (p. 17, 42)</w:t>
            </w:r>
          </w:p>
        </w:tc>
        <w:tc>
          <w:tcPr>
            <w:tcW w:type="dxa" w:w="354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line="240"/>
            </w:pPr>
            <w:r>
              <w:rPr>
                <w:rFonts w:ascii="Arial" w:cs="Arial" w:eastAsia="Arial" w:hAnsi="Arial"/>
                <w:sz w:val="16"/>
                <w:szCs w:val="16"/>
              </w:rPr>
              <w:t xml:space="preserve">Mortality risk and scale fields not available from admission output. Dropped.</w:t>
            </w:r>
          </w:p>
          <w:p>
            <w:pPr>
              <w:spacing w:after="30" w:line="240"/>
            </w:pPr>
            <w:r>
              <w:rPr>
                <w:rFonts w:ascii="Arial" w:cs="Arial" w:eastAsia="Arial" w:hAnsi="Arial"/>
                <w:sz w:val="16"/>
                <w:szCs w:val="16"/>
              </w:rPr>
              <w:t xml:space="preserve">Disease Staging assigns each admission a disease category and a severity stage (0 = history only through 4 = death) based on the diagnoses. The old system also returned a mortality-risk probability and 'scale' values comparing the stay to expected DRG, LOS and charge. The new admission output documents only the category (dxcat) and stage. Any report that used mortality risk or the scale fields has no source for them in this output.</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line="240"/>
            </w:pPr>
            <w:r>
              <w:rPr>
                <w:rFonts w:ascii="Arial" w:cs="Arial" w:eastAsia="Arial" w:hAnsi="Arial"/>
                <w:sz w:val="16"/>
                <w:szCs w:val="16"/>
              </w:rPr>
              <w:t xml:space="preserve">Medium</w:t>
            </w:r>
          </w:p>
        </w:tc>
      </w:tr>
      <w:tr>
        <w:tc>
          <w:tcPr>
            <w:tcW w:type="dxa" w:w="15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pPr>
            <w:r>
              <w:rPr>
                <w:rFonts w:ascii="Arial" w:cs="Arial" w:eastAsia="Arial" w:hAnsi="Arial"/>
                <w:sz w:val="16"/>
                <w:szCs w:val="16"/>
              </w:rPr>
              <w:t xml:space="preserve">Days not covered</w:t>
            </w:r>
          </w:p>
        </w:tc>
        <w:tc>
          <w:tcPr>
            <w:tcW w:type="dxa" w:w="19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pPr>
            <w:r>
              <w:rPr>
                <w:rFonts w:ascii="Arial" w:cs="Arial" w:eastAsia="Arial" w:hAnsi="Arial"/>
                <w:sz w:val="16"/>
                <w:szCs w:val="16"/>
              </w:rPr>
              <w:t xml:space="preserve">Days Not Covered Admit → days_not_submitted; (Days field) → submitted_los</w:t>
            </w:r>
          </w:p>
        </w:tc>
        <w:tc>
          <w:tcPr>
            <w:tcW w:type="dxa" w:w="305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pPr>
            <w:r>
              <w:rPr>
                <w:rFonts w:ascii="Arial" w:cs="Arial" w:eastAsia="Arial" w:hAnsi="Arial"/>
                <w:sz w:val="16"/>
                <w:szCs w:val="16"/>
              </w:rPr>
              <w:t xml:space="preserve">Days Not Covered = (discharge − admit) − LOS, floored at 0. (p. 9-21)</w:t>
            </w:r>
          </w:p>
        </w:tc>
        <w:tc>
          <w:tcPr>
            <w:tcW w:type="dxa" w:w="305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pPr>
            <w:r>
              <w:rPr>
                <w:rFonts w:ascii="Arial" w:cs="Arial" w:eastAsia="Arial" w:hAnsi="Arial"/>
                <w:sz w:val="16"/>
                <w:szCs w:val="16"/>
              </w:rPr>
              <w:t xml:space="preserve">days_not_submitted = los − submitted_los. The printed definition of submitted_los is a copy of admit_date (misprint). (p. 38, 43)</w:t>
            </w:r>
          </w:p>
        </w:tc>
        <w:tc>
          <w:tcPr>
            <w:tcW w:type="dxa" w:w="354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pPr>
            <w:r>
              <w:rPr>
                <w:rFonts w:ascii="Arial" w:cs="Arial" w:eastAsia="Arial" w:hAnsi="Arial"/>
                <w:sz w:val="16"/>
                <w:szCs w:val="16"/>
              </w:rPr>
              <w:t xml:space="preserve">Computed from opposite directions; confirm submitted_los definition before use. Unclear.</w:t>
            </w:r>
          </w:p>
          <w:p>
            <w:pPr>
              <w:spacing w:after="30" w:line="240"/>
            </w:pPr>
            <w:r>
              <w:rPr>
                <w:rFonts w:ascii="Arial" w:cs="Arial" w:eastAsia="Arial" w:hAnsi="Arial"/>
                <w:sz w:val="16"/>
                <w:szCs w:val="16"/>
              </w:rPr>
              <w:t xml:space="preserve">This is the gap between the calendar length of a stay and the number of days the insurer actually paid for. The old formula was calendar span minus LOS, never below 0. The new formula is los minus submitted_los. In principle these describe the same thing from opposite directions, but the new guide's definition of submitted_los is a misprint (it repeats the admit_date text), so until Merative confirms it is the sum of billed days the new field should not be treated as equivalent.</w:t>
            </w:r>
          </w:p>
        </w:tc>
        <w:tc>
          <w:tcPr>
            <w:tcW w:type="dxa" w:w="10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pPr>
            <w:r>
              <w:rPr>
                <w:rFonts w:ascii="Arial" w:cs="Arial" w:eastAsia="Arial" w:hAnsi="Arial"/>
                <w:sz w:val="16"/>
                <w:szCs w:val="16"/>
              </w:rPr>
              <w:t xml:space="preserve">Medium</w:t>
            </w:r>
          </w:p>
        </w:tc>
      </w:tr>
      <w:tr>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line="240"/>
            </w:pPr>
            <w:r>
              <w:rPr>
                <w:rFonts w:ascii="Arial" w:cs="Arial" w:eastAsia="Arial" w:hAnsi="Arial"/>
                <w:sz w:val="16"/>
                <w:szCs w:val="16"/>
              </w:rPr>
              <w:t xml:space="preserve">DRG grouper version</w:t>
            </w:r>
          </w:p>
        </w:tc>
        <w:tc>
          <w:tcPr>
            <w:tcW w:type="dxa" w:w="1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line="240"/>
            </w:pPr>
            <w:r>
              <w:rPr>
                <w:rFonts w:ascii="Arial" w:cs="Arial" w:eastAsia="Arial" w:hAnsi="Arial"/>
                <w:sz w:val="16"/>
                <w:szCs w:val="16"/>
              </w:rPr>
              <w:t xml:space="preserve">ICD Version Code Admit → icd_flag; (implicit) → drg_version</w:t>
            </w:r>
          </w:p>
        </w:tc>
        <w:tc>
          <w:tcPr>
            <w:tcW w:type="dxa" w:w="30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line="240"/>
            </w:pPr>
            <w:r>
              <w:rPr>
                <w:rFonts w:ascii="Arial" w:cs="Arial" w:eastAsia="Arial" w:hAnsi="Arial"/>
                <w:sz w:val="16"/>
                <w:szCs w:val="16"/>
              </w:rPr>
              <w:t xml:space="preserve">Grouper (IRP) chosen by ICD version of the diagnosis matrix (9 vs 0). (p. 9-19)</w:t>
            </w:r>
          </w:p>
        </w:tc>
        <w:tc>
          <w:tcPr>
            <w:tcW w:type="dxa" w:w="30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line="240"/>
            </w:pPr>
            <w:r>
              <w:rPr>
                <w:rFonts w:ascii="Arial" w:cs="Arial" w:eastAsia="Arial" w:hAnsi="Arial"/>
                <w:sz w:val="16"/>
                <w:szCs w:val="16"/>
              </w:rPr>
              <w:t xml:space="preserve">Version by discharge date (32 … 421) or fixed via drgVersion parameter; unsupported version → blank DRG; drg_version output. (p. 37–38)</w:t>
            </w:r>
          </w:p>
        </w:tc>
        <w:tc>
          <w:tcPr>
            <w:tcW w:type="dxa" w:w="354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line="240"/>
            </w:pPr>
            <w:r>
              <w:rPr>
                <w:rFonts w:ascii="Arial" w:cs="Arial" w:eastAsia="Arial" w:hAnsi="Arial"/>
                <w:sz w:val="16"/>
                <w:szCs w:val="16"/>
              </w:rPr>
              <w:t xml:space="preserve">DRG comparisons must be made at the same drg_version; ICD-9 data always DRG 32.</w:t>
            </w:r>
          </w:p>
          <w:p>
            <w:pPr>
              <w:spacing w:after="30" w:line="240"/>
            </w:pPr>
            <w:r>
              <w:rPr>
                <w:rFonts w:ascii="Arial" w:cs="Arial" w:eastAsia="Arial" w:hAnsi="Arial"/>
                <w:sz w:val="16"/>
                <w:szCs w:val="16"/>
              </w:rPr>
              <w:t xml:space="preserve">CMS updates the DRG rulebook every October (and sometimes April), so the version used decides which bucket a stay falls in. The old system picked the ICD-9 or ICD-10 grouper based on the codes in the stay. The new system picks the version from the discharge date (32 through 421) or uses a fixed version if the drgVersion parameter is set, writes the version used on each admission, and returns a blank DRG if an unsupported version is requested. DRG comparisons between the two systems are only meaningful at the same version.</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line="240"/>
            </w:pPr>
            <w:r>
              <w:rPr>
                <w:rFonts w:ascii="Arial" w:cs="Arial" w:eastAsia="Arial" w:hAnsi="Arial"/>
                <w:sz w:val="16"/>
                <w:szCs w:val="16"/>
              </w:rPr>
              <w:t xml:space="preserve">Medium</w:t>
            </w:r>
          </w:p>
        </w:tc>
      </w:tr>
      <w:tr>
        <w:tc>
          <w:tcPr>
            <w:tcW w:type="dxa" w:w="15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pPr>
            <w:r>
              <w:rPr>
                <w:rFonts w:ascii="Arial" w:cs="Arial" w:eastAsia="Arial" w:hAnsi="Arial"/>
                <w:sz w:val="16"/>
                <w:szCs w:val="16"/>
              </w:rPr>
              <w:t xml:space="preserve">Diagnosis matrix and PDX</w:t>
            </w:r>
          </w:p>
        </w:tc>
        <w:tc>
          <w:tcPr>
            <w:tcW w:type="dxa" w:w="19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pPr>
            <w:r>
              <w:rPr>
                <w:rFonts w:ascii="Arial" w:cs="Arial" w:eastAsia="Arial" w:hAnsi="Arial"/>
                <w:sz w:val="16"/>
                <w:szCs w:val="16"/>
              </w:rPr>
              <w:t xml:space="preserve">D_GRPR_DX / PDX → dx1–dx50, poa1–poa50; D_GRPR_PROC → icd_proc1–icd_proc50</w:t>
            </w:r>
          </w:p>
        </w:tc>
        <w:tc>
          <w:tcPr>
            <w:tcW w:type="dxa" w:w="305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pPr>
            <w:r>
              <w:rPr>
                <w:rFonts w:ascii="Arial" w:cs="Arial" w:eastAsia="Arial" w:hAnsi="Arial"/>
                <w:sz w:val="16"/>
                <w:szCs w:val="16"/>
              </w:rPr>
              <w:t xml:space="preserve">Codes from claims (professional claims optionally excluded via ADMISSIONSPROFCLMDRG); PDX rotated when MDC 0 / DRG 998–999; MDC 14 circumcision fix; ICD-9 650 → 66971 for C-section. (p. 9-19)</w:t>
            </w:r>
          </w:p>
        </w:tc>
        <w:tc>
          <w:tcPr>
            <w:tcW w:type="dxa" w:w="305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pPr>
            <w:r>
              <w:rPr>
                <w:rFonts w:ascii="Arial" w:cs="Arial" w:eastAsia="Arial" w:hAnsi="Arial"/>
                <w:sz w:val="16"/>
                <w:szCs w:val="16"/>
              </w:rPr>
              <w:t xml:space="preserve">dx1 = principal dx of latest R&amp;B record; then other R&amp;B latest→earliest, other facility earliest→latest, professional earliest→latest, up to 50 unique. No exclusion option; PDX corrections not documented. Missing POA → "W". (p. 41–42)</w:t>
            </w:r>
          </w:p>
        </w:tc>
        <w:tc>
          <w:tcPr>
            <w:tcW w:type="dxa" w:w="354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pPr>
            <w:r>
              <w:rPr>
                <w:rFonts w:ascii="Arial" w:cs="Arial" w:eastAsia="Arial" w:hAnsi="Arial"/>
                <w:sz w:val="16"/>
                <w:szCs w:val="16"/>
              </w:rPr>
              <w:t xml:space="preserve">Order now defined; small DRG/MDC differences where legacy rotation or corrections applied. Unclear whether corrections survive.</w:t>
            </w:r>
          </w:p>
          <w:p>
            <w:pPr>
              <w:spacing w:after="30" w:line="240"/>
            </w:pPr>
            <w:r>
              <w:rPr>
                <w:rFonts w:ascii="Arial" w:cs="Arial" w:eastAsia="Arial" w:hAnsi="Arial"/>
                <w:sz w:val="16"/>
                <w:szCs w:val="16"/>
              </w:rPr>
              <w:t xml:space="preserve">The grouper needs a list of up to 50 diagnosis codes with the principal diagnosis first. The old system could optionally leave professional claims out of that list and had special fixes: if the grouper rejected the principal diagnosis it rotated to the next code, it removed newborn circumcision codes from maternity stays, and it rewrote a normal-delivery code to Cesarean when the DRG said Cesarean. The new guide defines the order codes are loaded (bed bills latest first, then other facility, then professional), always includes professional claims, defaults missing POA to W, and does not mention the fixes. Small DRG differences are expected where those fixes used to fire.</w:t>
            </w:r>
          </w:p>
        </w:tc>
        <w:tc>
          <w:tcPr>
            <w:tcW w:type="dxa" w:w="10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pPr>
            <w:r>
              <w:rPr>
                <w:rFonts w:ascii="Arial" w:cs="Arial" w:eastAsia="Arial" w:hAnsi="Arial"/>
                <w:sz w:val="16"/>
                <w:szCs w:val="16"/>
              </w:rPr>
              <w:t xml:space="preserve">Low–Medium</w:t>
            </w:r>
          </w:p>
        </w:tc>
      </w:tr>
      <w:tr>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line="240"/>
            </w:pPr>
            <w:r>
              <w:rPr>
                <w:rFonts w:ascii="Arial" w:cs="Arial" w:eastAsia="Arial" w:hAnsi="Arial"/>
                <w:sz w:val="16"/>
                <w:szCs w:val="16"/>
              </w:rPr>
              <w:t xml:space="preserve">Coding system of the admission</w:t>
            </w:r>
          </w:p>
        </w:tc>
        <w:tc>
          <w:tcPr>
            <w:tcW w:type="dxa" w:w="1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line="240"/>
            </w:pPr>
            <w:r>
              <w:rPr>
                <w:rFonts w:ascii="Arial" w:cs="Arial" w:eastAsia="Arial" w:hAnsi="Arial"/>
                <w:sz w:val="16"/>
                <w:szCs w:val="16"/>
              </w:rPr>
              <w:t xml:space="preserve">ICD Version Code Admit → icd_flag</w:t>
            </w:r>
          </w:p>
        </w:tc>
        <w:tc>
          <w:tcPr>
            <w:tcW w:type="dxa" w:w="30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line="240"/>
            </w:pPr>
            <w:r>
              <w:rPr>
                <w:rFonts w:ascii="Arial" w:cs="Arial" w:eastAsia="Arial" w:hAnsi="Arial"/>
                <w:sz w:val="16"/>
                <w:szCs w:val="16"/>
              </w:rPr>
              <w:t xml:space="preserve">ICD 9 if all codes ICD-9; otherwise ICD-10 grouper (mixed treated as ICD-10). (p. 9-19)</w:t>
            </w:r>
          </w:p>
        </w:tc>
        <w:tc>
          <w:tcPr>
            <w:tcW w:type="dxa" w:w="30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line="240"/>
            </w:pPr>
            <w:r>
              <w:rPr>
                <w:rFonts w:ascii="Arial" w:cs="Arial" w:eastAsia="Arial" w:hAnsi="Arial"/>
                <w:sz w:val="16"/>
                <w:szCs w:val="16"/>
              </w:rPr>
              <w:t xml:space="preserve">icd_flag from the earliest R&amp;B record; blank → record dropped from clinical assignment. (p. 31)</w:t>
            </w:r>
          </w:p>
        </w:tc>
        <w:tc>
          <w:tcPr>
            <w:tcW w:type="dxa" w:w="354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line="240"/>
            </w:pPr>
            <w:r>
              <w:rPr>
                <w:rFonts w:ascii="Arial" w:cs="Arial" w:eastAsia="Arial" w:hAnsi="Arial"/>
                <w:sz w:val="16"/>
                <w:szCs w:val="16"/>
              </w:rPr>
              <w:t xml:space="preserve">Mixed-version admissions and blank icd_flag records handled differently.</w:t>
            </w:r>
          </w:p>
          <w:p>
            <w:pPr>
              <w:spacing w:after="30" w:line="240"/>
            </w:pPr>
            <w:r>
              <w:rPr>
                <w:rFonts w:ascii="Arial" w:cs="Arial" w:eastAsia="Arial" w:hAnsi="Arial"/>
                <w:sz w:val="16"/>
                <w:szCs w:val="16"/>
              </w:rPr>
              <w:t xml:space="preserve">A stay must be grouped as either ICD-9 or ICD-10. The old system looked at all the diagnosis codes: if every one was ICD-9 it used the ICD-9 grouper, otherwise ICD-10. The new system reads the icd_flag from the earliest bed bill and, if that flag is blank, drops the record from clinical assignment. Stays that straddle the October 2015 ICD-10 switch, or bills with a missing flag, can land on a different grouper or get no DRG at all.</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line="240"/>
            </w:pPr>
            <w:r>
              <w:rPr>
                <w:rFonts w:ascii="Arial" w:cs="Arial" w:eastAsia="Arial" w:hAnsi="Arial"/>
                <w:sz w:val="16"/>
                <w:szCs w:val="16"/>
              </w:rPr>
              <w:t xml:space="preserve">Low–Medium</w:t>
            </w:r>
          </w:p>
        </w:tc>
      </w:tr>
      <w:tr>
        <w:tc>
          <w:tcPr>
            <w:tcW w:type="dxa" w:w="15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pPr>
            <w:r>
              <w:rPr>
                <w:rFonts w:ascii="Arial" w:cs="Arial" w:eastAsia="Arial" w:hAnsi="Arial"/>
                <w:sz w:val="16"/>
                <w:szCs w:val="16"/>
              </w:rPr>
              <w:t xml:space="preserve">Time-window begin date</w:t>
            </w:r>
          </w:p>
        </w:tc>
        <w:tc>
          <w:tcPr>
            <w:tcW w:type="dxa" w:w="19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pPr>
            <w:r>
              <w:rPr>
                <w:rFonts w:ascii="Arial" w:cs="Arial" w:eastAsia="Arial" w:hAnsi="Arial"/>
                <w:sz w:val="16"/>
                <w:szCs w:val="16"/>
              </w:rPr>
              <w:t xml:space="preserve">Begin Date (Date of First Service vs Admission Date Original) → admit_date</w:t>
            </w:r>
          </w:p>
        </w:tc>
        <w:tc>
          <w:tcPr>
            <w:tcW w:type="dxa" w:w="305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pPr>
            <w:r>
              <w:rPr>
                <w:rFonts w:ascii="Arial" w:cs="Arial" w:eastAsia="Arial" w:hAnsi="Arial"/>
                <w:sz w:val="16"/>
                <w:szCs w:val="16"/>
              </w:rPr>
              <w:t xml:space="preserve">Later of Date of First Service and claim-level Admission Date; records could extend a window backwards in rebuild mode. (p. 9-5 to 9-6)</w:t>
            </w:r>
          </w:p>
        </w:tc>
        <w:tc>
          <w:tcPr>
            <w:tcW w:type="dxa" w:w="305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pPr>
            <w:r>
              <w:rPr>
                <w:rFonts w:ascii="Arial" w:cs="Arial" w:eastAsia="Arial" w:hAnsi="Arial"/>
                <w:sz w:val="16"/>
                <w:szCs w:val="16"/>
              </w:rPr>
              <w:t xml:space="preserve">Begin date / date of first service only; no backward extension. (p. 28–30)</w:t>
            </w:r>
          </w:p>
        </w:tc>
        <w:tc>
          <w:tcPr>
            <w:tcW w:type="dxa" w:w="354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pPr>
            <w:r>
              <w:rPr>
                <w:rFonts w:ascii="Arial" w:cs="Arial" w:eastAsia="Arial" w:hAnsi="Arial"/>
                <w:sz w:val="16"/>
                <w:szCs w:val="16"/>
              </w:rPr>
              <w:t xml:space="preserve">Admit dates can differ where pre-admission testing or the admission-date field previously shifted the start.</w:t>
            </w:r>
          </w:p>
          <w:p>
            <w:pPr>
              <w:spacing w:after="30" w:line="240"/>
            </w:pPr>
            <w:r>
              <w:rPr>
                <w:rFonts w:ascii="Arial" w:cs="Arial" w:eastAsia="Arial" w:hAnsi="Arial"/>
                <w:sz w:val="16"/>
                <w:szCs w:val="16"/>
              </w:rPr>
              <w:t xml:space="preserve">The admit date is the start of the stay window. The old system used the later of the bill's first service date and the claim-level admission date, which pushed the start past any pre-admission testing billed on the same claim. The new system uses the bill's begin or first service date only. Where pre-admission tests were on the bed bill, the new admit date can be a day or two earlier, which lengthens LOS and can pull in extra claims.</w:t>
            </w:r>
          </w:p>
        </w:tc>
        <w:tc>
          <w:tcPr>
            <w:tcW w:type="dxa" w:w="10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pPr>
            <w:r>
              <w:rPr>
                <w:rFonts w:ascii="Arial" w:cs="Arial" w:eastAsia="Arial" w:hAnsi="Arial"/>
                <w:sz w:val="16"/>
                <w:szCs w:val="16"/>
              </w:rPr>
              <w:t xml:space="preserve">Low–Medium</w:t>
            </w:r>
          </w:p>
        </w:tc>
      </w:tr>
      <w:tr>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line="240"/>
            </w:pPr>
            <w:r>
              <w:rPr>
                <w:rFonts w:ascii="Arial" w:cs="Arial" w:eastAsia="Arial" w:hAnsi="Arial"/>
                <w:sz w:val="16"/>
                <w:szCs w:val="16"/>
              </w:rPr>
              <w:t xml:space="preserve">Record ending on the discharge date</w:t>
            </w:r>
          </w:p>
        </w:tc>
        <w:tc>
          <w:tcPr>
            <w:tcW w:type="dxa" w:w="1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line="240"/>
            </w:pPr>
            <w:r>
              <w:rPr>
                <w:rFonts w:ascii="Arial" w:cs="Arial" w:eastAsia="Arial" w:hAnsi="Arial"/>
                <w:sz w:val="16"/>
                <w:szCs w:val="16"/>
              </w:rPr>
              <w:t xml:space="preserve">Discharge date → discharge_date</w:t>
            </w:r>
          </w:p>
        </w:tc>
        <w:tc>
          <w:tcPr>
            <w:tcW w:type="dxa" w:w="30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line="240"/>
            </w:pPr>
            <w:r>
              <w:rPr>
                <w:rFonts w:ascii="Arial" w:cs="Arial" w:eastAsia="Arial" w:hAnsi="Arial"/>
                <w:sz w:val="16"/>
                <w:szCs w:val="16"/>
              </w:rPr>
              <w:t xml:space="preserve">A room-and-board record "fits" only if its last service date is strictly before the discharge date; a record ending on the discharge date goes to the extension branch, and transfer logic runs if it also begins on that date. (p. 9-7)</w:t>
            </w:r>
          </w:p>
        </w:tc>
        <w:tc>
          <w:tcPr>
            <w:tcW w:type="dxa" w:w="30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line="240"/>
            </w:pPr>
            <w:r>
              <w:rPr>
                <w:rFonts w:ascii="Arial" w:cs="Arial" w:eastAsia="Arial" w:hAnsi="Arial"/>
                <w:sz w:val="16"/>
                <w:szCs w:val="16"/>
              </w:rPr>
              <w:t xml:space="preserve">A record with end date ≤ discharge date is a fit; transfer logic runs only when the record extends past the discharge date and begins on it. (p. 29–30)</w:t>
            </w:r>
          </w:p>
        </w:tc>
        <w:tc>
          <w:tcPr>
            <w:tcW w:type="dxa" w:w="354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line="240"/>
            </w:pPr>
            <w:r>
              <w:rPr>
                <w:rFonts w:ascii="Arial" w:cs="Arial" w:eastAsia="Arial" w:hAnsi="Arial"/>
                <w:sz w:val="16"/>
                <w:szCs w:val="16"/>
              </w:rPr>
              <w:t xml:space="preserve">A one-day claim on the discharge day can be detected as a transfer (new admission) in legacy but is absorbed into the existing admission in new. Affects same-day transfer counts.</w:t>
            </w:r>
          </w:p>
          <w:p>
            <w:pPr>
              <w:spacing w:after="30" w:line="240"/>
            </w:pPr>
            <w:r>
              <w:rPr>
                <w:rFonts w:ascii="Arial" w:cs="Arial" w:eastAsia="Arial" w:hAnsi="Arial"/>
                <w:sz w:val="16"/>
                <w:szCs w:val="16"/>
              </w:rPr>
              <w:t xml:space="preserve">When a second bed bill arrives, the system checks whether it extends the stay or is a transfer. The old rule treated a bill ending exactly on the discharge date as a potential extension and ran the transfer test if it also started that day. The new rule treats a bill ending on or before the discharge date as simply fitting inside, with no transfer test. A one-day bill from a second facility on the discharge day can therefore become a separate transfer admission in the old system but be absorbed into the first stay in the new one.</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line="240"/>
            </w:pPr>
            <w:r>
              <w:rPr>
                <w:rFonts w:ascii="Arial" w:cs="Arial" w:eastAsia="Arial" w:hAnsi="Arial"/>
                <w:sz w:val="16"/>
                <w:szCs w:val="16"/>
              </w:rPr>
              <w:t xml:space="preserve">Low–Medium</w:t>
            </w:r>
          </w:p>
        </w:tc>
      </w:tr>
      <w:tr>
        <w:tc>
          <w:tcPr>
            <w:tcW w:type="dxa" w:w="15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pPr>
            <w:r>
              <w:rPr>
                <w:rFonts w:ascii="Arial" w:cs="Arial" w:eastAsia="Arial" w:hAnsi="Arial"/>
                <w:sz w:val="16"/>
                <w:szCs w:val="16"/>
              </w:rPr>
              <w:t xml:space="preserve">Missing discharge status</w:t>
            </w:r>
          </w:p>
        </w:tc>
        <w:tc>
          <w:tcPr>
            <w:tcW w:type="dxa" w:w="19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pPr>
            <w:r>
              <w:rPr>
                <w:rFonts w:ascii="Arial" w:cs="Arial" w:eastAsia="Arial" w:hAnsi="Arial"/>
                <w:sz w:val="16"/>
                <w:szCs w:val="16"/>
              </w:rPr>
              <w:t xml:space="preserve">Discharge Status Code Admit → fac_dschrg_stat_code</w:t>
            </w:r>
          </w:p>
        </w:tc>
        <w:tc>
          <w:tcPr>
            <w:tcW w:type="dxa" w:w="305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pPr>
            <w:r>
              <w:rPr>
                <w:rFonts w:ascii="Arial" w:cs="Arial" w:eastAsia="Arial" w:hAnsi="Arial"/>
                <w:sz w:val="16"/>
                <w:szCs w:val="16"/>
              </w:rPr>
              <w:t xml:space="preserve">Missing status treated as 01 (discharged home/alive) for DRG grouping. (p. 9-19)</w:t>
            </w:r>
          </w:p>
        </w:tc>
        <w:tc>
          <w:tcPr>
            <w:tcW w:type="dxa" w:w="305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pPr>
            <w:r>
              <w:rPr>
                <w:rFonts w:ascii="Arial" w:cs="Arial" w:eastAsia="Arial" w:hAnsi="Arial"/>
                <w:sz w:val="16"/>
                <w:szCs w:val="16"/>
              </w:rPr>
              <w:t xml:space="preserve">fac_dschrg_stat_code from the latest room-and-board record with a non-missing value; no rule when all records are missing. (p. 39)</w:t>
            </w:r>
          </w:p>
        </w:tc>
        <w:tc>
          <w:tcPr>
            <w:tcW w:type="dxa" w:w="354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pPr>
            <w:r>
              <w:rPr>
                <w:rFonts w:ascii="Arial" w:cs="Arial" w:eastAsia="Arial" w:hAnsi="Arial"/>
                <w:sz w:val="16"/>
                <w:szCs w:val="16"/>
              </w:rPr>
              <w:t xml:space="preserve">DRGs sensitive to discharge status (transfers, deaths) may group differently when status is absent. Unclear.</w:t>
            </w:r>
          </w:p>
          <w:p>
            <w:pPr>
              <w:spacing w:after="30" w:line="240"/>
            </w:pPr>
            <w:r>
              <w:rPr>
                <w:rFonts w:ascii="Arial" w:cs="Arial" w:eastAsia="Arial" w:hAnsi="Arial"/>
                <w:sz w:val="16"/>
                <w:szCs w:val="16"/>
              </w:rPr>
              <w:t xml:space="preserve">Discharge status is the UB code for how the patient left (home, transferred, died). It affects which DRG the grouper assigns. The old system filled a missing value with 01 (home) before grouping. The new system takes the value from the latest bed bill that has one and says nothing about the case where every bill is blank. Stays with no discharge status anywhere may group differently or not at all.</w:t>
            </w:r>
          </w:p>
        </w:tc>
        <w:tc>
          <w:tcPr>
            <w:tcW w:type="dxa" w:w="10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pPr>
            <w:r>
              <w:rPr>
                <w:rFonts w:ascii="Arial" w:cs="Arial" w:eastAsia="Arial" w:hAnsi="Arial"/>
                <w:sz w:val="16"/>
                <w:szCs w:val="16"/>
              </w:rPr>
              <w:t xml:space="preserve">Low–Medium</w:t>
            </w:r>
          </w:p>
        </w:tc>
      </w:tr>
      <w:tr>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line="240"/>
            </w:pPr>
            <w:r>
              <w:rPr>
                <w:rFonts w:ascii="Arial" w:cs="Arial" w:eastAsia="Arial" w:hAnsi="Arial"/>
                <w:sz w:val="16"/>
                <w:szCs w:val="16"/>
              </w:rPr>
              <w:t xml:space="preserve">Which admissions get a DRG</w:t>
            </w:r>
          </w:p>
        </w:tc>
        <w:tc>
          <w:tcPr>
            <w:tcW w:type="dxa" w:w="1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line="240"/>
            </w:pPr>
            <w:r>
              <w:rPr>
                <w:rFonts w:ascii="Arial" w:cs="Arial" w:eastAsia="Arial" w:hAnsi="Arial"/>
                <w:sz w:val="16"/>
                <w:szCs w:val="16"/>
              </w:rPr>
              <w:t xml:space="preserve">Place Group Code Medstat Admit → adm_place_grp_cd</w:t>
            </w:r>
          </w:p>
        </w:tc>
        <w:tc>
          <w:tcPr>
            <w:tcW w:type="dxa" w:w="30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line="240"/>
            </w:pPr>
            <w:r>
              <w:rPr>
                <w:rFonts w:ascii="Arial" w:cs="Arial" w:eastAsia="Arial" w:hAnsi="Arial"/>
                <w:sz w:val="16"/>
                <w:szCs w:val="16"/>
              </w:rPr>
              <w:t xml:space="preserve">Guide is internally inconsistent: clinical assignments and Disease Staging are "acute only" (p. 9-18, 9-21) but the DRG grouper "is called … for all admissions" (p. 9-19).</w:t>
            </w:r>
          </w:p>
        </w:tc>
        <w:tc>
          <w:tcPr>
            <w:tcW w:type="dxa" w:w="30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line="240"/>
            </w:pPr>
            <w:r>
              <w:rPr>
                <w:rFonts w:ascii="Arial" w:cs="Arial" w:eastAsia="Arial" w:hAnsi="Arial"/>
                <w:sz w:val="16"/>
                <w:szCs w:val="16"/>
              </w:rPr>
              <w:t xml:space="preserve">No acute-only qualifier; Disease Staging runs on all grouper output aggregates. (p. 17)</w:t>
            </w:r>
          </w:p>
        </w:tc>
        <w:tc>
          <w:tcPr>
            <w:tcW w:type="dxa" w:w="354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line="240"/>
            </w:pPr>
            <w:r>
              <w:rPr>
                <w:rFonts w:ascii="Arial" w:cs="Arial" w:eastAsia="Arial" w:hAnsi="Arial"/>
                <w:sz w:val="16"/>
                <w:szCs w:val="16"/>
              </w:rPr>
              <w:t xml:space="preserve">Non-acute / LTC admissions may now carry calculated_drg, adm_mdc_cd, dxcat and stage. Filter on adm_place_grp_cd = 1 to reproduce the legacy acute-only population.</w:t>
            </w:r>
          </w:p>
          <w:p>
            <w:pPr>
              <w:spacing w:after="30" w:line="240"/>
            </w:pPr>
            <w:r>
              <w:rPr>
                <w:rFonts w:ascii="Arial" w:cs="Arial" w:eastAsia="Arial" w:hAnsi="Arial"/>
                <w:sz w:val="16"/>
                <w:szCs w:val="16"/>
              </w:rPr>
              <w:t xml:space="preserve">Clinical assignments (DRG, disease category, stage) were meant for acute hospital stays, not nursing-home or rehab stays. The old guide says clinical assignments are acute-only but, in another paragraph, that the grouper is called for all admissions. The new guide has no acute-only qualifier at all. If non-acute and LTC admissions now carry DRGs, any DRG-based report must filter on adm_place_grp_cd = 1 to match the old population.</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line="240"/>
            </w:pPr>
            <w:r>
              <w:rPr>
                <w:rFonts w:ascii="Arial" w:cs="Arial" w:eastAsia="Arial" w:hAnsi="Arial"/>
                <w:sz w:val="16"/>
                <w:szCs w:val="16"/>
              </w:rPr>
              <w:t xml:space="preserve">Low–Medium</w:t>
            </w:r>
          </w:p>
        </w:tc>
      </w:tr>
      <w:tr>
        <w:tc>
          <w:tcPr>
            <w:tcW w:type="dxa" w:w="15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pPr>
            <w:r>
              <w:rPr>
                <w:rFonts w:ascii="Arial" w:cs="Arial" w:eastAsia="Arial" w:hAnsi="Arial"/>
                <w:sz w:val="16"/>
                <w:szCs w:val="16"/>
              </w:rPr>
              <w:t xml:space="preserve">Sort order / voids</w:t>
            </w:r>
          </w:p>
        </w:tc>
        <w:tc>
          <w:tcPr>
            <w:tcW w:type="dxa" w:w="19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pPr>
            <w:r>
              <w:rPr>
                <w:rFonts w:ascii="Arial" w:cs="Arial" w:eastAsia="Arial" w:hAnsi="Arial"/>
                <w:sz w:val="16"/>
                <w:szCs w:val="16"/>
              </w:rPr>
              <w:t xml:space="preserve">(sort keys: Begin Date, Calculated Days, Paid Date, Adjustment Type Code Medstat, Medstat Record ID) → (none)</w:t>
            </w:r>
          </w:p>
        </w:tc>
        <w:tc>
          <w:tcPr>
            <w:tcW w:type="dxa" w:w="305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pPr>
            <w:r>
              <w:rPr>
                <w:rFonts w:ascii="Arial" w:cs="Arial" w:eastAsia="Arial" w:hAnsi="Arial"/>
                <w:sz w:val="16"/>
                <w:szCs w:val="16"/>
              </w:rPr>
              <w:t xml:space="preserve">Explicit sort: begin date, calculated days, died-status last, adjustments and voids after originals, mother before newborn, record-ID tiebreak. (p. 9-5 to 9-6)</w:t>
            </w:r>
          </w:p>
        </w:tc>
        <w:tc>
          <w:tcPr>
            <w:tcW w:type="dxa" w:w="305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pPr>
            <w:r>
              <w:rPr>
                <w:rFonts w:ascii="Arial" w:cs="Arial" w:eastAsia="Arial" w:hAnsi="Arial"/>
                <w:sz w:val="16"/>
                <w:szCs w:val="16"/>
              </w:rPr>
              <w:t xml:space="preserve">Sort order not defined; adjustment/void handling not mentioned.</w:t>
            </w:r>
          </w:p>
        </w:tc>
        <w:tc>
          <w:tcPr>
            <w:tcW w:type="dxa" w:w="354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pPr>
            <w:r>
              <w:rPr>
                <w:rFonts w:ascii="Arial" w:cs="Arial" w:eastAsia="Arial" w:hAnsi="Arial"/>
                <w:sz w:val="16"/>
                <w:szCs w:val="16"/>
              </w:rPr>
              <w:t xml:space="preserve">Voids with valid dates could open admissions or shift admit dates. Unclear.</w:t>
            </w:r>
          </w:p>
          <w:p>
            <w:pPr>
              <w:spacing w:after="30" w:line="240"/>
            </w:pPr>
            <w:r>
              <w:rPr>
                <w:rFonts w:ascii="Arial" w:cs="Arial" w:eastAsia="Arial" w:hAnsi="Arial"/>
                <w:sz w:val="16"/>
                <w:szCs w:val="16"/>
              </w:rPr>
              <w:t xml:space="preserve">The order in which bed bills are processed decides which one opens a stay and which are treated as corrections. The old guide spelled out the sort: by date, then by length so a one-day transfer-from bill comes before the longer transfer-to bill, with death-status bills and adjustments or voids pushed to the end so they can never open an admission. The new guide refers to 'the sort order of the time window' without defining it and says nothing about voids. A reversal claim with valid dates could in principle open an admission.</w:t>
            </w:r>
          </w:p>
        </w:tc>
        <w:tc>
          <w:tcPr>
            <w:tcW w:type="dxa" w:w="10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pPr>
            <w:r>
              <w:rPr>
                <w:rFonts w:ascii="Arial" w:cs="Arial" w:eastAsia="Arial" w:hAnsi="Arial"/>
                <w:sz w:val="16"/>
                <w:szCs w:val="16"/>
              </w:rPr>
              <w:t xml:space="preserve">Low–Medium</w:t>
            </w:r>
          </w:p>
        </w:tc>
      </w:tr>
      <w:tr>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line="240"/>
            </w:pPr>
            <w:r>
              <w:rPr>
                <w:rFonts w:ascii="Arial" w:cs="Arial" w:eastAsia="Arial" w:hAnsi="Arial"/>
                <w:sz w:val="16"/>
                <w:szCs w:val="16"/>
              </w:rPr>
              <w:t xml:space="preserve">Overlapping-admission claim assignment</w:t>
            </w:r>
          </w:p>
        </w:tc>
        <w:tc>
          <w:tcPr>
            <w:tcW w:type="dxa" w:w="1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line="240"/>
            </w:pPr>
            <w:r>
              <w:rPr>
                <w:rFonts w:ascii="Arial" w:cs="Arial" w:eastAsia="Arial" w:hAnsi="Arial"/>
                <w:sz w:val="16"/>
                <w:szCs w:val="16"/>
              </w:rPr>
              <w:t xml:space="preserve">Provider ID / Facility ID Standard / Place Group → prov_id / facility_id_std / std_place_group</w:t>
            </w:r>
          </w:p>
        </w:tc>
        <w:tc>
          <w:tcPr>
            <w:tcW w:type="dxa" w:w="30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line="240"/>
            </w:pPr>
            <w:r>
              <w:rPr>
                <w:rFonts w:ascii="Arial" w:cs="Arial" w:eastAsia="Arial" w:hAnsi="Arial"/>
                <w:sz w:val="16"/>
                <w:szCs w:val="16"/>
              </w:rPr>
              <w:t xml:space="preserve">Hold array: provider match against providers on each admission's claims → place group → shorter admission → first admission. (p. 9-13 to 9-14)</w:t>
            </w:r>
          </w:p>
        </w:tc>
        <w:tc>
          <w:tcPr>
            <w:tcW w:type="dxa" w:w="30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line="240"/>
            </w:pPr>
            <w:r>
              <w:rPr>
                <w:rFonts w:ascii="Arial" w:cs="Arial" w:eastAsia="Arial" w:hAnsi="Arial"/>
                <w:sz w:val="16"/>
                <w:szCs w:val="16"/>
              </w:rPr>
              <w:t xml:space="preserve">First admission matching facility_id_std / prov_id (ER: or std_place_group) → shortest admission; equal-length tiebreak not stated. (p. 31–33)</w:t>
            </w:r>
          </w:p>
        </w:tc>
        <w:tc>
          <w:tcPr>
            <w:tcW w:type="dxa" w:w="354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line="240"/>
            </w:pPr>
            <w:r>
              <w:rPr>
                <w:rFonts w:ascii="Arial" w:cs="Arial" w:eastAsia="Arial" w:hAnsi="Arial"/>
                <w:sz w:val="16"/>
                <w:szCs w:val="16"/>
              </w:rPr>
              <w:t xml:space="preserve">Occasional differences in which of two transfer admissions a claim lands in.</w:t>
            </w:r>
          </w:p>
          <w:p>
            <w:pPr>
              <w:spacing w:after="30" w:line="240"/>
            </w:pPr>
            <w:r>
              <w:rPr>
                <w:rFonts w:ascii="Arial" w:cs="Arial" w:eastAsia="Arial" w:hAnsi="Arial"/>
                <w:sz w:val="16"/>
                <w:szCs w:val="16"/>
              </w:rPr>
              <w:t xml:space="preserve">When a patient is transferred, a doctor's bill dated on the transfer day could belong to either stay. The old system held such claims aside and matched the doctor's provider ID against providers already in each stay, then place group, then picked the shorter stay, then the first. The new system matches on the admission's facility or provider ID, then picks the shorter stay. Same idea, narrower match, so a few transfer-day claims will land in a different admission.</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line="240"/>
            </w:pPr>
            <w:r>
              <w:rPr>
                <w:rFonts w:ascii="Arial" w:cs="Arial" w:eastAsia="Arial" w:hAnsi="Arial"/>
                <w:sz w:val="16"/>
                <w:szCs w:val="16"/>
              </w:rPr>
              <w:t xml:space="preserve">Low</w:t>
            </w:r>
          </w:p>
        </w:tc>
      </w:tr>
      <w:tr>
        <w:tc>
          <w:tcPr>
            <w:tcW w:type="dxa" w:w="15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pPr>
            <w:r>
              <w:rPr>
                <w:rFonts w:ascii="Arial" w:cs="Arial" w:eastAsia="Arial" w:hAnsi="Arial"/>
                <w:sz w:val="16"/>
                <w:szCs w:val="16"/>
              </w:rPr>
              <w:t xml:space="preserve">Hospital / facility ID</w:t>
            </w:r>
          </w:p>
        </w:tc>
        <w:tc>
          <w:tcPr>
            <w:tcW w:type="dxa" w:w="19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pPr>
            <w:r>
              <w:rPr>
                <w:rFonts w:ascii="Arial" w:cs="Arial" w:eastAsia="Arial" w:hAnsi="Arial"/>
                <w:sz w:val="16"/>
                <w:szCs w:val="16"/>
              </w:rPr>
              <w:t xml:space="preserve">Facility ID Standard, hosp_id (HOSPID_ALIAS) → hospital_id, facility_id_std</w:t>
            </w:r>
          </w:p>
        </w:tc>
        <w:tc>
          <w:tcPr>
            <w:tcW w:type="dxa" w:w="305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pPr>
            <w:r>
              <w:rPr>
                <w:rFonts w:ascii="Arial" w:cs="Arial" w:eastAsia="Arial" w:hAnsi="Arial"/>
                <w:sz w:val="16"/>
                <w:szCs w:val="16"/>
              </w:rPr>
              <w:t xml:space="preserve">Facility ID Standard from first valid R&amp;B record; hosp_id source configurable (HOSPID_ALIAS). (p. 9-4, 9-9)</w:t>
            </w:r>
          </w:p>
        </w:tc>
        <w:tc>
          <w:tcPr>
            <w:tcW w:type="dxa" w:w="305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pPr>
            <w:r>
              <w:rPr>
                <w:rFonts w:ascii="Arial" w:cs="Arial" w:eastAsia="Arial" w:hAnsi="Arial"/>
                <w:sz w:val="16"/>
                <w:szCs w:val="16"/>
              </w:rPr>
              <w:t xml:space="preserve">hospital_id = prov_id of first facility R&amp;B claim; no alias option. (p. 40)</w:t>
            </w:r>
          </w:p>
        </w:tc>
        <w:tc>
          <w:tcPr>
            <w:tcW w:type="dxa" w:w="354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pPr>
            <w:r>
              <w:rPr>
                <w:rFonts w:ascii="Arial" w:cs="Arial" w:eastAsia="Arial" w:hAnsi="Arial"/>
                <w:sz w:val="16"/>
                <w:szCs w:val="16"/>
              </w:rPr>
              <w:t xml:space="preserve">Any client using a tax-ID alias loses it.</w:t>
            </w:r>
          </w:p>
          <w:p>
            <w:pPr>
              <w:spacing w:after="30" w:line="240"/>
            </w:pPr>
            <w:r>
              <w:rPr>
                <w:rFonts w:ascii="Arial" w:cs="Arial" w:eastAsia="Arial" w:hAnsi="Arial"/>
                <w:sz w:val="16"/>
                <w:szCs w:val="16"/>
              </w:rPr>
              <w:t xml:space="preserve">This identifies which hospital the stay was in. The old system used a standardized facility ID from the first bed bill and let clients point hosp_id at a different provider field, such as tax ID, through a parameter. The new system sets hospital_id to the prov_id of the first facility bed bill with no alias option. Reports keyed on a tax-ID alias will need remapping.</w:t>
            </w:r>
          </w:p>
        </w:tc>
        <w:tc>
          <w:tcPr>
            <w:tcW w:type="dxa" w:w="10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pPr>
            <w:r>
              <w:rPr>
                <w:rFonts w:ascii="Arial" w:cs="Arial" w:eastAsia="Arial" w:hAnsi="Arial"/>
                <w:sz w:val="16"/>
                <w:szCs w:val="16"/>
              </w:rPr>
              <w:t xml:space="preserve">Low</w:t>
            </w:r>
          </w:p>
        </w:tc>
      </w:tr>
      <w:tr>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line="240"/>
            </w:pPr>
            <w:r>
              <w:rPr>
                <w:rFonts w:ascii="Arial" w:cs="Arial" w:eastAsia="Arial" w:hAnsi="Arial"/>
                <w:sz w:val="16"/>
                <w:szCs w:val="16"/>
              </w:rPr>
              <w:t xml:space="preserve">Primary physician</w:t>
            </w:r>
          </w:p>
        </w:tc>
        <w:tc>
          <w:tcPr>
            <w:tcW w:type="dxa" w:w="1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line="240"/>
            </w:pPr>
            <w:r>
              <w:rPr>
                <w:rFonts w:ascii="Arial" w:cs="Arial" w:eastAsia="Arial" w:hAnsi="Arial"/>
                <w:sz w:val="16"/>
                <w:szCs w:val="16"/>
              </w:rPr>
              <w:t xml:space="preserve">adm_prm_phys_key → adm_prm_prov_id; type → adm_prm_prov_type; total_rvu → adm_prm_rvu / total_rvu</w:t>
            </w:r>
          </w:p>
        </w:tc>
        <w:tc>
          <w:tcPr>
            <w:tcW w:type="dxa" w:w="30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line="240"/>
            </w:pPr>
            <w:r>
              <w:rPr>
                <w:rFonts w:ascii="Arial" w:cs="Arial" w:eastAsia="Arial" w:hAnsi="Arial"/>
                <w:sz w:val="16"/>
                <w:szCs w:val="16"/>
              </w:rPr>
              <w:t xml:space="preserve">Highest sum of total_rvu, provider type 200–799; no tie-break stated. (Table 9-3)</w:t>
            </w:r>
          </w:p>
        </w:tc>
        <w:tc>
          <w:tcPr>
            <w:tcW w:type="dxa" w:w="30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line="240"/>
            </w:pPr>
            <w:r>
              <w:rPr>
                <w:rFonts w:ascii="Arial" w:cs="Arial" w:eastAsia="Arial" w:hAnsi="Arial"/>
                <w:sz w:val="16"/>
                <w:szCs w:val="16"/>
              </w:rPr>
              <w:t xml:space="preserve">Highest RVU sum in a parameterised std_prov range; tie → lowest prov_id (ASCII); provider type tie → lowest std_prov. total_rvu on output = the primary physician's RVU sum. (p. 34–35)</w:t>
            </w:r>
          </w:p>
        </w:tc>
        <w:tc>
          <w:tcPr>
            <w:tcW w:type="dxa" w:w="354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line="240"/>
            </w:pPr>
            <w:r>
              <w:rPr>
                <w:rFonts w:ascii="Arial" w:cs="Arial" w:eastAsia="Arial" w:hAnsi="Arial"/>
                <w:sz w:val="16"/>
                <w:szCs w:val="16"/>
              </w:rPr>
              <w:t xml:space="preserve">Ties now deterministic; do not read new total_rvu as the admission-wide RVU total.</w:t>
            </w:r>
          </w:p>
          <w:p>
            <w:pPr>
              <w:spacing w:after="30" w:line="240"/>
            </w:pPr>
            <w:r>
              <w:rPr>
                <w:rFonts w:ascii="Arial" w:cs="Arial" w:eastAsia="Arial" w:hAnsi="Arial"/>
                <w:sz w:val="16"/>
                <w:szCs w:val="16"/>
              </w:rPr>
              <w:t xml:space="preserve">The primary physician is the doctor with the most RVUs (relative value units, a measure of work) across the professional bills in the stay. Both systems pick the same way. The new guide adds tie-breakers (lowest provider ID, then lowest provider type) so results are deterministic. One trap: the new field total_rvu is that one doctor's RVU sum, the same value as adm_prm_rvu, not the total RVUs for the whole admission.</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line="240"/>
            </w:pPr>
            <w:r>
              <w:rPr>
                <w:rFonts w:ascii="Arial" w:cs="Arial" w:eastAsia="Arial" w:hAnsi="Arial"/>
                <w:sz w:val="16"/>
                <w:szCs w:val="16"/>
              </w:rPr>
              <w:t xml:space="preserve">Low</w:t>
            </w:r>
          </w:p>
        </w:tc>
      </w:tr>
      <w:tr>
        <w:tc>
          <w:tcPr>
            <w:tcW w:type="dxa" w:w="15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pPr>
            <w:r>
              <w:rPr>
                <w:rFonts w:ascii="Arial" w:cs="Arial" w:eastAsia="Arial" w:hAnsi="Arial"/>
                <w:sz w:val="16"/>
                <w:szCs w:val="16"/>
              </w:rPr>
              <w:t xml:space="preserve">Service subcategory</w:t>
            </w:r>
          </w:p>
        </w:tc>
        <w:tc>
          <w:tcPr>
            <w:tcW w:type="dxa" w:w="19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pPr>
            <w:r>
              <w:rPr>
                <w:rFonts w:ascii="Arial" w:cs="Arial" w:eastAsia="Arial" w:hAnsi="Arial"/>
                <w:sz w:val="16"/>
                <w:szCs w:val="16"/>
              </w:rPr>
              <w:t xml:space="preserve">mdst_svc_subcat_cd (claim level) → adm_svc_sub_cat_cd</w:t>
            </w:r>
          </w:p>
        </w:tc>
        <w:tc>
          <w:tcPr>
            <w:tcW w:type="dxa" w:w="305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pPr>
            <w:r>
              <w:rPr>
                <w:rFonts w:ascii="Arial" w:cs="Arial" w:eastAsia="Arial" w:hAnsi="Arial"/>
                <w:sz w:val="16"/>
                <w:szCs w:val="16"/>
              </w:rPr>
              <w:t xml:space="preserve">Claim-level service categories refreshed after build (ADM_SVC_CAT_* parameters). (p. 9-4)</w:t>
            </w:r>
          </w:p>
        </w:tc>
        <w:tc>
          <w:tcPr>
            <w:tcW w:type="dxa" w:w="305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pPr>
            <w:r>
              <w:rPr>
                <w:rFonts w:ascii="Arial" w:cs="Arial" w:eastAsia="Arial" w:hAnsi="Arial"/>
                <w:sz w:val="16"/>
                <w:szCs w:val="16"/>
              </w:rPr>
              <w:t xml:space="preserve">New admission-level adm_svc_sub_cat_cd = subcategory with highest allowed pay (p. 43 says facility records only; p. 24 says all records). (p. 23–24, 43)</w:t>
            </w:r>
          </w:p>
        </w:tc>
        <w:tc>
          <w:tcPr>
            <w:tcW w:type="dxa" w:w="354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pPr>
            <w:r>
              <w:rPr>
                <w:rFonts w:ascii="Arial" w:cs="Arial" w:eastAsia="Arial" w:hAnsi="Arial"/>
                <w:sz w:val="16"/>
                <w:szCs w:val="16"/>
              </w:rPr>
              <w:t xml:space="preserve">New field; confirm which population is used.</w:t>
            </w:r>
          </w:p>
          <w:p>
            <w:pPr>
              <w:spacing w:after="30" w:line="240"/>
            </w:pPr>
            <w:r>
              <w:rPr>
                <w:rFonts w:ascii="Arial" w:cs="Arial" w:eastAsia="Arial" w:hAnsi="Arial"/>
                <w:sz w:val="16"/>
                <w:szCs w:val="16"/>
              </w:rPr>
              <w:t xml:space="preserve">Service categories classify what kind of care a claim line represents. The old warehouse refreshed the claim-level categories after admissions were built. The new output adds an admission-level field, the subcategory with the highest allowed dollars in the stay. The guide is inconsistent on whether that is computed over facility records only (p. 43) or all records (p. 24).</w:t>
            </w:r>
          </w:p>
        </w:tc>
        <w:tc>
          <w:tcPr>
            <w:tcW w:type="dxa" w:w="10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pPr>
            <w:r>
              <w:rPr>
                <w:rFonts w:ascii="Arial" w:cs="Arial" w:eastAsia="Arial" w:hAnsi="Arial"/>
                <w:sz w:val="16"/>
                <w:szCs w:val="16"/>
              </w:rPr>
              <w:t xml:space="preserve">Low</w:t>
            </w:r>
          </w:p>
        </w:tc>
      </w:tr>
      <w:tr>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line="240"/>
            </w:pPr>
            <w:r>
              <w:rPr>
                <w:rFonts w:ascii="Arial" w:cs="Arial" w:eastAsia="Arial" w:hAnsi="Arial"/>
                <w:sz w:val="16"/>
                <w:szCs w:val="16"/>
              </w:rPr>
              <w:t xml:space="preserve">New output fields with no legacy equivalent</w:t>
            </w:r>
          </w:p>
        </w:tc>
        <w:tc>
          <w:tcPr>
            <w:tcW w:type="dxa" w:w="1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line="240"/>
            </w:pPr>
            <w:r>
              <w:rPr>
                <w:rFonts w:ascii="Arial" w:cs="Arial" w:eastAsia="Arial" w:hAnsi="Arial"/>
                <w:sz w:val="16"/>
                <w:szCs w:val="16"/>
              </w:rPr>
              <w:t xml:space="preserve">— → base_drg, drg_version, adm_fac_*_pay, adm_prm_allow_pay, adm_prm_submit_pay, adm_prm_rvu, rb_indicator, exc_flag, rec_type</w:t>
            </w:r>
          </w:p>
        </w:tc>
        <w:tc>
          <w:tcPr>
            <w:tcW w:type="dxa" w:w="30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line="240"/>
            </w:pPr>
            <w:r>
              <w:rPr>
                <w:rFonts w:ascii="Arial" w:cs="Arial" w:eastAsia="Arial" w:hAnsi="Arial"/>
                <w:sz w:val="16"/>
                <w:szCs w:val="16"/>
              </w:rPr>
              <w:t xml:space="preserve">—</w:t>
            </w:r>
          </w:p>
        </w:tc>
        <w:tc>
          <w:tcPr>
            <w:tcW w:type="dxa" w:w="30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line="240"/>
            </w:pPr>
            <w:r>
              <w:rPr>
                <w:rFonts w:ascii="Arial" w:cs="Arial" w:eastAsia="Arial" w:hAnsi="Arial"/>
                <w:sz w:val="16"/>
                <w:szCs w:val="16"/>
              </w:rPr>
              <w:t xml:space="preserve">base_drg, drg_version, adm_fac_allow/net/submit_pay, adm_prm_allow/submit_pay, adm_prm_rvu, rb_indicator, exc_flag (N), rec_type (I), non-grouped records file, statistics.csv.</w:t>
            </w:r>
          </w:p>
        </w:tc>
        <w:tc>
          <w:tcPr>
            <w:tcW w:type="dxa" w:w="354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line="240"/>
            </w:pPr>
            <w:r>
              <w:rPr>
                <w:rFonts w:ascii="Arial" w:cs="Arial" w:eastAsia="Arial" w:hAnsi="Arial"/>
                <w:sz w:val="16"/>
                <w:szCs w:val="16"/>
              </w:rPr>
              <w:t xml:space="preserve">Available for use; no reconciliation needed.</w:t>
            </w:r>
          </w:p>
          <w:p>
            <w:pPr>
              <w:spacing w:after="30" w:line="240"/>
            </w:pPr>
            <w:r>
              <w:rPr>
                <w:rFonts w:ascii="Arial" w:cs="Arial" w:eastAsia="Arial" w:hAnsi="Arial"/>
                <w:sz w:val="16"/>
                <w:szCs w:val="16"/>
              </w:rPr>
              <w:t xml:space="preserve">These fields did not exist in the old output. They are available to use but there is nothing to reconcile them against.</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line="240"/>
            </w:pPr>
            <w:r>
              <w:rPr>
                <w:rFonts w:ascii="Arial" w:cs="Arial" w:eastAsia="Arial" w:hAnsi="Arial"/>
                <w:sz w:val="16"/>
                <w:szCs w:val="16"/>
              </w:rPr>
              <w:t xml:space="preserve">—</w:t>
            </w:r>
          </w:p>
        </w:tc>
      </w:tr>
    </w:tbl>
    <w:p>
      <w:pPr>
        <w:spacing w:after="120"/>
      </w:pPr>
    </w:p>
    <w:p>
      <w:pPr>
        <w:spacing w:after="100" w:line="264"/>
      </w:pPr>
      <w:r>
        <w:rPr>
          <w:rFonts w:ascii="Arial" w:cs="Arial" w:eastAsia="Arial" w:hAnsi="Arial"/>
          <w:b/>
          <w:bCs/>
          <w:sz w:val="17"/>
          <w:szCs w:val="17"/>
        </w:rPr>
        <w:t xml:space="preserve">Open questions for Merative: </w:t>
      </w:r>
      <w:r>
        <w:rPr>
          <w:rFonts w:ascii="Arial" w:cs="Arial" w:eastAsia="Arial" w:hAnsi="Arial"/>
          <w:sz w:val="17"/>
          <w:szCs w:val="17"/>
        </w:rPr>
        <w:t xml:space="preserve">current deconstruction rule; definition of submitted_los; handling of adjustment/void claims in time-window build; availability of per-diem trim, mortality risk and scale fields; whether PDX rotation and maternity DRG corrections still apply; whether transfer pairs are excluded from days_since/until fields; whether clinical assignments remain acute-only; whether the API supports incremental processing and whether admission_id is stable across runs; what discharge status is used for grouping when every room-and-board record has it missing.</w:t>
      </w:r>
    </w:p>
    <w:p>
      <w:pPr>
        <w:spacing w:after="100" w:line="264"/>
      </w:pPr>
      <w:r>
        <w:rPr>
          <w:rFonts w:ascii="Arial" w:cs="Arial" w:eastAsia="Arial" w:hAnsi="Arial"/>
          <w:b/>
          <w:bCs/>
          <w:color w:val="595959"/>
          <w:sz w:val="15"/>
          <w:szCs w:val="15"/>
        </w:rPr>
        <w:t xml:space="preserve">Page references: </w:t>
      </w:r>
      <w:r>
        <w:rPr>
          <w:rFonts w:ascii="Arial" w:cs="Arial" w:eastAsia="Arial" w:hAnsi="Arial"/>
          <w:color w:val="595959"/>
          <w:sz w:val="15"/>
          <w:szCs w:val="15"/>
        </w:rPr>
        <w:t xml:space="preserve">"p. 9-x" = Advantage Suite 5.4 Data Manager's Guide ch. 9; "p. n" = Flexible Analytics Inpatient Admission Grouper Methodology Guide v11.12.0.</w:t>
      </w:r>
    </w:p>
    <w:sectPr>
      <w:headerReference w:type="default" r:id="rId7"/>
      <w:footerReference w:type="default" r:id="rId8"/>
      <w:pgSz w:w="15840" w:h="12240" w:orient="landscape"/>
      <w:pgMar w:top="800" w:right="900" w:bottom="8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5"/>
        <w:szCs w:val="15"/>
      </w:rPr>
      <w:t xml:space="preserve">Velir Engineering — internal working document — Page </w:t>
    </w:r>
    <w:r>
      <w:rPr>
        <w:rFonts w:ascii="Arial" w:cs="Arial" w:eastAsia="Arial" w:hAnsi="Arial"/>
        <w:color w:val="595959"/>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595959"/>
        <w:sz w:val="15"/>
        <w:szCs w:val="15"/>
      </w:rPr>
      <w:t xml:space="preserve">Merative Admissions Methodology — What Changed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Merative Admissions Methodology — What Changed</dc:title>
  <dc:creator>Tonya Chernyshova</dc:creator>
  <cp:lastModifiedBy>Un-named</cp:lastModifiedBy>
  <cp:revision>1</cp:revision>
  <dcterms:created xsi:type="dcterms:W3CDTF">2026-10-02T00:53:24.693Z</dcterms:created>
  <dcterms:modified xsi:type="dcterms:W3CDTF">2026-10-02T00:53:24.693Z</dcterms:modified>
</cp:coreProperties>
</file>

<file path=docProps/custom.xml><?xml version="1.0" encoding="utf-8"?>
<Properties xmlns="http://schemas.openxmlformats.org/officeDocument/2006/custom-properties" xmlns:vt="http://schemas.openxmlformats.org/officeDocument/2006/docPropsVTypes"/>
</file>