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Бизнес-требования: Механизм 'Период охлаждения' по кредитам</w:t>
      </w:r>
    </w:p>
    <w:p>
      <w:pPr>
        <w:pStyle w:val="Heading2"/>
      </w:pPr>
      <w:r>
        <w:t>1. Цель</w:t>
      </w:r>
    </w:p>
    <w:p>
      <w:r>
        <w:t>Внедрение механизма, позволяющего клиентам отказаться от кредитного договора в течение установленного законом периода (от 4 до 48 часов) без начисления процентов и штрафов. Это направлено на повышение прозрачности, доверия и клиентского сервиса.</w:t>
      </w:r>
    </w:p>
    <w:p>
      <w:pPr>
        <w:pStyle w:val="Heading2"/>
      </w:pPr>
      <w:r>
        <w:t>2. Область действия</w:t>
      </w:r>
    </w:p>
    <w:p>
      <w:r>
        <w:t>Потребительские кредиты, оформленные в банке через любые каналы (офисы, ДБО, контакт-центр).</w:t>
      </w:r>
    </w:p>
    <w:p>
      <w:pPr>
        <w:pStyle w:val="Heading2"/>
      </w:pPr>
      <w:r>
        <w:t>3. Регуляторная база</w:t>
      </w:r>
    </w:p>
    <w:p>
      <w:r>
        <w:t>- Законопроект №804702-8</w:t>
      </w:r>
    </w:p>
    <w:p>
      <w:r>
        <w:t>- Разъяснение ЦБ РФ: https://www.cbr.ru/press/event/?id=23366</w:t>
      </w:r>
    </w:p>
    <w:p>
      <w:r>
        <w:t>- Период охлаждения: от 4 до 48 часов с момента заключения договора</w:t>
      </w:r>
    </w:p>
    <w:p>
      <w:pPr>
        <w:pStyle w:val="Heading2"/>
      </w:pPr>
      <w:r>
        <w:t>4. Основные бизнес-требования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Требование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BR-01</w:t>
            </w:r>
          </w:p>
        </w:tc>
        <w:tc>
          <w:tcPr>
            <w:tcW w:type="dxa" w:w="2880"/>
          </w:tcPr>
          <w:p>
            <w:r>
              <w:t>Установка периода охлаждения</w:t>
            </w:r>
          </w:p>
        </w:tc>
        <w:tc>
          <w:tcPr>
            <w:tcW w:type="dxa" w:w="2880"/>
          </w:tcPr>
          <w:p>
            <w:r>
              <w:t>Период должен устанавливаться при оформлении кредита на основании продукта.</w:t>
            </w:r>
          </w:p>
        </w:tc>
      </w:tr>
      <w:tr>
        <w:tc>
          <w:tcPr>
            <w:tcW w:type="dxa" w:w="2880"/>
          </w:tcPr>
          <w:p>
            <w:r>
              <w:t>BR-02</w:t>
            </w:r>
          </w:p>
        </w:tc>
        <w:tc>
          <w:tcPr>
            <w:tcW w:type="dxa" w:w="2880"/>
          </w:tcPr>
          <w:p>
            <w:r>
              <w:t>Отказ от кредита</w:t>
            </w:r>
          </w:p>
        </w:tc>
        <w:tc>
          <w:tcPr>
            <w:tcW w:type="dxa" w:w="2880"/>
          </w:tcPr>
          <w:p>
            <w:r>
              <w:t>Клиент должен иметь возможность подать заявление об отказе в течение установленного срока.</w:t>
            </w:r>
          </w:p>
        </w:tc>
      </w:tr>
      <w:tr>
        <w:tc>
          <w:tcPr>
            <w:tcW w:type="dxa" w:w="2880"/>
          </w:tcPr>
          <w:p>
            <w:r>
              <w:t>BR-03</w:t>
            </w:r>
          </w:p>
        </w:tc>
        <w:tc>
          <w:tcPr>
            <w:tcW w:type="dxa" w:w="2880"/>
          </w:tcPr>
          <w:p>
            <w:r>
              <w:t>Возврат суммы</w:t>
            </w:r>
          </w:p>
        </w:tc>
        <w:tc>
          <w:tcPr>
            <w:tcW w:type="dxa" w:w="2880"/>
          </w:tcPr>
          <w:p>
            <w:r>
              <w:t>Заявление обрабатывается только при полном возврате суммы основного долга.</w:t>
            </w:r>
          </w:p>
        </w:tc>
      </w:tr>
      <w:tr>
        <w:tc>
          <w:tcPr>
            <w:tcW w:type="dxa" w:w="2880"/>
          </w:tcPr>
          <w:p>
            <w:r>
              <w:t>BR-04</w:t>
            </w:r>
          </w:p>
        </w:tc>
        <w:tc>
          <w:tcPr>
            <w:tcW w:type="dxa" w:w="2880"/>
          </w:tcPr>
          <w:p>
            <w:r>
              <w:t>Аннулирование начислений</w:t>
            </w:r>
          </w:p>
        </w:tc>
        <w:tc>
          <w:tcPr>
            <w:tcW w:type="dxa" w:w="2880"/>
          </w:tcPr>
          <w:p>
            <w:r>
              <w:t>Проценты и комиссии аннулируются при успешном отказе.</w:t>
            </w:r>
          </w:p>
        </w:tc>
      </w:tr>
      <w:tr>
        <w:tc>
          <w:tcPr>
            <w:tcW w:type="dxa" w:w="2880"/>
          </w:tcPr>
          <w:p>
            <w:r>
              <w:t>BR-05</w:t>
            </w:r>
          </w:p>
        </w:tc>
        <w:tc>
          <w:tcPr>
            <w:tcW w:type="dxa" w:w="2880"/>
          </w:tcPr>
          <w:p>
            <w:r>
              <w:t>Многоканальность подачи</w:t>
            </w:r>
          </w:p>
        </w:tc>
        <w:tc>
          <w:tcPr>
            <w:tcW w:type="dxa" w:w="2880"/>
          </w:tcPr>
          <w:p>
            <w:r>
              <w:t>Подача возможна через ДБО и офис.</w:t>
            </w:r>
          </w:p>
        </w:tc>
      </w:tr>
      <w:tr>
        <w:tc>
          <w:tcPr>
            <w:tcW w:type="dxa" w:w="2880"/>
          </w:tcPr>
          <w:p>
            <w:r>
              <w:t>BR-06</w:t>
            </w:r>
          </w:p>
        </w:tc>
        <w:tc>
          <w:tcPr>
            <w:tcW w:type="dxa" w:w="2880"/>
          </w:tcPr>
          <w:p>
            <w:r>
              <w:t>Информирование клиента</w:t>
            </w:r>
          </w:p>
        </w:tc>
        <w:tc>
          <w:tcPr>
            <w:tcW w:type="dxa" w:w="2880"/>
          </w:tcPr>
          <w:p>
            <w:r>
              <w:t>Дата окончания периода отображается в карточке кредита и договоре.</w:t>
            </w:r>
          </w:p>
        </w:tc>
      </w:tr>
      <w:tr>
        <w:tc>
          <w:tcPr>
            <w:tcW w:type="dxa" w:w="2880"/>
          </w:tcPr>
          <w:p>
            <w:r>
              <w:t>BR-07</w:t>
            </w:r>
          </w:p>
        </w:tc>
        <w:tc>
          <w:tcPr>
            <w:tcW w:type="dxa" w:w="2880"/>
          </w:tcPr>
          <w:p>
            <w:r>
              <w:t>Контроль сроков</w:t>
            </w:r>
          </w:p>
        </w:tc>
        <w:tc>
          <w:tcPr>
            <w:tcW w:type="dxa" w:w="2880"/>
          </w:tcPr>
          <w:p>
            <w:r>
              <w:t>Система рассчитывает срок охлаждения в часах и блокирует отказ после его истечения.</w:t>
            </w:r>
          </w:p>
        </w:tc>
      </w:tr>
      <w:tr>
        <w:tc>
          <w:tcPr>
            <w:tcW w:type="dxa" w:w="2880"/>
          </w:tcPr>
          <w:p>
            <w:r>
              <w:t>BR-08</w:t>
            </w:r>
          </w:p>
        </w:tc>
        <w:tc>
          <w:tcPr>
            <w:tcW w:type="dxa" w:w="2880"/>
          </w:tcPr>
          <w:p>
            <w:r>
              <w:t>Логирование отказов</w:t>
            </w:r>
          </w:p>
        </w:tc>
        <w:tc>
          <w:tcPr>
            <w:tcW w:type="dxa" w:w="2880"/>
          </w:tcPr>
          <w:p>
            <w:r>
              <w:t>Все действия фиксируются в логах с источником, датой, суммой и статусом.</w:t>
            </w:r>
          </w:p>
        </w:tc>
      </w:tr>
      <w:tr>
        <w:tc>
          <w:tcPr>
            <w:tcW w:type="dxa" w:w="2880"/>
          </w:tcPr>
          <w:p>
            <w:r>
              <w:t>BR-09</w:t>
            </w:r>
          </w:p>
        </w:tc>
        <w:tc>
          <w:tcPr>
            <w:tcW w:type="dxa" w:w="2880"/>
          </w:tcPr>
          <w:p>
            <w:r>
              <w:t>Отчётность</w:t>
            </w:r>
          </w:p>
        </w:tc>
        <w:tc>
          <w:tcPr>
            <w:tcW w:type="dxa" w:w="2880"/>
          </w:tcPr>
          <w:p>
            <w:r>
              <w:t>Реализована выгрузка отчётов по отказам для BI, ЦБ и анализа.</w:t>
            </w:r>
          </w:p>
        </w:tc>
      </w:tr>
      <w:tr>
        <w:tc>
          <w:tcPr>
            <w:tcW w:type="dxa" w:w="2880"/>
          </w:tcPr>
          <w:p>
            <w:r>
              <w:t>BR-10</w:t>
            </w:r>
          </w:p>
        </w:tc>
        <w:tc>
          <w:tcPr>
            <w:tcW w:type="dxa" w:w="2880"/>
          </w:tcPr>
          <w:p>
            <w:r>
              <w:t>Недопущение дублирования</w:t>
            </w:r>
          </w:p>
        </w:tc>
        <w:tc>
          <w:tcPr>
            <w:tcW w:type="dxa" w:w="2880"/>
          </w:tcPr>
          <w:p>
            <w:r>
              <w:t>Блокировка повторных заявлений на отказ по одному кредиту.</w:t>
            </w:r>
          </w:p>
        </w:tc>
      </w:tr>
    </w:tbl>
    <w:p>
      <w:pPr>
        <w:pStyle w:val="Heading2"/>
      </w:pPr>
      <w:r>
        <w:t>5. Заинтересованные стороны</w:t>
      </w:r>
    </w:p>
    <w:p>
      <w:r>
        <w:t>- Бизнес-заказчик (Кредитные продукты)</w:t>
      </w:r>
    </w:p>
    <w:p>
      <w:r>
        <w:t>- Подразделение розничного бизнеса</w:t>
      </w:r>
    </w:p>
    <w:p>
      <w:r>
        <w:t>- ИТ и архитектура</w:t>
      </w:r>
    </w:p>
    <w:p>
      <w:r>
        <w:t>- Команда разработки мобильного и интернет-банка</w:t>
      </w:r>
    </w:p>
    <w:p>
      <w:r>
        <w:t>- Контакт-центр</w:t>
      </w:r>
    </w:p>
    <w:p>
      <w:r>
        <w:t>- Юридический и комплаенс</w:t>
      </w:r>
    </w:p>
    <w:p>
      <w:r>
        <w:t>- Отдел отчётности и риск-аналитики</w:t>
      </w:r>
    </w:p>
    <w:p>
      <w:pPr>
        <w:pStyle w:val="Heading2"/>
      </w:pPr>
      <w:r>
        <w:t>6. Ассоциации с другими требованиями</w:t>
      </w:r>
    </w:p>
    <w:p>
      <w:r>
        <w:t>- Связь с требованиями по отказу от навязанных услуг</w:t>
      </w:r>
    </w:p>
    <w:p>
      <w:r>
        <w:t>- Интеграция с кредитным движком, АБС и CRM</w:t>
      </w:r>
    </w:p>
    <w:p>
      <w:r>
        <w:t>- Требования к логированию событий и аудиту действий</w:t>
      </w:r>
    </w:p>
    <w:p>
      <w:r>
        <w:t>- Требования по выгрузке отчётов для ЦБ РФ</w:t>
      </w:r>
    </w:p>
    <w:p>
      <w:r>
        <w:t>- Требования по аннулированию начислений (связь с параметрикой продукта)</w:t>
      </w:r>
    </w:p>
    <w:p>
      <w:pPr>
        <w:pStyle w:val="Heading2"/>
      </w:pPr>
      <w:r>
        <w:t>7. Критерии успешности</w:t>
      </w:r>
    </w:p>
    <w:p>
      <w:r>
        <w:t>- Период охлаждения устанавливается и рассчитывается корректно</w:t>
      </w:r>
    </w:p>
    <w:p>
      <w:r>
        <w:t>- Клиенты могут подать заявления в пределах срока</w:t>
      </w:r>
    </w:p>
    <w:p>
      <w:r>
        <w:t>- Сторнирование происходит автоматически при соблюдении условий</w:t>
      </w:r>
    </w:p>
    <w:p>
      <w:r>
        <w:t>- Клиенты информированы о сроках и статусах отказа</w:t>
      </w:r>
    </w:p>
    <w:p>
      <w:r>
        <w:t>- Все действия логируются и отражаются в отчётности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