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  <w:br/>
      </w:r>
    </w:p>
    <w:p>
      <w:pPr>
        <w:pStyle w:val="Title"/>
        <w:jc w:val="center"/>
      </w:pPr>
      <w:r>
        <w:t>ФУНКЦИОНАЛЬНАЯ СПЕЦИФИКАЦИЯ (FSD)</w:t>
      </w:r>
    </w:p>
    <w:p>
      <w:r>
        <w:br/>
      </w:r>
    </w:p>
    <w:p>
      <w:pPr>
        <w:pStyle w:val="Heading2"/>
        <w:jc w:val="center"/>
      </w:pPr>
      <w:r>
        <w:t>Проект: Механизм периода охлаждения по кредитам</w:t>
      </w:r>
    </w:p>
    <w:p>
      <w:r>
        <w:br/>
        <w:br/>
      </w:r>
    </w:p>
    <w:p>
      <w:pPr>
        <w:jc w:val="center"/>
      </w:pPr>
      <w:r>
        <w:t>Дата: Апрель 2025</w:t>
        <w:br/>
        <w:t>Версия: 1.0</w:t>
        <w:br/>
        <w:t>Автор: Архитектура цифровых решений</w:t>
      </w:r>
    </w:p>
    <w:p>
      <w:r>
        <w:br w:type="page"/>
      </w:r>
    </w:p>
    <w:p>
      <w:pPr>
        <w:pStyle w:val="Heading1"/>
      </w:pPr>
      <w:r>
        <w:t>Оглавление</w:t>
      </w:r>
    </w:p>
    <w:p>
      <w:r>
        <w:t>Для отображения интерактивного оглавления обновите поля в Word: «References» → «Table of Contents».</w:t>
      </w:r>
    </w:p>
    <w:p>
      <w:r>
        <w:br/>
      </w:r>
    </w:p>
    <w:p>
      <w:r>
        <w:br w:type="page"/>
      </w:r>
    </w:p>
    <w:p>
      <w:pPr>
        <w:pStyle w:val="Heading1"/>
      </w:pPr>
      <w:r>
        <w:t>FSD: Функциональная спецификация — Период охлаждения по кредитам</w:t>
      </w:r>
    </w:p>
    <w:p>
      <w:pPr>
        <w:pStyle w:val="Heading2"/>
      </w:pPr>
      <w:r>
        <w:t>1. Введение</w:t>
      </w:r>
    </w:p>
    <w:p>
      <w:pPr>
        <w:pStyle w:val="Normal"/>
      </w:pPr>
      <w:r>
        <w:t>Данный документ описывает функциональные требования к реализации механизма периода охлаждения по кредитам в банковских ИТ-системах.</w:t>
      </w:r>
    </w:p>
    <w:p>
      <w:pPr>
        <w:pStyle w:val="Heading2"/>
      </w:pPr>
      <w:r>
        <w:t>2. Общее описание</w:t>
      </w:r>
    </w:p>
    <w:p>
      <w:pPr>
        <w:pStyle w:val="Normal"/>
      </w:pPr>
      <w:r>
        <w:t>Период охлаждения — срок, в течение которого клиент может отказаться от кредитного договора без начисления процентов и штрафов. Срок определяется на основании кредитного продукта (от 4 до 48 часов).</w:t>
      </w:r>
    </w:p>
    <w:p>
      <w:pPr>
        <w:pStyle w:val="Heading2"/>
      </w:pPr>
      <w:r>
        <w:t>3. Сценарии использования</w:t>
      </w:r>
    </w:p>
    <w:p>
      <w:pPr>
        <w:pStyle w:val="Normal"/>
      </w:pPr>
      <w:r>
        <w:t>Основные сценарии, которые должны быть поддержаны в системе:</w:t>
      </w:r>
    </w:p>
    <w:p>
      <w:pPr>
        <w:pStyle w:val="Normal"/>
      </w:pPr>
      <w:r>
        <w:t>- Оформление кредита и установка периода охлаждения</w:t>
      </w:r>
    </w:p>
    <w:p>
      <w:pPr>
        <w:pStyle w:val="Normal"/>
      </w:pPr>
      <w:r>
        <w:t>- Отображение срока действия периода в ДБО и договоре</w:t>
      </w:r>
    </w:p>
    <w:p>
      <w:pPr>
        <w:pStyle w:val="Normal"/>
      </w:pPr>
      <w:r>
        <w:t>- Подача заявления на отказ через ДБО и офис</w:t>
      </w:r>
    </w:p>
    <w:p>
      <w:pPr>
        <w:pStyle w:val="Normal"/>
      </w:pPr>
      <w:r>
        <w:t>- Отметка возврата суммы основного долга</w:t>
      </w:r>
    </w:p>
    <w:p>
      <w:pPr>
        <w:pStyle w:val="Normal"/>
      </w:pPr>
      <w:r>
        <w:t>- Проверка условий и сроков отказа</w:t>
      </w:r>
    </w:p>
    <w:p>
      <w:pPr>
        <w:pStyle w:val="Normal"/>
      </w:pPr>
      <w:r>
        <w:t>- Сторнирование начислений при успешном отказе</w:t>
      </w:r>
    </w:p>
    <w:p>
      <w:pPr>
        <w:pStyle w:val="Normal"/>
      </w:pPr>
      <w:r>
        <w:t>- Отображение и логирование статуса отказа</w:t>
      </w:r>
    </w:p>
    <w:p>
      <w:pPr>
        <w:pStyle w:val="Normal"/>
      </w:pPr>
      <w:r>
        <w:t>- Формирование выгрузок для отчётности</w:t>
      </w:r>
    </w:p>
    <w:p>
      <w:pPr>
        <w:pStyle w:val="Heading2"/>
      </w:pPr>
      <w:r>
        <w:t>4. API-интерфейсы</w:t>
      </w:r>
    </w:p>
    <w:p>
      <w:pPr>
        <w:pStyle w:val="Normal"/>
      </w:pPr>
      <w:r>
        <w:t>Сервис должен реализовать REST API с маршрутами:</w:t>
      </w:r>
    </w:p>
    <w:p>
      <w:pPr>
        <w:pStyle w:val="Normal"/>
      </w:pPr>
      <w:r>
        <w:t>- POST /cooling/register — регистрация кредита с параметрами периода</w:t>
      </w:r>
    </w:p>
    <w:p>
      <w:pPr>
        <w:pStyle w:val="Normal"/>
      </w:pPr>
      <w:r>
        <w:t>- GET /cooling/validate — проверка срока охлаждения</w:t>
      </w:r>
    </w:p>
    <w:p>
      <w:pPr>
        <w:pStyle w:val="Normal"/>
      </w:pPr>
      <w:r>
        <w:t>- POST /cooling/pay — отметка возврата суммы</w:t>
      </w:r>
    </w:p>
    <w:p>
      <w:pPr>
        <w:pStyle w:val="Normal"/>
      </w:pPr>
      <w:r>
        <w:t>- POST /cooling/withdraw — подача заявления на отказ</w:t>
      </w:r>
    </w:p>
    <w:p>
      <w:pPr>
        <w:pStyle w:val="Normal"/>
      </w:pPr>
      <w:r>
        <w:t>- GET /cooling/status — статус обработки отказа</w:t>
      </w:r>
    </w:p>
    <w:p>
      <w:pPr>
        <w:pStyle w:val="Normal"/>
      </w:pPr>
      <w:r>
        <w:t>- GET /cooling/report — отчёт по отказам</w:t>
      </w:r>
    </w:p>
    <w:p>
      <w:pPr>
        <w:pStyle w:val="Heading2"/>
      </w:pPr>
      <w:r>
        <w:t>5. Бизнес-правила</w:t>
      </w:r>
    </w:p>
    <w:p>
      <w:pPr>
        <w:pStyle w:val="Normal"/>
      </w:pPr>
      <w:r>
        <w:t>- Период охлаждения считается от даты заключения договора</w:t>
      </w:r>
    </w:p>
    <w:p>
      <w:pPr>
        <w:pStyle w:val="Normal"/>
      </w:pPr>
      <w:r>
        <w:t>- Период рассчитывается в часах, с округлением до минут</w:t>
      </w:r>
    </w:p>
    <w:p>
      <w:pPr>
        <w:pStyle w:val="Normal"/>
      </w:pPr>
      <w:r>
        <w:t>- Отказ возможен только при полном возврате суммы долга</w:t>
      </w:r>
    </w:p>
    <w:p>
      <w:pPr>
        <w:pStyle w:val="Normal"/>
      </w:pPr>
      <w:r>
        <w:t>- Начисления аннулируются только после подтверждённого отказа</w:t>
      </w:r>
    </w:p>
    <w:p>
      <w:pPr>
        <w:pStyle w:val="Normal"/>
      </w:pPr>
      <w:r>
        <w:t>- Повторная подача заявления блокируется</w:t>
      </w:r>
    </w:p>
    <w:p>
      <w:pPr>
        <w:pStyle w:val="Normal"/>
      </w:pPr>
      <w:r>
        <w:t>- Логируются все действия и ошибки</w:t>
      </w:r>
    </w:p>
    <w:p>
      <w:pPr>
        <w:pStyle w:val="Normal"/>
      </w:pPr>
      <w:r>
        <w:t>- Информация должна быть доступна сотрудникам и клиенту</w:t>
      </w:r>
    </w:p>
    <w:p>
      <w:pPr>
        <w:pStyle w:val="Heading2"/>
      </w:pPr>
      <w:r>
        <w:t>6. Интеграции</w:t>
      </w:r>
    </w:p>
    <w:p>
      <w:pPr>
        <w:pStyle w:val="Normal"/>
      </w:pPr>
      <w:r>
        <w:t>Механизм должен быть интегрирован со следующими системами:</w:t>
      </w:r>
    </w:p>
    <w:p>
      <w:pPr>
        <w:pStyle w:val="Normal"/>
      </w:pPr>
      <w:r>
        <w:t>- Кредитный движок (параметры продукта, расчёт даты договора)</w:t>
      </w:r>
    </w:p>
    <w:p>
      <w:pPr>
        <w:pStyle w:val="Normal"/>
      </w:pPr>
      <w:r>
        <w:t>- АБС (движение денежных средств, сторнирование)</w:t>
      </w:r>
    </w:p>
    <w:p>
      <w:pPr>
        <w:pStyle w:val="Normal"/>
      </w:pPr>
      <w:r>
        <w:t>- CRM (учёт и статус заявлений)</w:t>
      </w:r>
    </w:p>
    <w:p>
      <w:pPr>
        <w:pStyle w:val="Normal"/>
      </w:pPr>
      <w:r>
        <w:t>- ДБО (визуализация и подача заявлений клиентами)</w:t>
      </w:r>
    </w:p>
    <w:p>
      <w:pPr>
        <w:pStyle w:val="Normal"/>
      </w:pPr>
      <w:r>
        <w:t>- Модуль логирования и отчётности</w:t>
      </w:r>
    </w:p>
    <w:p>
      <w:pPr>
        <w:pStyle w:val="Heading2"/>
      </w:pPr>
      <w:r>
        <w:t>7. Логирование и аудит</w:t>
      </w:r>
    </w:p>
    <w:p>
      <w:pPr>
        <w:pStyle w:val="Normal"/>
      </w:pPr>
      <w:r>
        <w:t>Каждое действие должно логироваться с параметрами: дата, клиент, кредит, канал подачи, результат.</w:t>
      </w:r>
    </w:p>
    <w:p>
      <w:pPr>
        <w:pStyle w:val="Heading2"/>
      </w:pPr>
      <w:r>
        <w:t>8. Отчётность</w:t>
      </w:r>
    </w:p>
    <w:p>
      <w:pPr>
        <w:pStyle w:val="Normal"/>
      </w:pPr>
      <w:r>
        <w:t>Необходимо обеспечить формирование выгрузок в BI/ЦБ в разрезе статусов, каналов, периодов и продуктов.</w:t>
      </w:r>
    </w:p>
    <w:p>
      <w:pPr>
        <w:pStyle w:val="Heading2"/>
      </w:pPr>
      <w:r>
        <w:t>9. Ограничения и допущения</w:t>
      </w:r>
    </w:p>
    <w:p>
      <w:pPr>
        <w:pStyle w:val="Normal"/>
      </w:pPr>
      <w:r>
        <w:t>Реализация первой очереди допускает хранение информации в памяти или в логах, без БД. В дальнейшем потребуется реализация на основе постоянного хранилища.</w:t>
      </w:r>
    </w:p>
    <w:p>
      <w:pPr>
        <w:pStyle w:val="Normal"/>
      </w:pPr>
      <w:r>
        <w:br/>
      </w:r>
    </w:p>
    <w:p>
      <w:pPr>
        <w:pStyle w:val="Heading2"/>
      </w:pPr>
      <w:r>
        <w:t>10. Диаграмма процесса (BPMN)</w:t>
      </w:r>
    </w:p>
    <w:p>
      <w:pPr>
        <w:pStyle w:val="Normal"/>
      </w:pPr>
      <w:r>
        <w:t>Ниже представлена BPMN-диаграмма процесса подачи отказа от кредита в рамках установленного периода охлаждения.</w:t>
      </w:r>
    </w:p>
    <w:p>
      <w:pPr>
        <w:pStyle w:val="Normal"/>
      </w:pPr>
    </w:p>
    <w:p>
      <w:r>
        <w:br w:type="page"/>
      </w:r>
    </w:p>
    <w:p>
      <w:pPr>
        <w:pStyle w:val="Heading1"/>
      </w:pPr>
      <w:r>
        <w:t>Приложение: Диаграмма процесса (BPMN)</w:t>
      </w:r>
    </w:p>
    <w:p>
      <w:r>
        <w:t>Диаграмма визуализирует процесс подачи заявления об отказе от кредита в рамках периода охлаждения.</w:t>
      </w:r>
    </w:p>
    <w:p>
      <w:r>
        <w:drawing>
          <wp:inline xmlns:a="http://schemas.openxmlformats.org/drawingml/2006/main" xmlns:pic="http://schemas.openxmlformats.org/drawingml/2006/picture">
            <wp:extent cx="5943600" cy="6183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pmn_credit_cooling.p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34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