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Нефункциональные требования (NFR)</w:t>
      </w:r>
    </w:p>
    <w:p>
      <w:r>
        <w:t>Документ описывает нефункциональные требования к сервису реализации периода охлаждения по кредитам.</w:t>
      </w:r>
    </w:p>
    <w:p>
      <w:pPr>
        <w:pStyle w:val="Heading2"/>
      </w:pPr>
      <w:r>
        <w:t>1. Производительность и масштабируемость</w:t>
      </w:r>
    </w:p>
    <w:p>
      <w:pPr>
        <w:pStyle w:val="ListBullet"/>
      </w:pPr>
      <w:r>
        <w:t>NFR-01: Сервис должен обрабатывать не менее 200 RPS (запросов в секунду) при пиковой нагрузке.</w:t>
      </w:r>
    </w:p>
    <w:p>
      <w:pPr>
        <w:pStyle w:val="ListBullet"/>
      </w:pPr>
      <w:r>
        <w:t>NFR-02: Все критичные операции (подача отказа, валидация) должны выполняться &lt; 500 мс в 95-м перцентиле.</w:t>
      </w:r>
    </w:p>
    <w:p>
      <w:pPr>
        <w:pStyle w:val="ListBullet"/>
      </w:pPr>
      <w:r>
        <w:t>NFR-03: Решение должно масштабироваться горизонтально (через Kubernetes).</w:t>
      </w:r>
    </w:p>
    <w:p>
      <w:pPr>
        <w:pStyle w:val="Heading2"/>
      </w:pPr>
      <w:r>
        <w:t>2. Доступность и надёжность</w:t>
      </w:r>
    </w:p>
    <w:p>
      <w:pPr>
        <w:pStyle w:val="ListBullet"/>
      </w:pPr>
      <w:r>
        <w:t>NFR-04: Целевой уровень доступности сервиса — 99.9% uptime.</w:t>
      </w:r>
    </w:p>
    <w:p>
      <w:pPr>
        <w:pStyle w:val="ListBullet"/>
      </w:pPr>
      <w:r>
        <w:t>NFR-05: В случае отказа базы данных или сбоя, сервис должен логировать ошибку и не завершаться аварийно.</w:t>
      </w:r>
    </w:p>
    <w:p>
      <w:pPr>
        <w:pStyle w:val="ListBullet"/>
      </w:pPr>
      <w:r>
        <w:t>NFR-06: Все ошибки должны регистрироваться с уровнем ERROR и содержать credit_id, client_id и endpoint.</w:t>
      </w:r>
    </w:p>
    <w:p>
      <w:pPr>
        <w:pStyle w:val="Heading2"/>
      </w:pPr>
      <w:r>
        <w:t>3. Безопасность</w:t>
      </w:r>
    </w:p>
    <w:p>
      <w:pPr>
        <w:pStyle w:val="ListBullet"/>
      </w:pPr>
      <w:r>
        <w:t>NFR-07: Доступ к API должен быть защищён через механизм аутентификации (например, OAuth2, JWT или API-ключи).</w:t>
      </w:r>
    </w:p>
    <w:p>
      <w:pPr>
        <w:pStyle w:val="ListBullet"/>
      </w:pPr>
      <w:r>
        <w:t>NFR-08: Сервис не должен возвращать конфиденциальные данные (например, суммы, детали клиента) в ошибках.</w:t>
      </w:r>
    </w:p>
    <w:p>
      <w:pPr>
        <w:pStyle w:val="ListBullet"/>
      </w:pPr>
      <w:r>
        <w:t>NFR-09: Все внешние соединения с базой данных и микросервисами должны использовать TLS или быть внутри защищённой сети.</w:t>
      </w:r>
    </w:p>
    <w:p>
      <w:pPr>
        <w:pStyle w:val="ListBullet"/>
      </w:pPr>
      <w:r>
        <w:t>NFR-10: Весь исходный код должен проходить статический анализ безопасности (gosec, SonarQube).</w:t>
      </w:r>
    </w:p>
    <w:p>
      <w:pPr>
        <w:pStyle w:val="Heading2"/>
      </w:pPr>
      <w:r>
        <w:t>4. Наблюдаемость и аудит</w:t>
      </w:r>
    </w:p>
    <w:p>
      <w:pPr>
        <w:pStyle w:val="ListBullet"/>
      </w:pPr>
      <w:r>
        <w:t>NFR-11: Все действия клиента и изменения статусов отказов должны быть логированы в формате JSON.</w:t>
      </w:r>
    </w:p>
    <w:p>
      <w:pPr>
        <w:pStyle w:val="ListBullet"/>
      </w:pPr>
      <w:r>
        <w:t>NFR-12: Сервис должен экспортировать метрики Prometheus: количество отказов, успешных/неуспешных, ошибки.</w:t>
      </w:r>
    </w:p>
    <w:p>
      <w:pPr>
        <w:pStyle w:val="ListBullet"/>
      </w:pPr>
      <w:r>
        <w:t>NFR-13: Для расследований должна вестись аудит-трассировка всех критичных операций.</w:t>
      </w:r>
    </w:p>
    <w:p>
      <w:pPr>
        <w:pStyle w:val="Heading2"/>
      </w:pPr>
      <w:r>
        <w:t>5. Поддержка и сопровождение</w:t>
      </w:r>
    </w:p>
    <w:p>
      <w:pPr>
        <w:pStyle w:val="ListBullet"/>
      </w:pPr>
      <w:r>
        <w:t>NFR-14: Код должен быть покрыт юнит и интеграционными тестами на уровне не менее 80%.</w:t>
      </w:r>
    </w:p>
    <w:p>
      <w:pPr>
        <w:pStyle w:val="ListBullet"/>
      </w:pPr>
      <w:r>
        <w:t>NFR-15: Проект должен быть оформлен в виде контейнерного образа (Docker) и иметь Helm-чарт для Kubernetes.</w:t>
      </w:r>
    </w:p>
    <w:p>
      <w:pPr>
        <w:pStyle w:val="ListBullet"/>
      </w:pPr>
      <w:r>
        <w:t>NFR-16: Все зависимости должны быть указаны в go.mod и загружаться через локальный Nexus.</w:t>
      </w:r>
    </w:p>
    <w:p>
      <w:pPr>
        <w:pStyle w:val="Heading2"/>
      </w:pPr>
      <w:r>
        <w:t>6. Соответствие нормативным требованиям</w:t>
      </w:r>
    </w:p>
    <w:p>
      <w:pPr>
        <w:pStyle w:val="ListBullet"/>
      </w:pPr>
      <w:r>
        <w:t>NFR-17: Все действия клиента должны храниться не менее 5 лет (в перспективной версии с БД и архивацией).</w:t>
      </w:r>
    </w:p>
    <w:p>
      <w:pPr>
        <w:pStyle w:val="ListBullet"/>
      </w:pPr>
      <w:r>
        <w:t>NFR-18: Реализация должна соответствовать ФЗ «О защите персональных данных» и внутренней политике ИБ.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