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Описание шагов Sequence Diagram: "Период охлаждения — отказ от кредита"</w:t>
      </w:r>
    </w:p>
    <w:p>
      <w:pPr>
        <w:pStyle w:val="Heading2"/>
      </w:pPr>
      <w:r>
        <w:t>1. Клиент → Мобильное приложение / Интернет-банк</w:t>
      </w:r>
    </w:p>
    <w:p>
      <w:r>
        <w:t>Клиент инициирует отказ от кредита в период охлаждения через цифровой канал — мобильное приложение или интернет-банк. В интерфейсе он выбирает соответствующий активный кредит и нажимает "Отказаться от кредита".</w:t>
      </w:r>
    </w:p>
    <w:p>
      <w:pPr>
        <w:pStyle w:val="Heading2"/>
      </w:pPr>
      <w:r>
        <w:t>2. Приложение → API</w:t>
      </w:r>
    </w:p>
    <w:p>
      <w:r>
        <w:t>Клиентское приложение отправляет POST-запрос на API-шлюз: `POST /cooling/withdrawRequest`, передавая ID кредита, дату оформления и электронную подпись клиента (если используется).</w:t>
      </w:r>
    </w:p>
    <w:p>
      <w:pPr>
        <w:pStyle w:val="Heading2"/>
      </w:pPr>
      <w:r>
        <w:t>3. API → Сервис периода охлаждения</w:t>
      </w:r>
    </w:p>
    <w:p>
      <w:r>
        <w:t>API проверяет корректность данных и передаёт информацию в сервис, обрабатывающий бизнес-логику периода охлаждения. Вызов метода: `validatePeriod()`.</w:t>
      </w:r>
    </w:p>
    <w:p>
      <w:pPr>
        <w:pStyle w:val="Heading2"/>
      </w:pPr>
      <w:r>
        <w:t>4. Сервис периода охлаждения → АБС</w:t>
      </w:r>
    </w:p>
    <w:p>
      <w:r>
        <w:t>Сервис обращается в учётную систему (АБС), чтобы получить параметры кредита: дата оформления, сумма, остаток долга, начисленные проценты.</w:t>
      </w:r>
    </w:p>
    <w:p>
      <w:pPr>
        <w:pStyle w:val="Heading2"/>
      </w:pPr>
      <w:r>
        <w:t>5. АБС → Сервис периода охлаждения</w:t>
      </w:r>
    </w:p>
    <w:p>
      <w:r>
        <w:t>АБС возвращает данные по кредиту. Сервис проверяет, действует ли ещё период охлаждения (не истёк ли лимит в 48 часов).</w:t>
      </w:r>
    </w:p>
    <w:p>
      <w:pPr>
        <w:pStyle w:val="Heading2"/>
      </w:pPr>
      <w:r>
        <w:t>6. Сервис → АБС: отмена начислений</w:t>
      </w:r>
    </w:p>
    <w:p>
      <w:r>
        <w:t>При положительном результате проверки сервис инициирует отмену начисленных процентов, штрафов и комиссий по кредиту — метод `revokeCharges()`.</w:t>
      </w:r>
    </w:p>
    <w:p>
      <w:pPr>
        <w:pStyle w:val="Heading2"/>
      </w:pPr>
      <w:r>
        <w:t>7. АБС → Сервис: подтверждение</w:t>
      </w:r>
    </w:p>
    <w:p>
      <w:r>
        <w:t>АБС подтверждает успешное выполнение операции — возврат суммы долга и аннулирование дополнительных начислений.</w:t>
      </w:r>
    </w:p>
    <w:p>
      <w:pPr>
        <w:pStyle w:val="Heading2"/>
      </w:pPr>
      <w:r>
        <w:t>8. Сервис → Сервис логирования и отчётности</w:t>
      </w:r>
    </w:p>
    <w:p>
      <w:r>
        <w:t>Сервис формирует запись: дата отказа, сумма, канал, результат, и отправляет её в модуль логирования для последующего включения в отчёты.</w:t>
      </w:r>
    </w:p>
    <w:p>
      <w:pPr>
        <w:pStyle w:val="Heading2"/>
      </w:pPr>
      <w:r>
        <w:t>9. Сервис → API</w:t>
      </w:r>
    </w:p>
    <w:p>
      <w:r>
        <w:t>Сервис отправляет результат обратно в API — статус успешного отказа или сообщение об ошибке (например, если период истёк).</w:t>
      </w:r>
    </w:p>
    <w:p>
      <w:pPr>
        <w:pStyle w:val="Heading2"/>
      </w:pPr>
      <w:r>
        <w:t>10. API → Приложение → Клиент</w:t>
      </w:r>
    </w:p>
    <w:p>
      <w:r>
        <w:t>API пересылает результат в клиентское приложение. Клиент получает уведомление об успешном отказе от кредита или уведомление о невозможности операции.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