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03D" w:rsidRDefault="00ED3338" w:rsidP="003065FF">
      <w:pPr>
        <w:autoSpaceDE w:val="0"/>
        <w:autoSpaceDN w:val="0"/>
        <w:adjustRightInd w:val="0"/>
        <w:jc w:val="left"/>
        <w:rPr>
          <w:b/>
          <w:bCs/>
          <w:kern w:val="0"/>
          <w:sz w:val="32"/>
          <w:szCs w:val="32"/>
        </w:rPr>
      </w:pPr>
      <w:r w:rsidRPr="00ED3338">
        <w:rPr>
          <w:b/>
          <w:bCs/>
          <w:kern w:val="0"/>
          <w:sz w:val="32"/>
          <w:szCs w:val="32"/>
        </w:rPr>
        <w:t xml:space="preserve">A 4-Week (5-Dose) Study of </w:t>
      </w:r>
      <w:bookmarkStart w:id="0" w:name="_GoBack"/>
      <w:r w:rsidR="00E37E0B">
        <w:rPr>
          <w:b/>
          <w:bCs/>
          <w:kern w:val="0"/>
          <w:sz w:val="32"/>
          <w:szCs w:val="32"/>
        </w:rPr>
        <w:t>PROJECT 11</w:t>
      </w:r>
      <w:bookmarkEnd w:id="0"/>
      <w:r w:rsidRPr="00ED3338">
        <w:rPr>
          <w:b/>
          <w:bCs/>
          <w:kern w:val="0"/>
          <w:sz w:val="32"/>
          <w:szCs w:val="32"/>
        </w:rPr>
        <w:t xml:space="preserve"> by Intravenous Infusion in Cynomolgus Monkeys with a 4-Week Recovery Period</w:t>
      </w:r>
    </w:p>
    <w:p w:rsidR="00ED3338" w:rsidRPr="009F503D" w:rsidRDefault="00ED3338"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7031A2" w:rsidRDefault="007031A2" w:rsidP="007031A2">
      <w:pPr>
        <w:pStyle w:val="a7"/>
        <w:rPr>
          <w:color w:val="000000"/>
        </w:rPr>
      </w:pPr>
      <w:r w:rsidRPr="00552E7E">
        <w:t>The objective</w:t>
      </w:r>
      <w:r>
        <w:t>s</w:t>
      </w:r>
      <w:r w:rsidRPr="00552E7E">
        <w:t xml:space="preserve"> of this study </w:t>
      </w:r>
      <w:r>
        <w:t>were</w:t>
      </w:r>
      <w:r w:rsidRPr="00552E7E">
        <w:t xml:space="preserve"> to </w:t>
      </w:r>
      <w:r w:rsidRPr="00552E7E">
        <w:rPr>
          <w:color w:val="000000"/>
        </w:rPr>
        <w:t>determine</w:t>
      </w:r>
      <w:r w:rsidRPr="00F026D9">
        <w:rPr>
          <w:color w:val="000000"/>
        </w:rPr>
        <w:t xml:space="preserve"> the </w:t>
      </w:r>
      <w:r>
        <w:rPr>
          <w:color w:val="000000"/>
        </w:rPr>
        <w:t>potential toxicity</w:t>
      </w:r>
      <w:r w:rsidRPr="00F026D9">
        <w:rPr>
          <w:color w:val="000000"/>
        </w:rPr>
        <w:t xml:space="preserve"> of </w:t>
      </w:r>
      <w:r w:rsidR="00E37E0B">
        <w:rPr>
          <w:color w:val="000000"/>
        </w:rPr>
        <w:t>PROJECT 11</w:t>
      </w:r>
      <w:r>
        <w:rPr>
          <w:color w:val="000000"/>
        </w:rPr>
        <w:t>, a human anti</w:t>
      </w:r>
      <w:r>
        <w:rPr>
          <w:color w:val="000000"/>
        </w:rPr>
        <w:noBreakHyphen/>
        <w:t xml:space="preserve">GITR IgG4 S228P tetravalent antibody, </w:t>
      </w:r>
      <w:r w:rsidRPr="00E504A1">
        <w:rPr>
          <w:color w:val="000000"/>
        </w:rPr>
        <w:t xml:space="preserve">when given by intravenous infusion once weekly for </w:t>
      </w:r>
      <w:r>
        <w:rPr>
          <w:color w:val="000000"/>
        </w:rPr>
        <w:t>4 </w:t>
      </w:r>
      <w:r w:rsidRPr="00E504A1">
        <w:rPr>
          <w:color w:val="000000"/>
        </w:rPr>
        <w:t>doses</w:t>
      </w:r>
      <w:r>
        <w:rPr>
          <w:color w:val="000000"/>
        </w:rPr>
        <w:t xml:space="preserve"> </w:t>
      </w:r>
      <w:r w:rsidRPr="00E504A1">
        <w:rPr>
          <w:color w:val="000000"/>
        </w:rPr>
        <w:t xml:space="preserve">(Days 1, 8, 15, </w:t>
      </w:r>
      <w:r>
        <w:rPr>
          <w:color w:val="000000"/>
        </w:rPr>
        <w:t xml:space="preserve">and </w:t>
      </w:r>
      <w:r w:rsidRPr="00E504A1">
        <w:rPr>
          <w:color w:val="000000"/>
        </w:rPr>
        <w:t>22</w:t>
      </w:r>
      <w:r>
        <w:t>)</w:t>
      </w:r>
      <w:r w:rsidRPr="00F026D9">
        <w:t xml:space="preserve"> to</w:t>
      </w:r>
      <w:r>
        <w:rPr>
          <w:color w:val="000000"/>
        </w:rPr>
        <w:t xml:space="preserve"> cynomolgus monkeys, </w:t>
      </w:r>
      <w:r w:rsidRPr="00E504A1">
        <w:rPr>
          <w:color w:val="000000"/>
        </w:rPr>
        <w:t>and to evaluate the potential reversibility of any findings after a 4-week recovery period</w:t>
      </w:r>
      <w:r>
        <w:rPr>
          <w:color w:val="000000"/>
        </w:rPr>
        <w:t>.</w:t>
      </w:r>
      <w:r w:rsidRPr="00E504A1">
        <w:t xml:space="preserve"> </w:t>
      </w:r>
      <w:r w:rsidRPr="00E504A1">
        <w:rPr>
          <w:color w:val="000000"/>
        </w:rPr>
        <w:t xml:space="preserve">In addition, the toxicokinetic characteristics </w:t>
      </w:r>
      <w:r>
        <w:rPr>
          <w:color w:val="000000"/>
        </w:rPr>
        <w:t xml:space="preserve">of </w:t>
      </w:r>
      <w:r w:rsidR="00E37E0B">
        <w:rPr>
          <w:color w:val="000000"/>
        </w:rPr>
        <w:t>PROJECT 11</w:t>
      </w:r>
      <w:r>
        <w:rPr>
          <w:color w:val="000000"/>
        </w:rPr>
        <w:t xml:space="preserve"> </w:t>
      </w:r>
      <w:r w:rsidRPr="00E504A1">
        <w:rPr>
          <w:color w:val="000000"/>
        </w:rPr>
        <w:t>were monitored.</w:t>
      </w:r>
    </w:p>
    <w:p w:rsidR="007031A2" w:rsidRDefault="007031A2" w:rsidP="007031A2">
      <w:pPr>
        <w:pStyle w:val="a7"/>
      </w:pPr>
      <w:r>
        <w:t>The study design was as follows:</w:t>
      </w:r>
    </w:p>
    <w:p w:rsidR="007031A2" w:rsidRPr="00F71833" w:rsidRDefault="007031A2" w:rsidP="007031A2">
      <w:pPr>
        <w:pStyle w:val="TextTableTitle"/>
        <w:keepLines/>
      </w:pPr>
      <w:r>
        <w:t xml:space="preserve">Text Table </w:t>
      </w:r>
      <w:r w:rsidR="005E3988">
        <w:fldChar w:fldCharType="begin"/>
      </w:r>
      <w:r w:rsidR="005E3988">
        <w:instrText xml:space="preserve"> SEQ Text_Table \* ARABIC </w:instrText>
      </w:r>
      <w:r w:rsidR="005E3988">
        <w:fldChar w:fldCharType="separate"/>
      </w:r>
      <w:r>
        <w:rPr>
          <w:noProof/>
        </w:rPr>
        <w:t>1</w:t>
      </w:r>
      <w:r w:rsidR="005E3988">
        <w:rPr>
          <w:noProof/>
        </w:rPr>
        <w:fldChar w:fldCharType="end"/>
      </w:r>
      <w:r>
        <w:br/>
        <w:t>Experimental Design</w:t>
      </w:r>
    </w:p>
    <w:tbl>
      <w:tblPr>
        <w:tblW w:w="4992" w:type="pct"/>
        <w:tblInd w:w="18" w:type="dxa"/>
        <w:tblLook w:val="0000" w:firstRow="0" w:lastRow="0" w:firstColumn="0" w:lastColumn="0" w:noHBand="0" w:noVBand="0"/>
      </w:tblPr>
      <w:tblGrid>
        <w:gridCol w:w="783"/>
        <w:gridCol w:w="1430"/>
        <w:gridCol w:w="1437"/>
        <w:gridCol w:w="989"/>
        <w:gridCol w:w="1450"/>
        <w:gridCol w:w="727"/>
        <w:gridCol w:w="916"/>
        <w:gridCol w:w="727"/>
        <w:gridCol w:w="916"/>
      </w:tblGrid>
      <w:tr w:rsidR="007031A2" w:rsidRPr="003B665A" w:rsidTr="00206C15">
        <w:trPr>
          <w:tblHeader/>
        </w:trPr>
        <w:tc>
          <w:tcPr>
            <w:tcW w:w="410" w:type="pct"/>
            <w:vMerge w:val="restar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Group No.</w:t>
            </w:r>
          </w:p>
        </w:tc>
        <w:tc>
          <w:tcPr>
            <w:tcW w:w="808" w:type="pct"/>
            <w:vMerge w:val="restart"/>
            <w:tcBorders>
              <w:top w:val="single" w:sz="4" w:space="0" w:color="auto"/>
              <w:left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Test Material</w:t>
            </w:r>
          </w:p>
        </w:tc>
        <w:tc>
          <w:tcPr>
            <w:tcW w:w="767" w:type="pct"/>
            <w:vMerge w:val="restar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vertAlign w:val="superscript"/>
              </w:rPr>
            </w:pPr>
            <w:r w:rsidRPr="003B665A">
              <w:rPr>
                <w:b/>
              </w:rPr>
              <w:t>Dose Level (mg/kg/week)</w:t>
            </w:r>
            <w:r w:rsidRPr="003B665A">
              <w:rPr>
                <w:b/>
                <w:vertAlign w:val="superscript"/>
              </w:rPr>
              <w:t>a</w:t>
            </w:r>
          </w:p>
        </w:tc>
        <w:tc>
          <w:tcPr>
            <w:tcW w:w="489" w:type="pct"/>
            <w:vMerge w:val="restar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vertAlign w:val="superscript"/>
              </w:rPr>
            </w:pPr>
            <w:r w:rsidRPr="003B665A">
              <w:rPr>
                <w:b/>
              </w:rPr>
              <w:t>Dose Volume (mL/kg)</w:t>
            </w:r>
            <w:r w:rsidRPr="003B665A">
              <w:rPr>
                <w:b/>
                <w:vertAlign w:val="superscript"/>
              </w:rPr>
              <w:t>b</w:t>
            </w:r>
          </w:p>
        </w:tc>
        <w:tc>
          <w:tcPr>
            <w:tcW w:w="773" w:type="pct"/>
            <w:vMerge w:val="restar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Dose Concentration (mg/mL)</w:t>
            </w:r>
          </w:p>
        </w:tc>
        <w:tc>
          <w:tcPr>
            <w:tcW w:w="1753" w:type="pct"/>
            <w:gridSpan w:val="4"/>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vertAlign w:val="superscript"/>
              </w:rPr>
            </w:pPr>
            <w:r w:rsidRPr="003B665A">
              <w:rPr>
                <w:b/>
              </w:rPr>
              <w:t xml:space="preserve">No. of </w:t>
            </w:r>
            <w:proofErr w:type="spellStart"/>
            <w:r w:rsidRPr="003B665A">
              <w:rPr>
                <w:b/>
              </w:rPr>
              <w:t>Animals</w:t>
            </w:r>
            <w:r w:rsidRPr="003B665A">
              <w:rPr>
                <w:b/>
                <w:vertAlign w:val="superscript"/>
              </w:rPr>
              <w:t>c</w:t>
            </w:r>
            <w:proofErr w:type="spellEnd"/>
          </w:p>
        </w:tc>
      </w:tr>
      <w:tr w:rsidR="007031A2" w:rsidRPr="003B665A" w:rsidTr="00206C15">
        <w:trPr>
          <w:tblHeader/>
        </w:trPr>
        <w:tc>
          <w:tcPr>
            <w:tcW w:w="410"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808" w:type="pct"/>
            <w:vMerge/>
            <w:tcBorders>
              <w:left w:val="single" w:sz="4" w:space="0" w:color="auto"/>
              <w:right w:val="single" w:sz="4" w:space="0" w:color="auto"/>
            </w:tcBorders>
            <w:vAlign w:val="bottom"/>
          </w:tcPr>
          <w:p w:rsidR="007031A2" w:rsidRPr="003B665A" w:rsidRDefault="007031A2" w:rsidP="00206C15">
            <w:pPr>
              <w:pStyle w:val="TextTableText"/>
              <w:jc w:val="center"/>
              <w:rPr>
                <w:b/>
              </w:rPr>
            </w:pPr>
          </w:p>
        </w:tc>
        <w:tc>
          <w:tcPr>
            <w:tcW w:w="767"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489"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773"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876" w:type="pct"/>
            <w:gridSpan w:val="2"/>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Main Study</w:t>
            </w:r>
          </w:p>
        </w:tc>
        <w:tc>
          <w:tcPr>
            <w:tcW w:w="876" w:type="pct"/>
            <w:gridSpan w:val="2"/>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Recovery Study</w:t>
            </w:r>
          </w:p>
        </w:tc>
      </w:tr>
      <w:tr w:rsidR="007031A2" w:rsidRPr="003B665A" w:rsidTr="00206C15">
        <w:trPr>
          <w:tblHeader/>
        </w:trPr>
        <w:tc>
          <w:tcPr>
            <w:tcW w:w="410"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808" w:type="pct"/>
            <w:vMerge/>
            <w:tcBorders>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767"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489"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773" w:type="pct"/>
            <w:vMerge/>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p>
        </w:tc>
        <w:tc>
          <w:tcPr>
            <w:tcW w:w="388" w:type="pc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Males</w:t>
            </w:r>
          </w:p>
        </w:tc>
        <w:tc>
          <w:tcPr>
            <w:tcW w:w="489" w:type="pc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Females</w:t>
            </w:r>
          </w:p>
        </w:tc>
        <w:tc>
          <w:tcPr>
            <w:tcW w:w="388" w:type="pc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Males</w:t>
            </w:r>
          </w:p>
        </w:tc>
        <w:tc>
          <w:tcPr>
            <w:tcW w:w="489" w:type="pct"/>
            <w:tcBorders>
              <w:top w:val="single" w:sz="4" w:space="0" w:color="auto"/>
              <w:left w:val="single" w:sz="4" w:space="0" w:color="auto"/>
              <w:bottom w:val="single" w:sz="4" w:space="0" w:color="auto"/>
              <w:right w:val="single" w:sz="4" w:space="0" w:color="auto"/>
            </w:tcBorders>
            <w:vAlign w:val="bottom"/>
          </w:tcPr>
          <w:p w:rsidR="007031A2" w:rsidRPr="003B665A" w:rsidRDefault="007031A2" w:rsidP="00206C15">
            <w:pPr>
              <w:pStyle w:val="TextTableText"/>
              <w:jc w:val="center"/>
              <w:rPr>
                <w:b/>
              </w:rPr>
            </w:pPr>
            <w:r w:rsidRPr="003B665A">
              <w:rPr>
                <w:b/>
              </w:rPr>
              <w:t>Females</w:t>
            </w:r>
          </w:p>
        </w:tc>
      </w:tr>
      <w:tr w:rsidR="007031A2" w:rsidRPr="003B665A" w:rsidTr="00206C15">
        <w:tc>
          <w:tcPr>
            <w:tcW w:w="410"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1</w:t>
            </w:r>
          </w:p>
        </w:tc>
        <w:tc>
          <w:tcPr>
            <w:tcW w:w="80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rPr>
                <w:vertAlign w:val="superscript"/>
              </w:rPr>
            </w:pPr>
            <w:r w:rsidRPr="003B665A">
              <w:t>Control Article</w:t>
            </w:r>
            <w:r w:rsidRPr="003B665A">
              <w:rPr>
                <w:vertAlign w:val="superscript"/>
              </w:rPr>
              <w:t>d</w:t>
            </w:r>
          </w:p>
        </w:tc>
        <w:tc>
          <w:tcPr>
            <w:tcW w:w="767"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0</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7.8</w:t>
            </w:r>
          </w:p>
        </w:tc>
        <w:tc>
          <w:tcPr>
            <w:tcW w:w="773"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0</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w:t>
            </w:r>
          </w:p>
        </w:tc>
      </w:tr>
      <w:tr w:rsidR="007031A2" w:rsidRPr="003B665A" w:rsidTr="00206C15">
        <w:tc>
          <w:tcPr>
            <w:tcW w:w="410"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w:t>
            </w:r>
          </w:p>
        </w:tc>
        <w:tc>
          <w:tcPr>
            <w:tcW w:w="808" w:type="pct"/>
            <w:tcBorders>
              <w:top w:val="single" w:sz="4" w:space="0" w:color="auto"/>
              <w:left w:val="single" w:sz="4" w:space="0" w:color="auto"/>
              <w:bottom w:val="single" w:sz="4" w:space="0" w:color="auto"/>
              <w:right w:val="single" w:sz="4" w:space="0" w:color="auto"/>
            </w:tcBorders>
            <w:vAlign w:val="center"/>
          </w:tcPr>
          <w:p w:rsidR="007031A2" w:rsidRPr="003B665A" w:rsidRDefault="00E37E0B" w:rsidP="00206C15">
            <w:pPr>
              <w:pStyle w:val="TextTableText"/>
              <w:jc w:val="center"/>
            </w:pPr>
            <w:r>
              <w:t>PROJECT 11</w:t>
            </w:r>
          </w:p>
        </w:tc>
        <w:tc>
          <w:tcPr>
            <w:tcW w:w="767"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50</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7.8</w:t>
            </w:r>
          </w:p>
        </w:tc>
        <w:tc>
          <w:tcPr>
            <w:tcW w:w="773"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6.4</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w:t>
            </w:r>
          </w:p>
        </w:tc>
      </w:tr>
      <w:tr w:rsidR="007031A2" w:rsidRPr="003B665A" w:rsidTr="00206C15">
        <w:tc>
          <w:tcPr>
            <w:tcW w:w="410"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808" w:type="pct"/>
            <w:tcBorders>
              <w:top w:val="single" w:sz="4" w:space="0" w:color="auto"/>
              <w:left w:val="single" w:sz="4" w:space="0" w:color="auto"/>
              <w:bottom w:val="single" w:sz="4" w:space="0" w:color="auto"/>
              <w:right w:val="single" w:sz="4" w:space="0" w:color="auto"/>
            </w:tcBorders>
            <w:vAlign w:val="center"/>
          </w:tcPr>
          <w:p w:rsidR="007031A2" w:rsidRPr="003B665A" w:rsidRDefault="00E37E0B" w:rsidP="00206C15">
            <w:pPr>
              <w:pStyle w:val="TextTableText"/>
              <w:jc w:val="center"/>
            </w:pPr>
            <w:r>
              <w:t>PROJECT 11</w:t>
            </w:r>
          </w:p>
        </w:tc>
        <w:tc>
          <w:tcPr>
            <w:tcW w:w="767"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100</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7.8</w:t>
            </w:r>
          </w:p>
        </w:tc>
        <w:tc>
          <w:tcPr>
            <w:tcW w:w="773"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12.8</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w:t>
            </w:r>
          </w:p>
        </w:tc>
      </w:tr>
      <w:tr w:rsidR="007031A2" w:rsidRPr="003B665A" w:rsidTr="00206C15">
        <w:tc>
          <w:tcPr>
            <w:tcW w:w="410"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4</w:t>
            </w:r>
          </w:p>
        </w:tc>
        <w:tc>
          <w:tcPr>
            <w:tcW w:w="808" w:type="pct"/>
            <w:tcBorders>
              <w:top w:val="single" w:sz="4" w:space="0" w:color="auto"/>
              <w:left w:val="single" w:sz="4" w:space="0" w:color="auto"/>
              <w:bottom w:val="single" w:sz="4" w:space="0" w:color="auto"/>
              <w:right w:val="single" w:sz="4" w:space="0" w:color="auto"/>
            </w:tcBorders>
            <w:vAlign w:val="center"/>
          </w:tcPr>
          <w:p w:rsidR="007031A2" w:rsidRPr="003B665A" w:rsidRDefault="00E37E0B" w:rsidP="00206C15">
            <w:pPr>
              <w:pStyle w:val="TextTableText"/>
              <w:jc w:val="center"/>
            </w:pPr>
            <w:r>
              <w:t>PROJECT 11</w:t>
            </w:r>
          </w:p>
        </w:tc>
        <w:tc>
          <w:tcPr>
            <w:tcW w:w="767"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200</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7.8</w:t>
            </w:r>
          </w:p>
        </w:tc>
        <w:tc>
          <w:tcPr>
            <w:tcW w:w="773"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25.7</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3</w:t>
            </w:r>
          </w:p>
        </w:tc>
        <w:tc>
          <w:tcPr>
            <w:tcW w:w="388"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w:t>
            </w:r>
          </w:p>
        </w:tc>
        <w:tc>
          <w:tcPr>
            <w:tcW w:w="489" w:type="pct"/>
            <w:tcBorders>
              <w:top w:val="single" w:sz="4" w:space="0" w:color="auto"/>
              <w:left w:val="single" w:sz="4" w:space="0" w:color="auto"/>
              <w:bottom w:val="single" w:sz="4" w:space="0" w:color="auto"/>
              <w:right w:val="single" w:sz="4" w:space="0" w:color="auto"/>
            </w:tcBorders>
            <w:vAlign w:val="center"/>
          </w:tcPr>
          <w:p w:rsidR="007031A2" w:rsidRPr="003B665A" w:rsidRDefault="007031A2" w:rsidP="00206C15">
            <w:pPr>
              <w:pStyle w:val="TextTableText"/>
              <w:jc w:val="center"/>
            </w:pPr>
            <w:r w:rsidRPr="003B665A">
              <w:t>2</w:t>
            </w:r>
          </w:p>
        </w:tc>
      </w:tr>
      <w:tr w:rsidR="007031A2" w:rsidRPr="003B665A" w:rsidTr="00206C15">
        <w:tc>
          <w:tcPr>
            <w:tcW w:w="5000" w:type="pct"/>
            <w:gridSpan w:val="9"/>
            <w:tcBorders>
              <w:top w:val="single" w:sz="4" w:space="0" w:color="auto"/>
            </w:tcBorders>
          </w:tcPr>
          <w:p w:rsidR="007031A2" w:rsidRPr="003B665A" w:rsidRDefault="007031A2" w:rsidP="00206C15">
            <w:pPr>
              <w:pStyle w:val="TextTableFootnote"/>
            </w:pPr>
            <w:r w:rsidRPr="003B665A">
              <w:t>- = not applicable.</w:t>
            </w:r>
          </w:p>
          <w:p w:rsidR="007031A2" w:rsidRPr="003B665A" w:rsidRDefault="007031A2" w:rsidP="00206C15">
            <w:pPr>
              <w:pStyle w:val="TextTableFootnote"/>
            </w:pPr>
            <w:r w:rsidRPr="003B665A">
              <w:rPr>
                <w:vertAlign w:val="superscript"/>
              </w:rPr>
              <w:t>a</w:t>
            </w:r>
            <w:r w:rsidRPr="003B665A">
              <w:t xml:space="preserve">  Dosing (</w:t>
            </w:r>
            <w:proofErr w:type="gramStart"/>
            <w:r w:rsidRPr="003B665A">
              <w:t>1 hour</w:t>
            </w:r>
            <w:proofErr w:type="gramEnd"/>
            <w:r w:rsidRPr="003B665A">
              <w:t xml:space="preserve"> infusion) was stagger-started with a 1 day interval between dosing Set A and Set B.  Males (Set A) were dosed initially, followed by the females (Set B).  The main study and recovery animals underwent necropsy on Day 30 and 57, respectively.  Due to an error in dose volume administered (low dose males on Day 1) and errors in formulation concentration on Day 1 and Day 15 for males only, actual dose levels administered for males in Groups 2, 3, and 4 (respectively) were 102, 165, and 147 mg/kg (Day 1) and 105, 178, and 145 mg/kg (Day 15).  Due to unexpected infusion reactions in a total of 4 males (from Groups 2, 3 and 4) on Day 22, infusions were stopped early for all males in Groups 1-4 with only partial dose levels administered.  On Day 22, females were pretreated with diphenhydramine (5 mg/kg, IM) 15 minutes prior to infusions and received their full dose of </w:t>
            </w:r>
            <w:r w:rsidR="00E37E0B">
              <w:t>PROJECT 11</w:t>
            </w:r>
            <w:r w:rsidRPr="003B665A">
              <w:t>, except for one Group 3 female who had an infusion reaction and received only 20% of the target dose.  Due to infusion reactions observed on Day 22, the 5th scheduled dose on Day 29 was not administered to males and females.</w:t>
            </w:r>
          </w:p>
          <w:p w:rsidR="007031A2" w:rsidRPr="003B665A" w:rsidRDefault="007031A2" w:rsidP="00206C15">
            <w:pPr>
              <w:pStyle w:val="TextTableFootnote"/>
            </w:pPr>
            <w:r w:rsidRPr="003B665A">
              <w:rPr>
                <w:vertAlign w:val="superscript"/>
              </w:rPr>
              <w:t>b</w:t>
            </w:r>
            <w:r w:rsidRPr="003B665A">
              <w:t xml:space="preserve">  Dose volume was administered via a 60-min infusion, except Day 22 infusions which were stopped early for all males and one female.  Dose volume administered on Day 1 to low dose males was 8.6 mL/kg.</w:t>
            </w:r>
          </w:p>
          <w:p w:rsidR="007031A2" w:rsidRPr="003B665A" w:rsidRDefault="007031A2" w:rsidP="00206C15">
            <w:pPr>
              <w:pStyle w:val="TextTableFootnote"/>
            </w:pPr>
            <w:r w:rsidRPr="003B665A">
              <w:rPr>
                <w:vertAlign w:val="superscript"/>
              </w:rPr>
              <w:t>c</w:t>
            </w:r>
            <w:r w:rsidRPr="003B665A">
              <w:t xml:space="preserve">  Scheduled necropsy was on Day 30 for the main groups and on Day 57 for the recovery groups. Unscheduled necropsy occurred on Day 22 for 2 males (one in Group 2 and one in Group 4) due to severity of their infusion reactions.</w:t>
            </w:r>
          </w:p>
          <w:p w:rsidR="007031A2" w:rsidRPr="003B665A" w:rsidRDefault="007031A2" w:rsidP="00206C15">
            <w:pPr>
              <w:pStyle w:val="TextTableFootnote"/>
            </w:pPr>
            <w:r w:rsidRPr="003B665A">
              <w:rPr>
                <w:vertAlign w:val="superscript"/>
              </w:rPr>
              <w:t>d</w:t>
            </w:r>
            <w:r w:rsidRPr="003B665A">
              <w:t xml:space="preserve">  Control article (vehicle) was 20 mM histidine, 250 mM sucrose, 0.025% Polysorbate 80, pH 5.5.</w:t>
            </w:r>
          </w:p>
        </w:tc>
      </w:tr>
    </w:tbl>
    <w:p w:rsidR="007031A2" w:rsidRDefault="007031A2" w:rsidP="007031A2">
      <w:pPr>
        <w:pStyle w:val="BodyTextTop"/>
      </w:pPr>
      <w:r w:rsidRPr="00552E7E">
        <w:t xml:space="preserve">The following parameters and end points were evaluated in this study:  clinical signs, body weights, </w:t>
      </w:r>
      <w:r>
        <w:t xml:space="preserve">qualitative </w:t>
      </w:r>
      <w:r w:rsidRPr="00552E7E">
        <w:t xml:space="preserve">food evaluation, ophthalmology, neurological examination, </w:t>
      </w:r>
      <w:r>
        <w:t>blood pressure, heart rate, respiratory rate</w:t>
      </w:r>
      <w:r w:rsidRPr="00552E7E">
        <w:t xml:space="preserve">, </w:t>
      </w:r>
      <w:proofErr w:type="spellStart"/>
      <w:r w:rsidRPr="00552E7E">
        <w:t>electrocardiology</w:t>
      </w:r>
      <w:proofErr w:type="spellEnd"/>
      <w:r w:rsidRPr="00552E7E">
        <w:t>, clinical pathology parameters (hematology, coagulation, clinical chemistry, and urinalysis), toxicokinetic parameters, anti-drug antibody</w:t>
      </w:r>
      <w:r>
        <w:t xml:space="preserve"> (ADA)</w:t>
      </w:r>
      <w:r w:rsidRPr="00552E7E">
        <w:t xml:space="preserve"> analysis, </w:t>
      </w:r>
      <w:r>
        <w:t>immunophenotype</w:t>
      </w:r>
      <w:r w:rsidRPr="00552E7E">
        <w:t xml:space="preserve">, cytokine sample analysis, </w:t>
      </w:r>
      <w:r>
        <w:t xml:space="preserve">total hemolytic complement (CH50) analysis, </w:t>
      </w:r>
      <w:r w:rsidRPr="00552E7E">
        <w:t>gross necropsy findings, organ weights, and histopathologic examinations.</w:t>
      </w:r>
    </w:p>
    <w:p w:rsidR="007031A2" w:rsidRDefault="007031A2" w:rsidP="007031A2">
      <w:pPr>
        <w:pStyle w:val="a7"/>
      </w:pPr>
      <w:r>
        <w:t>Dose formulations for all Set B (female) dosing occasions met acceptance criteria.  Set A (males) were mis-dosed on Day 1 and on Day 15 per the table below.</w:t>
      </w:r>
    </w:p>
    <w:p w:rsidR="007031A2" w:rsidRPr="00A51218" w:rsidRDefault="007031A2" w:rsidP="007031A2">
      <w:pPr>
        <w:pStyle w:val="a7"/>
        <w:jc w:val="center"/>
        <w:rPr>
          <w:sz w:val="20"/>
        </w:rPr>
      </w:pPr>
      <w:r w:rsidRPr="00A51218">
        <w:rPr>
          <w:sz w:val="20"/>
        </w:rPr>
        <w:t xml:space="preserve">Text Table </w:t>
      </w:r>
      <w:r w:rsidRPr="00A51218">
        <w:rPr>
          <w:sz w:val="20"/>
        </w:rPr>
        <w:fldChar w:fldCharType="begin"/>
      </w:r>
      <w:r w:rsidRPr="00A51218">
        <w:rPr>
          <w:sz w:val="20"/>
        </w:rPr>
        <w:instrText xml:space="preserve"> SEQ Text_Table \* ARABIC </w:instrText>
      </w:r>
      <w:r w:rsidRPr="00A51218">
        <w:rPr>
          <w:sz w:val="20"/>
        </w:rPr>
        <w:fldChar w:fldCharType="separate"/>
      </w:r>
      <w:r w:rsidRPr="00A51218">
        <w:rPr>
          <w:noProof/>
          <w:sz w:val="20"/>
        </w:rPr>
        <w:t>2</w:t>
      </w:r>
      <w:r w:rsidRPr="00A51218">
        <w:rPr>
          <w:sz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6"/>
        <w:gridCol w:w="1336"/>
        <w:gridCol w:w="1336"/>
        <w:gridCol w:w="1336"/>
        <w:gridCol w:w="1336"/>
      </w:tblGrid>
      <w:tr w:rsidR="007031A2" w:rsidRPr="003B665A" w:rsidTr="00206C15">
        <w:tc>
          <w:tcPr>
            <w:tcW w:w="1335" w:type="dxa"/>
            <w:shd w:val="clear" w:color="auto" w:fill="auto"/>
          </w:tcPr>
          <w:p w:rsidR="007031A2" w:rsidRPr="003B665A" w:rsidRDefault="007031A2" w:rsidP="00206C15">
            <w:pPr>
              <w:jc w:val="center"/>
              <w:rPr>
                <w:sz w:val="22"/>
              </w:rPr>
            </w:pPr>
          </w:p>
        </w:tc>
        <w:tc>
          <w:tcPr>
            <w:tcW w:w="2671" w:type="dxa"/>
            <w:gridSpan w:val="2"/>
            <w:shd w:val="clear" w:color="auto" w:fill="auto"/>
          </w:tcPr>
          <w:p w:rsidR="007031A2" w:rsidRPr="003B665A" w:rsidRDefault="007031A2" w:rsidP="00206C15">
            <w:pPr>
              <w:jc w:val="center"/>
              <w:rPr>
                <w:sz w:val="22"/>
              </w:rPr>
            </w:pPr>
            <w:r w:rsidRPr="003B665A">
              <w:rPr>
                <w:sz w:val="22"/>
              </w:rPr>
              <w:t>Low Dose (Group 2)</w:t>
            </w:r>
          </w:p>
        </w:tc>
        <w:tc>
          <w:tcPr>
            <w:tcW w:w="2672" w:type="dxa"/>
            <w:gridSpan w:val="2"/>
            <w:shd w:val="clear" w:color="auto" w:fill="auto"/>
          </w:tcPr>
          <w:p w:rsidR="007031A2" w:rsidRPr="003B665A" w:rsidRDefault="007031A2" w:rsidP="00206C15">
            <w:pPr>
              <w:jc w:val="center"/>
              <w:rPr>
                <w:sz w:val="22"/>
              </w:rPr>
            </w:pPr>
            <w:r w:rsidRPr="003B665A">
              <w:rPr>
                <w:sz w:val="22"/>
              </w:rPr>
              <w:t>Mid Dose (Group 3)</w:t>
            </w:r>
          </w:p>
        </w:tc>
        <w:tc>
          <w:tcPr>
            <w:tcW w:w="2672" w:type="dxa"/>
            <w:gridSpan w:val="2"/>
            <w:shd w:val="clear" w:color="auto" w:fill="auto"/>
          </w:tcPr>
          <w:p w:rsidR="007031A2" w:rsidRPr="003B665A" w:rsidRDefault="007031A2" w:rsidP="00206C15">
            <w:pPr>
              <w:jc w:val="center"/>
              <w:rPr>
                <w:sz w:val="22"/>
              </w:rPr>
            </w:pPr>
            <w:r w:rsidRPr="003B665A">
              <w:rPr>
                <w:sz w:val="22"/>
              </w:rPr>
              <w:t>High Dose (Group 4)</w:t>
            </w:r>
          </w:p>
        </w:tc>
      </w:tr>
      <w:tr w:rsidR="007031A2" w:rsidRPr="003B665A" w:rsidTr="00206C15">
        <w:tc>
          <w:tcPr>
            <w:tcW w:w="1335" w:type="dxa"/>
            <w:shd w:val="clear" w:color="auto" w:fill="auto"/>
          </w:tcPr>
          <w:p w:rsidR="007031A2" w:rsidRPr="003B665A" w:rsidRDefault="007031A2" w:rsidP="00206C15">
            <w:pPr>
              <w:jc w:val="center"/>
              <w:rPr>
                <w:sz w:val="22"/>
              </w:rPr>
            </w:pPr>
            <w:r w:rsidRPr="003B665A">
              <w:rPr>
                <w:sz w:val="22"/>
              </w:rPr>
              <w:t>Dosing Occasion</w:t>
            </w:r>
          </w:p>
        </w:tc>
        <w:tc>
          <w:tcPr>
            <w:tcW w:w="1335" w:type="dxa"/>
            <w:shd w:val="clear" w:color="auto" w:fill="auto"/>
          </w:tcPr>
          <w:p w:rsidR="007031A2" w:rsidRPr="003B665A" w:rsidRDefault="007031A2" w:rsidP="00206C15">
            <w:pPr>
              <w:jc w:val="center"/>
              <w:rPr>
                <w:sz w:val="22"/>
              </w:rPr>
            </w:pPr>
            <w:r w:rsidRPr="003B665A">
              <w:rPr>
                <w:sz w:val="22"/>
              </w:rPr>
              <w:t>Intended (mg/kg)</w:t>
            </w:r>
          </w:p>
        </w:tc>
        <w:tc>
          <w:tcPr>
            <w:tcW w:w="1336" w:type="dxa"/>
            <w:shd w:val="clear" w:color="auto" w:fill="auto"/>
          </w:tcPr>
          <w:p w:rsidR="007031A2" w:rsidRPr="003B665A" w:rsidRDefault="007031A2" w:rsidP="00206C15">
            <w:pPr>
              <w:jc w:val="center"/>
              <w:rPr>
                <w:sz w:val="22"/>
              </w:rPr>
            </w:pPr>
            <w:proofErr w:type="spellStart"/>
            <w:r w:rsidRPr="003B665A">
              <w:rPr>
                <w:sz w:val="22"/>
              </w:rPr>
              <w:t>Actual</w:t>
            </w:r>
            <w:r w:rsidRPr="003B665A">
              <w:rPr>
                <w:sz w:val="22"/>
                <w:vertAlign w:val="superscript"/>
              </w:rPr>
              <w:t>a</w:t>
            </w:r>
            <w:proofErr w:type="spellEnd"/>
            <w:r w:rsidRPr="003B665A">
              <w:rPr>
                <w:sz w:val="22"/>
              </w:rPr>
              <w:t xml:space="preserve"> (mg/kg)</w:t>
            </w:r>
          </w:p>
        </w:tc>
        <w:tc>
          <w:tcPr>
            <w:tcW w:w="1336" w:type="dxa"/>
            <w:shd w:val="clear" w:color="auto" w:fill="auto"/>
          </w:tcPr>
          <w:p w:rsidR="007031A2" w:rsidRPr="003B665A" w:rsidRDefault="007031A2" w:rsidP="00206C15">
            <w:pPr>
              <w:jc w:val="center"/>
              <w:rPr>
                <w:sz w:val="22"/>
              </w:rPr>
            </w:pPr>
            <w:r w:rsidRPr="003B665A">
              <w:rPr>
                <w:sz w:val="22"/>
              </w:rPr>
              <w:t>Intended (mg/kg)</w:t>
            </w:r>
          </w:p>
        </w:tc>
        <w:tc>
          <w:tcPr>
            <w:tcW w:w="1336" w:type="dxa"/>
            <w:shd w:val="clear" w:color="auto" w:fill="auto"/>
          </w:tcPr>
          <w:p w:rsidR="007031A2" w:rsidRPr="003B665A" w:rsidRDefault="007031A2" w:rsidP="00206C15">
            <w:pPr>
              <w:jc w:val="center"/>
              <w:rPr>
                <w:sz w:val="22"/>
              </w:rPr>
            </w:pPr>
            <w:r w:rsidRPr="003B665A">
              <w:rPr>
                <w:sz w:val="22"/>
              </w:rPr>
              <w:t>Actual (mg/kg)</w:t>
            </w:r>
          </w:p>
        </w:tc>
        <w:tc>
          <w:tcPr>
            <w:tcW w:w="1336" w:type="dxa"/>
            <w:shd w:val="clear" w:color="auto" w:fill="auto"/>
          </w:tcPr>
          <w:p w:rsidR="007031A2" w:rsidRPr="003B665A" w:rsidRDefault="007031A2" w:rsidP="00206C15">
            <w:pPr>
              <w:jc w:val="center"/>
              <w:rPr>
                <w:sz w:val="22"/>
              </w:rPr>
            </w:pPr>
            <w:r w:rsidRPr="003B665A">
              <w:rPr>
                <w:sz w:val="22"/>
              </w:rPr>
              <w:t>Intended (mg/kg)</w:t>
            </w:r>
          </w:p>
        </w:tc>
        <w:tc>
          <w:tcPr>
            <w:tcW w:w="1336" w:type="dxa"/>
            <w:shd w:val="clear" w:color="auto" w:fill="auto"/>
          </w:tcPr>
          <w:p w:rsidR="007031A2" w:rsidRPr="003B665A" w:rsidRDefault="007031A2" w:rsidP="00206C15">
            <w:pPr>
              <w:jc w:val="center"/>
              <w:rPr>
                <w:sz w:val="22"/>
              </w:rPr>
            </w:pPr>
            <w:r w:rsidRPr="003B665A">
              <w:rPr>
                <w:sz w:val="22"/>
              </w:rPr>
              <w:t>Actual (mg/kg)</w:t>
            </w:r>
          </w:p>
        </w:tc>
      </w:tr>
      <w:tr w:rsidR="007031A2" w:rsidRPr="003B665A" w:rsidTr="00206C15">
        <w:tc>
          <w:tcPr>
            <w:tcW w:w="1335" w:type="dxa"/>
            <w:shd w:val="clear" w:color="auto" w:fill="auto"/>
          </w:tcPr>
          <w:p w:rsidR="007031A2" w:rsidRPr="003B665A" w:rsidRDefault="007031A2" w:rsidP="00206C15">
            <w:pPr>
              <w:jc w:val="center"/>
              <w:rPr>
                <w:sz w:val="22"/>
              </w:rPr>
            </w:pPr>
            <w:r w:rsidRPr="003B665A">
              <w:rPr>
                <w:sz w:val="22"/>
              </w:rPr>
              <w:t>Day 1</w:t>
            </w:r>
          </w:p>
        </w:tc>
        <w:tc>
          <w:tcPr>
            <w:tcW w:w="1335" w:type="dxa"/>
            <w:shd w:val="clear" w:color="auto" w:fill="auto"/>
          </w:tcPr>
          <w:p w:rsidR="007031A2" w:rsidRPr="003B665A" w:rsidRDefault="007031A2" w:rsidP="00206C15">
            <w:pPr>
              <w:jc w:val="center"/>
              <w:rPr>
                <w:sz w:val="22"/>
              </w:rPr>
            </w:pPr>
            <w:r w:rsidRPr="003B665A">
              <w:rPr>
                <w:sz w:val="22"/>
              </w:rPr>
              <w:t>50</w:t>
            </w:r>
          </w:p>
        </w:tc>
        <w:tc>
          <w:tcPr>
            <w:tcW w:w="1336" w:type="dxa"/>
            <w:shd w:val="clear" w:color="auto" w:fill="auto"/>
          </w:tcPr>
          <w:p w:rsidR="007031A2" w:rsidRPr="003B665A" w:rsidRDefault="007031A2" w:rsidP="00206C15">
            <w:pPr>
              <w:jc w:val="center"/>
              <w:rPr>
                <w:sz w:val="22"/>
                <w:vertAlign w:val="superscript"/>
              </w:rPr>
            </w:pPr>
            <w:r w:rsidRPr="003B665A">
              <w:rPr>
                <w:sz w:val="22"/>
              </w:rPr>
              <w:t>102</w:t>
            </w:r>
            <w:r w:rsidRPr="003B665A">
              <w:rPr>
                <w:sz w:val="22"/>
                <w:vertAlign w:val="superscript"/>
              </w:rPr>
              <w:t>b</w:t>
            </w:r>
          </w:p>
        </w:tc>
        <w:tc>
          <w:tcPr>
            <w:tcW w:w="1336" w:type="dxa"/>
            <w:shd w:val="clear" w:color="auto" w:fill="auto"/>
          </w:tcPr>
          <w:p w:rsidR="007031A2" w:rsidRPr="003B665A" w:rsidRDefault="007031A2" w:rsidP="00206C15">
            <w:pPr>
              <w:jc w:val="center"/>
              <w:rPr>
                <w:sz w:val="22"/>
              </w:rPr>
            </w:pPr>
            <w:r w:rsidRPr="003B665A">
              <w:rPr>
                <w:sz w:val="22"/>
              </w:rPr>
              <w:t>100</w:t>
            </w:r>
          </w:p>
        </w:tc>
        <w:tc>
          <w:tcPr>
            <w:tcW w:w="1336" w:type="dxa"/>
            <w:shd w:val="clear" w:color="auto" w:fill="auto"/>
          </w:tcPr>
          <w:p w:rsidR="007031A2" w:rsidRPr="003B665A" w:rsidRDefault="007031A2" w:rsidP="00206C15">
            <w:pPr>
              <w:jc w:val="center"/>
              <w:rPr>
                <w:sz w:val="22"/>
              </w:rPr>
            </w:pPr>
            <w:r w:rsidRPr="003B665A">
              <w:rPr>
                <w:sz w:val="22"/>
              </w:rPr>
              <w:t>165</w:t>
            </w:r>
          </w:p>
        </w:tc>
        <w:tc>
          <w:tcPr>
            <w:tcW w:w="1336" w:type="dxa"/>
            <w:shd w:val="clear" w:color="auto" w:fill="auto"/>
          </w:tcPr>
          <w:p w:rsidR="007031A2" w:rsidRPr="003B665A" w:rsidRDefault="007031A2" w:rsidP="00206C15">
            <w:pPr>
              <w:jc w:val="center"/>
              <w:rPr>
                <w:sz w:val="22"/>
              </w:rPr>
            </w:pPr>
            <w:r w:rsidRPr="003B665A">
              <w:rPr>
                <w:sz w:val="22"/>
              </w:rPr>
              <w:t>200</w:t>
            </w:r>
          </w:p>
        </w:tc>
        <w:tc>
          <w:tcPr>
            <w:tcW w:w="1336" w:type="dxa"/>
            <w:shd w:val="clear" w:color="auto" w:fill="auto"/>
          </w:tcPr>
          <w:p w:rsidR="007031A2" w:rsidRPr="003B665A" w:rsidRDefault="007031A2" w:rsidP="00206C15">
            <w:pPr>
              <w:jc w:val="center"/>
              <w:rPr>
                <w:sz w:val="22"/>
              </w:rPr>
            </w:pPr>
            <w:r w:rsidRPr="003B665A">
              <w:rPr>
                <w:sz w:val="22"/>
              </w:rPr>
              <w:t>147</w:t>
            </w:r>
          </w:p>
        </w:tc>
      </w:tr>
      <w:tr w:rsidR="007031A2" w:rsidRPr="003B665A" w:rsidTr="00206C15">
        <w:tc>
          <w:tcPr>
            <w:tcW w:w="1335" w:type="dxa"/>
            <w:shd w:val="clear" w:color="auto" w:fill="auto"/>
          </w:tcPr>
          <w:p w:rsidR="007031A2" w:rsidRPr="003B665A" w:rsidRDefault="007031A2" w:rsidP="00206C15">
            <w:pPr>
              <w:jc w:val="center"/>
              <w:rPr>
                <w:sz w:val="22"/>
              </w:rPr>
            </w:pPr>
            <w:r w:rsidRPr="003B665A">
              <w:rPr>
                <w:sz w:val="22"/>
              </w:rPr>
              <w:lastRenderedPageBreak/>
              <w:t>Day 15</w:t>
            </w:r>
          </w:p>
        </w:tc>
        <w:tc>
          <w:tcPr>
            <w:tcW w:w="1335" w:type="dxa"/>
            <w:shd w:val="clear" w:color="auto" w:fill="auto"/>
          </w:tcPr>
          <w:p w:rsidR="007031A2" w:rsidRPr="003B665A" w:rsidRDefault="007031A2" w:rsidP="00206C15">
            <w:pPr>
              <w:jc w:val="center"/>
              <w:rPr>
                <w:sz w:val="22"/>
              </w:rPr>
            </w:pPr>
            <w:r w:rsidRPr="003B665A">
              <w:rPr>
                <w:sz w:val="22"/>
              </w:rPr>
              <w:t>50</w:t>
            </w:r>
          </w:p>
        </w:tc>
        <w:tc>
          <w:tcPr>
            <w:tcW w:w="1336" w:type="dxa"/>
            <w:shd w:val="clear" w:color="auto" w:fill="auto"/>
          </w:tcPr>
          <w:p w:rsidR="007031A2" w:rsidRPr="003B665A" w:rsidRDefault="007031A2" w:rsidP="00206C15">
            <w:pPr>
              <w:jc w:val="center"/>
              <w:rPr>
                <w:sz w:val="22"/>
              </w:rPr>
            </w:pPr>
            <w:r w:rsidRPr="003B665A">
              <w:rPr>
                <w:sz w:val="22"/>
              </w:rPr>
              <w:t>105</w:t>
            </w:r>
          </w:p>
        </w:tc>
        <w:tc>
          <w:tcPr>
            <w:tcW w:w="1336" w:type="dxa"/>
            <w:shd w:val="clear" w:color="auto" w:fill="auto"/>
          </w:tcPr>
          <w:p w:rsidR="007031A2" w:rsidRPr="003B665A" w:rsidRDefault="007031A2" w:rsidP="00206C15">
            <w:pPr>
              <w:jc w:val="center"/>
              <w:rPr>
                <w:sz w:val="22"/>
              </w:rPr>
            </w:pPr>
            <w:r w:rsidRPr="003B665A">
              <w:rPr>
                <w:sz w:val="22"/>
              </w:rPr>
              <w:t>100</w:t>
            </w:r>
          </w:p>
        </w:tc>
        <w:tc>
          <w:tcPr>
            <w:tcW w:w="1336" w:type="dxa"/>
            <w:shd w:val="clear" w:color="auto" w:fill="auto"/>
          </w:tcPr>
          <w:p w:rsidR="007031A2" w:rsidRPr="003B665A" w:rsidRDefault="007031A2" w:rsidP="00206C15">
            <w:pPr>
              <w:jc w:val="center"/>
              <w:rPr>
                <w:sz w:val="22"/>
              </w:rPr>
            </w:pPr>
            <w:r w:rsidRPr="003B665A">
              <w:rPr>
                <w:sz w:val="22"/>
              </w:rPr>
              <w:t>178</w:t>
            </w:r>
          </w:p>
        </w:tc>
        <w:tc>
          <w:tcPr>
            <w:tcW w:w="1336" w:type="dxa"/>
            <w:shd w:val="clear" w:color="auto" w:fill="auto"/>
          </w:tcPr>
          <w:p w:rsidR="007031A2" w:rsidRPr="003B665A" w:rsidRDefault="007031A2" w:rsidP="00206C15">
            <w:pPr>
              <w:jc w:val="center"/>
              <w:rPr>
                <w:sz w:val="22"/>
              </w:rPr>
            </w:pPr>
            <w:r w:rsidRPr="003B665A">
              <w:rPr>
                <w:sz w:val="22"/>
              </w:rPr>
              <w:t>200</w:t>
            </w:r>
          </w:p>
        </w:tc>
        <w:tc>
          <w:tcPr>
            <w:tcW w:w="1336" w:type="dxa"/>
            <w:shd w:val="clear" w:color="auto" w:fill="auto"/>
          </w:tcPr>
          <w:p w:rsidR="007031A2" w:rsidRPr="003B665A" w:rsidRDefault="007031A2" w:rsidP="00206C15">
            <w:pPr>
              <w:jc w:val="center"/>
              <w:rPr>
                <w:sz w:val="22"/>
              </w:rPr>
            </w:pPr>
            <w:r w:rsidRPr="003B665A">
              <w:rPr>
                <w:sz w:val="22"/>
              </w:rPr>
              <w:t>145</w:t>
            </w:r>
          </w:p>
        </w:tc>
      </w:tr>
    </w:tbl>
    <w:p w:rsidR="007031A2" w:rsidRPr="00057F4A" w:rsidRDefault="007031A2" w:rsidP="007031A2">
      <w:pPr>
        <w:rPr>
          <w:sz w:val="20"/>
        </w:rPr>
      </w:pPr>
      <w:r w:rsidRPr="000F193A">
        <w:rPr>
          <w:sz w:val="20"/>
          <w:vertAlign w:val="superscript"/>
        </w:rPr>
        <w:t xml:space="preserve">a   </w:t>
      </w:r>
      <w:r>
        <w:rPr>
          <w:sz w:val="20"/>
        </w:rPr>
        <w:t>B</w:t>
      </w:r>
      <w:r w:rsidRPr="000F193A">
        <w:rPr>
          <w:sz w:val="20"/>
        </w:rPr>
        <w:t>ased on Lonza Statement of Testing (</w:t>
      </w:r>
      <w:proofErr w:type="spellStart"/>
      <w:r w:rsidRPr="000F193A">
        <w:rPr>
          <w:sz w:val="20"/>
        </w:rPr>
        <w:t>ver</w:t>
      </w:r>
      <w:proofErr w:type="spellEnd"/>
      <w:r w:rsidRPr="000F193A">
        <w:rPr>
          <w:sz w:val="20"/>
        </w:rPr>
        <w:t xml:space="preserve"> 1.0) 29 Jun 2018</w:t>
      </w:r>
      <w:r>
        <w:rPr>
          <w:sz w:val="20"/>
        </w:rPr>
        <w:t xml:space="preserve">; </w:t>
      </w:r>
      <w:r>
        <w:rPr>
          <w:sz w:val="20"/>
          <w:vertAlign w:val="superscript"/>
        </w:rPr>
        <w:t>b</w:t>
      </w:r>
      <w:r>
        <w:rPr>
          <w:sz w:val="20"/>
        </w:rPr>
        <w:t xml:space="preserve">  Includes allowance for infusion inadvertently including the dead space volume.</w:t>
      </w:r>
    </w:p>
    <w:p w:rsidR="007031A2" w:rsidRDefault="007031A2" w:rsidP="007031A2">
      <w:pPr>
        <w:pStyle w:val="a7"/>
      </w:pPr>
    </w:p>
    <w:p w:rsidR="007031A2" w:rsidRPr="00A51218" w:rsidRDefault="007031A2" w:rsidP="007031A2">
      <w:pPr>
        <w:pStyle w:val="a7"/>
      </w:pPr>
      <w:r>
        <w:t>Day 8 and Day 22 dose formulations for Set A met acceptance criteria.</w:t>
      </w:r>
    </w:p>
    <w:p w:rsidR="007031A2" w:rsidRPr="00FD5C81" w:rsidRDefault="007031A2" w:rsidP="007031A2">
      <w:pPr>
        <w:pStyle w:val="a7"/>
        <w:spacing w:before="120"/>
      </w:pPr>
      <w:bookmarkStart w:id="1" w:name="_Hlk512171540"/>
      <w:r w:rsidRPr="00BA6514">
        <w:t xml:space="preserve">After the first dose, </w:t>
      </w:r>
      <w:r w:rsidR="00E37E0B">
        <w:t>PROJECT 11</w:t>
      </w:r>
      <w:r w:rsidRPr="00BA6514">
        <w:t xml:space="preserve"> demonstrated a serum half-life of 1 to 2 days</w:t>
      </w:r>
      <w:r>
        <w:t xml:space="preserve">.  The increase in systemic exposure on Day 1 was approximately dose proportional and systemic exposure to </w:t>
      </w:r>
      <w:r w:rsidR="00E37E0B">
        <w:t>PROJECT 11</w:t>
      </w:r>
      <w:r>
        <w:t xml:space="preserve"> was similar between males and females.  </w:t>
      </w:r>
      <w:r w:rsidRPr="00BA6514">
        <w:t xml:space="preserve">On Day 22, males received dose levels of </w:t>
      </w:r>
      <w:r w:rsidR="00E37E0B">
        <w:t>PROJECT 11</w:t>
      </w:r>
      <w:r w:rsidRPr="00BA6514">
        <w:t xml:space="preserve"> that were 50% or more below the </w:t>
      </w:r>
      <w:r>
        <w:t>intended</w:t>
      </w:r>
      <w:r w:rsidRPr="00BA6514">
        <w:t xml:space="preserve"> dose level; therefore, comparisons of Day 22 versus Day 1 serum levels were not possible and further complicated by the presence of ADA.  All females on Day 22 received their full dose (except #3603), which allowed comparisons of Day 22 versus Day 1 serum </w:t>
      </w:r>
      <w:r w:rsidR="00E37E0B">
        <w:t>PROJECT 11</w:t>
      </w:r>
      <w:r>
        <w:t xml:space="preserve"> levels</w:t>
      </w:r>
      <w:r w:rsidRPr="00BA6514">
        <w:t xml:space="preserve">.  </w:t>
      </w:r>
      <w:r>
        <w:t>In female animals</w:t>
      </w:r>
      <w:r w:rsidRPr="00BA6514">
        <w:t xml:space="preserve"> with either </w:t>
      </w:r>
      <w:r>
        <w:t xml:space="preserve">no or a </w:t>
      </w:r>
      <w:r w:rsidRPr="00BA6514">
        <w:t xml:space="preserve">low ADA </w:t>
      </w:r>
      <w:r>
        <w:t>response</w:t>
      </w:r>
      <w:r w:rsidRPr="00BA6514">
        <w:t xml:space="preserve">, </w:t>
      </w:r>
      <w:r w:rsidR="00E37E0B">
        <w:t>PROJECT 11</w:t>
      </w:r>
      <w:r w:rsidRPr="00BA6514">
        <w:t xml:space="preserve"> AUC</w:t>
      </w:r>
      <w:r w:rsidRPr="00BA6514">
        <w:rPr>
          <w:vertAlign w:val="subscript"/>
        </w:rPr>
        <w:t>0-tau</w:t>
      </w:r>
      <w:r w:rsidRPr="00BA6514">
        <w:t xml:space="preserve"> and </w:t>
      </w:r>
      <w:proofErr w:type="spellStart"/>
      <w:r w:rsidRPr="00BA6514">
        <w:t>C</w:t>
      </w:r>
      <w:r w:rsidRPr="00BA6514">
        <w:rPr>
          <w:vertAlign w:val="subscript"/>
        </w:rPr>
        <w:t>max</w:t>
      </w:r>
      <w:proofErr w:type="spellEnd"/>
      <w:r w:rsidRPr="00BA6514">
        <w:t xml:space="preserve"> levels on Day 22 were either at or near Day 1 values</w:t>
      </w:r>
      <w:r w:rsidRPr="00BA6514">
        <w:rPr>
          <w:b/>
        </w:rPr>
        <w:t>.</w:t>
      </w:r>
      <w:r>
        <w:rPr>
          <w:b/>
        </w:rPr>
        <w:t xml:space="preserve">  </w:t>
      </w:r>
      <w:r>
        <w:t>Overall, the notable decrease in exposure observed among ADA positive animals after repeated dosing correlated with the highest ADA response.</w:t>
      </w:r>
    </w:p>
    <w:p w:rsidR="007031A2" w:rsidRDefault="007031A2" w:rsidP="007031A2">
      <w:pPr>
        <w:spacing w:after="120"/>
        <w:rPr>
          <w:lang w:eastAsia="x-none"/>
        </w:rPr>
      </w:pPr>
      <w:r w:rsidRPr="006F29F2">
        <w:rPr>
          <w:lang w:val="x-none" w:eastAsia="x-none"/>
        </w:rPr>
        <w:t>Infusion reaction</w:t>
      </w:r>
      <w:r>
        <w:rPr>
          <w:lang w:eastAsia="x-none"/>
        </w:rPr>
        <w:t xml:space="preserve">s </w:t>
      </w:r>
      <w:r w:rsidRPr="006F29F2">
        <w:rPr>
          <w:lang w:val="x-none" w:eastAsia="x-none"/>
        </w:rPr>
        <w:t xml:space="preserve">occurred in </w:t>
      </w:r>
      <w:r w:rsidRPr="006F29F2">
        <w:rPr>
          <w:lang w:eastAsia="x-none"/>
        </w:rPr>
        <w:t xml:space="preserve">5 animals (4 males, 1 female) during the fourth dose </w:t>
      </w:r>
      <w:r w:rsidRPr="006F29F2">
        <w:rPr>
          <w:lang w:val="x-none" w:eastAsia="x-none"/>
        </w:rPr>
        <w:t xml:space="preserve">on Day 22 </w:t>
      </w:r>
      <w:r>
        <w:rPr>
          <w:lang w:eastAsia="x-none"/>
        </w:rPr>
        <w:t xml:space="preserve">within </w:t>
      </w:r>
      <w:r w:rsidRPr="006F29F2">
        <w:rPr>
          <w:lang w:val="x-none" w:eastAsia="x-none"/>
        </w:rPr>
        <w:t xml:space="preserve">approximately </w:t>
      </w:r>
      <w:r>
        <w:rPr>
          <w:lang w:eastAsia="x-none"/>
        </w:rPr>
        <w:t>15</w:t>
      </w:r>
      <w:r w:rsidRPr="006F29F2">
        <w:rPr>
          <w:lang w:val="x-none" w:eastAsia="x-none"/>
        </w:rPr>
        <w:t xml:space="preserve"> min</w:t>
      </w:r>
      <w:r w:rsidRPr="006F29F2">
        <w:rPr>
          <w:lang w:eastAsia="x-none"/>
        </w:rPr>
        <w:t>utes</w:t>
      </w:r>
      <w:r>
        <w:rPr>
          <w:lang w:eastAsia="x-none"/>
        </w:rPr>
        <w:t xml:space="preserve"> post start of </w:t>
      </w:r>
      <w:r w:rsidRPr="006F29F2">
        <w:rPr>
          <w:lang w:val="x-none" w:eastAsia="x-none"/>
        </w:rPr>
        <w:t>infusion</w:t>
      </w:r>
      <w:r>
        <w:rPr>
          <w:lang w:eastAsia="x-none"/>
        </w:rPr>
        <w:t xml:space="preserve"> but </w:t>
      </w:r>
      <w:r w:rsidRPr="006F29F2">
        <w:rPr>
          <w:lang w:val="x-none" w:eastAsia="x-none"/>
        </w:rPr>
        <w:t>were not observed on dosing Days</w:t>
      </w:r>
      <w:r>
        <w:rPr>
          <w:lang w:eastAsia="x-none"/>
        </w:rPr>
        <w:t> </w:t>
      </w:r>
      <w:r w:rsidRPr="006F29F2">
        <w:rPr>
          <w:lang w:val="x-none" w:eastAsia="x-none"/>
        </w:rPr>
        <w:t xml:space="preserve">1, </w:t>
      </w:r>
      <w:r>
        <w:rPr>
          <w:lang w:eastAsia="x-none"/>
        </w:rPr>
        <w:t>8</w:t>
      </w:r>
      <w:r w:rsidRPr="006F29F2">
        <w:rPr>
          <w:lang w:val="x-none" w:eastAsia="x-none"/>
        </w:rPr>
        <w:t>, or 1</w:t>
      </w:r>
      <w:r>
        <w:rPr>
          <w:lang w:eastAsia="x-none"/>
        </w:rPr>
        <w:t>5</w:t>
      </w:r>
      <w:r w:rsidRPr="006F29F2">
        <w:rPr>
          <w:lang w:val="x-none" w:eastAsia="x-none"/>
        </w:rPr>
        <w:t xml:space="preserve">.  The infusion reactions were not dose related (i.e., seen in at least one animal in each </w:t>
      </w:r>
      <w:r w:rsidR="00E37E0B">
        <w:rPr>
          <w:lang w:val="x-none" w:eastAsia="x-none"/>
        </w:rPr>
        <w:t>PROJECT 11</w:t>
      </w:r>
      <w:r w:rsidRPr="006F29F2">
        <w:rPr>
          <w:lang w:val="x-none" w:eastAsia="x-none"/>
        </w:rPr>
        <w:t xml:space="preserve"> dose group) and </w:t>
      </w:r>
      <w:r>
        <w:rPr>
          <w:lang w:eastAsia="x-none"/>
        </w:rPr>
        <w:t xml:space="preserve">were </w:t>
      </w:r>
      <w:r w:rsidRPr="006F29F2">
        <w:rPr>
          <w:lang w:val="x-none" w:eastAsia="x-none"/>
        </w:rPr>
        <w:t xml:space="preserve">characterized </w:t>
      </w:r>
      <w:r>
        <w:rPr>
          <w:lang w:eastAsia="x-none"/>
        </w:rPr>
        <w:t xml:space="preserve">during the infusion </w:t>
      </w:r>
      <w:r w:rsidRPr="006F29F2">
        <w:rPr>
          <w:lang w:val="x-none" w:eastAsia="x-none"/>
        </w:rPr>
        <w:t xml:space="preserve">by loss of consciousness, pale skin, shallow or labored breathing, decreased heart rate, and/or decreased activity.  </w:t>
      </w:r>
      <w:r>
        <w:rPr>
          <w:lang w:eastAsia="x-none"/>
        </w:rPr>
        <w:t xml:space="preserve">The </w:t>
      </w:r>
      <w:proofErr w:type="spellStart"/>
      <w:r>
        <w:rPr>
          <w:lang w:eastAsia="x-none"/>
        </w:rPr>
        <w:t>i</w:t>
      </w:r>
      <w:r w:rsidRPr="006F29F2">
        <w:rPr>
          <w:lang w:val="x-none" w:eastAsia="x-none"/>
        </w:rPr>
        <w:t>nfusion</w:t>
      </w:r>
      <w:proofErr w:type="spellEnd"/>
      <w:r w:rsidRPr="006F29F2">
        <w:rPr>
          <w:lang w:val="x-none" w:eastAsia="x-none"/>
        </w:rPr>
        <w:t xml:space="preserve"> reactions led to mortality in </w:t>
      </w:r>
      <w:r w:rsidRPr="006F29F2">
        <w:rPr>
          <w:lang w:eastAsia="x-none"/>
        </w:rPr>
        <w:t>a</w:t>
      </w:r>
      <w:r w:rsidRPr="006F29F2">
        <w:rPr>
          <w:lang w:val="x-none" w:eastAsia="x-none"/>
        </w:rPr>
        <w:t xml:space="preserve"> low-dose male (</w:t>
      </w:r>
      <w:r w:rsidRPr="006F29F2">
        <w:rPr>
          <w:lang w:eastAsia="x-none"/>
        </w:rPr>
        <w:t xml:space="preserve">Animal </w:t>
      </w:r>
      <w:r w:rsidRPr="006F29F2">
        <w:rPr>
          <w:lang w:val="x-none" w:eastAsia="x-none"/>
        </w:rPr>
        <w:t>#2001) within 5 min</w:t>
      </w:r>
      <w:r>
        <w:rPr>
          <w:lang w:eastAsia="x-none"/>
        </w:rPr>
        <w:t>utes</w:t>
      </w:r>
      <w:r w:rsidRPr="006F29F2">
        <w:rPr>
          <w:lang w:val="x-none" w:eastAsia="x-none"/>
        </w:rPr>
        <w:t xml:space="preserve"> </w:t>
      </w:r>
      <w:r>
        <w:rPr>
          <w:lang w:eastAsia="x-none"/>
        </w:rPr>
        <w:t xml:space="preserve">of </w:t>
      </w:r>
      <w:r w:rsidRPr="006F29F2">
        <w:rPr>
          <w:lang w:val="x-none" w:eastAsia="x-none"/>
        </w:rPr>
        <w:t>dose termination (delivered dose was 10</w:t>
      </w:r>
      <w:r w:rsidRPr="006F29F2">
        <w:rPr>
          <w:lang w:eastAsia="x-none"/>
        </w:rPr>
        <w:t> </w:t>
      </w:r>
      <w:r w:rsidRPr="006F29F2">
        <w:rPr>
          <w:lang w:val="x-none" w:eastAsia="x-none"/>
        </w:rPr>
        <w:t>mg/kg) and</w:t>
      </w:r>
      <w:r>
        <w:rPr>
          <w:lang w:eastAsia="x-none"/>
        </w:rPr>
        <w:t xml:space="preserve"> to </w:t>
      </w:r>
      <w:r w:rsidRPr="006F29F2">
        <w:rPr>
          <w:lang w:val="x-none" w:eastAsia="x-none"/>
        </w:rPr>
        <w:t>euthanasia of a moribund high-dose male (</w:t>
      </w:r>
      <w:r w:rsidRPr="006F29F2">
        <w:rPr>
          <w:lang w:eastAsia="x-none"/>
        </w:rPr>
        <w:t xml:space="preserve">Animal </w:t>
      </w:r>
      <w:r w:rsidRPr="006F29F2">
        <w:rPr>
          <w:lang w:val="x-none" w:eastAsia="x-none"/>
        </w:rPr>
        <w:t>#4004) within 40</w:t>
      </w:r>
      <w:r w:rsidRPr="006F29F2">
        <w:rPr>
          <w:lang w:eastAsia="x-none"/>
        </w:rPr>
        <w:t> </w:t>
      </w:r>
      <w:r w:rsidRPr="006F29F2">
        <w:rPr>
          <w:lang w:val="x-none" w:eastAsia="x-none"/>
        </w:rPr>
        <w:t>min</w:t>
      </w:r>
      <w:r w:rsidRPr="006F29F2">
        <w:rPr>
          <w:lang w:eastAsia="x-none"/>
        </w:rPr>
        <w:t>utes</w:t>
      </w:r>
      <w:r w:rsidRPr="006F29F2">
        <w:rPr>
          <w:lang w:val="x-none" w:eastAsia="x-none"/>
        </w:rPr>
        <w:t xml:space="preserve"> of dose termination (delivered dose was 23 mg/kg); no significant gross or microscopic changes were observed in </w:t>
      </w:r>
      <w:r>
        <w:rPr>
          <w:lang w:eastAsia="x-none"/>
        </w:rPr>
        <w:t xml:space="preserve">either </w:t>
      </w:r>
      <w:r w:rsidRPr="006F29F2">
        <w:rPr>
          <w:lang w:val="x-none" w:eastAsia="x-none"/>
        </w:rPr>
        <w:t xml:space="preserve">animal.  Since </w:t>
      </w:r>
      <w:r w:rsidRPr="006F29F2">
        <w:rPr>
          <w:lang w:eastAsia="x-none"/>
        </w:rPr>
        <w:t xml:space="preserve">severe </w:t>
      </w:r>
      <w:r w:rsidRPr="006F29F2">
        <w:rPr>
          <w:lang w:val="x-none" w:eastAsia="x-none"/>
        </w:rPr>
        <w:t xml:space="preserve">infusion reactions occurred during </w:t>
      </w:r>
      <w:r>
        <w:rPr>
          <w:lang w:eastAsia="x-none"/>
        </w:rPr>
        <w:t>intravenous infusion</w:t>
      </w:r>
      <w:r w:rsidRPr="006F29F2">
        <w:rPr>
          <w:lang w:val="x-none" w:eastAsia="x-none"/>
        </w:rPr>
        <w:t>, dosing was halted</w:t>
      </w:r>
      <w:r>
        <w:rPr>
          <w:lang w:eastAsia="x-none"/>
        </w:rPr>
        <w:t xml:space="preserve"> </w:t>
      </w:r>
      <w:r w:rsidRPr="006F29F2">
        <w:rPr>
          <w:lang w:val="x-none" w:eastAsia="x-none"/>
        </w:rPr>
        <w:t xml:space="preserve">for all males </w:t>
      </w:r>
      <w:r w:rsidRPr="006F29F2">
        <w:rPr>
          <w:lang w:eastAsia="x-none"/>
        </w:rPr>
        <w:t xml:space="preserve">(Set A) </w:t>
      </w:r>
      <w:r w:rsidRPr="006F29F2">
        <w:rPr>
          <w:lang w:val="x-none" w:eastAsia="x-none"/>
        </w:rPr>
        <w:t>on Day 22</w:t>
      </w:r>
      <w:r>
        <w:rPr>
          <w:lang w:eastAsia="x-none"/>
        </w:rPr>
        <w:t xml:space="preserve">.  The remaining </w:t>
      </w:r>
      <w:r w:rsidRPr="006F29F2">
        <w:rPr>
          <w:lang w:val="x-none" w:eastAsia="x-none"/>
        </w:rPr>
        <w:t xml:space="preserve">males </w:t>
      </w:r>
      <w:r>
        <w:rPr>
          <w:lang w:eastAsia="x-none"/>
        </w:rPr>
        <w:t xml:space="preserve">displayed </w:t>
      </w:r>
      <w:r w:rsidRPr="006F29F2">
        <w:rPr>
          <w:lang w:val="x-none" w:eastAsia="x-none"/>
        </w:rPr>
        <w:t xml:space="preserve">no </w:t>
      </w:r>
      <w:r>
        <w:rPr>
          <w:lang w:eastAsia="x-none"/>
        </w:rPr>
        <w:t xml:space="preserve">signs of </w:t>
      </w:r>
      <w:r w:rsidRPr="006F29F2">
        <w:rPr>
          <w:lang w:val="x-none" w:eastAsia="x-none"/>
        </w:rPr>
        <w:t xml:space="preserve">infusion reactions </w:t>
      </w:r>
      <w:r>
        <w:rPr>
          <w:lang w:eastAsia="x-none"/>
        </w:rPr>
        <w:t xml:space="preserve">after </w:t>
      </w:r>
      <w:r w:rsidRPr="006F29F2">
        <w:rPr>
          <w:lang w:val="x-none" w:eastAsia="x-none"/>
        </w:rPr>
        <w:t>receiv</w:t>
      </w:r>
      <w:r w:rsidRPr="006F29F2">
        <w:rPr>
          <w:lang w:eastAsia="x-none"/>
        </w:rPr>
        <w:t>ing only</w:t>
      </w:r>
      <w:r>
        <w:rPr>
          <w:lang w:val="x-none" w:eastAsia="x-none"/>
        </w:rPr>
        <w:t xml:space="preserve"> 12</w:t>
      </w:r>
      <w:r w:rsidRPr="006F29F2">
        <w:rPr>
          <w:lang w:val="x-none" w:eastAsia="x-none"/>
        </w:rPr>
        <w:t>-50% of their intended dose</w:t>
      </w:r>
      <w:r w:rsidRPr="006F29F2">
        <w:rPr>
          <w:lang w:eastAsia="x-none"/>
        </w:rPr>
        <w:t>.  F</w:t>
      </w:r>
      <w:proofErr w:type="spellStart"/>
      <w:r w:rsidRPr="006F29F2">
        <w:rPr>
          <w:lang w:val="x-none" w:eastAsia="x-none"/>
        </w:rPr>
        <w:t>em</w:t>
      </w:r>
      <w:r w:rsidRPr="006F29F2">
        <w:rPr>
          <w:lang w:eastAsia="x-none"/>
        </w:rPr>
        <w:t>ales</w:t>
      </w:r>
      <w:proofErr w:type="spellEnd"/>
      <w:r w:rsidRPr="006F29F2">
        <w:rPr>
          <w:lang w:val="x-none" w:eastAsia="x-none"/>
        </w:rPr>
        <w:t xml:space="preserve"> (Set B) </w:t>
      </w:r>
      <w:r w:rsidRPr="006F29F2">
        <w:rPr>
          <w:lang w:eastAsia="x-none"/>
        </w:rPr>
        <w:t xml:space="preserve">dosed </w:t>
      </w:r>
      <w:r>
        <w:rPr>
          <w:lang w:eastAsia="x-none"/>
        </w:rPr>
        <w:t>the following day</w:t>
      </w:r>
      <w:r w:rsidRPr="006F29F2">
        <w:rPr>
          <w:lang w:eastAsia="x-none"/>
        </w:rPr>
        <w:t xml:space="preserve"> </w:t>
      </w:r>
      <w:r>
        <w:rPr>
          <w:lang w:eastAsia="x-none"/>
        </w:rPr>
        <w:t>(</w:t>
      </w:r>
      <w:r w:rsidRPr="006F29F2">
        <w:rPr>
          <w:lang w:val="x-none" w:eastAsia="x-none"/>
        </w:rPr>
        <w:t>Day 22</w:t>
      </w:r>
      <w:r>
        <w:rPr>
          <w:lang w:eastAsia="x-none"/>
        </w:rPr>
        <w:t>)</w:t>
      </w:r>
      <w:r w:rsidRPr="006F29F2">
        <w:rPr>
          <w:lang w:val="x-none" w:eastAsia="x-none"/>
        </w:rPr>
        <w:t xml:space="preserve"> were pretreated with diphenhydramine</w:t>
      </w:r>
      <w:r>
        <w:rPr>
          <w:lang w:eastAsia="x-none"/>
        </w:rPr>
        <w:t>,</w:t>
      </w:r>
      <w:r w:rsidRPr="006F29F2">
        <w:rPr>
          <w:lang w:val="x-none" w:eastAsia="x-none"/>
        </w:rPr>
        <w:t xml:space="preserve"> and all</w:t>
      </w:r>
      <w:r>
        <w:rPr>
          <w:lang w:eastAsia="x-none"/>
        </w:rPr>
        <w:t xml:space="preserve"> received </w:t>
      </w:r>
      <w:r w:rsidRPr="006F29F2">
        <w:rPr>
          <w:lang w:val="x-none" w:eastAsia="x-none"/>
        </w:rPr>
        <w:t xml:space="preserve">their intended dose </w:t>
      </w:r>
      <w:r>
        <w:rPr>
          <w:lang w:eastAsia="x-none"/>
        </w:rPr>
        <w:t xml:space="preserve">of </w:t>
      </w:r>
      <w:r w:rsidR="00E37E0B">
        <w:rPr>
          <w:lang w:eastAsia="x-none"/>
        </w:rPr>
        <w:t>PROJECT 11</w:t>
      </w:r>
      <w:r>
        <w:rPr>
          <w:lang w:eastAsia="x-none"/>
        </w:rPr>
        <w:t xml:space="preserve">, with the </w:t>
      </w:r>
      <w:r w:rsidRPr="006F29F2">
        <w:rPr>
          <w:lang w:val="x-none" w:eastAsia="x-none"/>
        </w:rPr>
        <w:t>except</w:t>
      </w:r>
      <w:r>
        <w:rPr>
          <w:lang w:eastAsia="x-none"/>
        </w:rPr>
        <w:t>ion of</w:t>
      </w:r>
      <w:r w:rsidRPr="006F29F2">
        <w:rPr>
          <w:lang w:val="x-none" w:eastAsia="x-none"/>
        </w:rPr>
        <w:t xml:space="preserve"> one mid-dose female</w:t>
      </w:r>
      <w:r>
        <w:rPr>
          <w:lang w:eastAsia="x-none"/>
        </w:rPr>
        <w:t>,</w:t>
      </w:r>
      <w:r w:rsidRPr="006F29F2">
        <w:rPr>
          <w:lang w:val="x-none" w:eastAsia="x-none"/>
        </w:rPr>
        <w:t xml:space="preserve"> </w:t>
      </w:r>
      <w:r w:rsidRPr="006F29F2">
        <w:rPr>
          <w:lang w:eastAsia="x-none"/>
        </w:rPr>
        <w:t>who</w:t>
      </w:r>
      <w:r w:rsidRPr="006F29F2">
        <w:rPr>
          <w:lang w:val="x-none" w:eastAsia="x-none"/>
        </w:rPr>
        <w:t xml:space="preserve"> </w:t>
      </w:r>
      <w:r>
        <w:rPr>
          <w:lang w:eastAsia="x-none"/>
        </w:rPr>
        <w:t xml:space="preserve">exhibited a </w:t>
      </w:r>
      <w:r w:rsidRPr="006F29F2">
        <w:rPr>
          <w:lang w:val="x-none" w:eastAsia="x-none"/>
        </w:rPr>
        <w:t>los</w:t>
      </w:r>
      <w:r w:rsidRPr="006F29F2">
        <w:rPr>
          <w:lang w:eastAsia="x-none"/>
        </w:rPr>
        <w:t>s</w:t>
      </w:r>
      <w:r>
        <w:rPr>
          <w:lang w:eastAsia="x-none"/>
        </w:rPr>
        <w:t xml:space="preserve"> </w:t>
      </w:r>
      <w:r w:rsidRPr="006F29F2">
        <w:rPr>
          <w:lang w:eastAsia="x-none"/>
        </w:rPr>
        <w:t xml:space="preserve">of </w:t>
      </w:r>
      <w:r w:rsidRPr="006F29F2">
        <w:rPr>
          <w:lang w:val="x-none" w:eastAsia="x-none"/>
        </w:rPr>
        <w:t xml:space="preserve">consciousness </w:t>
      </w:r>
      <w:r>
        <w:rPr>
          <w:lang w:eastAsia="x-none"/>
        </w:rPr>
        <w:t xml:space="preserve">12 minutes post start of infusion </w:t>
      </w:r>
      <w:r w:rsidRPr="006F29F2">
        <w:rPr>
          <w:lang w:val="x-none" w:eastAsia="x-none"/>
        </w:rPr>
        <w:t xml:space="preserve">but recovered </w:t>
      </w:r>
      <w:r w:rsidRPr="006F29F2">
        <w:rPr>
          <w:lang w:eastAsia="x-none"/>
        </w:rPr>
        <w:t xml:space="preserve">quickly after </w:t>
      </w:r>
      <w:r>
        <w:rPr>
          <w:lang w:eastAsia="x-none"/>
        </w:rPr>
        <w:t xml:space="preserve">the infusion was discontinued </w:t>
      </w:r>
      <w:r w:rsidRPr="006F29F2">
        <w:rPr>
          <w:lang w:val="x-none" w:eastAsia="x-none"/>
        </w:rPr>
        <w:t>(delivered dose was 20</w:t>
      </w:r>
      <w:r w:rsidRPr="006F29F2">
        <w:rPr>
          <w:lang w:eastAsia="x-none"/>
        </w:rPr>
        <w:t> </w:t>
      </w:r>
      <w:r w:rsidRPr="006F29F2">
        <w:rPr>
          <w:lang w:val="x-none" w:eastAsia="x-none"/>
        </w:rPr>
        <w:t xml:space="preserve">mg/kg). </w:t>
      </w:r>
      <w:r>
        <w:rPr>
          <w:lang w:eastAsia="x-none"/>
        </w:rPr>
        <w:t xml:space="preserve"> </w:t>
      </w:r>
      <w:r w:rsidRPr="006F29F2">
        <w:rPr>
          <w:lang w:val="x-none" w:eastAsia="x-none"/>
        </w:rPr>
        <w:t xml:space="preserve">In addition to </w:t>
      </w:r>
      <w:r>
        <w:rPr>
          <w:lang w:eastAsia="x-none"/>
        </w:rPr>
        <w:t xml:space="preserve">adverse </w:t>
      </w:r>
      <w:r w:rsidRPr="006F29F2">
        <w:rPr>
          <w:lang w:val="x-none" w:eastAsia="x-none"/>
        </w:rPr>
        <w:t>infusion reactions</w:t>
      </w:r>
      <w:r>
        <w:rPr>
          <w:lang w:eastAsia="x-none"/>
        </w:rPr>
        <w:t xml:space="preserve"> that occurred during dosing on Day 22</w:t>
      </w:r>
      <w:r w:rsidRPr="006F29F2">
        <w:rPr>
          <w:lang w:val="x-none" w:eastAsia="x-none"/>
        </w:rPr>
        <w:t xml:space="preserve">, </w:t>
      </w:r>
      <w:r w:rsidRPr="009234CD">
        <w:rPr>
          <w:lang w:eastAsia="x-none"/>
        </w:rPr>
        <w:t>non</w:t>
      </w:r>
      <w:r>
        <w:rPr>
          <w:lang w:eastAsia="x-none"/>
        </w:rPr>
        <w:t>-</w:t>
      </w:r>
      <w:r w:rsidRPr="009234CD">
        <w:rPr>
          <w:lang w:eastAsia="x-none"/>
        </w:rPr>
        <w:t xml:space="preserve">adverse </w:t>
      </w:r>
      <w:r w:rsidRPr="00C469E9">
        <w:rPr>
          <w:lang w:val="x-none" w:eastAsia="x-none"/>
        </w:rPr>
        <w:t>c</w:t>
      </w:r>
      <w:r w:rsidRPr="006F29F2">
        <w:rPr>
          <w:lang w:val="x-none" w:eastAsia="x-none"/>
        </w:rPr>
        <w:t>linical</w:t>
      </w:r>
      <w:r>
        <w:rPr>
          <w:lang w:eastAsia="x-none"/>
        </w:rPr>
        <w:t xml:space="preserve"> signs related to the infusion on Day 22 consisted </w:t>
      </w:r>
      <w:proofErr w:type="spellStart"/>
      <w:r>
        <w:rPr>
          <w:lang w:eastAsia="x-none"/>
        </w:rPr>
        <w:t>o</w:t>
      </w:r>
      <w:r w:rsidRPr="006F29F2">
        <w:rPr>
          <w:lang w:val="x-none" w:eastAsia="x-none"/>
        </w:rPr>
        <w:t>f</w:t>
      </w:r>
      <w:proofErr w:type="spellEnd"/>
      <w:r w:rsidRPr="006F29F2">
        <w:rPr>
          <w:lang w:val="x-none" w:eastAsia="x-none"/>
        </w:rPr>
        <w:t xml:space="preserve"> hypersalivation and</w:t>
      </w:r>
      <w:r>
        <w:rPr>
          <w:lang w:eastAsia="x-none"/>
        </w:rPr>
        <w:t>/or</w:t>
      </w:r>
      <w:r w:rsidRPr="006F29F2">
        <w:rPr>
          <w:lang w:val="x-none" w:eastAsia="x-none"/>
        </w:rPr>
        <w:t xml:space="preserve"> excessive bleeding from the catheter site </w:t>
      </w:r>
      <w:r>
        <w:rPr>
          <w:lang w:eastAsia="x-none"/>
        </w:rPr>
        <w:t>(mid-dose</w:t>
      </w:r>
      <w:r w:rsidRPr="006F29F2">
        <w:rPr>
          <w:lang w:val="x-none" w:eastAsia="x-none"/>
        </w:rPr>
        <w:t xml:space="preserve"> </w:t>
      </w:r>
      <w:r>
        <w:rPr>
          <w:lang w:eastAsia="x-none"/>
        </w:rPr>
        <w:t xml:space="preserve">male and high-dose male), as well as </w:t>
      </w:r>
      <w:r w:rsidRPr="006F29F2">
        <w:rPr>
          <w:lang w:val="x-none" w:eastAsia="x-none"/>
        </w:rPr>
        <w:t xml:space="preserve">slight tremors in </w:t>
      </w:r>
      <w:r>
        <w:rPr>
          <w:lang w:eastAsia="x-none"/>
        </w:rPr>
        <w:t xml:space="preserve">the </w:t>
      </w:r>
      <w:r w:rsidRPr="006F29F2">
        <w:rPr>
          <w:lang w:val="x-none" w:eastAsia="x-none"/>
        </w:rPr>
        <w:t xml:space="preserve">forelimbs </w:t>
      </w:r>
      <w:r>
        <w:rPr>
          <w:lang w:eastAsia="x-none"/>
        </w:rPr>
        <w:t xml:space="preserve">(low-dose </w:t>
      </w:r>
      <w:r w:rsidRPr="006F29F2">
        <w:rPr>
          <w:lang w:val="x-none" w:eastAsia="x-none"/>
        </w:rPr>
        <w:t>female</w:t>
      </w:r>
      <w:r>
        <w:rPr>
          <w:lang w:eastAsia="x-none"/>
        </w:rPr>
        <w:t>)</w:t>
      </w:r>
      <w:r w:rsidRPr="00082542">
        <w:rPr>
          <w:lang w:val="x-none" w:eastAsia="x-none"/>
        </w:rPr>
        <w:t>.</w:t>
      </w:r>
      <w:r>
        <w:rPr>
          <w:lang w:eastAsia="x-none"/>
        </w:rPr>
        <w:t xml:space="preserve">  Except for the 2 animals that died/euthanized on Day 22, all other animals </w:t>
      </w:r>
      <w:r w:rsidRPr="00AA6B21">
        <w:rPr>
          <w:lang w:eastAsia="x-none"/>
        </w:rPr>
        <w:t xml:space="preserve">displaying infusion reactions and/or clinical signs fully recovered within an hour of after dosing.   </w:t>
      </w:r>
    </w:p>
    <w:bookmarkEnd w:id="1"/>
    <w:p w:rsidR="007031A2" w:rsidRPr="000F562D" w:rsidRDefault="007031A2" w:rsidP="007031A2">
      <w:pPr>
        <w:spacing w:after="120"/>
        <w:rPr>
          <w:lang w:eastAsia="x-none"/>
        </w:rPr>
      </w:pPr>
      <w:r>
        <w:t xml:space="preserve">In </w:t>
      </w:r>
      <w:bookmarkStart w:id="2" w:name="_Hlk512173374"/>
      <w:r>
        <w:t>the 5 surviving animals with transient infusion reactions and/or clinical signs</w:t>
      </w:r>
      <w:bookmarkEnd w:id="2"/>
      <w:r>
        <w:t xml:space="preserve">, other than the changes occurring immediately after dosing on Day 22, there were no other </w:t>
      </w:r>
      <w:r w:rsidR="00E37E0B">
        <w:t>PROJECT 11</w:t>
      </w:r>
      <w:r>
        <w:t xml:space="preserve">-related effects (direct or secondary to an immune-mediated response) on </w:t>
      </w:r>
      <w:r w:rsidRPr="00552E7E">
        <w:t xml:space="preserve">body weights, </w:t>
      </w:r>
      <w:r>
        <w:t xml:space="preserve">qualitative </w:t>
      </w:r>
      <w:r w:rsidRPr="00552E7E">
        <w:t xml:space="preserve">food evaluation, ophthalmology, </w:t>
      </w:r>
      <w:proofErr w:type="spellStart"/>
      <w:r w:rsidRPr="00552E7E">
        <w:t>electrocardiology</w:t>
      </w:r>
      <w:proofErr w:type="spellEnd"/>
      <w:r w:rsidRPr="00552E7E">
        <w:t xml:space="preserve">, </w:t>
      </w:r>
      <w:r>
        <w:t xml:space="preserve">blood pressure and heart rate, respiration, </w:t>
      </w:r>
      <w:r w:rsidRPr="00552E7E">
        <w:t xml:space="preserve">neurological examination, </w:t>
      </w:r>
      <w:r>
        <w:t xml:space="preserve">clinical pathology </w:t>
      </w:r>
      <w:r w:rsidRPr="00552E7E">
        <w:t>parameters (hematology, coagulation, clinical chemistry, and urinalysis</w:t>
      </w:r>
      <w:r>
        <w:t xml:space="preserve">), immunophenotype, </w:t>
      </w:r>
      <w:r w:rsidRPr="00552E7E">
        <w:t>urinalysis</w:t>
      </w:r>
      <w:r>
        <w:t>,</w:t>
      </w:r>
      <w:r w:rsidRPr="00552E7E">
        <w:t xml:space="preserve"> </w:t>
      </w:r>
      <w:r>
        <w:t xml:space="preserve">and </w:t>
      </w:r>
      <w:r w:rsidRPr="00552E7E">
        <w:t>organ weights</w:t>
      </w:r>
      <w:r>
        <w:t xml:space="preserve">.  </w:t>
      </w:r>
      <w:r>
        <w:rPr>
          <w:lang w:eastAsia="x-none"/>
        </w:rPr>
        <w:t xml:space="preserve">No significant gross or histopathological changes were observed in the </w:t>
      </w:r>
      <w:r w:rsidRPr="00102C88">
        <w:rPr>
          <w:lang w:eastAsia="x-none"/>
        </w:rPr>
        <w:t>animals</w:t>
      </w:r>
      <w:r>
        <w:rPr>
          <w:lang w:eastAsia="x-none"/>
        </w:rPr>
        <w:t xml:space="preserve"> with infusion reactions/clinical signs</w:t>
      </w:r>
      <w:r w:rsidRPr="00102C88">
        <w:rPr>
          <w:lang w:eastAsia="x-none"/>
        </w:rPr>
        <w:t xml:space="preserve"> </w:t>
      </w:r>
      <w:r>
        <w:rPr>
          <w:lang w:eastAsia="x-none"/>
        </w:rPr>
        <w:t xml:space="preserve">that </w:t>
      </w:r>
      <w:r w:rsidRPr="00102C88">
        <w:rPr>
          <w:lang w:eastAsia="x-none"/>
        </w:rPr>
        <w:t>survived to their scheduled euthanasia on Day 30 (main group) or Day 57 (recovery group)</w:t>
      </w:r>
      <w:r>
        <w:rPr>
          <w:lang w:eastAsia="x-none"/>
        </w:rPr>
        <w:t>.</w:t>
      </w:r>
      <w:r w:rsidRPr="000F562D">
        <w:t xml:space="preserve"> </w:t>
      </w:r>
    </w:p>
    <w:p w:rsidR="007031A2" w:rsidRDefault="007031A2" w:rsidP="007031A2">
      <w:pPr>
        <w:pStyle w:val="BodyTextTop"/>
      </w:pPr>
      <w:r>
        <w:t xml:space="preserve">In the remainder of animals that reached scheduled necropsy, no </w:t>
      </w:r>
      <w:r w:rsidR="00E37E0B">
        <w:t>PROJECT 11</w:t>
      </w:r>
      <w:r>
        <w:t xml:space="preserve">-related findings were observed for </w:t>
      </w:r>
      <w:r w:rsidRPr="00552E7E">
        <w:t xml:space="preserve">clinical signs, body weights, </w:t>
      </w:r>
      <w:r>
        <w:t xml:space="preserve">qualitative </w:t>
      </w:r>
      <w:r w:rsidRPr="00552E7E">
        <w:t xml:space="preserve">food evaluation, ophthalmology, </w:t>
      </w:r>
      <w:proofErr w:type="spellStart"/>
      <w:r w:rsidRPr="00552E7E">
        <w:t>electrocardiology</w:t>
      </w:r>
      <w:proofErr w:type="spellEnd"/>
      <w:r w:rsidRPr="00552E7E">
        <w:t xml:space="preserve">, neurological examination, </w:t>
      </w:r>
      <w:r>
        <w:t>heart rate, respiratory rate</w:t>
      </w:r>
      <w:r w:rsidRPr="00552E7E">
        <w:t>, clinical pathology parameters (hematology, coagulation, clinical chemistry, and urinalysis</w:t>
      </w:r>
      <w:r>
        <w:t>),</w:t>
      </w:r>
      <w:r w:rsidRPr="00552E7E">
        <w:t xml:space="preserve"> </w:t>
      </w:r>
      <w:r>
        <w:t xml:space="preserve">cytokines, immunophenotype, </w:t>
      </w:r>
      <w:r w:rsidRPr="00552E7E">
        <w:t>gross necropsy findings, organ weights, and histopathologic examinations.</w:t>
      </w:r>
    </w:p>
    <w:p w:rsidR="007031A2" w:rsidRDefault="007031A2" w:rsidP="007031A2">
      <w:pPr>
        <w:pStyle w:val="a7"/>
      </w:pPr>
      <w:r>
        <w:lastRenderedPageBreak/>
        <w:t xml:space="preserve">Mean arterial pressure (MAP), systolic pressure and diastolic pressure were statistically significantly reduced </w:t>
      </w:r>
      <w:proofErr w:type="spellStart"/>
      <w:r>
        <w:t>postdose</w:t>
      </w:r>
      <w:proofErr w:type="spellEnd"/>
      <w:r>
        <w:t xml:space="preserve"> on Day 1, for males (but not females) administered at the high dose level, when compared to control animals.  However, baseline MAP and diastolic blood pressure were reduced for high-dose males, relative to controls, with all blood pressure parameters increased for controls on Day 1 relative to their baseline values.  </w:t>
      </w:r>
      <w:bookmarkStart w:id="3" w:name="_Hlk512363993"/>
      <w:r w:rsidRPr="0025495C">
        <w:t xml:space="preserve">Given this variability in blood pressure and </w:t>
      </w:r>
      <w:r>
        <w:t xml:space="preserve">absence of other changes (e.g., </w:t>
      </w:r>
      <w:r w:rsidRPr="0025495C">
        <w:t>heart rate</w:t>
      </w:r>
      <w:r>
        <w:t xml:space="preserve"> increase)</w:t>
      </w:r>
      <w:r w:rsidRPr="0025495C">
        <w:t>, th</w:t>
      </w:r>
      <w:r>
        <w:t>e decrease in blood pressure</w:t>
      </w:r>
      <w:r w:rsidRPr="0025495C">
        <w:t xml:space="preserve"> is not considered toxicologically meaningful and of uncertain relationship to </w:t>
      </w:r>
      <w:r w:rsidR="00E37E0B">
        <w:t>PROJECT 11</w:t>
      </w:r>
      <w:r w:rsidRPr="0025495C">
        <w:t>.</w:t>
      </w:r>
      <w:bookmarkEnd w:id="3"/>
    </w:p>
    <w:p w:rsidR="007031A2" w:rsidRDefault="007031A2" w:rsidP="007031A2">
      <w:pPr>
        <w:spacing w:after="120"/>
      </w:pPr>
      <w:r>
        <w:t xml:space="preserve">Based on the high levels of ADA </w:t>
      </w:r>
      <w:r w:rsidRPr="003E22DF">
        <w:t>detect</w:t>
      </w:r>
      <w:r>
        <w:t>ed</w:t>
      </w:r>
      <w:r w:rsidRPr="003E22DF">
        <w:t xml:space="preserve"> </w:t>
      </w:r>
      <w:r>
        <w:t xml:space="preserve">by Day 22 </w:t>
      </w:r>
      <w:r w:rsidRPr="003E22DF">
        <w:t>in mo</w:t>
      </w:r>
      <w:r>
        <w:t xml:space="preserve">st animals administered </w:t>
      </w:r>
      <w:r w:rsidR="00E37E0B">
        <w:t>PROJECT 11</w:t>
      </w:r>
      <w:r>
        <w:t xml:space="preserve">, the weight-of-evidence suggests that the observed infusions reactions/clinical signs were ADA-mediated.  An ADA-mediated mechanism is also supported by transient activation of complement (i.e., depletion of complement activity) and coagulation/fibrinolytic pathways (i.e., decreased platelets and fibrinogen, increased coagulation parameter times, and/or excessive bleeding from the catheter site) and/or stimulation of pro-inflammatory cytokines (i.e., increased IL-6, IL-10, and/or TNF) that were seen in animals with infusion reactions and/or clinical signs from serum/blood collected </w:t>
      </w:r>
      <w:r w:rsidRPr="003F3976">
        <w:t xml:space="preserve">approximately one hour after dosing </w:t>
      </w:r>
      <w:r>
        <w:t>on Day 22.</w:t>
      </w:r>
    </w:p>
    <w:p w:rsidR="007031A2" w:rsidRDefault="007031A2" w:rsidP="007031A2">
      <w:pPr>
        <w:pStyle w:val="a7"/>
      </w:pPr>
      <w:r w:rsidRPr="006F0BA4">
        <w:t xml:space="preserve">Intravenous infusion of </w:t>
      </w:r>
      <w:r w:rsidR="00E37E0B">
        <w:t>PROJECT 11</w:t>
      </w:r>
      <w:r w:rsidRPr="006F0BA4">
        <w:t xml:space="preserve"> once weekly for 4 weeks (total of 4 doses) to cynomolgus monkeys at 50, 100, or 200 mg/kg/week resulted in </w:t>
      </w:r>
      <w:r>
        <w:t xml:space="preserve">adverse </w:t>
      </w:r>
      <w:r w:rsidRPr="006F0BA4">
        <w:t xml:space="preserve">infusion reactions in 5 animals on Day 22 that were </w:t>
      </w:r>
      <w:r>
        <w:t xml:space="preserve">unrelated to </w:t>
      </w:r>
      <w:r w:rsidRPr="006F0BA4">
        <w:t xml:space="preserve">dose, with mortality/moribundity occurring immediately after dosing in one male at 50 mg/kg/week and one male at 200 mg/kg/week. </w:t>
      </w:r>
      <w:r>
        <w:t xml:space="preserve"> </w:t>
      </w:r>
      <w:r w:rsidRPr="006F0BA4">
        <w:t>Infusion reactions</w:t>
      </w:r>
      <w:r>
        <w:t xml:space="preserve"> and/or clinical signs after the fourth weekly dose </w:t>
      </w:r>
      <w:r w:rsidRPr="006F0BA4">
        <w:t xml:space="preserve">were </w:t>
      </w:r>
      <w:r>
        <w:t>typical of an ADA</w:t>
      </w:r>
      <w:r w:rsidRPr="006F0BA4">
        <w:t>-mediated response</w:t>
      </w:r>
      <w:r>
        <w:t xml:space="preserve">, </w:t>
      </w:r>
      <w:r w:rsidRPr="00836372">
        <w:t xml:space="preserve">occurred in </w:t>
      </w:r>
      <w:r>
        <w:t xml:space="preserve">select animals from </w:t>
      </w:r>
      <w:r w:rsidRPr="00836372">
        <w:t xml:space="preserve">all </w:t>
      </w:r>
      <w:r w:rsidR="00E37E0B">
        <w:t>PROJECT 11</w:t>
      </w:r>
      <w:r w:rsidRPr="00836372">
        <w:t xml:space="preserve"> dose groups, and were associated with high levels of ADA</w:t>
      </w:r>
      <w:r>
        <w:t xml:space="preserve">, </w:t>
      </w:r>
      <w:r w:rsidRPr="001D05F8">
        <w:t>transient activation of complement and coagulation/fibrinolytic pathways, and transient elevatio</w:t>
      </w:r>
      <w:r>
        <w:t>ns in pro-inflammatory cytokines</w:t>
      </w:r>
      <w:r w:rsidRPr="006F0BA4">
        <w:t>.</w:t>
      </w:r>
      <w:r>
        <w:t xml:space="preserve"> </w:t>
      </w:r>
    </w:p>
    <w:p w:rsidR="007031A2" w:rsidRDefault="007031A2" w:rsidP="007031A2">
      <w:pPr>
        <w:rPr>
          <w:szCs w:val="24"/>
        </w:rPr>
      </w:pPr>
      <w:r w:rsidRPr="00DA74BC">
        <w:rPr>
          <w:szCs w:val="24"/>
        </w:rPr>
        <w:t xml:space="preserve">No changes attributed directly to </w:t>
      </w:r>
      <w:r w:rsidR="00E37E0B">
        <w:rPr>
          <w:szCs w:val="24"/>
        </w:rPr>
        <w:t>PROJECT 11</w:t>
      </w:r>
      <w:r w:rsidRPr="00DA74BC">
        <w:rPr>
          <w:szCs w:val="24"/>
        </w:rPr>
        <w:t xml:space="preserve"> were observed.  The no-observed-adverse-effect level (NOAEL) for non-ADA mediated toxicity is the highest dose tested (200 mg/kg/week). </w:t>
      </w:r>
    </w:p>
    <w:p w:rsidR="007031A2" w:rsidRDefault="007031A2" w:rsidP="007031A2">
      <w:pPr>
        <w:rPr>
          <w:szCs w:val="24"/>
        </w:rPr>
      </w:pPr>
      <w:r w:rsidRPr="00851A63">
        <w:rPr>
          <w:szCs w:val="24"/>
        </w:rPr>
        <w:t>Despite</w:t>
      </w:r>
      <w:r w:rsidRPr="00851A63">
        <w:rPr>
          <w:szCs w:val="24"/>
          <w:lang w:val="x-none"/>
        </w:rPr>
        <w:t xml:space="preserve"> the variability in </w:t>
      </w:r>
      <w:r w:rsidR="00E37E0B">
        <w:rPr>
          <w:szCs w:val="24"/>
          <w:lang w:val="x-none"/>
        </w:rPr>
        <w:t>PROJECT 11</w:t>
      </w:r>
      <w:r w:rsidRPr="00851A63">
        <w:rPr>
          <w:szCs w:val="24"/>
          <w:lang w:val="x-none"/>
        </w:rPr>
        <w:t xml:space="preserve"> serum levels on Day</w:t>
      </w:r>
      <w:r w:rsidRPr="00851A63">
        <w:rPr>
          <w:szCs w:val="24"/>
        </w:rPr>
        <w:t> </w:t>
      </w:r>
      <w:r w:rsidRPr="00851A63">
        <w:rPr>
          <w:szCs w:val="24"/>
          <w:lang w:val="x-none"/>
        </w:rPr>
        <w:t>22</w:t>
      </w:r>
      <w:r w:rsidRPr="00851A63">
        <w:rPr>
          <w:szCs w:val="24"/>
        </w:rPr>
        <w:t xml:space="preserve"> the majority of </w:t>
      </w:r>
      <w:proofErr w:type="gramStart"/>
      <w:r w:rsidRPr="00851A63">
        <w:rPr>
          <w:szCs w:val="24"/>
        </w:rPr>
        <w:t>females maintained</w:t>
      </w:r>
      <w:proofErr w:type="gramEnd"/>
      <w:r w:rsidRPr="00851A63">
        <w:rPr>
          <w:szCs w:val="24"/>
        </w:rPr>
        <w:t xml:space="preserve"> </w:t>
      </w:r>
      <w:r w:rsidR="00E37E0B">
        <w:rPr>
          <w:szCs w:val="24"/>
        </w:rPr>
        <w:t>PROJECT 11</w:t>
      </w:r>
      <w:r w:rsidRPr="00851A63">
        <w:rPr>
          <w:szCs w:val="24"/>
        </w:rPr>
        <w:t xml:space="preserve"> serum levels similar to Day 1 over the 4</w:t>
      </w:r>
      <w:r w:rsidRPr="00851A63">
        <w:rPr>
          <w:szCs w:val="24"/>
        </w:rPr>
        <w:noBreakHyphen/>
        <w:t>week dosing period. E</w:t>
      </w:r>
      <w:proofErr w:type="spellStart"/>
      <w:r w:rsidRPr="00851A63">
        <w:rPr>
          <w:szCs w:val="24"/>
          <w:lang w:val="x-none"/>
        </w:rPr>
        <w:t>xposure</w:t>
      </w:r>
      <w:proofErr w:type="spellEnd"/>
      <w:r w:rsidRPr="00851A63">
        <w:rPr>
          <w:szCs w:val="24"/>
          <w:lang w:val="x-none"/>
        </w:rPr>
        <w:t> on Day 1 for</w:t>
      </w:r>
      <w:r w:rsidRPr="00851A63">
        <w:rPr>
          <w:szCs w:val="24"/>
        </w:rPr>
        <w:t> females </w:t>
      </w:r>
      <w:r w:rsidRPr="00851A63">
        <w:rPr>
          <w:szCs w:val="24"/>
          <w:lang w:val="x-none"/>
        </w:rPr>
        <w:t>at 200</w:t>
      </w:r>
      <w:r w:rsidRPr="00851A63">
        <w:rPr>
          <w:szCs w:val="24"/>
        </w:rPr>
        <w:t> </w:t>
      </w:r>
      <w:r w:rsidRPr="00851A63">
        <w:rPr>
          <w:szCs w:val="24"/>
          <w:lang w:val="x-none"/>
        </w:rPr>
        <w:t>mg/kg/week </w:t>
      </w:r>
      <w:r w:rsidRPr="00851A63">
        <w:rPr>
          <w:szCs w:val="24"/>
        </w:rPr>
        <w:t>was, AUC</w:t>
      </w:r>
      <w:r w:rsidRPr="00851A63">
        <w:rPr>
          <w:szCs w:val="24"/>
          <w:vertAlign w:val="subscript"/>
        </w:rPr>
        <w:t xml:space="preserve">0-168 </w:t>
      </w:r>
      <w:r w:rsidRPr="00851A63">
        <w:rPr>
          <w:szCs w:val="24"/>
        </w:rPr>
        <w:t xml:space="preserve">= 9630 </w:t>
      </w:r>
      <w:r w:rsidRPr="00851A63">
        <w:rPr>
          <w:szCs w:val="24"/>
          <w:u w:val="single"/>
        </w:rPr>
        <w:t>+</w:t>
      </w:r>
      <w:r w:rsidRPr="00851A63">
        <w:rPr>
          <w:szCs w:val="24"/>
        </w:rPr>
        <w:t xml:space="preserve"> 3680, </w:t>
      </w:r>
    </w:p>
    <w:p w:rsidR="007031A2" w:rsidRPr="00851A63" w:rsidRDefault="007031A2" w:rsidP="007031A2">
      <w:pPr>
        <w:rPr>
          <w:szCs w:val="24"/>
        </w:rPr>
      </w:pPr>
      <w:r w:rsidRPr="00851A63">
        <w:rPr>
          <w:szCs w:val="24"/>
          <w:lang w:val="x-none"/>
        </w:rPr>
        <w:t>AUC</w:t>
      </w:r>
      <w:r w:rsidRPr="00851A63">
        <w:rPr>
          <w:szCs w:val="24"/>
          <w:vertAlign w:val="subscript"/>
          <w:lang w:val="x-none"/>
        </w:rPr>
        <w:t>0-inf </w:t>
      </w:r>
      <w:r w:rsidRPr="00851A63">
        <w:rPr>
          <w:szCs w:val="24"/>
          <w:lang w:val="x-none"/>
        </w:rPr>
        <w:t>= 10000 </w:t>
      </w:r>
      <w:r w:rsidRPr="00851A63">
        <w:rPr>
          <w:szCs w:val="24"/>
          <w:u w:val="single"/>
          <w:lang w:val="x-none"/>
        </w:rPr>
        <w:t>+</w:t>
      </w:r>
      <w:r w:rsidRPr="00851A63">
        <w:rPr>
          <w:szCs w:val="24"/>
          <w:lang w:val="x-none"/>
        </w:rPr>
        <w:t> 3750 µ</w:t>
      </w:r>
      <w:proofErr w:type="spellStart"/>
      <w:r w:rsidRPr="00851A63">
        <w:rPr>
          <w:szCs w:val="24"/>
          <w:lang w:val="x-none"/>
        </w:rPr>
        <w:t>g·day</w:t>
      </w:r>
      <w:proofErr w:type="spellEnd"/>
      <w:r w:rsidRPr="00851A63">
        <w:rPr>
          <w:szCs w:val="24"/>
          <w:lang w:val="x-none"/>
        </w:rPr>
        <w:t xml:space="preserve">/mL and </w:t>
      </w:r>
      <w:proofErr w:type="spellStart"/>
      <w:r w:rsidRPr="00851A63">
        <w:rPr>
          <w:szCs w:val="24"/>
          <w:lang w:val="x-none"/>
        </w:rPr>
        <w:t>C</w:t>
      </w:r>
      <w:r w:rsidRPr="00851A63">
        <w:rPr>
          <w:szCs w:val="24"/>
          <w:vertAlign w:val="subscript"/>
          <w:lang w:val="x-none"/>
        </w:rPr>
        <w:t>max</w:t>
      </w:r>
      <w:proofErr w:type="spellEnd"/>
      <w:r w:rsidRPr="00851A63">
        <w:rPr>
          <w:szCs w:val="24"/>
          <w:lang w:val="x-none"/>
        </w:rPr>
        <w:t> </w:t>
      </w:r>
      <w:r w:rsidRPr="00851A63">
        <w:rPr>
          <w:szCs w:val="24"/>
        </w:rPr>
        <w:t>=</w:t>
      </w:r>
      <w:r w:rsidRPr="00851A63">
        <w:rPr>
          <w:szCs w:val="24"/>
          <w:lang w:val="x-none"/>
        </w:rPr>
        <w:t> 5380 </w:t>
      </w:r>
      <w:r w:rsidRPr="00851A63">
        <w:rPr>
          <w:szCs w:val="24"/>
          <w:u w:val="single"/>
          <w:lang w:val="x-none"/>
        </w:rPr>
        <w:t>+</w:t>
      </w:r>
      <w:r w:rsidRPr="00851A63">
        <w:rPr>
          <w:szCs w:val="24"/>
          <w:lang w:val="x-none"/>
        </w:rPr>
        <w:t> 2480 µg/mL.</w:t>
      </w:r>
      <w:r w:rsidRPr="00851A63">
        <w:rPr>
          <w:szCs w:val="24"/>
        </w:rPr>
        <w:t>  Males on Day 1 were mis-dosed due to the formulation error, and instead of 200 mg/kg, a dose of 147 mg/kg was administered which generated AUC</w:t>
      </w:r>
      <w:r w:rsidRPr="00851A63">
        <w:rPr>
          <w:szCs w:val="24"/>
          <w:vertAlign w:val="subscript"/>
        </w:rPr>
        <w:t xml:space="preserve">0-168 </w:t>
      </w:r>
      <w:r w:rsidRPr="00851A63">
        <w:rPr>
          <w:szCs w:val="24"/>
        </w:rPr>
        <w:t xml:space="preserve">= 8460 </w:t>
      </w:r>
      <w:r w:rsidRPr="00851A63">
        <w:rPr>
          <w:szCs w:val="24"/>
          <w:u w:val="single"/>
        </w:rPr>
        <w:t>+</w:t>
      </w:r>
      <w:r w:rsidRPr="00851A63">
        <w:rPr>
          <w:szCs w:val="24"/>
        </w:rPr>
        <w:t xml:space="preserve"> 2730, AUC</w:t>
      </w:r>
      <w:r w:rsidRPr="00851A63">
        <w:rPr>
          <w:szCs w:val="24"/>
          <w:vertAlign w:val="subscript"/>
        </w:rPr>
        <w:t>0-inf</w:t>
      </w:r>
      <w:r w:rsidRPr="00851A63">
        <w:rPr>
          <w:szCs w:val="24"/>
        </w:rPr>
        <w:t> = 8900 </w:t>
      </w:r>
      <w:r w:rsidRPr="00851A63">
        <w:rPr>
          <w:szCs w:val="24"/>
          <w:u w:val="single"/>
        </w:rPr>
        <w:t>+</w:t>
      </w:r>
      <w:r w:rsidRPr="00851A63">
        <w:rPr>
          <w:szCs w:val="24"/>
        </w:rPr>
        <w:t> 3030 µ</w:t>
      </w:r>
      <w:proofErr w:type="spellStart"/>
      <w:r w:rsidRPr="00851A63">
        <w:rPr>
          <w:szCs w:val="24"/>
        </w:rPr>
        <w:t>g·day</w:t>
      </w:r>
      <w:proofErr w:type="spellEnd"/>
      <w:r w:rsidRPr="00851A63">
        <w:rPr>
          <w:szCs w:val="24"/>
        </w:rPr>
        <w:t xml:space="preserve">/mL and </w:t>
      </w:r>
      <w:proofErr w:type="spellStart"/>
      <w:r w:rsidRPr="00851A63">
        <w:rPr>
          <w:szCs w:val="24"/>
        </w:rPr>
        <w:t>C</w:t>
      </w:r>
      <w:r w:rsidRPr="00851A63">
        <w:rPr>
          <w:szCs w:val="24"/>
          <w:vertAlign w:val="subscript"/>
        </w:rPr>
        <w:t>max</w:t>
      </w:r>
      <w:proofErr w:type="spellEnd"/>
      <w:r w:rsidRPr="00851A63">
        <w:rPr>
          <w:szCs w:val="24"/>
        </w:rPr>
        <w:t> = 5650 </w:t>
      </w:r>
      <w:r w:rsidRPr="00851A63">
        <w:rPr>
          <w:szCs w:val="24"/>
          <w:u w:val="single"/>
        </w:rPr>
        <w:t>+</w:t>
      </w:r>
      <w:r w:rsidRPr="00851A63">
        <w:rPr>
          <w:szCs w:val="24"/>
        </w:rPr>
        <w:t> 1240 µg/mL.  This mis-dose in males on Day 1 and a similar mis-dose again in males on Day 15 did not affect the quality or integrity of the study results nor the study conclusion.</w:t>
      </w:r>
    </w:p>
    <w:p w:rsidR="009F503D" w:rsidRPr="007031A2" w:rsidRDefault="009F503D" w:rsidP="009F503D">
      <w:pPr>
        <w:rPr>
          <w:b/>
          <w:bCs/>
          <w:kern w:val="0"/>
          <w:sz w:val="28"/>
          <w:szCs w:val="28"/>
        </w:rPr>
      </w:pPr>
    </w:p>
    <w:sectPr w:rsidR="009F503D" w:rsidRPr="007031A2" w:rsidSect="009F503D">
      <w:footerReference w:type="default" r:id="rId7"/>
      <w:pgSz w:w="11900" w:h="16840"/>
      <w:pgMar w:top="1660" w:right="96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988" w:rsidRDefault="005E3988" w:rsidP="00321748">
      <w:r>
        <w:separator/>
      </w:r>
    </w:p>
  </w:endnote>
  <w:endnote w:type="continuationSeparator" w:id="0">
    <w:p w:rsidR="005E3988" w:rsidRDefault="005E3988"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988" w:rsidRDefault="005E3988" w:rsidP="00321748">
      <w:r>
        <w:separator/>
      </w:r>
    </w:p>
  </w:footnote>
  <w:footnote w:type="continuationSeparator" w:id="0">
    <w:p w:rsidR="005E3988" w:rsidRDefault="005E3988"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2153B"/>
    <w:rsid w:val="0015063C"/>
    <w:rsid w:val="0016126B"/>
    <w:rsid w:val="002206D5"/>
    <w:rsid w:val="00280895"/>
    <w:rsid w:val="002C7EB3"/>
    <w:rsid w:val="002D7B26"/>
    <w:rsid w:val="00305291"/>
    <w:rsid w:val="003065FF"/>
    <w:rsid w:val="00321748"/>
    <w:rsid w:val="00361285"/>
    <w:rsid w:val="00380F69"/>
    <w:rsid w:val="003A0A7C"/>
    <w:rsid w:val="003C3D3C"/>
    <w:rsid w:val="003F667A"/>
    <w:rsid w:val="004929BD"/>
    <w:rsid w:val="00571416"/>
    <w:rsid w:val="005835E5"/>
    <w:rsid w:val="005B7D2B"/>
    <w:rsid w:val="005E3988"/>
    <w:rsid w:val="00667206"/>
    <w:rsid w:val="006C2900"/>
    <w:rsid w:val="006D1EC1"/>
    <w:rsid w:val="006F292D"/>
    <w:rsid w:val="007031A2"/>
    <w:rsid w:val="0071344D"/>
    <w:rsid w:val="00714904"/>
    <w:rsid w:val="00732676"/>
    <w:rsid w:val="0078042E"/>
    <w:rsid w:val="007A13A0"/>
    <w:rsid w:val="007B04E7"/>
    <w:rsid w:val="007C55F6"/>
    <w:rsid w:val="007C6290"/>
    <w:rsid w:val="008E19B0"/>
    <w:rsid w:val="009376DC"/>
    <w:rsid w:val="00950A3B"/>
    <w:rsid w:val="00953BD7"/>
    <w:rsid w:val="00977F68"/>
    <w:rsid w:val="009F503D"/>
    <w:rsid w:val="00A13523"/>
    <w:rsid w:val="00AA621D"/>
    <w:rsid w:val="00AC22DF"/>
    <w:rsid w:val="00BC0EC2"/>
    <w:rsid w:val="00C20ABD"/>
    <w:rsid w:val="00C75423"/>
    <w:rsid w:val="00C93565"/>
    <w:rsid w:val="00D0213C"/>
    <w:rsid w:val="00D154DC"/>
    <w:rsid w:val="00D42AC7"/>
    <w:rsid w:val="00D86D90"/>
    <w:rsid w:val="00D87BA5"/>
    <w:rsid w:val="00DA3A6D"/>
    <w:rsid w:val="00E37E0B"/>
    <w:rsid w:val="00E62016"/>
    <w:rsid w:val="00E924DB"/>
    <w:rsid w:val="00ED218C"/>
    <w:rsid w:val="00ED3338"/>
    <w:rsid w:val="00EE3238"/>
    <w:rsid w:val="00F13C81"/>
    <w:rsid w:val="00F3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paragraph" w:customStyle="1" w:styleId="00Paragraph">
    <w:name w:val="00Paragraph"/>
    <w:link w:val="00Paragraph0"/>
    <w:qFormat/>
    <w:rsid w:val="00F37E89"/>
    <w:pPr>
      <w:spacing w:before="120" w:after="120" w:line="300" w:lineRule="atLeast"/>
    </w:pPr>
    <w:rPr>
      <w:kern w:val="0"/>
      <w:sz w:val="24"/>
      <w:szCs w:val="24"/>
      <w:lang w:eastAsia="en-US"/>
    </w:rPr>
  </w:style>
  <w:style w:type="paragraph" w:customStyle="1" w:styleId="19TableEntries12pt">
    <w:name w:val="19Table Entries 12 pt"/>
    <w:link w:val="19TableEntries12pt0"/>
    <w:uiPriority w:val="20"/>
    <w:qFormat/>
    <w:rsid w:val="00F37E89"/>
    <w:pPr>
      <w:keepNext/>
      <w:jc w:val="center"/>
    </w:pPr>
    <w:rPr>
      <w:kern w:val="0"/>
      <w:sz w:val="24"/>
      <w:szCs w:val="24"/>
      <w:lang w:eastAsia="en-US"/>
    </w:rPr>
  </w:style>
  <w:style w:type="character" w:customStyle="1" w:styleId="00Paragraph0">
    <w:name w:val="00Paragraph (文字)"/>
    <w:basedOn w:val="a0"/>
    <w:link w:val="00Paragraph"/>
    <w:locked/>
    <w:rsid w:val="00F37E89"/>
    <w:rPr>
      <w:kern w:val="0"/>
      <w:sz w:val="24"/>
      <w:szCs w:val="24"/>
      <w:lang w:eastAsia="en-US"/>
    </w:rPr>
  </w:style>
  <w:style w:type="character" w:customStyle="1" w:styleId="19TableEntries12pt0">
    <w:name w:val="19Table Entries 12 pt (文字)"/>
    <w:basedOn w:val="a0"/>
    <w:link w:val="19TableEntries12pt"/>
    <w:uiPriority w:val="20"/>
    <w:locked/>
    <w:rsid w:val="00F37E89"/>
    <w:rPr>
      <w:kern w:val="0"/>
      <w:sz w:val="24"/>
      <w:szCs w:val="24"/>
      <w:lang w:eastAsia="en-US"/>
    </w:rPr>
  </w:style>
  <w:style w:type="paragraph" w:customStyle="1" w:styleId="BodyTextTop">
    <w:name w:val="Body Text + Top"/>
    <w:basedOn w:val="a"/>
    <w:next w:val="a7"/>
    <w:qFormat/>
    <w:rsid w:val="007031A2"/>
    <w:pPr>
      <w:widowControl/>
      <w:spacing w:before="120" w:after="120"/>
      <w:jc w:val="left"/>
    </w:pPr>
    <w:rPr>
      <w:rFonts w:eastAsia="游明朝"/>
      <w:kern w:val="0"/>
      <w:szCs w:val="20"/>
      <w:lang w:eastAsia="en-US"/>
    </w:rPr>
  </w:style>
  <w:style w:type="paragraph" w:customStyle="1" w:styleId="TextTableText">
    <w:name w:val="Text Table Text"/>
    <w:basedOn w:val="a"/>
    <w:uiPriority w:val="99"/>
    <w:rsid w:val="007031A2"/>
    <w:pPr>
      <w:widowControl/>
      <w:jc w:val="left"/>
    </w:pPr>
    <w:rPr>
      <w:rFonts w:eastAsia="游明朝"/>
      <w:kern w:val="0"/>
      <w:sz w:val="20"/>
      <w:szCs w:val="20"/>
      <w:lang w:eastAsia="en-US"/>
    </w:rPr>
  </w:style>
  <w:style w:type="paragraph" w:customStyle="1" w:styleId="TextTableTitle">
    <w:name w:val="Text Table Title"/>
    <w:basedOn w:val="a"/>
    <w:rsid w:val="007031A2"/>
    <w:pPr>
      <w:keepNext/>
      <w:widowControl/>
      <w:spacing w:before="120" w:after="120"/>
      <w:jc w:val="center"/>
    </w:pPr>
    <w:rPr>
      <w:rFonts w:eastAsia="游明朝"/>
      <w:kern w:val="0"/>
      <w:sz w:val="20"/>
      <w:szCs w:val="20"/>
      <w:lang w:eastAsia="en-US"/>
    </w:rPr>
  </w:style>
  <w:style w:type="paragraph" w:customStyle="1" w:styleId="TextTableFootnote">
    <w:name w:val="Text Table Footnote"/>
    <w:basedOn w:val="a"/>
    <w:rsid w:val="007031A2"/>
    <w:pPr>
      <w:widowControl/>
      <w:tabs>
        <w:tab w:val="left" w:pos="216"/>
      </w:tabs>
      <w:ind w:left="216" w:hanging="216"/>
      <w:jc w:val="left"/>
    </w:pPr>
    <w:rPr>
      <w:rFonts w:eastAsia="游明朝"/>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1337F2-7957-468B-A773-529939B0565C}"/>
</file>

<file path=customXml/itemProps2.xml><?xml version="1.0" encoding="utf-8"?>
<ds:datastoreItem xmlns:ds="http://schemas.openxmlformats.org/officeDocument/2006/customXml" ds:itemID="{BFC4DEF3-4DA2-4BFE-800D-CB3020379E8B}"/>
</file>

<file path=customXml/itemProps3.xml><?xml version="1.0" encoding="utf-8"?>
<ds:datastoreItem xmlns:ds="http://schemas.openxmlformats.org/officeDocument/2006/customXml" ds:itemID="{2E3907DE-2792-4195-972C-8144AD5A444E}"/>
</file>

<file path=docProps/app.xml><?xml version="1.0" encoding="utf-8"?>
<Properties xmlns="http://schemas.openxmlformats.org/officeDocument/2006/extended-properties" xmlns:vt="http://schemas.openxmlformats.org/officeDocument/2006/docPropsVTypes">
  <Template>Normal</Template>
  <TotalTime>42</TotalTime>
  <Pages>1</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31</cp:revision>
  <dcterms:created xsi:type="dcterms:W3CDTF">2021-06-23T13:15:00Z</dcterms:created>
  <dcterms:modified xsi:type="dcterms:W3CDTF">2021-07-01T03:15:00Z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