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2AA" w:rsidRDefault="00D42583">
      <w:pPr>
        <w:pStyle w:val="3"/>
        <w:numPr>
          <w:ilvl w:val="2"/>
          <w:numId w:val="9"/>
        </w:numPr>
        <w:tabs>
          <w:tab w:val="left" w:pos="1147"/>
          <w:tab w:val="left" w:pos="1148"/>
        </w:tabs>
        <w:spacing w:before="149"/>
        <w:ind w:left="1147" w:hanging="912"/>
      </w:pPr>
      <w:bookmarkStart w:id="0" w:name="List_of_Abbreviations"/>
      <w:bookmarkStart w:id="1" w:name="4.1.3_Safety_Pharmacology"/>
      <w:bookmarkStart w:id="2" w:name="_bookmark41"/>
      <w:bookmarkEnd w:id="0"/>
      <w:bookmarkEnd w:id="1"/>
      <w:bookmarkEnd w:id="2"/>
      <w:r>
        <w:t>Safety</w:t>
      </w:r>
      <w:r>
        <w:rPr>
          <w:spacing w:val="-2"/>
        </w:rPr>
        <w:t xml:space="preserve"> </w:t>
      </w:r>
      <w:r>
        <w:t>Pharmacology</w:t>
      </w:r>
    </w:p>
    <w:p w:rsidR="000232AA" w:rsidRDefault="00D42583">
      <w:pPr>
        <w:pStyle w:val="a3"/>
        <w:spacing w:before="139" w:line="261" w:lineRule="auto"/>
        <w:ind w:left="235" w:right="1672"/>
      </w:pPr>
      <w:r>
        <w:t xml:space="preserve">Safety pharmacology assessments were included in the repeated dose toxicity study as recommended by International Conference on </w:t>
      </w:r>
      <w:proofErr w:type="spellStart"/>
      <w:r>
        <w:t>Harmonisation</w:t>
      </w:r>
      <w:proofErr w:type="spellEnd"/>
      <w:r>
        <w:t xml:space="preserve"> (ICH) S6 (R1): Preclinical Safety Evaluation of Biotechnology-derived Pharmaceuticals and ICH S9: Nonclinical Evaluation of Anticancer Therapeutics. In the 4-week (5-dose) repeat-dose toxicity study in cynomolgus monkeys (Study </w:t>
      </w:r>
      <w:r w:rsidR="005C6C34">
        <w:t>PROJECT 12</w:t>
      </w:r>
      <w:r>
        <w:t>-026), cardiovascular (electrocardiograms, blood pressure), respiratory and central nervous system function were evaluated. No abnormal findings were noted in any safety pharmacology parameter ≤ 200 mg/kg.</w:t>
      </w:r>
    </w:p>
    <w:p w:rsidR="000232AA" w:rsidRDefault="00D42583">
      <w:pPr>
        <w:pStyle w:val="3"/>
        <w:numPr>
          <w:ilvl w:val="2"/>
          <w:numId w:val="9"/>
        </w:numPr>
        <w:tabs>
          <w:tab w:val="left" w:pos="1087"/>
          <w:tab w:val="left" w:pos="1088"/>
        </w:tabs>
        <w:spacing w:before="119"/>
      </w:pPr>
      <w:bookmarkStart w:id="3" w:name="4.1.4_Pharmacodynamic_Drug_Interactions"/>
      <w:bookmarkStart w:id="4" w:name="_bookmark42"/>
      <w:bookmarkEnd w:id="3"/>
      <w:bookmarkEnd w:id="4"/>
      <w:r>
        <w:t>Pharmacodynamic Drug</w:t>
      </w:r>
      <w:r>
        <w:rPr>
          <w:spacing w:val="-2"/>
        </w:rPr>
        <w:t xml:space="preserve"> </w:t>
      </w:r>
      <w:r>
        <w:t>Interactions</w:t>
      </w:r>
    </w:p>
    <w:p w:rsidR="000232AA" w:rsidRDefault="00D42583">
      <w:pPr>
        <w:pStyle w:val="a3"/>
        <w:spacing w:before="140"/>
        <w:ind w:left="235"/>
      </w:pPr>
      <w:r>
        <w:t xml:space="preserve">No pharmacodynamic drug interaction studies of </w:t>
      </w:r>
      <w:r w:rsidR="005C6C34">
        <w:t>PROJECT 12</w:t>
      </w:r>
      <w:r>
        <w:t xml:space="preserve"> have been conducted to date.</w:t>
      </w:r>
    </w:p>
    <w:p w:rsidR="000232AA" w:rsidRDefault="000232AA">
      <w:pPr>
        <w:pStyle w:val="a3"/>
        <w:spacing w:before="113" w:line="261" w:lineRule="auto"/>
        <w:ind w:left="235" w:right="1791"/>
      </w:pPr>
      <w:bookmarkStart w:id="5" w:name="4.2_Pharmacokinetics_and_Product_Metabol"/>
      <w:bookmarkStart w:id="6" w:name="_bookmark43"/>
      <w:bookmarkEnd w:id="5"/>
      <w:bookmarkEnd w:id="6"/>
    </w:p>
    <w:p w:rsidR="000232AA" w:rsidRDefault="00D42583" w:rsidP="00494EF6">
      <w:pPr>
        <w:pStyle w:val="2"/>
        <w:numPr>
          <w:ilvl w:val="1"/>
          <w:numId w:val="7"/>
        </w:numPr>
        <w:tabs>
          <w:tab w:val="left" w:pos="1087"/>
          <w:tab w:val="left" w:pos="1088"/>
        </w:tabs>
        <w:spacing w:before="97"/>
      </w:pPr>
      <w:bookmarkStart w:id="7" w:name="4.3_Toxicology"/>
      <w:bookmarkStart w:id="8" w:name="_bookmark57"/>
      <w:bookmarkStart w:id="9" w:name="_GoBack"/>
      <w:bookmarkEnd w:id="7"/>
      <w:bookmarkEnd w:id="8"/>
      <w:bookmarkEnd w:id="9"/>
      <w:r>
        <w:t>Toxicology</w:t>
      </w:r>
    </w:p>
    <w:p w:rsidR="000232AA" w:rsidRDefault="00D42583">
      <w:pPr>
        <w:pStyle w:val="a3"/>
        <w:spacing w:before="140" w:line="261" w:lineRule="auto"/>
        <w:ind w:left="235" w:right="1946"/>
      </w:pPr>
      <w:r>
        <w:t xml:space="preserve">Safety of </w:t>
      </w:r>
      <w:r w:rsidR="005C6C34">
        <w:t>PROJECT 12</w:t>
      </w:r>
      <w:r>
        <w:t xml:space="preserve"> has been evaluated in 2 pivotal repeat-dose toxicity studies (Studies </w:t>
      </w:r>
      <w:r w:rsidR="005C6C34">
        <w:t>PROJECT 12</w:t>
      </w:r>
      <w:r>
        <w:t xml:space="preserve">-025 and </w:t>
      </w:r>
      <w:r w:rsidR="005C6C34">
        <w:t>PROJECT 12</w:t>
      </w:r>
      <w:r>
        <w:t xml:space="preserve">-026), 1 tissue cross-reactivity study (Study </w:t>
      </w:r>
      <w:r w:rsidR="005C6C34">
        <w:t>PROJECT 12</w:t>
      </w:r>
      <w:r>
        <w:t xml:space="preserve">-024) and 1 cytokine-release and proliferation assay (Study </w:t>
      </w:r>
      <w:r w:rsidR="005C6C34">
        <w:t>PROJECT 12</w:t>
      </w:r>
      <w:r>
        <w:t xml:space="preserve">-027). </w:t>
      </w:r>
      <w:r w:rsidR="005C6C34">
        <w:t>PROJECT 12</w:t>
      </w:r>
      <w:r>
        <w:t xml:space="preserve"> showed comparable binding affinity to mouse, rat, cynomolgus monkey and human NRP1 (Study </w:t>
      </w:r>
      <w:r w:rsidR="005C6C34">
        <w:t>PROJECT 12</w:t>
      </w:r>
      <w:r>
        <w:t xml:space="preserve">-002). Since </w:t>
      </w:r>
      <w:r w:rsidR="005C6C34">
        <w:t>PROJECT 12</w:t>
      </w:r>
      <w:r>
        <w:t xml:space="preserve"> demonstrated comparable binding affinity to all species evaluated, rat and cynomolgus monkey were selected as the relevant species for safety evaluation of </w:t>
      </w:r>
      <w:r w:rsidR="005C6C34">
        <w:t>PROJECT 12</w:t>
      </w:r>
      <w:r>
        <w:t>.</w:t>
      </w:r>
    </w:p>
    <w:p w:rsidR="000232AA" w:rsidRDefault="00D42583">
      <w:pPr>
        <w:pStyle w:val="3"/>
        <w:numPr>
          <w:ilvl w:val="2"/>
          <w:numId w:val="6"/>
        </w:numPr>
        <w:tabs>
          <w:tab w:val="left" w:pos="1087"/>
          <w:tab w:val="left" w:pos="1088"/>
        </w:tabs>
        <w:spacing w:before="119"/>
      </w:pPr>
      <w:bookmarkStart w:id="10" w:name="4.3.1_Single-dose_Toxicity"/>
      <w:bookmarkStart w:id="11" w:name="_bookmark58"/>
      <w:bookmarkEnd w:id="10"/>
      <w:bookmarkEnd w:id="11"/>
      <w:r>
        <w:t>Single-dose</w:t>
      </w:r>
      <w:r>
        <w:rPr>
          <w:spacing w:val="-2"/>
        </w:rPr>
        <w:t xml:space="preserve"> </w:t>
      </w:r>
      <w:r>
        <w:t>Toxicity</w:t>
      </w:r>
    </w:p>
    <w:p w:rsidR="000232AA" w:rsidRDefault="00D42583">
      <w:pPr>
        <w:pStyle w:val="a3"/>
        <w:spacing w:before="139" w:line="261" w:lineRule="auto"/>
        <w:ind w:left="235" w:right="2726"/>
      </w:pPr>
      <w:r>
        <w:t xml:space="preserve">Single dose tolerability of </w:t>
      </w:r>
      <w:r w:rsidR="005C6C34">
        <w:t>PROJECT 12</w:t>
      </w:r>
      <w:r>
        <w:t xml:space="preserve"> was evaluated in non-GLP studies of rats and cynomolgus monkeys (Studies </w:t>
      </w:r>
      <w:r w:rsidR="005C6C34">
        <w:t>PROJECT 12</w:t>
      </w:r>
      <w:r>
        <w:t>-034 [</w:t>
      </w:r>
      <w:r w:rsidR="005C6C34">
        <w:t>PROJECT 12</w:t>
      </w:r>
      <w:r>
        <w:t xml:space="preserve">-008] and </w:t>
      </w:r>
      <w:r w:rsidR="005C6C34">
        <w:t>PROJECT 12</w:t>
      </w:r>
      <w:r>
        <w:t>-035</w:t>
      </w:r>
    </w:p>
    <w:p w:rsidR="000232AA" w:rsidRDefault="00D42583">
      <w:pPr>
        <w:pStyle w:val="a3"/>
        <w:spacing w:line="261" w:lineRule="auto"/>
        <w:ind w:left="235" w:right="1781"/>
      </w:pPr>
      <w:r>
        <w:t>[</w:t>
      </w:r>
      <w:r w:rsidR="005C6C34">
        <w:t>PROJECT 12</w:t>
      </w:r>
      <w:r>
        <w:t>-009], respectively). No treatment-related effects were noted on mortality, clinical observations or body weights [Section</w:t>
      </w:r>
      <w:hyperlink w:anchor="_bookmark30" w:history="1">
        <w:r>
          <w:t>s 4.1.1.3</w:t>
        </w:r>
      </w:hyperlink>
      <w:r>
        <w:t xml:space="preserve"> and </w:t>
      </w:r>
      <w:hyperlink w:anchor="_bookmark35" w:history="1">
        <w:r>
          <w:t>4.1.1.4</w:t>
        </w:r>
      </w:hyperlink>
      <w:r>
        <w:t xml:space="preserve">]. The single dose toxicity of </w:t>
      </w:r>
      <w:r w:rsidR="005C6C34">
        <w:t>PROJECT 12</w:t>
      </w:r>
      <w:r>
        <w:t xml:space="preserve"> was evaluated after the first dose in the repeat-dose toxicity studies in rats and cynomolgus monkeys, respectively (Studies </w:t>
      </w:r>
      <w:r w:rsidR="005C6C34">
        <w:t>PROJECT 12</w:t>
      </w:r>
      <w:r>
        <w:t xml:space="preserve">-025 and </w:t>
      </w:r>
      <w:r w:rsidR="005C6C34">
        <w:t>PROJECT 12</w:t>
      </w:r>
      <w:r>
        <w:t xml:space="preserve">-026). In these studies, there were no toxicity findings after a single dose of </w:t>
      </w:r>
      <w:r w:rsidR="005C6C34">
        <w:t>PROJECT 12</w:t>
      </w:r>
      <w:r>
        <w:t xml:space="preserve"> at ≤ 500 mg/kg and</w:t>
      </w:r>
    </w:p>
    <w:p w:rsidR="000232AA" w:rsidRDefault="00D42583" w:rsidP="00D42583">
      <w:pPr>
        <w:pStyle w:val="a3"/>
        <w:spacing w:line="272" w:lineRule="exact"/>
        <w:ind w:left="235"/>
        <w:rPr>
          <w:sz w:val="20"/>
        </w:rPr>
      </w:pPr>
      <w:r>
        <w:t>≤ 200 mg/kg in rats and cynomolgus monkeys, respectively.</w:t>
      </w:r>
    </w:p>
    <w:p w:rsidR="000232AA" w:rsidRDefault="000232AA">
      <w:pPr>
        <w:pStyle w:val="a3"/>
        <w:spacing w:before="4"/>
        <w:rPr>
          <w:sz w:val="20"/>
        </w:rPr>
      </w:pPr>
    </w:p>
    <w:p w:rsidR="000232AA" w:rsidRDefault="00D42583">
      <w:pPr>
        <w:pStyle w:val="3"/>
        <w:numPr>
          <w:ilvl w:val="2"/>
          <w:numId w:val="6"/>
        </w:numPr>
        <w:tabs>
          <w:tab w:val="left" w:pos="1087"/>
          <w:tab w:val="left" w:pos="1088"/>
        </w:tabs>
        <w:spacing w:before="1"/>
      </w:pPr>
      <w:bookmarkStart w:id="12" w:name="4.3.2_Repeat-dose_Toxicity"/>
      <w:bookmarkStart w:id="13" w:name="_bookmark59"/>
      <w:bookmarkEnd w:id="12"/>
      <w:bookmarkEnd w:id="13"/>
      <w:r>
        <w:t>Repeat-dose</w:t>
      </w:r>
      <w:r>
        <w:rPr>
          <w:spacing w:val="-2"/>
        </w:rPr>
        <w:t xml:space="preserve"> </w:t>
      </w:r>
      <w:r>
        <w:t>Toxicity</w:t>
      </w:r>
    </w:p>
    <w:p w:rsidR="000232AA" w:rsidRDefault="00D42583">
      <w:pPr>
        <w:pStyle w:val="a3"/>
        <w:spacing w:before="139" w:line="261" w:lineRule="auto"/>
        <w:ind w:left="235" w:right="1938"/>
        <w:jc w:val="both"/>
      </w:pPr>
      <w:r>
        <w:t>One 4-week (5-dose) definitive intravenous toxicity study in rats and one 4-week (5-dose) definitive intravenous toxicity study in cynomolgus monkeys were conducted. A tabulated summary of the 2 pivotal repeat-dose toxicity studies can be found in [End-of-Text</w:t>
      </w:r>
    </w:p>
    <w:p w:rsidR="000232AA" w:rsidRDefault="00D42583">
      <w:pPr>
        <w:pStyle w:val="a3"/>
        <w:spacing w:line="274" w:lineRule="exact"/>
        <w:ind w:left="235"/>
      </w:pPr>
      <w:r>
        <w:t>Table 3.2].</w:t>
      </w:r>
    </w:p>
    <w:p w:rsidR="000232AA" w:rsidRDefault="00D42583">
      <w:pPr>
        <w:pStyle w:val="3"/>
        <w:numPr>
          <w:ilvl w:val="3"/>
          <w:numId w:val="6"/>
        </w:numPr>
        <w:tabs>
          <w:tab w:val="left" w:pos="1088"/>
        </w:tabs>
        <w:spacing w:before="149" w:line="261" w:lineRule="auto"/>
        <w:ind w:right="1796"/>
      </w:pPr>
      <w:bookmarkStart w:id="14" w:name="4.3.2.1_A_4-Week_(5-Dose)_Study_of_ASP19"/>
      <w:bookmarkStart w:id="15" w:name="_bookmark60"/>
      <w:bookmarkEnd w:id="14"/>
      <w:bookmarkEnd w:id="15"/>
      <w:r>
        <w:t xml:space="preserve">A 4-Week (5-Dose) Study of </w:t>
      </w:r>
      <w:r w:rsidR="005C6C34">
        <w:t>PROJECT 12</w:t>
      </w:r>
      <w:r>
        <w:t xml:space="preserve"> by Intravenous Infusion in Cynomolgus Rats with a 4-Week Recovery</w:t>
      </w:r>
      <w:r>
        <w:rPr>
          <w:spacing w:val="-4"/>
        </w:rPr>
        <w:t xml:space="preserve"> </w:t>
      </w:r>
      <w:r>
        <w:t>Period</w:t>
      </w:r>
    </w:p>
    <w:p w:rsidR="000232AA" w:rsidRDefault="00D42583">
      <w:pPr>
        <w:pStyle w:val="a3"/>
        <w:spacing w:before="113" w:line="261" w:lineRule="auto"/>
        <w:ind w:left="235" w:right="2033"/>
      </w:pPr>
      <w:r>
        <w:t xml:space="preserve">Crl:CD(SD) rats (10 males and 10 females per group) were administered </w:t>
      </w:r>
      <w:r w:rsidR="005C6C34">
        <w:t>PROJECT 12</w:t>
      </w:r>
      <w:r>
        <w:t xml:space="preserve"> by intravenously (60-minute infusion) at doses of 0, 50, 150 and 500 mg/kg once weekly for</w:t>
      </w:r>
    </w:p>
    <w:p w:rsidR="000232AA" w:rsidRDefault="00D42583">
      <w:pPr>
        <w:pStyle w:val="a3"/>
        <w:spacing w:line="261" w:lineRule="auto"/>
        <w:ind w:left="235" w:right="1660"/>
      </w:pPr>
      <w:r>
        <w:lastRenderedPageBreak/>
        <w:t xml:space="preserve">4 weeks (Study </w:t>
      </w:r>
      <w:r w:rsidR="005C6C34">
        <w:t>PROJECT 12</w:t>
      </w:r>
      <w:r>
        <w:t xml:space="preserve">-025). The main study animals were dosed on days 1, 8, 15, 22 and 29 and sacrificed on day 30. To assess the reversibility of toxicity findings during a subsequent 4-week recovery period, 5 additional animals/sex received control or </w:t>
      </w:r>
      <w:r w:rsidR="005C6C34">
        <w:t>PROJECT 12</w:t>
      </w:r>
      <w:r>
        <w:t xml:space="preserve"> at a dose level of 500 mg/kg. An additional 3 animals/sex in the control group, and</w:t>
      </w:r>
    </w:p>
    <w:p w:rsidR="000232AA" w:rsidRDefault="00D42583">
      <w:pPr>
        <w:pStyle w:val="a3"/>
        <w:spacing w:line="261" w:lineRule="auto"/>
        <w:ind w:left="235" w:right="1697"/>
        <w:jc w:val="both"/>
      </w:pPr>
      <w:r>
        <w:t>9 animals/sex in all dose groups, were assigned to toxicokinetic satellite groups and dosed in the same manner. Further, 6 males and 6 females per group were treated in the same manner to perform immunophenotyping analysis.</w:t>
      </w:r>
    </w:p>
    <w:p w:rsidR="000232AA" w:rsidRDefault="00D42583">
      <w:pPr>
        <w:pStyle w:val="a3"/>
        <w:spacing w:before="113" w:line="261" w:lineRule="auto"/>
        <w:ind w:left="235" w:right="1638"/>
      </w:pPr>
      <w:r>
        <w:t xml:space="preserve">Intravenous administration of </w:t>
      </w:r>
      <w:r w:rsidR="005C6C34">
        <w:t>PROJECT 12</w:t>
      </w:r>
      <w:r>
        <w:t xml:space="preserve"> was well-tolerated and did not result in any mortality or toxicologically relevant findings at 500 mg/kg. </w:t>
      </w:r>
      <w:r>
        <w:rPr>
          <w:spacing w:val="-3"/>
        </w:rPr>
        <w:t xml:space="preserve">In </w:t>
      </w:r>
      <w:r>
        <w:t>the clinical pathology, increased total protein, increased globulin and decreases in albumin/globulin (A/G) ratio were noted in males and/or females at 500 mg/kg. In addition, decreased triglyceride at ≥ 150mg/kg in females, with no recovery by the end of recovery period, was observed. These changes were considered to be non-adverse, since there were no associated findings and changes were minimal and within historical control ranges. There were test article-related higher absolute and relative liver weights in males and females and an increase in thymic weights in females at 500 mg/kg. These organ weight changes were considered non-adverse since they were not accompanied by microscopic and/or clinical pathology findings. Based on these results, the no-observed-adverse-effect level (NOAEL) under the conditions of this study was considered to be 500 mg/kg, which correlated to a serum AUC</w:t>
      </w:r>
      <w:r>
        <w:rPr>
          <w:vertAlign w:val="subscript"/>
        </w:rPr>
        <w:t>168h</w:t>
      </w:r>
      <w:r>
        <w:t xml:space="preserve"> (sex combined) value</w:t>
      </w:r>
      <w:r>
        <w:rPr>
          <w:spacing w:val="-16"/>
        </w:rPr>
        <w:t xml:space="preserve"> </w:t>
      </w:r>
      <w:r>
        <w:t>of</w:t>
      </w:r>
    </w:p>
    <w:p w:rsidR="000232AA" w:rsidRDefault="00D42583">
      <w:pPr>
        <w:pStyle w:val="a3"/>
        <w:spacing w:line="266" w:lineRule="exact"/>
        <w:ind w:left="235"/>
      </w:pPr>
      <w:r>
        <w:t>1178400</w:t>
      </w:r>
      <w:r>
        <w:rPr>
          <w:spacing w:val="-2"/>
        </w:rPr>
        <w:t xml:space="preserve"> </w:t>
      </w:r>
      <w:r>
        <w:t>µ</w:t>
      </w:r>
      <w:proofErr w:type="spellStart"/>
      <w:r>
        <w:t>g·h</w:t>
      </w:r>
      <w:proofErr w:type="spellEnd"/>
      <w:r>
        <w:t>/mL</w:t>
      </w:r>
      <w:r>
        <w:rPr>
          <w:spacing w:val="-4"/>
        </w:rPr>
        <w:t xml:space="preserve"> </w:t>
      </w:r>
      <w:r>
        <w:t>and</w:t>
      </w:r>
      <w:r>
        <w:rPr>
          <w:spacing w:val="-2"/>
        </w:rPr>
        <w:t xml:space="preserve"> </w:t>
      </w:r>
      <w:r>
        <w:t xml:space="preserve">a </w:t>
      </w:r>
      <w:proofErr w:type="spellStart"/>
      <w:r>
        <w:t>C</w:t>
      </w:r>
      <w:r>
        <w:rPr>
          <w:vertAlign w:val="subscript"/>
        </w:rPr>
        <w:t>max</w:t>
      </w:r>
      <w:proofErr w:type="spellEnd"/>
      <w:r>
        <w:rPr>
          <w:spacing w:val="-22"/>
        </w:rPr>
        <w:t xml:space="preserve"> </w:t>
      </w:r>
      <w:r>
        <w:t>value</w:t>
      </w:r>
      <w:r>
        <w:rPr>
          <w:spacing w:val="-22"/>
        </w:rPr>
        <w:t xml:space="preserve"> </w:t>
      </w:r>
      <w:r>
        <w:t>of</w:t>
      </w:r>
      <w:r>
        <w:rPr>
          <w:spacing w:val="-1"/>
        </w:rPr>
        <w:t xml:space="preserve"> </w:t>
      </w:r>
      <w:r>
        <w:t>13500</w:t>
      </w:r>
      <w:r>
        <w:rPr>
          <w:spacing w:val="-1"/>
        </w:rPr>
        <w:t xml:space="preserve"> </w:t>
      </w:r>
      <w:proofErr w:type="spellStart"/>
      <w:r>
        <w:t>μg</w:t>
      </w:r>
      <w:proofErr w:type="spellEnd"/>
      <w:r>
        <w:t>/mL</w:t>
      </w:r>
      <w:r>
        <w:rPr>
          <w:spacing w:val="-7"/>
        </w:rPr>
        <w:t xml:space="preserve"> </w:t>
      </w:r>
      <w:r>
        <w:t>[End-of</w:t>
      </w:r>
      <w:r>
        <w:rPr>
          <w:spacing w:val="-1"/>
        </w:rPr>
        <w:t xml:space="preserve"> </w:t>
      </w:r>
      <w:r>
        <w:t>Text</w:t>
      </w:r>
      <w:r>
        <w:rPr>
          <w:spacing w:val="-1"/>
        </w:rPr>
        <w:t xml:space="preserve"> </w:t>
      </w:r>
      <w:r>
        <w:t>Table</w:t>
      </w:r>
      <w:r>
        <w:rPr>
          <w:spacing w:val="-1"/>
        </w:rPr>
        <w:t xml:space="preserve"> </w:t>
      </w:r>
      <w:r>
        <w:t>3.2.1].</w:t>
      </w:r>
    </w:p>
    <w:p w:rsidR="000232AA" w:rsidRPr="005C6C34" w:rsidRDefault="00D42583">
      <w:pPr>
        <w:pStyle w:val="3"/>
        <w:numPr>
          <w:ilvl w:val="3"/>
          <w:numId w:val="6"/>
        </w:numPr>
        <w:tabs>
          <w:tab w:val="left" w:pos="1088"/>
        </w:tabs>
        <w:spacing w:before="149" w:line="261" w:lineRule="auto"/>
        <w:ind w:right="2034"/>
        <w:rPr>
          <w:highlight w:val="cyan"/>
        </w:rPr>
      </w:pPr>
      <w:bookmarkStart w:id="16" w:name="4.3.2.2_4-Week_(5-Dose)_Study_of_ASP1948"/>
      <w:bookmarkStart w:id="17" w:name="_bookmark61"/>
      <w:bookmarkEnd w:id="16"/>
      <w:bookmarkEnd w:id="17"/>
      <w:r w:rsidRPr="005C6C34">
        <w:rPr>
          <w:highlight w:val="cyan"/>
        </w:rPr>
        <w:t>4-Week</w:t>
      </w:r>
      <w:r w:rsidRPr="005C6C34">
        <w:rPr>
          <w:spacing w:val="-6"/>
          <w:highlight w:val="cyan"/>
        </w:rPr>
        <w:t xml:space="preserve"> </w:t>
      </w:r>
      <w:r w:rsidRPr="005C6C34">
        <w:rPr>
          <w:highlight w:val="cyan"/>
        </w:rPr>
        <w:t>(5-Dose)</w:t>
      </w:r>
      <w:r w:rsidRPr="005C6C34">
        <w:rPr>
          <w:spacing w:val="-6"/>
          <w:highlight w:val="cyan"/>
        </w:rPr>
        <w:t xml:space="preserve"> </w:t>
      </w:r>
      <w:r w:rsidRPr="005C6C34">
        <w:rPr>
          <w:highlight w:val="cyan"/>
        </w:rPr>
        <w:t>Study</w:t>
      </w:r>
      <w:r w:rsidRPr="005C6C34">
        <w:rPr>
          <w:spacing w:val="-6"/>
          <w:highlight w:val="cyan"/>
        </w:rPr>
        <w:t xml:space="preserve"> </w:t>
      </w:r>
      <w:r w:rsidRPr="005C6C34">
        <w:rPr>
          <w:highlight w:val="cyan"/>
        </w:rPr>
        <w:t>of</w:t>
      </w:r>
      <w:r w:rsidRPr="005C6C34">
        <w:rPr>
          <w:spacing w:val="-5"/>
          <w:highlight w:val="cyan"/>
        </w:rPr>
        <w:t xml:space="preserve"> </w:t>
      </w:r>
      <w:r w:rsidR="005C6C34" w:rsidRPr="005C6C34">
        <w:rPr>
          <w:highlight w:val="cyan"/>
        </w:rPr>
        <w:t>PROJECT 12</w:t>
      </w:r>
      <w:r w:rsidRPr="005C6C34">
        <w:rPr>
          <w:spacing w:val="-5"/>
          <w:highlight w:val="cyan"/>
        </w:rPr>
        <w:t xml:space="preserve"> </w:t>
      </w:r>
      <w:r w:rsidRPr="005C6C34">
        <w:rPr>
          <w:highlight w:val="cyan"/>
        </w:rPr>
        <w:t>by</w:t>
      </w:r>
      <w:r w:rsidRPr="005C6C34">
        <w:rPr>
          <w:spacing w:val="-6"/>
          <w:highlight w:val="cyan"/>
        </w:rPr>
        <w:t xml:space="preserve"> </w:t>
      </w:r>
      <w:r w:rsidRPr="005C6C34">
        <w:rPr>
          <w:highlight w:val="cyan"/>
        </w:rPr>
        <w:t>Intravenous</w:t>
      </w:r>
      <w:r w:rsidRPr="005C6C34">
        <w:rPr>
          <w:spacing w:val="-6"/>
          <w:highlight w:val="cyan"/>
        </w:rPr>
        <w:t xml:space="preserve"> </w:t>
      </w:r>
      <w:r w:rsidRPr="005C6C34">
        <w:rPr>
          <w:highlight w:val="cyan"/>
        </w:rPr>
        <w:t>Infusion</w:t>
      </w:r>
      <w:r w:rsidRPr="005C6C34">
        <w:rPr>
          <w:spacing w:val="-5"/>
          <w:highlight w:val="cyan"/>
        </w:rPr>
        <w:t xml:space="preserve"> </w:t>
      </w:r>
      <w:r w:rsidRPr="005C6C34">
        <w:rPr>
          <w:highlight w:val="cyan"/>
        </w:rPr>
        <w:t>in</w:t>
      </w:r>
      <w:r w:rsidRPr="005C6C34">
        <w:rPr>
          <w:spacing w:val="-5"/>
          <w:highlight w:val="cyan"/>
        </w:rPr>
        <w:t xml:space="preserve"> </w:t>
      </w:r>
      <w:r w:rsidRPr="005C6C34">
        <w:rPr>
          <w:highlight w:val="cyan"/>
        </w:rPr>
        <w:t>Cynomolgus Monkeys with a 4-Week Recovery</w:t>
      </w:r>
      <w:r w:rsidRPr="005C6C34">
        <w:rPr>
          <w:spacing w:val="-4"/>
          <w:highlight w:val="cyan"/>
        </w:rPr>
        <w:t xml:space="preserve"> </w:t>
      </w:r>
      <w:r w:rsidRPr="005C6C34">
        <w:rPr>
          <w:highlight w:val="cyan"/>
        </w:rPr>
        <w:t>Period</w:t>
      </w:r>
    </w:p>
    <w:p w:rsidR="000232AA" w:rsidRPr="005C6C34" w:rsidRDefault="00D42583">
      <w:pPr>
        <w:pStyle w:val="a3"/>
        <w:spacing w:before="113" w:line="261" w:lineRule="auto"/>
        <w:ind w:left="235" w:right="1880"/>
        <w:rPr>
          <w:highlight w:val="cyan"/>
        </w:rPr>
      </w:pPr>
      <w:r w:rsidRPr="005C6C34">
        <w:rPr>
          <w:highlight w:val="cyan"/>
        </w:rPr>
        <w:t xml:space="preserve">Cynomolgus monkeys (3 males and 3 females per group) were administered </w:t>
      </w:r>
      <w:r w:rsidR="005C6C34" w:rsidRPr="005C6C34">
        <w:rPr>
          <w:highlight w:val="cyan"/>
        </w:rPr>
        <w:t>PROJECT 12</w:t>
      </w:r>
      <w:r w:rsidRPr="005C6C34">
        <w:rPr>
          <w:highlight w:val="cyan"/>
        </w:rPr>
        <w:t xml:space="preserve"> by intravenous infusion (60 minutes) at doses of 0 (vehicle control), 20, 60 and 200 mg/kg for</w:t>
      </w:r>
    </w:p>
    <w:p w:rsidR="000232AA" w:rsidRPr="005C6C34" w:rsidRDefault="00D42583">
      <w:pPr>
        <w:pStyle w:val="a3"/>
        <w:spacing w:line="261" w:lineRule="auto"/>
        <w:ind w:left="235" w:right="2067"/>
        <w:rPr>
          <w:highlight w:val="cyan"/>
        </w:rPr>
      </w:pPr>
      <w:r w:rsidRPr="005C6C34">
        <w:rPr>
          <w:highlight w:val="cyan"/>
        </w:rPr>
        <w:t xml:space="preserve">4 weeks (Study </w:t>
      </w:r>
      <w:r w:rsidR="005C6C34" w:rsidRPr="005C6C34">
        <w:rPr>
          <w:highlight w:val="cyan"/>
        </w:rPr>
        <w:t>PROJECT 12</w:t>
      </w:r>
      <w:r w:rsidRPr="005C6C34">
        <w:rPr>
          <w:highlight w:val="cyan"/>
        </w:rPr>
        <w:t>-026). The animals were dosed on days 1, 8, 15, 22 and 29 and sacrificed on day 30. In addition, 2 animals/sex were added to the control and 200 mg/kg dose groups to assess the reversibility of toxicity findings following a 4-week recovery period.</w:t>
      </w:r>
    </w:p>
    <w:p w:rsidR="000232AA" w:rsidRPr="005C6C34" w:rsidRDefault="00D42583" w:rsidP="00D42583">
      <w:pPr>
        <w:pStyle w:val="a3"/>
        <w:spacing w:before="115" w:line="261" w:lineRule="auto"/>
        <w:ind w:left="235" w:right="1672"/>
        <w:rPr>
          <w:sz w:val="20"/>
          <w:highlight w:val="cyan"/>
        </w:rPr>
      </w:pPr>
      <w:r w:rsidRPr="005C6C34">
        <w:rPr>
          <w:highlight w:val="cyan"/>
        </w:rPr>
        <w:t xml:space="preserve">There were no changes in any of the parameters evaluated that were considered toxicologically relevant. </w:t>
      </w:r>
      <w:r w:rsidR="005C6C34" w:rsidRPr="005C6C34">
        <w:rPr>
          <w:highlight w:val="cyan"/>
        </w:rPr>
        <w:t>PROJECT 12</w:t>
      </w:r>
      <w:r w:rsidRPr="005C6C34">
        <w:rPr>
          <w:highlight w:val="cyan"/>
        </w:rPr>
        <w:t>-related clinical pathology changes included non-adverse, decreases in triglycerides at ≥ 20 mg/kg, with no recovery by the end of the recovery period.</w:t>
      </w:r>
    </w:p>
    <w:p w:rsidR="000232AA" w:rsidRDefault="00D42583">
      <w:pPr>
        <w:pStyle w:val="a3"/>
        <w:spacing w:before="230" w:line="261" w:lineRule="auto"/>
        <w:ind w:left="235" w:right="1672"/>
      </w:pPr>
      <w:r w:rsidRPr="005C6C34">
        <w:rPr>
          <w:highlight w:val="cyan"/>
        </w:rPr>
        <w:t>In addition, non-adverse, minimally increased globulins and decreased A/G ratio were noted at 200 mg/kg, with complete or partial recovery. Based on these results, the NOAEL under the conditions of the study was considered to be 200 mg/kg, which correlated to a serum AUC</w:t>
      </w:r>
      <w:r w:rsidRPr="005C6C34">
        <w:rPr>
          <w:highlight w:val="cyan"/>
          <w:vertAlign w:val="subscript"/>
        </w:rPr>
        <w:t>168h</w:t>
      </w:r>
      <w:r w:rsidRPr="005C6C34">
        <w:rPr>
          <w:highlight w:val="cyan"/>
        </w:rPr>
        <w:t xml:space="preserve"> (sex combined) value of 809000 µ</w:t>
      </w:r>
      <w:proofErr w:type="spellStart"/>
      <w:r w:rsidRPr="005C6C34">
        <w:rPr>
          <w:highlight w:val="cyan"/>
        </w:rPr>
        <w:t>g·h</w:t>
      </w:r>
      <w:proofErr w:type="spellEnd"/>
      <w:r w:rsidRPr="005C6C34">
        <w:rPr>
          <w:highlight w:val="cyan"/>
        </w:rPr>
        <w:t xml:space="preserve">/mL and </w:t>
      </w:r>
      <w:proofErr w:type="spellStart"/>
      <w:r w:rsidRPr="005C6C34">
        <w:rPr>
          <w:highlight w:val="cyan"/>
        </w:rPr>
        <w:t>C</w:t>
      </w:r>
      <w:r w:rsidRPr="005C6C34">
        <w:rPr>
          <w:highlight w:val="cyan"/>
          <w:vertAlign w:val="subscript"/>
        </w:rPr>
        <w:t>max</w:t>
      </w:r>
      <w:proofErr w:type="spellEnd"/>
      <w:r w:rsidRPr="005C6C34">
        <w:rPr>
          <w:highlight w:val="cyan"/>
        </w:rPr>
        <w:t xml:space="preserve"> of 7320 </w:t>
      </w:r>
      <w:proofErr w:type="spellStart"/>
      <w:r w:rsidRPr="005C6C34">
        <w:rPr>
          <w:highlight w:val="cyan"/>
        </w:rPr>
        <w:t>μg</w:t>
      </w:r>
      <w:proofErr w:type="spellEnd"/>
      <w:r w:rsidRPr="005C6C34">
        <w:rPr>
          <w:highlight w:val="cyan"/>
        </w:rPr>
        <w:t>/mL [End-of Text Table 3.2.2].</w:t>
      </w:r>
    </w:p>
    <w:p w:rsidR="000232AA" w:rsidRDefault="00D42583">
      <w:pPr>
        <w:pStyle w:val="3"/>
        <w:numPr>
          <w:ilvl w:val="2"/>
          <w:numId w:val="6"/>
        </w:numPr>
        <w:tabs>
          <w:tab w:val="left" w:pos="1087"/>
          <w:tab w:val="left" w:pos="1088"/>
        </w:tabs>
        <w:spacing w:before="120"/>
      </w:pPr>
      <w:bookmarkStart w:id="18" w:name="4.3.3_Genotoxicity"/>
      <w:bookmarkStart w:id="19" w:name="_bookmark62"/>
      <w:bookmarkEnd w:id="18"/>
      <w:bookmarkEnd w:id="19"/>
      <w:r>
        <w:t>Genotoxicity</w:t>
      </w:r>
    </w:p>
    <w:p w:rsidR="000232AA" w:rsidRDefault="00D42583">
      <w:pPr>
        <w:pStyle w:val="a3"/>
        <w:spacing w:before="140" w:line="261" w:lineRule="auto"/>
        <w:ind w:left="235" w:right="1513"/>
      </w:pPr>
      <w:r>
        <w:t xml:space="preserve">Genotoxicity studies of </w:t>
      </w:r>
      <w:r w:rsidR="005C6C34">
        <w:t>PROJECT 12</w:t>
      </w:r>
      <w:r>
        <w:t xml:space="preserve"> were not conducted and are not scheduled, since the studies routinely conducted are not considered relevant for a monoclonal antibody product</w:t>
      </w:r>
    </w:p>
    <w:p w:rsidR="000232AA" w:rsidRDefault="00D42583">
      <w:pPr>
        <w:pStyle w:val="a3"/>
        <w:spacing w:line="274" w:lineRule="exact"/>
        <w:ind w:left="235"/>
      </w:pPr>
      <w:r>
        <w:lastRenderedPageBreak/>
        <w:t>[ICH S6(R1)].</w:t>
      </w:r>
    </w:p>
    <w:p w:rsidR="000232AA" w:rsidRDefault="00D42583">
      <w:pPr>
        <w:pStyle w:val="3"/>
        <w:numPr>
          <w:ilvl w:val="2"/>
          <w:numId w:val="6"/>
        </w:numPr>
        <w:tabs>
          <w:tab w:val="left" w:pos="1087"/>
          <w:tab w:val="left" w:pos="1088"/>
        </w:tabs>
        <w:spacing w:before="149"/>
      </w:pPr>
      <w:bookmarkStart w:id="20" w:name="4.3.4_Carcinogenicity"/>
      <w:bookmarkStart w:id="21" w:name="_bookmark63"/>
      <w:bookmarkEnd w:id="20"/>
      <w:bookmarkEnd w:id="21"/>
      <w:r>
        <w:t>Carcinogenicity</w:t>
      </w:r>
    </w:p>
    <w:p w:rsidR="000232AA" w:rsidRDefault="00D42583">
      <w:pPr>
        <w:pStyle w:val="a3"/>
        <w:spacing w:before="139" w:line="261" w:lineRule="auto"/>
        <w:ind w:left="235" w:right="2053"/>
      </w:pPr>
      <w:r>
        <w:t xml:space="preserve">Carcinogenicity studies of </w:t>
      </w:r>
      <w:r w:rsidR="005C6C34">
        <w:t>PROJECT 12</w:t>
      </w:r>
      <w:r>
        <w:t xml:space="preserve"> were not conducted and are not scheduled, since the studies are not considered necessary for anti-cancer agents intended for treatment of advanced systemic disease [ICH S1A and S9].</w:t>
      </w:r>
    </w:p>
    <w:p w:rsidR="000232AA" w:rsidRDefault="00D42583">
      <w:pPr>
        <w:pStyle w:val="3"/>
        <w:numPr>
          <w:ilvl w:val="2"/>
          <w:numId w:val="6"/>
        </w:numPr>
        <w:tabs>
          <w:tab w:val="left" w:pos="1087"/>
          <w:tab w:val="left" w:pos="1088"/>
        </w:tabs>
        <w:spacing w:before="122"/>
      </w:pPr>
      <w:bookmarkStart w:id="22" w:name="4.3.5_Reproductive_and_Developmental_Tox"/>
      <w:bookmarkStart w:id="23" w:name="_bookmark64"/>
      <w:bookmarkEnd w:id="22"/>
      <w:bookmarkEnd w:id="23"/>
      <w:r>
        <w:t>Reproductive and Developmental</w:t>
      </w:r>
      <w:r>
        <w:rPr>
          <w:spacing w:val="-5"/>
        </w:rPr>
        <w:t xml:space="preserve"> </w:t>
      </w:r>
      <w:r>
        <w:t>Toxicity</w:t>
      </w:r>
    </w:p>
    <w:p w:rsidR="000232AA" w:rsidRDefault="00D42583">
      <w:pPr>
        <w:pStyle w:val="a3"/>
        <w:spacing w:before="139" w:line="261" w:lineRule="auto"/>
        <w:ind w:left="235" w:right="1713"/>
      </w:pPr>
      <w:r>
        <w:t xml:space="preserve">No reproductive and developmental toxicity studies with </w:t>
      </w:r>
      <w:r w:rsidR="005C6C34">
        <w:t>PROJECT 12</w:t>
      </w:r>
      <w:r>
        <w:t xml:space="preserve"> have been conducted as of the preparation of this IB.</w:t>
      </w:r>
    </w:p>
    <w:p w:rsidR="000232AA" w:rsidRDefault="00D42583">
      <w:pPr>
        <w:pStyle w:val="3"/>
        <w:numPr>
          <w:ilvl w:val="2"/>
          <w:numId w:val="6"/>
        </w:numPr>
        <w:tabs>
          <w:tab w:val="left" w:pos="1087"/>
          <w:tab w:val="left" w:pos="1088"/>
        </w:tabs>
        <w:spacing w:before="124"/>
      </w:pPr>
      <w:bookmarkStart w:id="24" w:name="4.3.6_Local_Tolerance"/>
      <w:bookmarkStart w:id="25" w:name="_bookmark65"/>
      <w:bookmarkEnd w:id="24"/>
      <w:bookmarkEnd w:id="25"/>
      <w:r>
        <w:t>Local</w:t>
      </w:r>
      <w:r>
        <w:rPr>
          <w:spacing w:val="-2"/>
        </w:rPr>
        <w:t xml:space="preserve"> </w:t>
      </w:r>
      <w:r>
        <w:t>Tolerance</w:t>
      </w:r>
    </w:p>
    <w:p w:rsidR="000232AA" w:rsidRDefault="00D42583">
      <w:pPr>
        <w:pStyle w:val="a3"/>
        <w:spacing w:before="139" w:line="261" w:lineRule="auto"/>
        <w:ind w:left="235" w:right="1752"/>
      </w:pPr>
      <w:r>
        <w:t xml:space="preserve">Local irritation was evaluated as part of the repeat intravenous dose toxicity study (Studies </w:t>
      </w:r>
      <w:r w:rsidR="005C6C34">
        <w:t>PROJECT 12</w:t>
      </w:r>
      <w:r>
        <w:t xml:space="preserve">-025 and </w:t>
      </w:r>
      <w:r w:rsidR="005C6C34">
        <w:t>PROJECT 12</w:t>
      </w:r>
      <w:r>
        <w:t xml:space="preserve">-026). There were no apparent differences between the </w:t>
      </w:r>
      <w:r w:rsidR="005C6C34">
        <w:t>PROJECT 12</w:t>
      </w:r>
      <w:r>
        <w:t xml:space="preserve"> and vehicle control dosing group in the histopathologic examination.</w:t>
      </w:r>
    </w:p>
    <w:p w:rsidR="000232AA" w:rsidRDefault="00D42583">
      <w:pPr>
        <w:pStyle w:val="3"/>
        <w:numPr>
          <w:ilvl w:val="2"/>
          <w:numId w:val="6"/>
        </w:numPr>
        <w:tabs>
          <w:tab w:val="left" w:pos="1087"/>
          <w:tab w:val="left" w:pos="1088"/>
        </w:tabs>
        <w:spacing w:before="122"/>
      </w:pPr>
      <w:bookmarkStart w:id="26" w:name="4.3.7_Other_Toxicity_Studies"/>
      <w:bookmarkStart w:id="27" w:name="_bookmark66"/>
      <w:bookmarkEnd w:id="26"/>
      <w:bookmarkEnd w:id="27"/>
      <w:r>
        <w:t>Other Toxicity</w:t>
      </w:r>
      <w:r>
        <w:rPr>
          <w:spacing w:val="-7"/>
        </w:rPr>
        <w:t xml:space="preserve"> </w:t>
      </w:r>
      <w:r>
        <w:t>Studies</w:t>
      </w:r>
    </w:p>
    <w:p w:rsidR="000232AA" w:rsidRDefault="00D42583">
      <w:pPr>
        <w:pStyle w:val="a4"/>
        <w:numPr>
          <w:ilvl w:val="3"/>
          <w:numId w:val="6"/>
        </w:numPr>
        <w:tabs>
          <w:tab w:val="left" w:pos="1088"/>
        </w:tabs>
        <w:spacing w:before="144"/>
        <w:rPr>
          <w:b/>
          <w:sz w:val="24"/>
        </w:rPr>
      </w:pPr>
      <w:bookmarkStart w:id="28" w:name="4.3.7.1_Tissue_Cross-reactivity"/>
      <w:bookmarkStart w:id="29" w:name="_bookmark67"/>
      <w:bookmarkEnd w:id="28"/>
      <w:bookmarkEnd w:id="29"/>
      <w:r>
        <w:rPr>
          <w:b/>
          <w:sz w:val="24"/>
        </w:rPr>
        <w:t>Tissue</w:t>
      </w:r>
      <w:r>
        <w:rPr>
          <w:b/>
          <w:spacing w:val="-15"/>
          <w:sz w:val="24"/>
        </w:rPr>
        <w:t xml:space="preserve"> </w:t>
      </w:r>
      <w:r>
        <w:rPr>
          <w:b/>
          <w:sz w:val="24"/>
        </w:rPr>
        <w:t>Cross-reactivity</w:t>
      </w:r>
    </w:p>
    <w:p w:rsidR="000232AA" w:rsidRDefault="005C6C34">
      <w:pPr>
        <w:pStyle w:val="a3"/>
        <w:spacing w:before="139" w:line="261" w:lineRule="auto"/>
        <w:ind w:left="235" w:right="1998"/>
      </w:pPr>
      <w:r>
        <w:t>PROJECT 12</w:t>
      </w:r>
      <w:r w:rsidR="00D42583">
        <w:t xml:space="preserve"> was applied to cryosections of 36 different normal cynomolgus monkey tissues (2 donors per tissue) and human tissues (3 donors per tissue) at concentrations of 5 and</w:t>
      </w:r>
    </w:p>
    <w:p w:rsidR="000232AA" w:rsidRDefault="00D42583">
      <w:pPr>
        <w:pStyle w:val="a3"/>
        <w:spacing w:line="261" w:lineRule="auto"/>
        <w:ind w:left="235" w:right="1998"/>
      </w:pPr>
      <w:r>
        <w:t xml:space="preserve">0.5 µg/mL (Study </w:t>
      </w:r>
      <w:r w:rsidR="005C6C34">
        <w:t>PROJECT 12</w:t>
      </w:r>
      <w:r>
        <w:t>-024). In addition, monoclonal human IgG4 with hinge stabilizing mutation was used as an isotype control.</w:t>
      </w:r>
    </w:p>
    <w:p w:rsidR="000232AA" w:rsidRDefault="00D42583">
      <w:pPr>
        <w:pStyle w:val="a3"/>
        <w:spacing w:before="117" w:line="261" w:lineRule="auto"/>
        <w:ind w:left="235" w:right="1720"/>
      </w:pPr>
      <w:r>
        <w:t xml:space="preserve">Similar reactivity with </w:t>
      </w:r>
      <w:r w:rsidR="005C6C34">
        <w:t>PROJECT 12</w:t>
      </w:r>
      <w:r>
        <w:t xml:space="preserve"> was observed in endothelium, spindle cells and mononuclear cells in the human and cynomolgus monkey tissue panels. Neuropil, adrenal cortical epithelium and ovarian theca cells were stained only in cynomolgus monkey tissues, while Kupffer cells, pituicytes and bone marrow hematopoietic cells were stained only in human tissues.</w:t>
      </w:r>
    </w:p>
    <w:p w:rsidR="000232AA" w:rsidRDefault="00D42583">
      <w:pPr>
        <w:pStyle w:val="a3"/>
        <w:spacing w:before="116" w:line="261" w:lineRule="auto"/>
        <w:ind w:left="235" w:right="1672"/>
      </w:pPr>
      <w:r>
        <w:t xml:space="preserve">The staining observed with </w:t>
      </w:r>
      <w:r w:rsidR="005C6C34">
        <w:t>PROJECT 12</w:t>
      </w:r>
      <w:r>
        <w:t xml:space="preserve"> in the monkey and human tissues in the tissue cross- reactivity study was cytoplasmic in nature, with the exception of the neuropil staining observed in a single monkey brain sample.</w:t>
      </w:r>
    </w:p>
    <w:p w:rsidR="000232AA" w:rsidRDefault="00D42583">
      <w:pPr>
        <w:pStyle w:val="3"/>
        <w:spacing w:before="122"/>
        <w:ind w:left="235"/>
      </w:pPr>
      <w:bookmarkStart w:id="30" w:name="4.3.7.2_Cytokine-release_and_Proliferati"/>
      <w:bookmarkStart w:id="31" w:name="_bookmark68"/>
      <w:bookmarkEnd w:id="30"/>
      <w:bookmarkEnd w:id="31"/>
      <w:r>
        <w:t>4.3.7.2 Cytokine-release and Proliferation Assay</w:t>
      </w:r>
    </w:p>
    <w:p w:rsidR="000232AA" w:rsidRDefault="00D42583" w:rsidP="00D42583">
      <w:pPr>
        <w:pStyle w:val="a3"/>
        <w:spacing w:before="140" w:line="261" w:lineRule="auto"/>
        <w:ind w:left="235" w:right="1613"/>
        <w:rPr>
          <w:sz w:val="20"/>
        </w:rPr>
      </w:pPr>
      <w:r>
        <w:t xml:space="preserve">The in vitro effects of </w:t>
      </w:r>
      <w:r w:rsidR="005C6C34">
        <w:t>PROJECT 12</w:t>
      </w:r>
      <w:r>
        <w:t xml:space="preserve"> on cytokine-release from human PBMCs and proliferation of human PBMCs were assessed in both wet coated and soluble assays (Study </w:t>
      </w:r>
      <w:r w:rsidR="005C6C34">
        <w:t>PROJECT 12</w:t>
      </w:r>
      <w:r>
        <w:t>-027).</w:t>
      </w:r>
    </w:p>
    <w:p w:rsidR="000232AA" w:rsidRDefault="00D42583">
      <w:pPr>
        <w:pStyle w:val="a3"/>
        <w:spacing w:before="230" w:line="261" w:lineRule="auto"/>
        <w:ind w:left="235" w:right="1802"/>
      </w:pPr>
      <w:r>
        <w:t xml:space="preserve">Samples provided from 10 healthy human donors were incubated with </w:t>
      </w:r>
      <w:r w:rsidR="005C6C34">
        <w:t>PROJECT 12</w:t>
      </w:r>
      <w:r>
        <w:t xml:space="preserve"> in 2 formats; a soluble assay format (0.3, 3.0, 30 and 300 µg/mL) and a wet-coated immobilized assay format (0.06, 0.6, 6.0 and 60 µg/well). For the wet-coated format, </w:t>
      </w:r>
      <w:r w:rsidR="005C6C34">
        <w:t>PROJECT 12</w:t>
      </w:r>
      <w:r>
        <w:t xml:space="preserve"> was immobilized to an assay plate, while in the soluble format, PBMCs were incubated with </w:t>
      </w:r>
      <w:r w:rsidR="005C6C34">
        <w:t>PROJECT 12</w:t>
      </w:r>
      <w:r>
        <w:t xml:space="preserve"> in solution. For each assay, a negative control, an isotype control and positive controls (anti-human CD3 antibody and/or phytohemagglutinin [PHA]) were included.</w:t>
      </w:r>
    </w:p>
    <w:p w:rsidR="000232AA" w:rsidRDefault="00D42583">
      <w:pPr>
        <w:pStyle w:val="a3"/>
        <w:spacing w:before="115" w:line="261" w:lineRule="auto"/>
        <w:ind w:left="235" w:right="1719"/>
      </w:pPr>
      <w:r>
        <w:t xml:space="preserve">In vitro incubation of human PBMCs with </w:t>
      </w:r>
      <w:r w:rsidR="005C6C34">
        <w:t>PROJECT 12</w:t>
      </w:r>
      <w:r>
        <w:t xml:space="preserve"> in the soluble format did not induce the secretion of IL-2, IL-10, IL-12(p70) and </w:t>
      </w:r>
      <w:proofErr w:type="spellStart"/>
      <w:r>
        <w:t>IFNγ</w:t>
      </w:r>
      <w:proofErr w:type="spellEnd"/>
      <w:r>
        <w:t xml:space="preserve"> at any </w:t>
      </w:r>
      <w:r w:rsidR="005C6C34">
        <w:t>PROJECT 12</w:t>
      </w:r>
      <w:r>
        <w:t xml:space="preserve"> concentration.</w:t>
      </w:r>
    </w:p>
    <w:p w:rsidR="000232AA" w:rsidRDefault="00D42583">
      <w:pPr>
        <w:pStyle w:val="a3"/>
        <w:spacing w:before="118" w:line="261" w:lineRule="auto"/>
        <w:ind w:left="235" w:right="1632"/>
      </w:pPr>
      <w:r>
        <w:lastRenderedPageBreak/>
        <w:t xml:space="preserve">In vitro incubation of human PBMCs with </w:t>
      </w:r>
      <w:r w:rsidR="005C6C34">
        <w:t>PROJECT 12</w:t>
      </w:r>
      <w:r>
        <w:t xml:space="preserve"> in the soluble format resulted in 5.5-fold increase of IL-6 at 30 µg/mL when compared to the isotype control, and increases in IL-1β, IL-6, IL-8, TNFα and G-CSF were noted at 300 µg/mL when compared to the isotype control (9.6-, 28.0-, 6.1-, 5.2- and 5.9-fold, respectively). In the positive controls, the degree of induced IL-1β, IL-6, IL-8, TNFα and G-CSF was 32-, 55-, 4-, 9- and 13-fold (anti-CD3 antibody) or 297-, 1285-, 11-, 83- and 1207-fold (PHA), respectively. Additionally, increases were observed in IL-8 at 30 µg/mL in 3 out of 10 donors, however, the overall group median fold change was minimal compared to that of isotype control.</w:t>
      </w:r>
    </w:p>
    <w:p w:rsidR="000232AA" w:rsidRDefault="00D42583">
      <w:pPr>
        <w:pStyle w:val="a3"/>
        <w:spacing w:before="114" w:line="261" w:lineRule="auto"/>
        <w:ind w:left="235" w:right="1794"/>
      </w:pPr>
      <w:r>
        <w:t xml:space="preserve">In the wet-coated immobilized format, no </w:t>
      </w:r>
      <w:r w:rsidR="005C6C34">
        <w:t>PROJECT 12</w:t>
      </w:r>
      <w:r>
        <w:t>-related increases in any cytokines were observed when compared to the isotype control.</w:t>
      </w:r>
    </w:p>
    <w:p w:rsidR="000232AA" w:rsidRDefault="00D42583">
      <w:pPr>
        <w:pStyle w:val="a3"/>
        <w:spacing w:before="118" w:line="261" w:lineRule="auto"/>
        <w:ind w:left="235" w:right="1812"/>
      </w:pPr>
      <w:r>
        <w:t xml:space="preserve">In vitro incubation of human PBMCs for 3 days with </w:t>
      </w:r>
      <w:r w:rsidR="005C6C34">
        <w:t>PROJECT 12</w:t>
      </w:r>
      <w:r>
        <w:t xml:space="preserve"> in the soluble or wet-coated format did not induce PBMC proliferation at any </w:t>
      </w:r>
      <w:r w:rsidR="005C6C34">
        <w:t>PROJECT 12</w:t>
      </w:r>
      <w:r>
        <w:t xml:space="preserve"> concentration in any donor.</w:t>
      </w:r>
    </w:p>
    <w:p w:rsidR="000232AA" w:rsidRDefault="00D42583">
      <w:pPr>
        <w:pStyle w:val="2"/>
        <w:numPr>
          <w:ilvl w:val="1"/>
          <w:numId w:val="5"/>
        </w:numPr>
        <w:tabs>
          <w:tab w:val="left" w:pos="1087"/>
          <w:tab w:val="left" w:pos="1088"/>
        </w:tabs>
        <w:spacing w:before="98"/>
        <w:ind w:right="1693"/>
      </w:pPr>
      <w:bookmarkStart w:id="32" w:name="4.4_Integrated_Nonclinical_Overview_and_"/>
      <w:bookmarkStart w:id="33" w:name="_bookmark69"/>
      <w:bookmarkEnd w:id="32"/>
      <w:bookmarkEnd w:id="33"/>
      <w:r>
        <w:t>Integrated Nonclinical Overview and Conclusion: Potential Clinical Relevance</w:t>
      </w:r>
    </w:p>
    <w:p w:rsidR="000232AA" w:rsidRDefault="00D42583">
      <w:pPr>
        <w:pStyle w:val="3"/>
        <w:numPr>
          <w:ilvl w:val="2"/>
          <w:numId w:val="5"/>
        </w:numPr>
        <w:tabs>
          <w:tab w:val="left" w:pos="1087"/>
          <w:tab w:val="left" w:pos="1088"/>
        </w:tabs>
        <w:spacing w:before="145"/>
      </w:pPr>
      <w:bookmarkStart w:id="34" w:name="4.4.1_Summary_of_Nonclinical_Data_Packag"/>
      <w:bookmarkStart w:id="35" w:name="_bookmark70"/>
      <w:bookmarkEnd w:id="34"/>
      <w:bookmarkEnd w:id="35"/>
      <w:r>
        <w:t>Summary of Nonclinical Data</w:t>
      </w:r>
      <w:r>
        <w:rPr>
          <w:spacing w:val="-5"/>
        </w:rPr>
        <w:t xml:space="preserve"> </w:t>
      </w:r>
      <w:r>
        <w:t>Package</w:t>
      </w:r>
    </w:p>
    <w:p w:rsidR="000232AA" w:rsidRDefault="005C6C34">
      <w:pPr>
        <w:pStyle w:val="a3"/>
        <w:spacing w:before="139" w:line="261" w:lineRule="auto"/>
        <w:ind w:left="235" w:right="1705"/>
      </w:pPr>
      <w:r>
        <w:t>PROJECT 12</w:t>
      </w:r>
      <w:r w:rsidR="00D42583">
        <w:t xml:space="preserve"> is a high affinity, fully human, anti-NRP1 immunoglobulin IgG4 antibody with S228P hinge stabilization mutation, which binds to NRP1 to block ligand interactions on the surface of </w:t>
      </w:r>
      <w:proofErr w:type="spellStart"/>
      <w:r w:rsidR="00D42583">
        <w:t>Tregs</w:t>
      </w:r>
      <w:proofErr w:type="spellEnd"/>
      <w:r w:rsidR="00D42583">
        <w:t xml:space="preserve"> to reverse the suppressive activity of these cells. </w:t>
      </w:r>
      <w:r>
        <w:t>PROJECT 12</w:t>
      </w:r>
      <w:r w:rsidR="00D42583">
        <w:t xml:space="preserve"> has a high affinity for mouse, rat, cynomolgus monkey and human recombinant NRP1. Therefore, the binding affinity of </w:t>
      </w:r>
      <w:r>
        <w:t>PROJECT 12</w:t>
      </w:r>
      <w:r w:rsidR="00D42583">
        <w:t xml:space="preserve"> for rat and cynomolgus monkey NRP1 supported both as appropriate species for safety studies.</w:t>
      </w:r>
    </w:p>
    <w:p w:rsidR="000232AA" w:rsidRDefault="00D42583" w:rsidP="005C6C34">
      <w:pPr>
        <w:pStyle w:val="a3"/>
        <w:spacing w:before="115" w:line="261" w:lineRule="auto"/>
        <w:ind w:left="235" w:right="1600"/>
      </w:pPr>
      <w:r>
        <w:t xml:space="preserve">The pharmacological properties of </w:t>
      </w:r>
      <w:r w:rsidR="005C6C34">
        <w:t>PROJECT 12</w:t>
      </w:r>
      <w:r>
        <w:t xml:space="preserve"> to modulate the immunosuppressive phenotype of </w:t>
      </w:r>
      <w:proofErr w:type="spellStart"/>
      <w:r>
        <w:t>Tregs</w:t>
      </w:r>
      <w:proofErr w:type="spellEnd"/>
      <w:r>
        <w:t xml:space="preserve"> and promote immune mediated reduction of tumor burden was shown in 2 mouse syngeneic tumor models. Using the CT26 colon model, the antitumor efficacy of </w:t>
      </w:r>
      <w:r w:rsidR="005C6C34">
        <w:t>PROJECT 12</w:t>
      </w:r>
      <w:r>
        <w:t xml:space="preserve"> as a single agent was demonstrated using </w:t>
      </w:r>
      <w:proofErr w:type="spellStart"/>
      <w:r>
        <w:t>m</w:t>
      </w:r>
      <w:r w:rsidR="005C6C34">
        <w:t>PROJECT</w:t>
      </w:r>
      <w:proofErr w:type="spellEnd"/>
      <w:r w:rsidR="005C6C34">
        <w:t xml:space="preserve"> 12</w:t>
      </w:r>
      <w:r>
        <w:t xml:space="preserve">, a chimeric version of </w:t>
      </w:r>
      <w:r w:rsidR="005C6C34">
        <w:t>PROJECT 12</w:t>
      </w:r>
      <w:r>
        <w:t xml:space="preserve"> consisting of a mouse IgG2a scaffold, with the N297A mutation to reduce ADCC and CDC effector functions. </w:t>
      </w:r>
      <w:proofErr w:type="spellStart"/>
      <w:r>
        <w:t>m</w:t>
      </w:r>
      <w:r w:rsidR="005C6C34">
        <w:t>PROJECT</w:t>
      </w:r>
      <w:proofErr w:type="spellEnd"/>
      <w:r w:rsidR="005C6C34">
        <w:t xml:space="preserve"> 12</w:t>
      </w:r>
      <w:r>
        <w:t xml:space="preserve"> displayed antitumor efficacy greater than that of an anti-PD-1 antibody. The combination of </w:t>
      </w:r>
      <w:proofErr w:type="spellStart"/>
      <w:r>
        <w:t>m</w:t>
      </w:r>
      <w:r w:rsidR="005C6C34">
        <w:t>PROJECT</w:t>
      </w:r>
      <w:proofErr w:type="spellEnd"/>
      <w:r w:rsidR="005C6C34">
        <w:t xml:space="preserve"> 12</w:t>
      </w:r>
      <w:r>
        <w:t xml:space="preserve"> with the anti-PD-1 antibody resulted in increased antitumor efficacy over that of either treatment alone. Antitumor efficacy correlated with full RO of NRP1, which was achieved in the </w:t>
      </w:r>
      <w:proofErr w:type="spellStart"/>
      <w:r>
        <w:t>m</w:t>
      </w:r>
      <w:r w:rsidR="005C6C34">
        <w:t>PROJECT</w:t>
      </w:r>
      <w:proofErr w:type="spellEnd"/>
      <w:r w:rsidR="005C6C34">
        <w:t xml:space="preserve"> 12</w:t>
      </w:r>
      <w:r>
        <w:t xml:space="preserve"> and </w:t>
      </w:r>
      <w:proofErr w:type="spellStart"/>
      <w:r>
        <w:t>m</w:t>
      </w:r>
      <w:r w:rsidR="005C6C34">
        <w:t>PROJECT</w:t>
      </w:r>
      <w:proofErr w:type="spellEnd"/>
      <w:r w:rsidR="005C6C34">
        <w:t xml:space="preserve"> 12</w:t>
      </w:r>
      <w:r>
        <w:t xml:space="preserve">/anti-PD-1 antibody treated groups. </w:t>
      </w:r>
      <w:proofErr w:type="spellStart"/>
      <w:r>
        <w:t>m</w:t>
      </w:r>
      <w:r w:rsidR="005C6C34">
        <w:t>PROJECT</w:t>
      </w:r>
      <w:proofErr w:type="spellEnd"/>
      <w:r w:rsidR="005C6C34">
        <w:t xml:space="preserve"> 12</w:t>
      </w:r>
      <w:r>
        <w:t xml:space="preserve"> as a single agent or in combination with anti-PD-1 antibody resulted in significant decreases in the expression levels of NRP1 and the transcription factor Helios on</w:t>
      </w:r>
      <w:r w:rsidR="005C6C34">
        <w:t xml:space="preserve"> </w:t>
      </w:r>
      <w:r>
        <w:t xml:space="preserve">splenic </w:t>
      </w:r>
      <w:proofErr w:type="spellStart"/>
      <w:r>
        <w:t>Tregs</w:t>
      </w:r>
      <w:proofErr w:type="spellEnd"/>
      <w:r>
        <w:t xml:space="preserve">, as well as decreases in </w:t>
      </w:r>
      <w:proofErr w:type="spellStart"/>
      <w:r>
        <w:t>Treg</w:t>
      </w:r>
      <w:proofErr w:type="spellEnd"/>
      <w:r>
        <w:t xml:space="preserve"> proliferation. Re-stimulation of CD8+ T cells isolated from tumors treated in vivo with the combination of </w:t>
      </w:r>
      <w:proofErr w:type="spellStart"/>
      <w:r>
        <w:t>m</w:t>
      </w:r>
      <w:r w:rsidR="005C6C34">
        <w:t>PROJECT</w:t>
      </w:r>
      <w:proofErr w:type="spellEnd"/>
      <w:r w:rsidR="005C6C34">
        <w:t xml:space="preserve"> 12</w:t>
      </w:r>
      <w:r>
        <w:t xml:space="preserve"> and anti-PD-1 antibody had a significantly higher frequency of cells producing </w:t>
      </w:r>
      <w:proofErr w:type="spellStart"/>
      <w:r>
        <w:t>IFNγ</w:t>
      </w:r>
      <w:proofErr w:type="spellEnd"/>
      <w:r>
        <w:t xml:space="preserve"> and TNF, as well as a significantly higher frequency of CD8+ T cells producing both cytokines simultaneously. A pharmacologic dose-response study of </w:t>
      </w:r>
      <w:proofErr w:type="spellStart"/>
      <w:r>
        <w:t>m</w:t>
      </w:r>
      <w:r w:rsidR="005C6C34">
        <w:t>PROJECT</w:t>
      </w:r>
      <w:proofErr w:type="spellEnd"/>
      <w:r w:rsidR="005C6C34">
        <w:t xml:space="preserve"> 12</w:t>
      </w:r>
      <w:r>
        <w:t xml:space="preserve"> was conducted in the MC38 syngeneic colon tumor model in mice. Again, single agent activity was observed in this model, and efficacy occurred with maximum RO when circulating levels of </w:t>
      </w:r>
      <w:proofErr w:type="spellStart"/>
      <w:r>
        <w:t>m</w:t>
      </w:r>
      <w:r w:rsidR="005C6C34">
        <w:t>PROJECT</w:t>
      </w:r>
      <w:proofErr w:type="spellEnd"/>
      <w:r w:rsidR="005C6C34">
        <w:t xml:space="preserve"> 12</w:t>
      </w:r>
      <w:r>
        <w:t xml:space="preserve"> were maintained above approximately 100 </w:t>
      </w:r>
      <w:proofErr w:type="spellStart"/>
      <w:r>
        <w:t>μg</w:t>
      </w:r>
      <w:proofErr w:type="spellEnd"/>
      <w:r>
        <w:t xml:space="preserve">/mL. Dose-dependent changes were observed in peripheral immune cell phenotypes such as a decrease of </w:t>
      </w:r>
      <w:r>
        <w:lastRenderedPageBreak/>
        <w:t xml:space="preserve">Helios and FoxP3 expression in </w:t>
      </w:r>
      <w:proofErr w:type="spellStart"/>
      <w:r>
        <w:t>Tregs</w:t>
      </w:r>
      <w:proofErr w:type="spellEnd"/>
      <w:r>
        <w:t>, as well as a decrease in their proliferation.</w:t>
      </w:r>
    </w:p>
    <w:p w:rsidR="000232AA" w:rsidRDefault="00D42583">
      <w:pPr>
        <w:pStyle w:val="a3"/>
        <w:spacing w:before="112" w:line="261" w:lineRule="auto"/>
        <w:ind w:left="235" w:right="1620"/>
      </w:pPr>
      <w:r>
        <w:t xml:space="preserve">The pharmacokinetics and toxicokinetics of </w:t>
      </w:r>
      <w:r w:rsidR="005C6C34">
        <w:t>PROJECT 12</w:t>
      </w:r>
      <w:r>
        <w:t xml:space="preserve"> were characterized in rats and cynomolgus monkeys in single- and repeat-dose studies. The pharmacokinetics and toxicokinetics of </w:t>
      </w:r>
      <w:r w:rsidR="005C6C34">
        <w:t>PROJECT 12</w:t>
      </w:r>
      <w:r>
        <w:t xml:space="preserve"> are characterized by TMDD, with nonlinear behavior at a single dose (3 to 30 mg/kg) in both rats and cynomolgus monkeys and approximately linear behavior during repeated dosing (50 to 500 mg/kg in rats and 20 to 200 mg/kg in cynomolgus monkeys). No apparent sex differences were observed in exposure in either rats or cynomolgus monkeys. After repeated weekly administration, an increase in exposure (</w:t>
      </w:r>
      <w:proofErr w:type="spellStart"/>
      <w:r>
        <w:t>C</w:t>
      </w:r>
      <w:r>
        <w:rPr>
          <w:vertAlign w:val="subscript"/>
        </w:rPr>
        <w:t>max</w:t>
      </w:r>
      <w:proofErr w:type="spellEnd"/>
      <w:r>
        <w:t xml:space="preserve"> and </w:t>
      </w:r>
      <w:proofErr w:type="spellStart"/>
      <w:r>
        <w:t>AUC</w:t>
      </w:r>
      <w:r>
        <w:rPr>
          <w:vertAlign w:val="subscript"/>
        </w:rPr>
        <w:t>tau</w:t>
      </w:r>
      <w:proofErr w:type="spellEnd"/>
      <w:r>
        <w:t>) was generally observed.</w:t>
      </w:r>
    </w:p>
    <w:p w:rsidR="000232AA" w:rsidRDefault="00D42583">
      <w:pPr>
        <w:pStyle w:val="a3"/>
        <w:spacing w:before="113" w:line="261" w:lineRule="auto"/>
        <w:ind w:left="235" w:right="1712"/>
      </w:pPr>
      <w:r>
        <w:t xml:space="preserve">ADAs were observed at 3 to 30 mg/kg in rats and at 3 to 10 mg/kg in cynomolgus monkeys in pharmacokinetic studies. No animals were found positive for ADAs after </w:t>
      </w:r>
      <w:r w:rsidR="005C6C34">
        <w:t>PROJECT 12</w:t>
      </w:r>
      <w:r>
        <w:t xml:space="preserve"> administration (50 to 500 mg/kg in rats and 20 to 200 mg/kg in cynomolgus monkeys) in the GLP toxicity studies.</w:t>
      </w:r>
    </w:p>
    <w:p w:rsidR="000232AA" w:rsidRDefault="00D42583" w:rsidP="005C6C34">
      <w:pPr>
        <w:pStyle w:val="a3"/>
        <w:spacing w:before="117" w:line="261" w:lineRule="auto"/>
        <w:ind w:left="235" w:right="1867"/>
      </w:pPr>
      <w:r>
        <w:t xml:space="preserve">The safety of </w:t>
      </w:r>
      <w:r w:rsidR="005C6C34">
        <w:t>PROJECT 12</w:t>
      </w:r>
      <w:r>
        <w:t xml:space="preserve"> was assessed in 4 nonclinical studies: (1) 4-week (5-dose) repeated intravenous dose toxicity study with 4-week recovery in rats (Study </w:t>
      </w:r>
      <w:r w:rsidR="005C6C34">
        <w:t>PROJECT 12</w:t>
      </w:r>
      <w:r>
        <w:t>-025), (2)</w:t>
      </w:r>
      <w:r w:rsidR="005C6C34">
        <w:t xml:space="preserve"> </w:t>
      </w:r>
      <w:r>
        <w:t xml:space="preserve">4-week (5-dose) repeated intravenous dose toxicity study with 4-week recovery in cynomolgus monkeys (Study </w:t>
      </w:r>
      <w:r w:rsidR="005C6C34">
        <w:t>PROJECT 12</w:t>
      </w:r>
      <w:r>
        <w:t xml:space="preserve">-026), (3) human and cynomolgus monkey tissue cross-reactivity study (Study </w:t>
      </w:r>
      <w:r w:rsidR="005C6C34">
        <w:t>PROJECT 12</w:t>
      </w:r>
      <w:r>
        <w:t xml:space="preserve">-024) and (4) cytokine-release and proliferation assessment study in human PBMCs (Study </w:t>
      </w:r>
      <w:r w:rsidR="005C6C34">
        <w:t>PROJECT 12</w:t>
      </w:r>
      <w:r>
        <w:t>-027).</w:t>
      </w:r>
    </w:p>
    <w:p w:rsidR="000232AA" w:rsidRDefault="00D42583" w:rsidP="00D42583">
      <w:pPr>
        <w:pStyle w:val="a3"/>
        <w:spacing w:before="115" w:line="261" w:lineRule="auto"/>
        <w:ind w:left="235" w:right="1879"/>
        <w:rPr>
          <w:sz w:val="20"/>
        </w:rPr>
      </w:pPr>
      <w:r>
        <w:t xml:space="preserve">Intravenous administration of </w:t>
      </w:r>
      <w:r w:rsidR="005C6C34">
        <w:t>PROJECT 12</w:t>
      </w:r>
      <w:r>
        <w:t xml:space="preserve"> resulted in an approximately dose-proportional increase in </w:t>
      </w:r>
      <w:proofErr w:type="spellStart"/>
      <w:r>
        <w:t>C</w:t>
      </w:r>
      <w:r>
        <w:rPr>
          <w:vertAlign w:val="subscript"/>
        </w:rPr>
        <w:t>max</w:t>
      </w:r>
      <w:proofErr w:type="spellEnd"/>
      <w:r>
        <w:t xml:space="preserve"> and AUC. Exposure ratios based on the animal exposure and the predicted human exposure of </w:t>
      </w:r>
      <w:r w:rsidR="005C6C34">
        <w:t>PROJECT 12</w:t>
      </w:r>
      <w:r>
        <w:t xml:space="preserve"> are shown in [</w:t>
      </w:r>
      <w:hyperlink w:anchor="_bookmark71" w:history="1">
        <w:r>
          <w:t>Table 11</w:t>
        </w:r>
      </w:hyperlink>
      <w:r>
        <w:t>].</w:t>
      </w:r>
    </w:p>
    <w:p w:rsidR="000232AA" w:rsidRDefault="00D42583">
      <w:pPr>
        <w:pStyle w:val="3"/>
        <w:tabs>
          <w:tab w:val="left" w:pos="1653"/>
        </w:tabs>
        <w:ind w:left="1653" w:right="2349" w:hanging="1419"/>
      </w:pPr>
      <w:bookmarkStart w:id="36" w:name="_bookmark71"/>
      <w:bookmarkEnd w:id="36"/>
      <w:r>
        <w:t>Table</w:t>
      </w:r>
      <w:r>
        <w:rPr>
          <w:spacing w:val="-1"/>
        </w:rPr>
        <w:t xml:space="preserve"> </w:t>
      </w:r>
      <w:r>
        <w:t>11</w:t>
      </w:r>
      <w:r>
        <w:tab/>
        <w:t>Exposure Ratios Based on Animal Exposure and Predicted Human Exposure of</w:t>
      </w:r>
      <w:r>
        <w:rPr>
          <w:spacing w:val="-1"/>
        </w:rPr>
        <w:t xml:space="preserve"> </w:t>
      </w:r>
      <w:r w:rsidR="005C6C34">
        <w:t>PROJECT 12</w:t>
      </w:r>
    </w:p>
    <w:p w:rsidR="000232AA" w:rsidRDefault="000232AA">
      <w:pPr>
        <w:pStyle w:val="a3"/>
        <w:spacing w:before="6"/>
        <w:rPr>
          <w:b/>
          <w:sz w:val="5"/>
        </w:rPr>
      </w:pPr>
    </w:p>
    <w:tbl>
      <w:tblPr>
        <w:tblStyle w:val="TableNormal"/>
        <w:tblW w:w="0" w:type="auto"/>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71"/>
        <w:gridCol w:w="542"/>
        <w:gridCol w:w="900"/>
        <w:gridCol w:w="720"/>
        <w:gridCol w:w="902"/>
        <w:gridCol w:w="501"/>
        <w:gridCol w:w="216"/>
        <w:gridCol w:w="699"/>
        <w:gridCol w:w="192"/>
        <w:gridCol w:w="810"/>
        <w:gridCol w:w="904"/>
        <w:gridCol w:w="803"/>
        <w:gridCol w:w="820"/>
      </w:tblGrid>
      <w:tr w:rsidR="000232AA">
        <w:trPr>
          <w:trHeight w:val="494"/>
        </w:trPr>
        <w:tc>
          <w:tcPr>
            <w:tcW w:w="1471" w:type="dxa"/>
            <w:vMerge w:val="restart"/>
            <w:tcBorders>
              <w:bottom w:val="single" w:sz="2" w:space="0" w:color="000000"/>
              <w:right w:val="single" w:sz="2" w:space="0" w:color="000000"/>
            </w:tcBorders>
          </w:tcPr>
          <w:p w:rsidR="000232AA" w:rsidRDefault="000232AA">
            <w:pPr>
              <w:pStyle w:val="TableParagraph"/>
              <w:spacing w:before="0"/>
              <w:jc w:val="left"/>
              <w:rPr>
                <w:b/>
                <w:sz w:val="20"/>
              </w:rPr>
            </w:pPr>
          </w:p>
          <w:p w:rsidR="000232AA" w:rsidRDefault="000232AA">
            <w:pPr>
              <w:pStyle w:val="TableParagraph"/>
              <w:spacing w:before="0"/>
              <w:jc w:val="left"/>
              <w:rPr>
                <w:b/>
                <w:sz w:val="20"/>
              </w:rPr>
            </w:pPr>
          </w:p>
          <w:p w:rsidR="000232AA" w:rsidRDefault="00D42583">
            <w:pPr>
              <w:pStyle w:val="TableParagraph"/>
              <w:spacing w:before="119" w:line="237" w:lineRule="auto"/>
              <w:ind w:left="114" w:right="441"/>
              <w:jc w:val="left"/>
              <w:rPr>
                <w:b/>
                <w:sz w:val="18"/>
              </w:rPr>
            </w:pPr>
            <w:r>
              <w:rPr>
                <w:b/>
                <w:sz w:val="18"/>
              </w:rPr>
              <w:t>Study Type (Study No.)</w:t>
            </w:r>
          </w:p>
        </w:tc>
        <w:tc>
          <w:tcPr>
            <w:tcW w:w="542" w:type="dxa"/>
            <w:vMerge w:val="restart"/>
            <w:tcBorders>
              <w:left w:val="single" w:sz="2" w:space="0" w:color="000000"/>
              <w:bottom w:val="single" w:sz="2" w:space="0" w:color="000000"/>
              <w:right w:val="single" w:sz="2" w:space="0" w:color="000000"/>
            </w:tcBorders>
          </w:tcPr>
          <w:p w:rsidR="000232AA" w:rsidRDefault="000232AA">
            <w:pPr>
              <w:pStyle w:val="TableParagraph"/>
              <w:spacing w:before="0"/>
              <w:jc w:val="left"/>
              <w:rPr>
                <w:b/>
                <w:sz w:val="20"/>
              </w:rPr>
            </w:pPr>
          </w:p>
          <w:p w:rsidR="000232AA" w:rsidRDefault="000232AA">
            <w:pPr>
              <w:pStyle w:val="TableParagraph"/>
              <w:spacing w:before="0"/>
              <w:jc w:val="left"/>
              <w:rPr>
                <w:b/>
                <w:sz w:val="20"/>
              </w:rPr>
            </w:pPr>
          </w:p>
          <w:p w:rsidR="000232AA" w:rsidRDefault="000232AA">
            <w:pPr>
              <w:pStyle w:val="TableParagraph"/>
              <w:spacing w:before="2"/>
              <w:jc w:val="left"/>
              <w:rPr>
                <w:b/>
                <w:sz w:val="28"/>
              </w:rPr>
            </w:pPr>
          </w:p>
          <w:p w:rsidR="000232AA" w:rsidRDefault="00D42583">
            <w:pPr>
              <w:pStyle w:val="TableParagraph"/>
              <w:spacing w:before="0"/>
              <w:ind w:left="139"/>
              <w:jc w:val="left"/>
              <w:rPr>
                <w:b/>
                <w:sz w:val="18"/>
              </w:rPr>
            </w:pPr>
            <w:r>
              <w:rPr>
                <w:b/>
                <w:sz w:val="18"/>
              </w:rPr>
              <w:t>Sex</w:t>
            </w:r>
          </w:p>
        </w:tc>
        <w:tc>
          <w:tcPr>
            <w:tcW w:w="900" w:type="dxa"/>
            <w:vMerge w:val="restart"/>
            <w:tcBorders>
              <w:left w:val="single" w:sz="2" w:space="0" w:color="000000"/>
              <w:bottom w:val="single" w:sz="2" w:space="0" w:color="000000"/>
              <w:right w:val="single" w:sz="2" w:space="0" w:color="000000"/>
            </w:tcBorders>
          </w:tcPr>
          <w:p w:rsidR="000232AA" w:rsidRDefault="000232AA">
            <w:pPr>
              <w:pStyle w:val="TableParagraph"/>
              <w:spacing w:before="0"/>
              <w:jc w:val="left"/>
              <w:rPr>
                <w:b/>
                <w:sz w:val="20"/>
              </w:rPr>
            </w:pPr>
          </w:p>
          <w:p w:rsidR="000232AA" w:rsidRDefault="000232AA">
            <w:pPr>
              <w:pStyle w:val="TableParagraph"/>
              <w:spacing w:before="9"/>
              <w:jc w:val="left"/>
              <w:rPr>
                <w:b/>
                <w:sz w:val="23"/>
              </w:rPr>
            </w:pPr>
          </w:p>
          <w:p w:rsidR="000232AA" w:rsidRDefault="00D42583">
            <w:pPr>
              <w:pStyle w:val="TableParagraph"/>
              <w:spacing w:before="0" w:line="240" w:lineRule="atLeast"/>
              <w:ind w:left="156" w:right="119" w:firstLine="69"/>
              <w:jc w:val="left"/>
              <w:rPr>
                <w:b/>
                <w:sz w:val="18"/>
              </w:rPr>
            </w:pPr>
            <w:r>
              <w:rPr>
                <w:b/>
                <w:sz w:val="18"/>
              </w:rPr>
              <w:t>Dose† (mg/kg)</w:t>
            </w:r>
          </w:p>
        </w:tc>
        <w:tc>
          <w:tcPr>
            <w:tcW w:w="1622" w:type="dxa"/>
            <w:gridSpan w:val="2"/>
            <w:tcBorders>
              <w:left w:val="single" w:sz="2" w:space="0" w:color="000000"/>
              <w:bottom w:val="single" w:sz="2" w:space="0" w:color="000000"/>
              <w:right w:val="single" w:sz="4" w:space="0" w:color="000000"/>
            </w:tcBorders>
          </w:tcPr>
          <w:p w:rsidR="000232AA" w:rsidRDefault="000232AA">
            <w:pPr>
              <w:pStyle w:val="TableParagraph"/>
              <w:spacing w:before="2"/>
              <w:jc w:val="left"/>
              <w:rPr>
                <w:b/>
                <w:sz w:val="21"/>
              </w:rPr>
            </w:pPr>
          </w:p>
          <w:p w:rsidR="000232AA" w:rsidRDefault="00D42583">
            <w:pPr>
              <w:pStyle w:val="TableParagraph"/>
              <w:spacing w:before="1"/>
              <w:ind w:left="300"/>
              <w:jc w:val="left"/>
              <w:rPr>
                <w:b/>
                <w:sz w:val="18"/>
              </w:rPr>
            </w:pPr>
            <w:proofErr w:type="spellStart"/>
            <w:r>
              <w:rPr>
                <w:b/>
                <w:sz w:val="18"/>
              </w:rPr>
              <w:t>C</w:t>
            </w:r>
            <w:r>
              <w:rPr>
                <w:b/>
                <w:sz w:val="18"/>
                <w:vertAlign w:val="subscript"/>
              </w:rPr>
              <w:t>max</w:t>
            </w:r>
            <w:proofErr w:type="spellEnd"/>
            <w:r>
              <w:rPr>
                <w:b/>
                <w:sz w:val="18"/>
              </w:rPr>
              <w:t xml:space="preserve"> (µg/mL)</w:t>
            </w:r>
          </w:p>
        </w:tc>
        <w:tc>
          <w:tcPr>
            <w:tcW w:w="1608" w:type="dxa"/>
            <w:gridSpan w:val="4"/>
            <w:tcBorders>
              <w:left w:val="single" w:sz="4" w:space="0" w:color="000000"/>
              <w:bottom w:val="single" w:sz="2" w:space="0" w:color="000000"/>
              <w:right w:val="single" w:sz="2" w:space="0" w:color="000000"/>
            </w:tcBorders>
          </w:tcPr>
          <w:p w:rsidR="000232AA" w:rsidRDefault="00D42583">
            <w:pPr>
              <w:pStyle w:val="TableParagraph"/>
              <w:spacing w:before="57" w:line="216" w:lineRule="auto"/>
              <w:ind w:left="130" w:right="95" w:firstLine="504"/>
              <w:jc w:val="left"/>
              <w:rPr>
                <w:b/>
                <w:sz w:val="18"/>
              </w:rPr>
            </w:pPr>
            <w:r>
              <w:rPr>
                <w:b/>
                <w:position w:val="3"/>
                <w:sz w:val="18"/>
              </w:rPr>
              <w:t>C</w:t>
            </w:r>
            <w:r>
              <w:rPr>
                <w:b/>
                <w:sz w:val="12"/>
              </w:rPr>
              <w:t xml:space="preserve">max </w:t>
            </w:r>
            <w:r>
              <w:rPr>
                <w:b/>
                <w:sz w:val="18"/>
              </w:rPr>
              <w:t>Exposure Ratios‡</w:t>
            </w:r>
          </w:p>
        </w:tc>
        <w:tc>
          <w:tcPr>
            <w:tcW w:w="1714" w:type="dxa"/>
            <w:gridSpan w:val="2"/>
            <w:tcBorders>
              <w:left w:val="single" w:sz="2" w:space="0" w:color="000000"/>
              <w:bottom w:val="single" w:sz="2" w:space="0" w:color="000000"/>
              <w:right w:val="single" w:sz="4" w:space="0" w:color="000000"/>
            </w:tcBorders>
          </w:tcPr>
          <w:p w:rsidR="000232AA" w:rsidRDefault="000232AA">
            <w:pPr>
              <w:pStyle w:val="TableParagraph"/>
              <w:spacing w:before="2"/>
              <w:jc w:val="left"/>
              <w:rPr>
                <w:b/>
                <w:sz w:val="21"/>
              </w:rPr>
            </w:pPr>
          </w:p>
          <w:p w:rsidR="000232AA" w:rsidRDefault="00D42583">
            <w:pPr>
              <w:pStyle w:val="TableParagraph"/>
              <w:spacing w:before="1"/>
              <w:ind w:left="125"/>
              <w:jc w:val="left"/>
              <w:rPr>
                <w:b/>
                <w:sz w:val="18"/>
              </w:rPr>
            </w:pPr>
            <w:r>
              <w:rPr>
                <w:b/>
                <w:sz w:val="18"/>
              </w:rPr>
              <w:t>AUC</w:t>
            </w:r>
            <w:r>
              <w:rPr>
                <w:b/>
                <w:sz w:val="18"/>
                <w:vertAlign w:val="subscript"/>
              </w:rPr>
              <w:t>168h</w:t>
            </w:r>
            <w:r>
              <w:rPr>
                <w:b/>
                <w:sz w:val="18"/>
              </w:rPr>
              <w:t xml:space="preserve"> (µ</w:t>
            </w:r>
            <w:proofErr w:type="spellStart"/>
            <w:r>
              <w:rPr>
                <w:b/>
                <w:sz w:val="18"/>
              </w:rPr>
              <w:t>g•h</w:t>
            </w:r>
            <w:proofErr w:type="spellEnd"/>
            <w:r>
              <w:rPr>
                <w:b/>
                <w:sz w:val="18"/>
              </w:rPr>
              <w:t>/mL)</w:t>
            </w:r>
          </w:p>
        </w:tc>
        <w:tc>
          <w:tcPr>
            <w:tcW w:w="1623" w:type="dxa"/>
            <w:gridSpan w:val="2"/>
            <w:tcBorders>
              <w:left w:val="single" w:sz="4" w:space="0" w:color="000000"/>
              <w:bottom w:val="single" w:sz="2" w:space="0" w:color="000000"/>
            </w:tcBorders>
          </w:tcPr>
          <w:p w:rsidR="000232AA" w:rsidRDefault="00D42583">
            <w:pPr>
              <w:pStyle w:val="TableParagraph"/>
              <w:spacing w:before="39" w:line="215" w:lineRule="exact"/>
              <w:ind w:left="121" w:right="92"/>
              <w:rPr>
                <w:b/>
                <w:sz w:val="12"/>
              </w:rPr>
            </w:pPr>
            <w:r>
              <w:rPr>
                <w:b/>
                <w:position w:val="3"/>
                <w:sz w:val="18"/>
              </w:rPr>
              <w:t>AUC</w:t>
            </w:r>
            <w:r>
              <w:rPr>
                <w:b/>
                <w:sz w:val="12"/>
              </w:rPr>
              <w:t>168h</w:t>
            </w:r>
          </w:p>
          <w:p w:rsidR="000232AA" w:rsidRDefault="00D42583">
            <w:pPr>
              <w:pStyle w:val="TableParagraph"/>
              <w:spacing w:before="0" w:line="198" w:lineRule="exact"/>
              <w:ind w:left="121" w:right="93"/>
              <w:rPr>
                <w:b/>
                <w:sz w:val="18"/>
              </w:rPr>
            </w:pPr>
            <w:r>
              <w:rPr>
                <w:b/>
                <w:sz w:val="18"/>
              </w:rPr>
              <w:t>Exposure Ratios‡</w:t>
            </w:r>
          </w:p>
        </w:tc>
      </w:tr>
      <w:tr w:rsidR="000232AA">
        <w:trPr>
          <w:trHeight w:val="532"/>
        </w:trPr>
        <w:tc>
          <w:tcPr>
            <w:tcW w:w="1471" w:type="dxa"/>
            <w:vMerge/>
            <w:tcBorders>
              <w:top w:val="nil"/>
              <w:bottom w:val="single" w:sz="2" w:space="0" w:color="000000"/>
              <w:right w:val="single" w:sz="2" w:space="0" w:color="000000"/>
            </w:tcBorders>
          </w:tcPr>
          <w:p w:rsidR="000232AA" w:rsidRDefault="000232AA">
            <w:pPr>
              <w:rPr>
                <w:sz w:val="2"/>
                <w:szCs w:val="2"/>
              </w:rPr>
            </w:pPr>
          </w:p>
        </w:tc>
        <w:tc>
          <w:tcPr>
            <w:tcW w:w="542" w:type="dxa"/>
            <w:vMerge/>
            <w:tcBorders>
              <w:top w:val="nil"/>
              <w:left w:val="single" w:sz="2" w:space="0" w:color="000000"/>
              <w:bottom w:val="single" w:sz="2" w:space="0" w:color="000000"/>
              <w:right w:val="single" w:sz="2" w:space="0" w:color="000000"/>
            </w:tcBorders>
          </w:tcPr>
          <w:p w:rsidR="000232AA" w:rsidRDefault="000232AA">
            <w:pPr>
              <w:rPr>
                <w:sz w:val="2"/>
                <w:szCs w:val="2"/>
              </w:rPr>
            </w:pPr>
          </w:p>
        </w:tc>
        <w:tc>
          <w:tcPr>
            <w:tcW w:w="900" w:type="dxa"/>
            <w:vMerge/>
            <w:tcBorders>
              <w:top w:val="nil"/>
              <w:left w:val="single" w:sz="2" w:space="0" w:color="000000"/>
              <w:bottom w:val="single" w:sz="2" w:space="0" w:color="000000"/>
              <w:right w:val="single" w:sz="2" w:space="0" w:color="000000"/>
            </w:tcBorders>
          </w:tcPr>
          <w:p w:rsidR="000232AA" w:rsidRDefault="000232AA">
            <w:pPr>
              <w:rPr>
                <w:sz w:val="2"/>
                <w:szCs w:val="2"/>
              </w:rPr>
            </w:pPr>
          </w:p>
        </w:tc>
        <w:tc>
          <w:tcPr>
            <w:tcW w:w="720" w:type="dxa"/>
            <w:tcBorders>
              <w:top w:val="single" w:sz="2" w:space="0" w:color="000000"/>
              <w:left w:val="single" w:sz="2" w:space="0" w:color="000000"/>
              <w:bottom w:val="single" w:sz="2" w:space="0" w:color="000000"/>
              <w:right w:val="single" w:sz="2" w:space="0" w:color="000000"/>
            </w:tcBorders>
          </w:tcPr>
          <w:p w:rsidR="000232AA" w:rsidRDefault="000232AA">
            <w:pPr>
              <w:pStyle w:val="TableParagraph"/>
              <w:spacing w:before="7"/>
              <w:jc w:val="left"/>
              <w:rPr>
                <w:b/>
                <w:sz w:val="24"/>
              </w:rPr>
            </w:pPr>
          </w:p>
          <w:p w:rsidR="000232AA" w:rsidRDefault="00D42583">
            <w:pPr>
              <w:pStyle w:val="TableParagraph"/>
              <w:spacing w:before="0"/>
              <w:ind w:left="124" w:right="106"/>
              <w:rPr>
                <w:b/>
                <w:sz w:val="18"/>
              </w:rPr>
            </w:pPr>
            <w:r>
              <w:rPr>
                <w:b/>
                <w:sz w:val="18"/>
              </w:rPr>
              <w:t>Day 1</w:t>
            </w:r>
          </w:p>
        </w:tc>
        <w:tc>
          <w:tcPr>
            <w:tcW w:w="902" w:type="dxa"/>
            <w:tcBorders>
              <w:top w:val="single" w:sz="2" w:space="0" w:color="000000"/>
              <w:left w:val="single" w:sz="2" w:space="0" w:color="000000"/>
              <w:bottom w:val="single" w:sz="2" w:space="0" w:color="000000"/>
              <w:right w:val="single" w:sz="4" w:space="0" w:color="000000"/>
            </w:tcBorders>
          </w:tcPr>
          <w:p w:rsidR="000232AA" w:rsidRDefault="00D42583">
            <w:pPr>
              <w:pStyle w:val="TableParagraph"/>
              <w:spacing w:before="80" w:line="237" w:lineRule="auto"/>
              <w:ind w:left="216" w:right="150" w:hanging="27"/>
              <w:jc w:val="left"/>
              <w:rPr>
                <w:b/>
                <w:sz w:val="18"/>
              </w:rPr>
            </w:pPr>
            <w:r>
              <w:rPr>
                <w:b/>
                <w:sz w:val="18"/>
              </w:rPr>
              <w:t>Day 22 or 29§</w:t>
            </w:r>
          </w:p>
        </w:tc>
        <w:tc>
          <w:tcPr>
            <w:tcW w:w="717" w:type="dxa"/>
            <w:gridSpan w:val="2"/>
            <w:tcBorders>
              <w:top w:val="single" w:sz="2" w:space="0" w:color="000000"/>
              <w:left w:val="single" w:sz="4" w:space="0" w:color="000000"/>
              <w:bottom w:val="single" w:sz="2" w:space="0" w:color="000000"/>
              <w:right w:val="single" w:sz="4" w:space="0" w:color="000000"/>
            </w:tcBorders>
          </w:tcPr>
          <w:p w:rsidR="000232AA" w:rsidRDefault="000232AA">
            <w:pPr>
              <w:pStyle w:val="TableParagraph"/>
              <w:spacing w:before="7"/>
              <w:jc w:val="left"/>
              <w:rPr>
                <w:b/>
                <w:sz w:val="24"/>
              </w:rPr>
            </w:pPr>
          </w:p>
          <w:p w:rsidR="000232AA" w:rsidRDefault="00D42583">
            <w:pPr>
              <w:pStyle w:val="TableParagraph"/>
              <w:spacing w:before="0"/>
              <w:ind w:left="140"/>
              <w:jc w:val="left"/>
              <w:rPr>
                <w:b/>
                <w:sz w:val="18"/>
              </w:rPr>
            </w:pPr>
            <w:r>
              <w:rPr>
                <w:b/>
                <w:sz w:val="18"/>
              </w:rPr>
              <w:t>Day 1</w:t>
            </w:r>
          </w:p>
        </w:tc>
        <w:tc>
          <w:tcPr>
            <w:tcW w:w="891" w:type="dxa"/>
            <w:gridSpan w:val="2"/>
            <w:tcBorders>
              <w:top w:val="single" w:sz="2" w:space="0" w:color="000000"/>
              <w:left w:val="single" w:sz="4" w:space="0" w:color="000000"/>
              <w:bottom w:val="single" w:sz="2" w:space="0" w:color="000000"/>
              <w:right w:val="single" w:sz="2" w:space="0" w:color="000000"/>
            </w:tcBorders>
          </w:tcPr>
          <w:p w:rsidR="000232AA" w:rsidRDefault="00D42583">
            <w:pPr>
              <w:pStyle w:val="TableParagraph"/>
              <w:spacing w:before="80" w:line="237" w:lineRule="auto"/>
              <w:ind w:left="210" w:right="145" w:hanging="27"/>
              <w:jc w:val="left"/>
              <w:rPr>
                <w:b/>
                <w:sz w:val="18"/>
              </w:rPr>
            </w:pPr>
            <w:r>
              <w:rPr>
                <w:b/>
                <w:sz w:val="18"/>
              </w:rPr>
              <w:t>Day 22 or 29§</w:t>
            </w:r>
          </w:p>
        </w:tc>
        <w:tc>
          <w:tcPr>
            <w:tcW w:w="810" w:type="dxa"/>
            <w:tcBorders>
              <w:top w:val="single" w:sz="2" w:space="0" w:color="000000"/>
              <w:left w:val="single" w:sz="2" w:space="0" w:color="000000"/>
              <w:bottom w:val="single" w:sz="2" w:space="0" w:color="000000"/>
              <w:right w:val="single" w:sz="2" w:space="0" w:color="000000"/>
            </w:tcBorders>
          </w:tcPr>
          <w:p w:rsidR="000232AA" w:rsidRDefault="000232AA">
            <w:pPr>
              <w:pStyle w:val="TableParagraph"/>
              <w:spacing w:before="7"/>
              <w:jc w:val="left"/>
              <w:rPr>
                <w:b/>
                <w:sz w:val="24"/>
              </w:rPr>
            </w:pPr>
          </w:p>
          <w:p w:rsidR="000232AA" w:rsidRDefault="00D42583">
            <w:pPr>
              <w:pStyle w:val="TableParagraph"/>
              <w:spacing w:before="0"/>
              <w:ind w:left="192"/>
              <w:jc w:val="left"/>
              <w:rPr>
                <w:b/>
                <w:sz w:val="18"/>
              </w:rPr>
            </w:pPr>
            <w:r>
              <w:rPr>
                <w:b/>
                <w:sz w:val="18"/>
              </w:rPr>
              <w:t>Day 1</w:t>
            </w:r>
          </w:p>
        </w:tc>
        <w:tc>
          <w:tcPr>
            <w:tcW w:w="904" w:type="dxa"/>
            <w:tcBorders>
              <w:top w:val="single" w:sz="2" w:space="0" w:color="000000"/>
              <w:left w:val="single" w:sz="2" w:space="0" w:color="000000"/>
              <w:bottom w:val="single" w:sz="2" w:space="0" w:color="000000"/>
              <w:right w:val="single" w:sz="4" w:space="0" w:color="000000"/>
            </w:tcBorders>
          </w:tcPr>
          <w:p w:rsidR="000232AA" w:rsidRDefault="00D42583">
            <w:pPr>
              <w:pStyle w:val="TableParagraph"/>
              <w:spacing w:before="80" w:line="237" w:lineRule="auto"/>
              <w:ind w:left="218" w:right="150" w:hanging="27"/>
              <w:jc w:val="left"/>
              <w:rPr>
                <w:b/>
                <w:sz w:val="18"/>
              </w:rPr>
            </w:pPr>
            <w:r>
              <w:rPr>
                <w:b/>
                <w:sz w:val="18"/>
              </w:rPr>
              <w:t>Day 22 or 29§</w:t>
            </w:r>
          </w:p>
        </w:tc>
        <w:tc>
          <w:tcPr>
            <w:tcW w:w="803" w:type="dxa"/>
            <w:tcBorders>
              <w:top w:val="single" w:sz="2" w:space="0" w:color="000000"/>
              <w:left w:val="single" w:sz="4" w:space="0" w:color="000000"/>
              <w:bottom w:val="single" w:sz="2" w:space="0" w:color="000000"/>
              <w:right w:val="single" w:sz="4" w:space="0" w:color="000000"/>
            </w:tcBorders>
          </w:tcPr>
          <w:p w:rsidR="000232AA" w:rsidRDefault="000232AA">
            <w:pPr>
              <w:pStyle w:val="TableParagraph"/>
              <w:spacing w:before="7"/>
              <w:jc w:val="left"/>
              <w:rPr>
                <w:b/>
                <w:sz w:val="24"/>
              </w:rPr>
            </w:pPr>
          </w:p>
          <w:p w:rsidR="000232AA" w:rsidRDefault="00D42583">
            <w:pPr>
              <w:pStyle w:val="TableParagraph"/>
              <w:spacing w:before="0"/>
              <w:ind w:left="167" w:right="140"/>
              <w:rPr>
                <w:b/>
                <w:sz w:val="18"/>
              </w:rPr>
            </w:pPr>
            <w:r>
              <w:rPr>
                <w:b/>
                <w:sz w:val="18"/>
              </w:rPr>
              <w:t>Day 1</w:t>
            </w:r>
          </w:p>
        </w:tc>
        <w:tc>
          <w:tcPr>
            <w:tcW w:w="820" w:type="dxa"/>
            <w:tcBorders>
              <w:top w:val="single" w:sz="2" w:space="0" w:color="000000"/>
              <w:left w:val="single" w:sz="4" w:space="0" w:color="000000"/>
              <w:bottom w:val="single" w:sz="2" w:space="0" w:color="000000"/>
            </w:tcBorders>
          </w:tcPr>
          <w:p w:rsidR="000232AA" w:rsidRDefault="00D42583">
            <w:pPr>
              <w:pStyle w:val="TableParagraph"/>
              <w:spacing w:before="80" w:line="237" w:lineRule="auto"/>
              <w:ind w:left="176" w:right="103" w:hanging="27"/>
              <w:jc w:val="left"/>
              <w:rPr>
                <w:b/>
                <w:sz w:val="18"/>
              </w:rPr>
            </w:pPr>
            <w:r>
              <w:rPr>
                <w:b/>
                <w:sz w:val="18"/>
              </w:rPr>
              <w:t>Day 22 or 29§</w:t>
            </w:r>
          </w:p>
        </w:tc>
      </w:tr>
      <w:tr w:rsidR="000232AA">
        <w:trPr>
          <w:trHeight w:val="287"/>
        </w:trPr>
        <w:tc>
          <w:tcPr>
            <w:tcW w:w="1471" w:type="dxa"/>
            <w:vMerge w:val="restart"/>
            <w:tcBorders>
              <w:top w:val="single" w:sz="2" w:space="0" w:color="000000"/>
              <w:bottom w:val="single" w:sz="2" w:space="0" w:color="000000"/>
              <w:right w:val="single" w:sz="2" w:space="0" w:color="000000"/>
            </w:tcBorders>
          </w:tcPr>
          <w:p w:rsidR="000232AA" w:rsidRDefault="000232AA">
            <w:pPr>
              <w:pStyle w:val="TableParagraph"/>
              <w:spacing w:before="0"/>
              <w:jc w:val="left"/>
              <w:rPr>
                <w:b/>
                <w:sz w:val="20"/>
              </w:rPr>
            </w:pPr>
          </w:p>
          <w:p w:rsidR="000232AA" w:rsidRDefault="000232AA">
            <w:pPr>
              <w:pStyle w:val="TableParagraph"/>
              <w:spacing w:before="0"/>
              <w:jc w:val="left"/>
              <w:rPr>
                <w:b/>
                <w:sz w:val="20"/>
              </w:rPr>
            </w:pPr>
          </w:p>
          <w:p w:rsidR="000232AA" w:rsidRDefault="000232AA">
            <w:pPr>
              <w:pStyle w:val="TableParagraph"/>
              <w:spacing w:before="8"/>
              <w:jc w:val="left"/>
              <w:rPr>
                <w:b/>
                <w:sz w:val="15"/>
              </w:rPr>
            </w:pPr>
          </w:p>
          <w:p w:rsidR="000232AA" w:rsidRDefault="00D42583">
            <w:pPr>
              <w:pStyle w:val="TableParagraph"/>
              <w:spacing w:before="0" w:line="285" w:lineRule="auto"/>
              <w:ind w:left="114" w:right="242"/>
              <w:jc w:val="left"/>
              <w:rPr>
                <w:sz w:val="18"/>
              </w:rPr>
            </w:pPr>
            <w:r>
              <w:rPr>
                <w:sz w:val="18"/>
              </w:rPr>
              <w:t>Rat/4-week, iv (</w:t>
            </w:r>
            <w:r w:rsidR="005C6C34">
              <w:rPr>
                <w:sz w:val="18"/>
              </w:rPr>
              <w:t>PROJECT 12</w:t>
            </w:r>
            <w:r>
              <w:rPr>
                <w:sz w:val="18"/>
              </w:rPr>
              <w:t>-025)</w:t>
            </w:r>
          </w:p>
        </w:tc>
        <w:tc>
          <w:tcPr>
            <w:tcW w:w="542"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12"/>
              <w:rPr>
                <w:sz w:val="18"/>
              </w:rPr>
            </w:pPr>
            <w:r>
              <w:rPr>
                <w:sz w:val="18"/>
              </w:rPr>
              <w:t>M</w:t>
            </w:r>
          </w:p>
        </w:tc>
        <w:tc>
          <w:tcPr>
            <w:tcW w:w="900"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303" w:right="281"/>
              <w:rPr>
                <w:sz w:val="18"/>
              </w:rPr>
            </w:pPr>
            <w:r>
              <w:rPr>
                <w:sz w:val="18"/>
              </w:rPr>
              <w:t>50</w:t>
            </w:r>
          </w:p>
        </w:tc>
        <w:tc>
          <w:tcPr>
            <w:tcW w:w="720"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123" w:right="106"/>
              <w:rPr>
                <w:sz w:val="18"/>
              </w:rPr>
            </w:pPr>
            <w:r>
              <w:rPr>
                <w:sz w:val="18"/>
              </w:rPr>
              <w:t>1230</w:t>
            </w:r>
          </w:p>
        </w:tc>
        <w:tc>
          <w:tcPr>
            <w:tcW w:w="902"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right="254"/>
              <w:jc w:val="right"/>
              <w:rPr>
                <w:sz w:val="18"/>
              </w:rPr>
            </w:pPr>
            <w:r>
              <w:rPr>
                <w:sz w:val="18"/>
              </w:rPr>
              <w:t>2390</w:t>
            </w:r>
          </w:p>
        </w:tc>
        <w:tc>
          <w:tcPr>
            <w:tcW w:w="717" w:type="dxa"/>
            <w:gridSpan w:val="2"/>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252"/>
              <w:jc w:val="left"/>
              <w:rPr>
                <w:sz w:val="18"/>
              </w:rPr>
            </w:pPr>
            <w:r>
              <w:rPr>
                <w:sz w:val="18"/>
              </w:rPr>
              <w:t>1.4</w:t>
            </w:r>
          </w:p>
        </w:tc>
        <w:tc>
          <w:tcPr>
            <w:tcW w:w="891" w:type="dxa"/>
            <w:gridSpan w:val="2"/>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323" w:right="297"/>
              <w:rPr>
                <w:sz w:val="18"/>
              </w:rPr>
            </w:pPr>
            <w:r>
              <w:rPr>
                <w:sz w:val="18"/>
              </w:rPr>
              <w:t>2.8</w:t>
            </w:r>
          </w:p>
        </w:tc>
        <w:tc>
          <w:tcPr>
            <w:tcW w:w="810"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188"/>
              <w:jc w:val="left"/>
              <w:rPr>
                <w:sz w:val="18"/>
              </w:rPr>
            </w:pPr>
            <w:r>
              <w:rPr>
                <w:sz w:val="18"/>
              </w:rPr>
              <w:t>69120</w:t>
            </w:r>
          </w:p>
        </w:tc>
        <w:tc>
          <w:tcPr>
            <w:tcW w:w="904"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right="166"/>
              <w:jc w:val="right"/>
              <w:rPr>
                <w:sz w:val="18"/>
              </w:rPr>
            </w:pPr>
            <w:r>
              <w:rPr>
                <w:sz w:val="18"/>
              </w:rPr>
              <w:t>179280</w:t>
            </w:r>
          </w:p>
        </w:tc>
        <w:tc>
          <w:tcPr>
            <w:tcW w:w="803"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279" w:right="254"/>
              <w:rPr>
                <w:sz w:val="18"/>
              </w:rPr>
            </w:pPr>
            <w:r>
              <w:rPr>
                <w:sz w:val="18"/>
              </w:rPr>
              <w:t>0.7</w:t>
            </w:r>
          </w:p>
        </w:tc>
        <w:tc>
          <w:tcPr>
            <w:tcW w:w="820" w:type="dxa"/>
            <w:tcBorders>
              <w:top w:val="single" w:sz="2" w:space="0" w:color="000000"/>
              <w:left w:val="single" w:sz="2" w:space="0" w:color="000000"/>
              <w:bottom w:val="single" w:sz="2" w:space="0" w:color="000000"/>
            </w:tcBorders>
          </w:tcPr>
          <w:p w:rsidR="000232AA" w:rsidRDefault="00D42583">
            <w:pPr>
              <w:pStyle w:val="TableParagraph"/>
              <w:spacing w:before="33"/>
              <w:ind w:right="271"/>
              <w:jc w:val="right"/>
              <w:rPr>
                <w:sz w:val="18"/>
              </w:rPr>
            </w:pPr>
            <w:r>
              <w:rPr>
                <w:sz w:val="18"/>
              </w:rPr>
              <w:t>1.8</w:t>
            </w:r>
          </w:p>
        </w:tc>
      </w:tr>
      <w:tr w:rsidR="000232AA">
        <w:trPr>
          <w:trHeight w:val="287"/>
        </w:trPr>
        <w:tc>
          <w:tcPr>
            <w:tcW w:w="1471" w:type="dxa"/>
            <w:vMerge/>
            <w:tcBorders>
              <w:top w:val="nil"/>
              <w:bottom w:val="single" w:sz="2" w:space="0" w:color="000000"/>
              <w:right w:val="single" w:sz="2" w:space="0" w:color="000000"/>
            </w:tcBorders>
          </w:tcPr>
          <w:p w:rsidR="000232AA" w:rsidRDefault="000232AA">
            <w:pPr>
              <w:rPr>
                <w:sz w:val="2"/>
                <w:szCs w:val="2"/>
              </w:rPr>
            </w:pPr>
          </w:p>
        </w:tc>
        <w:tc>
          <w:tcPr>
            <w:tcW w:w="542"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14"/>
              <w:rPr>
                <w:sz w:val="18"/>
              </w:rPr>
            </w:pPr>
            <w:r>
              <w:rPr>
                <w:sz w:val="18"/>
              </w:rPr>
              <w:t>F</w:t>
            </w:r>
          </w:p>
        </w:tc>
        <w:tc>
          <w:tcPr>
            <w:tcW w:w="900"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303" w:right="281"/>
              <w:rPr>
                <w:sz w:val="18"/>
              </w:rPr>
            </w:pPr>
            <w:r>
              <w:rPr>
                <w:sz w:val="18"/>
              </w:rPr>
              <w:t>50</w:t>
            </w:r>
          </w:p>
        </w:tc>
        <w:tc>
          <w:tcPr>
            <w:tcW w:w="720"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123" w:right="106"/>
              <w:rPr>
                <w:sz w:val="18"/>
              </w:rPr>
            </w:pPr>
            <w:r>
              <w:rPr>
                <w:sz w:val="18"/>
              </w:rPr>
              <w:t>1170</w:t>
            </w:r>
          </w:p>
        </w:tc>
        <w:tc>
          <w:tcPr>
            <w:tcW w:w="902"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right="254"/>
              <w:jc w:val="right"/>
              <w:rPr>
                <w:sz w:val="18"/>
              </w:rPr>
            </w:pPr>
            <w:r>
              <w:rPr>
                <w:sz w:val="18"/>
              </w:rPr>
              <w:t>1310</w:t>
            </w:r>
          </w:p>
        </w:tc>
        <w:tc>
          <w:tcPr>
            <w:tcW w:w="717" w:type="dxa"/>
            <w:gridSpan w:val="2"/>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252"/>
              <w:jc w:val="left"/>
              <w:rPr>
                <w:sz w:val="18"/>
              </w:rPr>
            </w:pPr>
            <w:r>
              <w:rPr>
                <w:sz w:val="18"/>
              </w:rPr>
              <w:t>1.4</w:t>
            </w:r>
          </w:p>
        </w:tc>
        <w:tc>
          <w:tcPr>
            <w:tcW w:w="891" w:type="dxa"/>
            <w:gridSpan w:val="2"/>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323" w:right="297"/>
              <w:rPr>
                <w:sz w:val="18"/>
              </w:rPr>
            </w:pPr>
            <w:r>
              <w:rPr>
                <w:sz w:val="18"/>
              </w:rPr>
              <w:t>1.5</w:t>
            </w:r>
          </w:p>
        </w:tc>
        <w:tc>
          <w:tcPr>
            <w:tcW w:w="810"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188"/>
              <w:jc w:val="left"/>
              <w:rPr>
                <w:sz w:val="18"/>
              </w:rPr>
            </w:pPr>
            <w:r>
              <w:rPr>
                <w:sz w:val="18"/>
              </w:rPr>
              <w:t>65760</w:t>
            </w:r>
          </w:p>
        </w:tc>
        <w:tc>
          <w:tcPr>
            <w:tcW w:w="904"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right="166"/>
              <w:jc w:val="right"/>
              <w:rPr>
                <w:sz w:val="18"/>
              </w:rPr>
            </w:pPr>
            <w:r>
              <w:rPr>
                <w:sz w:val="18"/>
              </w:rPr>
              <w:t>121920</w:t>
            </w:r>
          </w:p>
        </w:tc>
        <w:tc>
          <w:tcPr>
            <w:tcW w:w="803"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279" w:right="254"/>
              <w:rPr>
                <w:sz w:val="18"/>
              </w:rPr>
            </w:pPr>
            <w:r>
              <w:rPr>
                <w:sz w:val="18"/>
              </w:rPr>
              <w:t>0.7</w:t>
            </w:r>
          </w:p>
        </w:tc>
        <w:tc>
          <w:tcPr>
            <w:tcW w:w="820" w:type="dxa"/>
            <w:tcBorders>
              <w:top w:val="single" w:sz="2" w:space="0" w:color="000000"/>
              <w:left w:val="single" w:sz="2" w:space="0" w:color="000000"/>
              <w:bottom w:val="single" w:sz="2" w:space="0" w:color="000000"/>
            </w:tcBorders>
          </w:tcPr>
          <w:p w:rsidR="000232AA" w:rsidRDefault="00D42583">
            <w:pPr>
              <w:pStyle w:val="TableParagraph"/>
              <w:spacing w:before="33"/>
              <w:ind w:right="271"/>
              <w:jc w:val="right"/>
              <w:rPr>
                <w:sz w:val="18"/>
              </w:rPr>
            </w:pPr>
            <w:r>
              <w:rPr>
                <w:sz w:val="18"/>
              </w:rPr>
              <w:t>1.3</w:t>
            </w:r>
          </w:p>
        </w:tc>
      </w:tr>
      <w:tr w:rsidR="000232AA">
        <w:trPr>
          <w:trHeight w:val="285"/>
        </w:trPr>
        <w:tc>
          <w:tcPr>
            <w:tcW w:w="1471" w:type="dxa"/>
            <w:vMerge/>
            <w:tcBorders>
              <w:top w:val="nil"/>
              <w:bottom w:val="single" w:sz="2" w:space="0" w:color="000000"/>
              <w:right w:val="single" w:sz="2" w:space="0" w:color="000000"/>
            </w:tcBorders>
          </w:tcPr>
          <w:p w:rsidR="000232AA" w:rsidRDefault="000232AA">
            <w:pPr>
              <w:rPr>
                <w:sz w:val="2"/>
                <w:szCs w:val="2"/>
              </w:rPr>
            </w:pPr>
          </w:p>
        </w:tc>
        <w:tc>
          <w:tcPr>
            <w:tcW w:w="542"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12"/>
              <w:rPr>
                <w:sz w:val="18"/>
              </w:rPr>
            </w:pPr>
            <w:r>
              <w:rPr>
                <w:sz w:val="18"/>
              </w:rPr>
              <w:t>M</w:t>
            </w:r>
          </w:p>
        </w:tc>
        <w:tc>
          <w:tcPr>
            <w:tcW w:w="900"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303" w:right="281"/>
              <w:rPr>
                <w:sz w:val="18"/>
              </w:rPr>
            </w:pPr>
            <w:r>
              <w:rPr>
                <w:sz w:val="18"/>
              </w:rPr>
              <w:t>150</w:t>
            </w:r>
          </w:p>
        </w:tc>
        <w:tc>
          <w:tcPr>
            <w:tcW w:w="720"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123" w:right="106"/>
              <w:rPr>
                <w:sz w:val="18"/>
              </w:rPr>
            </w:pPr>
            <w:r>
              <w:rPr>
                <w:sz w:val="18"/>
              </w:rPr>
              <w:t>2110</w:t>
            </w:r>
          </w:p>
        </w:tc>
        <w:tc>
          <w:tcPr>
            <w:tcW w:w="902"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right="254"/>
              <w:jc w:val="right"/>
              <w:rPr>
                <w:sz w:val="18"/>
              </w:rPr>
            </w:pPr>
            <w:r>
              <w:rPr>
                <w:sz w:val="18"/>
              </w:rPr>
              <w:t>5780</w:t>
            </w:r>
          </w:p>
        </w:tc>
        <w:tc>
          <w:tcPr>
            <w:tcW w:w="717" w:type="dxa"/>
            <w:gridSpan w:val="2"/>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252"/>
              <w:jc w:val="left"/>
              <w:rPr>
                <w:sz w:val="18"/>
              </w:rPr>
            </w:pPr>
            <w:r>
              <w:rPr>
                <w:sz w:val="18"/>
              </w:rPr>
              <w:t>2.5</w:t>
            </w:r>
          </w:p>
        </w:tc>
        <w:tc>
          <w:tcPr>
            <w:tcW w:w="891" w:type="dxa"/>
            <w:gridSpan w:val="2"/>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323" w:right="297"/>
              <w:rPr>
                <w:sz w:val="18"/>
              </w:rPr>
            </w:pPr>
            <w:r>
              <w:rPr>
                <w:sz w:val="18"/>
              </w:rPr>
              <w:t>6.8</w:t>
            </w:r>
          </w:p>
        </w:tc>
        <w:tc>
          <w:tcPr>
            <w:tcW w:w="810"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144"/>
              <w:jc w:val="left"/>
              <w:rPr>
                <w:sz w:val="18"/>
              </w:rPr>
            </w:pPr>
            <w:r>
              <w:rPr>
                <w:sz w:val="18"/>
              </w:rPr>
              <w:t>225120</w:t>
            </w:r>
          </w:p>
        </w:tc>
        <w:tc>
          <w:tcPr>
            <w:tcW w:w="904"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right="166"/>
              <w:jc w:val="right"/>
              <w:rPr>
                <w:sz w:val="18"/>
              </w:rPr>
            </w:pPr>
            <w:r>
              <w:rPr>
                <w:sz w:val="18"/>
              </w:rPr>
              <w:t>535200</w:t>
            </w:r>
          </w:p>
        </w:tc>
        <w:tc>
          <w:tcPr>
            <w:tcW w:w="803"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279" w:right="254"/>
              <w:rPr>
                <w:sz w:val="18"/>
              </w:rPr>
            </w:pPr>
            <w:r>
              <w:rPr>
                <w:sz w:val="18"/>
              </w:rPr>
              <w:t>2.3</w:t>
            </w:r>
          </w:p>
        </w:tc>
        <w:tc>
          <w:tcPr>
            <w:tcW w:w="820" w:type="dxa"/>
            <w:tcBorders>
              <w:top w:val="single" w:sz="2" w:space="0" w:color="000000"/>
              <w:left w:val="single" w:sz="2" w:space="0" w:color="000000"/>
              <w:bottom w:val="single" w:sz="2" w:space="0" w:color="000000"/>
            </w:tcBorders>
          </w:tcPr>
          <w:p w:rsidR="000232AA" w:rsidRDefault="00D42583">
            <w:pPr>
              <w:pStyle w:val="TableParagraph"/>
              <w:spacing w:before="33"/>
              <w:ind w:right="271"/>
              <w:jc w:val="right"/>
              <w:rPr>
                <w:sz w:val="18"/>
              </w:rPr>
            </w:pPr>
            <w:r>
              <w:rPr>
                <w:sz w:val="18"/>
              </w:rPr>
              <w:t>5.5</w:t>
            </w:r>
          </w:p>
        </w:tc>
      </w:tr>
      <w:tr w:rsidR="000232AA">
        <w:trPr>
          <w:trHeight w:val="287"/>
        </w:trPr>
        <w:tc>
          <w:tcPr>
            <w:tcW w:w="1471" w:type="dxa"/>
            <w:vMerge/>
            <w:tcBorders>
              <w:top w:val="nil"/>
              <w:bottom w:val="single" w:sz="2" w:space="0" w:color="000000"/>
              <w:right w:val="single" w:sz="2" w:space="0" w:color="000000"/>
            </w:tcBorders>
          </w:tcPr>
          <w:p w:rsidR="000232AA" w:rsidRDefault="000232AA">
            <w:pPr>
              <w:rPr>
                <w:sz w:val="2"/>
                <w:szCs w:val="2"/>
              </w:rPr>
            </w:pPr>
          </w:p>
        </w:tc>
        <w:tc>
          <w:tcPr>
            <w:tcW w:w="542"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14"/>
              <w:rPr>
                <w:sz w:val="18"/>
              </w:rPr>
            </w:pPr>
            <w:r>
              <w:rPr>
                <w:sz w:val="18"/>
              </w:rPr>
              <w:t>F</w:t>
            </w:r>
          </w:p>
        </w:tc>
        <w:tc>
          <w:tcPr>
            <w:tcW w:w="900"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303" w:right="281"/>
              <w:rPr>
                <w:sz w:val="18"/>
              </w:rPr>
            </w:pPr>
            <w:r>
              <w:rPr>
                <w:sz w:val="18"/>
              </w:rPr>
              <w:t>150</w:t>
            </w:r>
          </w:p>
        </w:tc>
        <w:tc>
          <w:tcPr>
            <w:tcW w:w="720"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123" w:right="106"/>
              <w:rPr>
                <w:sz w:val="18"/>
              </w:rPr>
            </w:pPr>
            <w:r>
              <w:rPr>
                <w:sz w:val="18"/>
              </w:rPr>
              <w:t>3430</w:t>
            </w:r>
          </w:p>
        </w:tc>
        <w:tc>
          <w:tcPr>
            <w:tcW w:w="902"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right="254"/>
              <w:jc w:val="right"/>
              <w:rPr>
                <w:sz w:val="18"/>
              </w:rPr>
            </w:pPr>
            <w:r>
              <w:rPr>
                <w:sz w:val="18"/>
              </w:rPr>
              <w:t>6610</w:t>
            </w:r>
          </w:p>
        </w:tc>
        <w:tc>
          <w:tcPr>
            <w:tcW w:w="717" w:type="dxa"/>
            <w:gridSpan w:val="2"/>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252"/>
              <w:jc w:val="left"/>
              <w:rPr>
                <w:sz w:val="18"/>
              </w:rPr>
            </w:pPr>
            <w:r>
              <w:rPr>
                <w:sz w:val="18"/>
              </w:rPr>
              <w:t>4.0</w:t>
            </w:r>
          </w:p>
        </w:tc>
        <w:tc>
          <w:tcPr>
            <w:tcW w:w="891" w:type="dxa"/>
            <w:gridSpan w:val="2"/>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323" w:right="297"/>
              <w:rPr>
                <w:sz w:val="18"/>
              </w:rPr>
            </w:pPr>
            <w:r>
              <w:rPr>
                <w:sz w:val="18"/>
              </w:rPr>
              <w:t>7.8</w:t>
            </w:r>
          </w:p>
        </w:tc>
        <w:tc>
          <w:tcPr>
            <w:tcW w:w="810"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144"/>
              <w:jc w:val="left"/>
              <w:rPr>
                <w:sz w:val="18"/>
              </w:rPr>
            </w:pPr>
            <w:r>
              <w:rPr>
                <w:sz w:val="18"/>
              </w:rPr>
              <w:t>219840</w:t>
            </w:r>
          </w:p>
        </w:tc>
        <w:tc>
          <w:tcPr>
            <w:tcW w:w="904"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right="166"/>
              <w:jc w:val="right"/>
              <w:rPr>
                <w:sz w:val="18"/>
              </w:rPr>
            </w:pPr>
            <w:r>
              <w:rPr>
                <w:sz w:val="18"/>
              </w:rPr>
              <w:t>547200</w:t>
            </w:r>
          </w:p>
        </w:tc>
        <w:tc>
          <w:tcPr>
            <w:tcW w:w="803"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279" w:right="254"/>
              <w:rPr>
                <w:sz w:val="18"/>
              </w:rPr>
            </w:pPr>
            <w:r>
              <w:rPr>
                <w:sz w:val="18"/>
              </w:rPr>
              <w:t>2.3</w:t>
            </w:r>
          </w:p>
        </w:tc>
        <w:tc>
          <w:tcPr>
            <w:tcW w:w="820" w:type="dxa"/>
            <w:tcBorders>
              <w:top w:val="single" w:sz="2" w:space="0" w:color="000000"/>
              <w:left w:val="single" w:sz="2" w:space="0" w:color="000000"/>
              <w:bottom w:val="single" w:sz="2" w:space="0" w:color="000000"/>
            </w:tcBorders>
          </w:tcPr>
          <w:p w:rsidR="000232AA" w:rsidRDefault="00D42583">
            <w:pPr>
              <w:pStyle w:val="TableParagraph"/>
              <w:spacing w:before="33"/>
              <w:ind w:right="271"/>
              <w:jc w:val="right"/>
              <w:rPr>
                <w:sz w:val="18"/>
              </w:rPr>
            </w:pPr>
            <w:r>
              <w:rPr>
                <w:sz w:val="18"/>
              </w:rPr>
              <w:t>5.6</w:t>
            </w:r>
          </w:p>
        </w:tc>
      </w:tr>
      <w:tr w:rsidR="000232AA">
        <w:trPr>
          <w:trHeight w:val="145"/>
        </w:trPr>
        <w:tc>
          <w:tcPr>
            <w:tcW w:w="1471" w:type="dxa"/>
            <w:vMerge/>
            <w:tcBorders>
              <w:top w:val="nil"/>
              <w:bottom w:val="single" w:sz="2" w:space="0" w:color="000000"/>
              <w:right w:val="single" w:sz="2" w:space="0" w:color="000000"/>
            </w:tcBorders>
          </w:tcPr>
          <w:p w:rsidR="000232AA" w:rsidRDefault="000232AA">
            <w:pPr>
              <w:rPr>
                <w:sz w:val="2"/>
                <w:szCs w:val="2"/>
              </w:rPr>
            </w:pPr>
          </w:p>
        </w:tc>
        <w:tc>
          <w:tcPr>
            <w:tcW w:w="542" w:type="dxa"/>
            <w:vMerge w:val="restart"/>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12"/>
              <w:rPr>
                <w:sz w:val="18"/>
              </w:rPr>
            </w:pPr>
            <w:r>
              <w:rPr>
                <w:sz w:val="18"/>
              </w:rPr>
              <w:t>M</w:t>
            </w:r>
          </w:p>
        </w:tc>
        <w:tc>
          <w:tcPr>
            <w:tcW w:w="900" w:type="dxa"/>
            <w:vMerge w:val="restart"/>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303" w:right="281"/>
              <w:rPr>
                <w:sz w:val="18"/>
              </w:rPr>
            </w:pPr>
            <w:r>
              <w:rPr>
                <w:sz w:val="18"/>
                <w:u w:val="single"/>
              </w:rPr>
              <w:t>500</w:t>
            </w:r>
          </w:p>
        </w:tc>
        <w:tc>
          <w:tcPr>
            <w:tcW w:w="720" w:type="dxa"/>
            <w:vMerge w:val="restart"/>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185"/>
              <w:jc w:val="left"/>
              <w:rPr>
                <w:sz w:val="18"/>
              </w:rPr>
            </w:pPr>
            <w:r>
              <w:rPr>
                <w:sz w:val="18"/>
              </w:rPr>
              <w:t>9620</w:t>
            </w:r>
          </w:p>
        </w:tc>
        <w:tc>
          <w:tcPr>
            <w:tcW w:w="902" w:type="dxa"/>
            <w:vMerge w:val="restart"/>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233"/>
              <w:jc w:val="left"/>
              <w:rPr>
                <w:sz w:val="18"/>
              </w:rPr>
            </w:pPr>
            <w:r>
              <w:rPr>
                <w:sz w:val="18"/>
              </w:rPr>
              <w:t>14100</w:t>
            </w:r>
          </w:p>
        </w:tc>
        <w:tc>
          <w:tcPr>
            <w:tcW w:w="717" w:type="dxa"/>
            <w:gridSpan w:val="2"/>
            <w:tcBorders>
              <w:top w:val="single" w:sz="2" w:space="0" w:color="000000"/>
              <w:left w:val="single" w:sz="2" w:space="0" w:color="000000"/>
              <w:bottom w:val="nil"/>
              <w:right w:val="single" w:sz="2" w:space="0" w:color="000000"/>
            </w:tcBorders>
          </w:tcPr>
          <w:p w:rsidR="000232AA" w:rsidRDefault="00D42583">
            <w:pPr>
              <w:pStyle w:val="TableParagraph"/>
              <w:spacing w:before="33" w:line="92" w:lineRule="exact"/>
              <w:ind w:left="207"/>
              <w:jc w:val="left"/>
              <w:rPr>
                <w:sz w:val="18"/>
              </w:rPr>
            </w:pPr>
            <w:r>
              <w:rPr>
                <w:sz w:val="18"/>
              </w:rPr>
              <w:t>11.3</w:t>
            </w:r>
          </w:p>
        </w:tc>
        <w:tc>
          <w:tcPr>
            <w:tcW w:w="891" w:type="dxa"/>
            <w:gridSpan w:val="2"/>
            <w:tcBorders>
              <w:top w:val="single" w:sz="2" w:space="0" w:color="000000"/>
              <w:left w:val="single" w:sz="2" w:space="0" w:color="000000"/>
              <w:bottom w:val="nil"/>
              <w:right w:val="single" w:sz="2" w:space="0" w:color="000000"/>
            </w:tcBorders>
          </w:tcPr>
          <w:p w:rsidR="000232AA" w:rsidRDefault="00D42583">
            <w:pPr>
              <w:pStyle w:val="TableParagraph"/>
              <w:spacing w:before="33" w:line="92" w:lineRule="exact"/>
              <w:ind w:left="296"/>
              <w:jc w:val="left"/>
              <w:rPr>
                <w:sz w:val="18"/>
              </w:rPr>
            </w:pPr>
            <w:r>
              <w:rPr>
                <w:sz w:val="18"/>
              </w:rPr>
              <w:t>16.6</w:t>
            </w:r>
          </w:p>
        </w:tc>
        <w:tc>
          <w:tcPr>
            <w:tcW w:w="810" w:type="dxa"/>
            <w:vMerge w:val="restart"/>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144"/>
              <w:jc w:val="left"/>
              <w:rPr>
                <w:sz w:val="18"/>
              </w:rPr>
            </w:pPr>
            <w:r>
              <w:rPr>
                <w:sz w:val="18"/>
              </w:rPr>
              <w:t>835200</w:t>
            </w:r>
          </w:p>
        </w:tc>
        <w:tc>
          <w:tcPr>
            <w:tcW w:w="904" w:type="dxa"/>
            <w:vMerge w:val="restart"/>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143"/>
              <w:jc w:val="left"/>
              <w:rPr>
                <w:sz w:val="18"/>
              </w:rPr>
            </w:pPr>
            <w:r>
              <w:rPr>
                <w:sz w:val="18"/>
              </w:rPr>
              <w:t>1178400</w:t>
            </w:r>
          </w:p>
        </w:tc>
        <w:tc>
          <w:tcPr>
            <w:tcW w:w="803" w:type="dxa"/>
            <w:vMerge w:val="restart"/>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279" w:right="254"/>
              <w:rPr>
                <w:sz w:val="18"/>
              </w:rPr>
            </w:pPr>
            <w:r>
              <w:rPr>
                <w:sz w:val="18"/>
              </w:rPr>
              <w:t>8.6</w:t>
            </w:r>
          </w:p>
        </w:tc>
        <w:tc>
          <w:tcPr>
            <w:tcW w:w="820" w:type="dxa"/>
            <w:vMerge w:val="restart"/>
            <w:tcBorders>
              <w:top w:val="single" w:sz="2" w:space="0" w:color="000000"/>
              <w:left w:val="single" w:sz="2" w:space="0" w:color="000000"/>
              <w:bottom w:val="single" w:sz="2" w:space="0" w:color="000000"/>
            </w:tcBorders>
          </w:tcPr>
          <w:p w:rsidR="000232AA" w:rsidRDefault="00D42583">
            <w:pPr>
              <w:pStyle w:val="TableParagraph"/>
              <w:spacing w:before="33"/>
              <w:ind w:left="265"/>
              <w:jc w:val="left"/>
              <w:rPr>
                <w:sz w:val="18"/>
              </w:rPr>
            </w:pPr>
            <w:r>
              <w:rPr>
                <w:sz w:val="18"/>
              </w:rPr>
              <w:t>12.1</w:t>
            </w:r>
          </w:p>
        </w:tc>
      </w:tr>
      <w:tr w:rsidR="000232AA">
        <w:trPr>
          <w:trHeight w:val="122"/>
        </w:trPr>
        <w:tc>
          <w:tcPr>
            <w:tcW w:w="1471" w:type="dxa"/>
            <w:vMerge/>
            <w:tcBorders>
              <w:top w:val="nil"/>
              <w:bottom w:val="single" w:sz="2" w:space="0" w:color="000000"/>
              <w:right w:val="single" w:sz="2" w:space="0" w:color="000000"/>
            </w:tcBorders>
          </w:tcPr>
          <w:p w:rsidR="000232AA" w:rsidRDefault="000232AA">
            <w:pPr>
              <w:rPr>
                <w:sz w:val="2"/>
                <w:szCs w:val="2"/>
              </w:rPr>
            </w:pPr>
          </w:p>
        </w:tc>
        <w:tc>
          <w:tcPr>
            <w:tcW w:w="542" w:type="dxa"/>
            <w:vMerge/>
            <w:tcBorders>
              <w:top w:val="nil"/>
              <w:left w:val="single" w:sz="2" w:space="0" w:color="000000"/>
              <w:bottom w:val="single" w:sz="2" w:space="0" w:color="000000"/>
              <w:right w:val="single" w:sz="2" w:space="0" w:color="000000"/>
            </w:tcBorders>
          </w:tcPr>
          <w:p w:rsidR="000232AA" w:rsidRDefault="000232AA">
            <w:pPr>
              <w:rPr>
                <w:sz w:val="2"/>
                <w:szCs w:val="2"/>
              </w:rPr>
            </w:pPr>
          </w:p>
        </w:tc>
        <w:tc>
          <w:tcPr>
            <w:tcW w:w="900" w:type="dxa"/>
            <w:vMerge/>
            <w:tcBorders>
              <w:top w:val="nil"/>
              <w:left w:val="single" w:sz="2" w:space="0" w:color="000000"/>
              <w:bottom w:val="single" w:sz="2" w:space="0" w:color="000000"/>
              <w:right w:val="single" w:sz="2" w:space="0" w:color="000000"/>
            </w:tcBorders>
          </w:tcPr>
          <w:p w:rsidR="000232AA" w:rsidRDefault="000232AA">
            <w:pPr>
              <w:rPr>
                <w:sz w:val="2"/>
                <w:szCs w:val="2"/>
              </w:rPr>
            </w:pPr>
          </w:p>
        </w:tc>
        <w:tc>
          <w:tcPr>
            <w:tcW w:w="720" w:type="dxa"/>
            <w:vMerge/>
            <w:tcBorders>
              <w:top w:val="nil"/>
              <w:left w:val="single" w:sz="2" w:space="0" w:color="000000"/>
              <w:bottom w:val="single" w:sz="2" w:space="0" w:color="000000"/>
              <w:right w:val="single" w:sz="2" w:space="0" w:color="000000"/>
            </w:tcBorders>
          </w:tcPr>
          <w:p w:rsidR="000232AA" w:rsidRDefault="000232AA">
            <w:pPr>
              <w:rPr>
                <w:sz w:val="2"/>
                <w:szCs w:val="2"/>
              </w:rPr>
            </w:pPr>
          </w:p>
        </w:tc>
        <w:tc>
          <w:tcPr>
            <w:tcW w:w="902" w:type="dxa"/>
            <w:vMerge/>
            <w:tcBorders>
              <w:top w:val="nil"/>
              <w:left w:val="single" w:sz="2" w:space="0" w:color="000000"/>
              <w:bottom w:val="single" w:sz="2" w:space="0" w:color="000000"/>
              <w:right w:val="single" w:sz="2" w:space="0" w:color="000000"/>
            </w:tcBorders>
          </w:tcPr>
          <w:p w:rsidR="000232AA" w:rsidRDefault="000232AA">
            <w:pPr>
              <w:rPr>
                <w:sz w:val="2"/>
                <w:szCs w:val="2"/>
              </w:rPr>
            </w:pPr>
          </w:p>
        </w:tc>
        <w:tc>
          <w:tcPr>
            <w:tcW w:w="501" w:type="dxa"/>
            <w:tcBorders>
              <w:top w:val="nil"/>
              <w:left w:val="single" w:sz="2" w:space="0" w:color="000000"/>
              <w:bottom w:val="single" w:sz="2" w:space="0" w:color="000000"/>
              <w:right w:val="single" w:sz="8" w:space="0" w:color="0000FF"/>
            </w:tcBorders>
          </w:tcPr>
          <w:p w:rsidR="000232AA" w:rsidRDefault="000232AA">
            <w:pPr>
              <w:pStyle w:val="TableParagraph"/>
              <w:spacing w:before="0"/>
              <w:jc w:val="left"/>
              <w:rPr>
                <w:sz w:val="6"/>
              </w:rPr>
            </w:pPr>
          </w:p>
        </w:tc>
        <w:tc>
          <w:tcPr>
            <w:tcW w:w="216" w:type="dxa"/>
            <w:tcBorders>
              <w:top w:val="single" w:sz="8" w:space="0" w:color="0000FF"/>
              <w:left w:val="single" w:sz="8" w:space="0" w:color="0000FF"/>
              <w:bottom w:val="single" w:sz="2" w:space="0" w:color="000000"/>
              <w:right w:val="single" w:sz="2" w:space="0" w:color="000000"/>
            </w:tcBorders>
          </w:tcPr>
          <w:p w:rsidR="000232AA" w:rsidRDefault="000232AA">
            <w:pPr>
              <w:pStyle w:val="TableParagraph"/>
              <w:spacing w:before="0"/>
              <w:jc w:val="left"/>
              <w:rPr>
                <w:sz w:val="6"/>
              </w:rPr>
            </w:pPr>
          </w:p>
        </w:tc>
        <w:tc>
          <w:tcPr>
            <w:tcW w:w="699" w:type="dxa"/>
            <w:tcBorders>
              <w:top w:val="single" w:sz="8" w:space="0" w:color="0000FF"/>
              <w:left w:val="single" w:sz="2" w:space="0" w:color="000000"/>
              <w:bottom w:val="single" w:sz="2" w:space="0" w:color="000000"/>
              <w:right w:val="single" w:sz="8" w:space="0" w:color="0000FF"/>
            </w:tcBorders>
          </w:tcPr>
          <w:p w:rsidR="000232AA" w:rsidRDefault="000232AA">
            <w:pPr>
              <w:pStyle w:val="TableParagraph"/>
              <w:spacing w:before="0"/>
              <w:jc w:val="left"/>
              <w:rPr>
                <w:sz w:val="6"/>
              </w:rPr>
            </w:pPr>
          </w:p>
        </w:tc>
        <w:tc>
          <w:tcPr>
            <w:tcW w:w="192" w:type="dxa"/>
            <w:tcBorders>
              <w:top w:val="nil"/>
              <w:left w:val="single" w:sz="8" w:space="0" w:color="0000FF"/>
              <w:bottom w:val="single" w:sz="2" w:space="0" w:color="000000"/>
              <w:right w:val="single" w:sz="2" w:space="0" w:color="000000"/>
            </w:tcBorders>
          </w:tcPr>
          <w:p w:rsidR="000232AA" w:rsidRDefault="000232AA">
            <w:pPr>
              <w:pStyle w:val="TableParagraph"/>
              <w:spacing w:before="0"/>
              <w:jc w:val="left"/>
              <w:rPr>
                <w:sz w:val="6"/>
              </w:rPr>
            </w:pPr>
          </w:p>
        </w:tc>
        <w:tc>
          <w:tcPr>
            <w:tcW w:w="810" w:type="dxa"/>
            <w:vMerge/>
            <w:tcBorders>
              <w:top w:val="nil"/>
              <w:left w:val="single" w:sz="2" w:space="0" w:color="000000"/>
              <w:bottom w:val="single" w:sz="2" w:space="0" w:color="000000"/>
              <w:right w:val="single" w:sz="2" w:space="0" w:color="000000"/>
            </w:tcBorders>
          </w:tcPr>
          <w:p w:rsidR="000232AA" w:rsidRDefault="000232AA">
            <w:pPr>
              <w:rPr>
                <w:sz w:val="2"/>
                <w:szCs w:val="2"/>
              </w:rPr>
            </w:pPr>
          </w:p>
        </w:tc>
        <w:tc>
          <w:tcPr>
            <w:tcW w:w="904" w:type="dxa"/>
            <w:vMerge/>
            <w:tcBorders>
              <w:top w:val="nil"/>
              <w:left w:val="single" w:sz="2" w:space="0" w:color="000000"/>
              <w:bottom w:val="single" w:sz="2" w:space="0" w:color="000000"/>
              <w:right w:val="single" w:sz="2" w:space="0" w:color="000000"/>
            </w:tcBorders>
          </w:tcPr>
          <w:p w:rsidR="000232AA" w:rsidRDefault="000232AA">
            <w:pPr>
              <w:rPr>
                <w:sz w:val="2"/>
                <w:szCs w:val="2"/>
              </w:rPr>
            </w:pPr>
          </w:p>
        </w:tc>
        <w:tc>
          <w:tcPr>
            <w:tcW w:w="803" w:type="dxa"/>
            <w:vMerge/>
            <w:tcBorders>
              <w:top w:val="nil"/>
              <w:left w:val="single" w:sz="2" w:space="0" w:color="000000"/>
              <w:bottom w:val="single" w:sz="2" w:space="0" w:color="000000"/>
              <w:right w:val="single" w:sz="2" w:space="0" w:color="000000"/>
            </w:tcBorders>
          </w:tcPr>
          <w:p w:rsidR="000232AA" w:rsidRDefault="000232AA">
            <w:pPr>
              <w:rPr>
                <w:sz w:val="2"/>
                <w:szCs w:val="2"/>
              </w:rPr>
            </w:pPr>
          </w:p>
        </w:tc>
        <w:tc>
          <w:tcPr>
            <w:tcW w:w="820" w:type="dxa"/>
            <w:vMerge/>
            <w:tcBorders>
              <w:top w:val="nil"/>
              <w:left w:val="single" w:sz="2" w:space="0" w:color="000000"/>
              <w:bottom w:val="single" w:sz="2" w:space="0" w:color="000000"/>
            </w:tcBorders>
          </w:tcPr>
          <w:p w:rsidR="000232AA" w:rsidRDefault="000232AA">
            <w:pPr>
              <w:rPr>
                <w:sz w:val="2"/>
                <w:szCs w:val="2"/>
              </w:rPr>
            </w:pPr>
          </w:p>
        </w:tc>
      </w:tr>
      <w:tr w:rsidR="000232AA">
        <w:trPr>
          <w:trHeight w:val="132"/>
        </w:trPr>
        <w:tc>
          <w:tcPr>
            <w:tcW w:w="1471" w:type="dxa"/>
            <w:vMerge/>
            <w:tcBorders>
              <w:top w:val="nil"/>
              <w:bottom w:val="single" w:sz="2" w:space="0" w:color="000000"/>
              <w:right w:val="single" w:sz="2" w:space="0" w:color="000000"/>
            </w:tcBorders>
          </w:tcPr>
          <w:p w:rsidR="000232AA" w:rsidRDefault="000232AA">
            <w:pPr>
              <w:rPr>
                <w:sz w:val="2"/>
                <w:szCs w:val="2"/>
              </w:rPr>
            </w:pPr>
          </w:p>
        </w:tc>
        <w:tc>
          <w:tcPr>
            <w:tcW w:w="542" w:type="dxa"/>
            <w:vMerge w:val="restart"/>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14"/>
              <w:rPr>
                <w:sz w:val="18"/>
              </w:rPr>
            </w:pPr>
            <w:r>
              <w:rPr>
                <w:sz w:val="18"/>
              </w:rPr>
              <w:t>F</w:t>
            </w:r>
          </w:p>
        </w:tc>
        <w:tc>
          <w:tcPr>
            <w:tcW w:w="900" w:type="dxa"/>
            <w:vMerge w:val="restart"/>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303" w:right="281"/>
              <w:rPr>
                <w:sz w:val="18"/>
              </w:rPr>
            </w:pPr>
            <w:r>
              <w:rPr>
                <w:sz w:val="18"/>
                <w:u w:val="single"/>
              </w:rPr>
              <w:t>500</w:t>
            </w:r>
          </w:p>
        </w:tc>
        <w:tc>
          <w:tcPr>
            <w:tcW w:w="720" w:type="dxa"/>
            <w:vMerge w:val="restart"/>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185"/>
              <w:jc w:val="left"/>
              <w:rPr>
                <w:sz w:val="18"/>
              </w:rPr>
            </w:pPr>
            <w:r>
              <w:rPr>
                <w:sz w:val="18"/>
              </w:rPr>
              <w:t>6220</w:t>
            </w:r>
          </w:p>
        </w:tc>
        <w:tc>
          <w:tcPr>
            <w:tcW w:w="902" w:type="dxa"/>
            <w:vMerge w:val="restart"/>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233"/>
              <w:jc w:val="left"/>
              <w:rPr>
                <w:sz w:val="18"/>
              </w:rPr>
            </w:pPr>
            <w:r>
              <w:rPr>
                <w:sz w:val="18"/>
              </w:rPr>
              <w:t>12800</w:t>
            </w:r>
          </w:p>
        </w:tc>
        <w:tc>
          <w:tcPr>
            <w:tcW w:w="501" w:type="dxa"/>
            <w:tcBorders>
              <w:top w:val="single" w:sz="2" w:space="0" w:color="000000"/>
              <w:left w:val="single" w:sz="2" w:space="0" w:color="000000"/>
              <w:bottom w:val="nil"/>
              <w:right w:val="single" w:sz="8" w:space="0" w:color="0000FF"/>
            </w:tcBorders>
          </w:tcPr>
          <w:p w:rsidR="000232AA" w:rsidRDefault="00D42583">
            <w:pPr>
              <w:pStyle w:val="TableParagraph"/>
              <w:spacing w:before="33" w:line="79" w:lineRule="exact"/>
              <w:ind w:left="252"/>
              <w:jc w:val="left"/>
              <w:rPr>
                <w:sz w:val="18"/>
              </w:rPr>
            </w:pPr>
            <w:r>
              <w:rPr>
                <w:sz w:val="18"/>
              </w:rPr>
              <w:t>7.3</w:t>
            </w:r>
          </w:p>
        </w:tc>
        <w:tc>
          <w:tcPr>
            <w:tcW w:w="216" w:type="dxa"/>
            <w:tcBorders>
              <w:top w:val="single" w:sz="2" w:space="0" w:color="000000"/>
              <w:left w:val="single" w:sz="8" w:space="0" w:color="0000FF"/>
              <w:bottom w:val="single" w:sz="8" w:space="0" w:color="0000FF"/>
              <w:right w:val="single" w:sz="2" w:space="0" w:color="000000"/>
            </w:tcBorders>
          </w:tcPr>
          <w:p w:rsidR="000232AA" w:rsidRDefault="000232AA">
            <w:pPr>
              <w:pStyle w:val="TableParagraph"/>
              <w:spacing w:before="0"/>
              <w:jc w:val="left"/>
              <w:rPr>
                <w:sz w:val="8"/>
              </w:rPr>
            </w:pPr>
          </w:p>
        </w:tc>
        <w:tc>
          <w:tcPr>
            <w:tcW w:w="699" w:type="dxa"/>
            <w:tcBorders>
              <w:top w:val="single" w:sz="2" w:space="0" w:color="000000"/>
              <w:left w:val="single" w:sz="2" w:space="0" w:color="000000"/>
              <w:bottom w:val="single" w:sz="8" w:space="0" w:color="0000FF"/>
              <w:right w:val="single" w:sz="8" w:space="0" w:color="0000FF"/>
            </w:tcBorders>
          </w:tcPr>
          <w:p w:rsidR="000232AA" w:rsidRDefault="00D42583">
            <w:pPr>
              <w:pStyle w:val="TableParagraph"/>
              <w:spacing w:before="33" w:line="79" w:lineRule="exact"/>
              <w:ind w:left="296"/>
              <w:jc w:val="left"/>
              <w:rPr>
                <w:sz w:val="18"/>
              </w:rPr>
            </w:pPr>
            <w:r>
              <w:rPr>
                <w:sz w:val="18"/>
              </w:rPr>
              <w:t>15.1</w:t>
            </w:r>
          </w:p>
        </w:tc>
        <w:tc>
          <w:tcPr>
            <w:tcW w:w="192" w:type="dxa"/>
            <w:tcBorders>
              <w:top w:val="single" w:sz="2" w:space="0" w:color="000000"/>
              <w:left w:val="single" w:sz="8" w:space="0" w:color="0000FF"/>
              <w:bottom w:val="nil"/>
              <w:right w:val="single" w:sz="2" w:space="0" w:color="000000"/>
            </w:tcBorders>
          </w:tcPr>
          <w:p w:rsidR="000232AA" w:rsidRDefault="000232AA">
            <w:pPr>
              <w:pStyle w:val="TableParagraph"/>
              <w:spacing w:before="0"/>
              <w:jc w:val="left"/>
              <w:rPr>
                <w:sz w:val="8"/>
              </w:rPr>
            </w:pPr>
          </w:p>
        </w:tc>
        <w:tc>
          <w:tcPr>
            <w:tcW w:w="810" w:type="dxa"/>
            <w:vMerge w:val="restart"/>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144"/>
              <w:jc w:val="left"/>
              <w:rPr>
                <w:sz w:val="18"/>
              </w:rPr>
            </w:pPr>
            <w:r>
              <w:rPr>
                <w:sz w:val="18"/>
              </w:rPr>
              <w:t>643200</w:t>
            </w:r>
          </w:p>
        </w:tc>
        <w:tc>
          <w:tcPr>
            <w:tcW w:w="904" w:type="dxa"/>
            <w:vMerge w:val="restart"/>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143"/>
              <w:jc w:val="left"/>
              <w:rPr>
                <w:sz w:val="18"/>
              </w:rPr>
            </w:pPr>
            <w:r>
              <w:rPr>
                <w:sz w:val="18"/>
              </w:rPr>
              <w:t>1180800</w:t>
            </w:r>
          </w:p>
        </w:tc>
        <w:tc>
          <w:tcPr>
            <w:tcW w:w="803" w:type="dxa"/>
            <w:vMerge w:val="restart"/>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279" w:right="254"/>
              <w:rPr>
                <w:sz w:val="18"/>
              </w:rPr>
            </w:pPr>
            <w:r>
              <w:rPr>
                <w:sz w:val="18"/>
              </w:rPr>
              <w:t>6.6</w:t>
            </w:r>
          </w:p>
        </w:tc>
        <w:tc>
          <w:tcPr>
            <w:tcW w:w="820" w:type="dxa"/>
            <w:vMerge w:val="restart"/>
            <w:tcBorders>
              <w:top w:val="single" w:sz="2" w:space="0" w:color="000000"/>
              <w:left w:val="single" w:sz="2" w:space="0" w:color="000000"/>
              <w:bottom w:val="single" w:sz="2" w:space="0" w:color="000000"/>
            </w:tcBorders>
          </w:tcPr>
          <w:p w:rsidR="000232AA" w:rsidRDefault="00D42583">
            <w:pPr>
              <w:pStyle w:val="TableParagraph"/>
              <w:spacing w:before="33"/>
              <w:ind w:left="265"/>
              <w:jc w:val="left"/>
              <w:rPr>
                <w:sz w:val="18"/>
              </w:rPr>
            </w:pPr>
            <w:r>
              <w:rPr>
                <w:sz w:val="18"/>
              </w:rPr>
              <w:t>12.1</w:t>
            </w:r>
          </w:p>
        </w:tc>
      </w:tr>
      <w:tr w:rsidR="000232AA">
        <w:trPr>
          <w:trHeight w:val="132"/>
        </w:trPr>
        <w:tc>
          <w:tcPr>
            <w:tcW w:w="1471" w:type="dxa"/>
            <w:vMerge/>
            <w:tcBorders>
              <w:top w:val="nil"/>
              <w:bottom w:val="single" w:sz="2" w:space="0" w:color="000000"/>
              <w:right w:val="single" w:sz="2" w:space="0" w:color="000000"/>
            </w:tcBorders>
          </w:tcPr>
          <w:p w:rsidR="000232AA" w:rsidRDefault="000232AA">
            <w:pPr>
              <w:rPr>
                <w:sz w:val="2"/>
                <w:szCs w:val="2"/>
              </w:rPr>
            </w:pPr>
          </w:p>
        </w:tc>
        <w:tc>
          <w:tcPr>
            <w:tcW w:w="542" w:type="dxa"/>
            <w:vMerge/>
            <w:tcBorders>
              <w:top w:val="nil"/>
              <w:left w:val="single" w:sz="2" w:space="0" w:color="000000"/>
              <w:bottom w:val="single" w:sz="2" w:space="0" w:color="000000"/>
              <w:right w:val="single" w:sz="2" w:space="0" w:color="000000"/>
            </w:tcBorders>
          </w:tcPr>
          <w:p w:rsidR="000232AA" w:rsidRDefault="000232AA">
            <w:pPr>
              <w:rPr>
                <w:sz w:val="2"/>
                <w:szCs w:val="2"/>
              </w:rPr>
            </w:pPr>
          </w:p>
        </w:tc>
        <w:tc>
          <w:tcPr>
            <w:tcW w:w="900" w:type="dxa"/>
            <w:vMerge/>
            <w:tcBorders>
              <w:top w:val="nil"/>
              <w:left w:val="single" w:sz="2" w:space="0" w:color="000000"/>
              <w:bottom w:val="single" w:sz="2" w:space="0" w:color="000000"/>
              <w:right w:val="single" w:sz="2" w:space="0" w:color="000000"/>
            </w:tcBorders>
          </w:tcPr>
          <w:p w:rsidR="000232AA" w:rsidRDefault="000232AA">
            <w:pPr>
              <w:rPr>
                <w:sz w:val="2"/>
                <w:szCs w:val="2"/>
              </w:rPr>
            </w:pPr>
          </w:p>
        </w:tc>
        <w:tc>
          <w:tcPr>
            <w:tcW w:w="720" w:type="dxa"/>
            <w:vMerge/>
            <w:tcBorders>
              <w:top w:val="nil"/>
              <w:left w:val="single" w:sz="2" w:space="0" w:color="000000"/>
              <w:bottom w:val="single" w:sz="2" w:space="0" w:color="000000"/>
              <w:right w:val="single" w:sz="2" w:space="0" w:color="000000"/>
            </w:tcBorders>
          </w:tcPr>
          <w:p w:rsidR="000232AA" w:rsidRDefault="000232AA">
            <w:pPr>
              <w:rPr>
                <w:sz w:val="2"/>
                <w:szCs w:val="2"/>
              </w:rPr>
            </w:pPr>
          </w:p>
        </w:tc>
        <w:tc>
          <w:tcPr>
            <w:tcW w:w="902" w:type="dxa"/>
            <w:vMerge/>
            <w:tcBorders>
              <w:top w:val="nil"/>
              <w:left w:val="single" w:sz="2" w:space="0" w:color="000000"/>
              <w:bottom w:val="single" w:sz="2" w:space="0" w:color="000000"/>
              <w:right w:val="single" w:sz="2" w:space="0" w:color="000000"/>
            </w:tcBorders>
          </w:tcPr>
          <w:p w:rsidR="000232AA" w:rsidRDefault="000232AA">
            <w:pPr>
              <w:rPr>
                <w:sz w:val="2"/>
                <w:szCs w:val="2"/>
              </w:rPr>
            </w:pPr>
          </w:p>
        </w:tc>
        <w:tc>
          <w:tcPr>
            <w:tcW w:w="717" w:type="dxa"/>
            <w:gridSpan w:val="2"/>
            <w:tcBorders>
              <w:top w:val="nil"/>
              <w:left w:val="single" w:sz="2" w:space="0" w:color="000000"/>
              <w:bottom w:val="single" w:sz="2" w:space="0" w:color="000000"/>
              <w:right w:val="single" w:sz="2" w:space="0" w:color="000000"/>
            </w:tcBorders>
          </w:tcPr>
          <w:p w:rsidR="000232AA" w:rsidRDefault="000232AA">
            <w:pPr>
              <w:pStyle w:val="TableParagraph"/>
              <w:spacing w:before="0"/>
              <w:jc w:val="left"/>
              <w:rPr>
                <w:sz w:val="8"/>
              </w:rPr>
            </w:pPr>
          </w:p>
        </w:tc>
        <w:tc>
          <w:tcPr>
            <w:tcW w:w="891" w:type="dxa"/>
            <w:gridSpan w:val="2"/>
            <w:tcBorders>
              <w:top w:val="nil"/>
              <w:left w:val="single" w:sz="2" w:space="0" w:color="000000"/>
              <w:bottom w:val="single" w:sz="2" w:space="0" w:color="000000"/>
              <w:right w:val="single" w:sz="2" w:space="0" w:color="000000"/>
            </w:tcBorders>
          </w:tcPr>
          <w:p w:rsidR="000232AA" w:rsidRDefault="000232AA">
            <w:pPr>
              <w:pStyle w:val="TableParagraph"/>
              <w:spacing w:before="0"/>
              <w:jc w:val="left"/>
              <w:rPr>
                <w:sz w:val="8"/>
              </w:rPr>
            </w:pPr>
          </w:p>
        </w:tc>
        <w:tc>
          <w:tcPr>
            <w:tcW w:w="810" w:type="dxa"/>
            <w:vMerge/>
            <w:tcBorders>
              <w:top w:val="nil"/>
              <w:left w:val="single" w:sz="2" w:space="0" w:color="000000"/>
              <w:bottom w:val="single" w:sz="2" w:space="0" w:color="000000"/>
              <w:right w:val="single" w:sz="2" w:space="0" w:color="000000"/>
            </w:tcBorders>
          </w:tcPr>
          <w:p w:rsidR="000232AA" w:rsidRDefault="000232AA">
            <w:pPr>
              <w:rPr>
                <w:sz w:val="2"/>
                <w:szCs w:val="2"/>
              </w:rPr>
            </w:pPr>
          </w:p>
        </w:tc>
        <w:tc>
          <w:tcPr>
            <w:tcW w:w="904" w:type="dxa"/>
            <w:vMerge/>
            <w:tcBorders>
              <w:top w:val="nil"/>
              <w:left w:val="single" w:sz="2" w:space="0" w:color="000000"/>
              <w:bottom w:val="single" w:sz="2" w:space="0" w:color="000000"/>
              <w:right w:val="single" w:sz="2" w:space="0" w:color="000000"/>
            </w:tcBorders>
          </w:tcPr>
          <w:p w:rsidR="000232AA" w:rsidRDefault="000232AA">
            <w:pPr>
              <w:rPr>
                <w:sz w:val="2"/>
                <w:szCs w:val="2"/>
              </w:rPr>
            </w:pPr>
          </w:p>
        </w:tc>
        <w:tc>
          <w:tcPr>
            <w:tcW w:w="803" w:type="dxa"/>
            <w:vMerge/>
            <w:tcBorders>
              <w:top w:val="nil"/>
              <w:left w:val="single" w:sz="2" w:space="0" w:color="000000"/>
              <w:bottom w:val="single" w:sz="2" w:space="0" w:color="000000"/>
              <w:right w:val="single" w:sz="2" w:space="0" w:color="000000"/>
            </w:tcBorders>
          </w:tcPr>
          <w:p w:rsidR="000232AA" w:rsidRDefault="000232AA">
            <w:pPr>
              <w:rPr>
                <w:sz w:val="2"/>
                <w:szCs w:val="2"/>
              </w:rPr>
            </w:pPr>
          </w:p>
        </w:tc>
        <w:tc>
          <w:tcPr>
            <w:tcW w:w="820" w:type="dxa"/>
            <w:vMerge/>
            <w:tcBorders>
              <w:top w:val="nil"/>
              <w:left w:val="single" w:sz="2" w:space="0" w:color="000000"/>
              <w:bottom w:val="single" w:sz="2" w:space="0" w:color="000000"/>
            </w:tcBorders>
          </w:tcPr>
          <w:p w:rsidR="000232AA" w:rsidRDefault="000232AA">
            <w:pPr>
              <w:rPr>
                <w:sz w:val="2"/>
                <w:szCs w:val="2"/>
              </w:rPr>
            </w:pPr>
          </w:p>
        </w:tc>
      </w:tr>
      <w:tr w:rsidR="000232AA">
        <w:trPr>
          <w:trHeight w:val="282"/>
        </w:trPr>
        <w:tc>
          <w:tcPr>
            <w:tcW w:w="1471" w:type="dxa"/>
            <w:vMerge w:val="restart"/>
            <w:tcBorders>
              <w:top w:val="single" w:sz="2" w:space="0" w:color="000000"/>
              <w:right w:val="single" w:sz="2" w:space="0" w:color="000000"/>
            </w:tcBorders>
          </w:tcPr>
          <w:p w:rsidR="000232AA" w:rsidRDefault="000232AA">
            <w:pPr>
              <w:pStyle w:val="TableParagraph"/>
              <w:spacing w:before="0"/>
              <w:jc w:val="left"/>
              <w:rPr>
                <w:b/>
                <w:sz w:val="20"/>
              </w:rPr>
            </w:pPr>
          </w:p>
          <w:p w:rsidR="000232AA" w:rsidRDefault="000232AA">
            <w:pPr>
              <w:pStyle w:val="TableParagraph"/>
              <w:spacing w:before="8"/>
              <w:jc w:val="left"/>
              <w:rPr>
                <w:b/>
                <w:sz w:val="26"/>
              </w:rPr>
            </w:pPr>
          </w:p>
          <w:p w:rsidR="000232AA" w:rsidRDefault="00D42583">
            <w:pPr>
              <w:pStyle w:val="TableParagraph"/>
              <w:spacing w:before="0"/>
              <w:ind w:left="114" w:right="102"/>
              <w:jc w:val="left"/>
              <w:rPr>
                <w:sz w:val="18"/>
              </w:rPr>
            </w:pPr>
            <w:r>
              <w:rPr>
                <w:sz w:val="18"/>
              </w:rPr>
              <w:t>Monkey/4-week, iv</w:t>
            </w:r>
          </w:p>
          <w:p w:rsidR="000232AA" w:rsidRDefault="00D42583">
            <w:pPr>
              <w:pStyle w:val="TableParagraph"/>
              <w:spacing w:before="40"/>
              <w:ind w:left="114"/>
              <w:jc w:val="left"/>
              <w:rPr>
                <w:sz w:val="18"/>
              </w:rPr>
            </w:pPr>
            <w:r>
              <w:rPr>
                <w:sz w:val="18"/>
              </w:rPr>
              <w:t>(</w:t>
            </w:r>
            <w:r w:rsidR="005C6C34">
              <w:rPr>
                <w:sz w:val="18"/>
              </w:rPr>
              <w:t>PROJECT 12</w:t>
            </w:r>
            <w:r>
              <w:rPr>
                <w:sz w:val="18"/>
              </w:rPr>
              <w:t>-026)</w:t>
            </w:r>
          </w:p>
        </w:tc>
        <w:tc>
          <w:tcPr>
            <w:tcW w:w="542"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12"/>
              <w:rPr>
                <w:sz w:val="18"/>
              </w:rPr>
            </w:pPr>
            <w:r>
              <w:rPr>
                <w:sz w:val="18"/>
              </w:rPr>
              <w:t>M</w:t>
            </w:r>
          </w:p>
        </w:tc>
        <w:tc>
          <w:tcPr>
            <w:tcW w:w="900"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303" w:right="281"/>
              <w:rPr>
                <w:sz w:val="18"/>
              </w:rPr>
            </w:pPr>
            <w:r>
              <w:rPr>
                <w:sz w:val="18"/>
              </w:rPr>
              <w:t>20</w:t>
            </w:r>
          </w:p>
        </w:tc>
        <w:tc>
          <w:tcPr>
            <w:tcW w:w="720"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124" w:right="104"/>
              <w:rPr>
                <w:sz w:val="18"/>
              </w:rPr>
            </w:pPr>
            <w:r>
              <w:rPr>
                <w:sz w:val="18"/>
              </w:rPr>
              <w:t>690</w:t>
            </w:r>
          </w:p>
        </w:tc>
        <w:tc>
          <w:tcPr>
            <w:tcW w:w="902"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right="299"/>
              <w:jc w:val="right"/>
              <w:rPr>
                <w:sz w:val="18"/>
              </w:rPr>
            </w:pPr>
            <w:r>
              <w:rPr>
                <w:sz w:val="18"/>
              </w:rPr>
              <w:t>967</w:t>
            </w:r>
          </w:p>
        </w:tc>
        <w:tc>
          <w:tcPr>
            <w:tcW w:w="717" w:type="dxa"/>
            <w:gridSpan w:val="2"/>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252"/>
              <w:jc w:val="left"/>
              <w:rPr>
                <w:sz w:val="18"/>
              </w:rPr>
            </w:pPr>
            <w:r>
              <w:rPr>
                <w:sz w:val="18"/>
              </w:rPr>
              <w:t>0.8</w:t>
            </w:r>
          </w:p>
        </w:tc>
        <w:tc>
          <w:tcPr>
            <w:tcW w:w="891" w:type="dxa"/>
            <w:gridSpan w:val="2"/>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323" w:right="297"/>
              <w:rPr>
                <w:sz w:val="18"/>
              </w:rPr>
            </w:pPr>
            <w:r>
              <w:rPr>
                <w:sz w:val="18"/>
              </w:rPr>
              <w:t>1.1</w:t>
            </w:r>
          </w:p>
        </w:tc>
        <w:tc>
          <w:tcPr>
            <w:tcW w:w="810"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188"/>
              <w:jc w:val="left"/>
              <w:rPr>
                <w:sz w:val="18"/>
              </w:rPr>
            </w:pPr>
            <w:r>
              <w:rPr>
                <w:sz w:val="18"/>
              </w:rPr>
              <w:t>48100</w:t>
            </w:r>
          </w:p>
        </w:tc>
        <w:tc>
          <w:tcPr>
            <w:tcW w:w="904"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right="209"/>
              <w:jc w:val="right"/>
              <w:rPr>
                <w:sz w:val="18"/>
              </w:rPr>
            </w:pPr>
            <w:r>
              <w:rPr>
                <w:sz w:val="18"/>
              </w:rPr>
              <w:t>97900</w:t>
            </w:r>
          </w:p>
        </w:tc>
        <w:tc>
          <w:tcPr>
            <w:tcW w:w="803"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33"/>
              <w:ind w:left="279" w:right="254"/>
              <w:rPr>
                <w:sz w:val="18"/>
              </w:rPr>
            </w:pPr>
            <w:r>
              <w:rPr>
                <w:sz w:val="18"/>
              </w:rPr>
              <w:t>0.5</w:t>
            </w:r>
          </w:p>
        </w:tc>
        <w:tc>
          <w:tcPr>
            <w:tcW w:w="820" w:type="dxa"/>
            <w:tcBorders>
              <w:top w:val="single" w:sz="2" w:space="0" w:color="000000"/>
              <w:left w:val="single" w:sz="2" w:space="0" w:color="000000"/>
              <w:bottom w:val="single" w:sz="2" w:space="0" w:color="000000"/>
            </w:tcBorders>
          </w:tcPr>
          <w:p w:rsidR="000232AA" w:rsidRDefault="00D42583">
            <w:pPr>
              <w:pStyle w:val="TableParagraph"/>
              <w:spacing w:before="33"/>
              <w:ind w:right="271"/>
              <w:jc w:val="right"/>
              <w:rPr>
                <w:sz w:val="18"/>
              </w:rPr>
            </w:pPr>
            <w:r>
              <w:rPr>
                <w:sz w:val="18"/>
              </w:rPr>
              <w:t>1.0</w:t>
            </w:r>
          </w:p>
        </w:tc>
      </w:tr>
      <w:tr w:rsidR="000232AA">
        <w:trPr>
          <w:trHeight w:val="277"/>
        </w:trPr>
        <w:tc>
          <w:tcPr>
            <w:tcW w:w="1471" w:type="dxa"/>
            <w:vMerge/>
            <w:tcBorders>
              <w:top w:val="nil"/>
              <w:right w:val="single" w:sz="2" w:space="0" w:color="000000"/>
            </w:tcBorders>
          </w:tcPr>
          <w:p w:rsidR="000232AA" w:rsidRDefault="000232AA">
            <w:pPr>
              <w:rPr>
                <w:sz w:val="2"/>
                <w:szCs w:val="2"/>
              </w:rPr>
            </w:pPr>
          </w:p>
        </w:tc>
        <w:tc>
          <w:tcPr>
            <w:tcW w:w="542"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left="14"/>
              <w:rPr>
                <w:sz w:val="18"/>
              </w:rPr>
            </w:pPr>
            <w:r>
              <w:rPr>
                <w:sz w:val="18"/>
              </w:rPr>
              <w:t>F</w:t>
            </w:r>
          </w:p>
        </w:tc>
        <w:tc>
          <w:tcPr>
            <w:tcW w:w="900"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left="303" w:right="281"/>
              <w:rPr>
                <w:sz w:val="18"/>
              </w:rPr>
            </w:pPr>
            <w:r>
              <w:rPr>
                <w:sz w:val="18"/>
              </w:rPr>
              <w:t>20</w:t>
            </w:r>
          </w:p>
        </w:tc>
        <w:tc>
          <w:tcPr>
            <w:tcW w:w="720"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left="124" w:right="104"/>
              <w:rPr>
                <w:sz w:val="18"/>
              </w:rPr>
            </w:pPr>
            <w:r>
              <w:rPr>
                <w:sz w:val="18"/>
              </w:rPr>
              <w:t>821</w:t>
            </w:r>
          </w:p>
        </w:tc>
        <w:tc>
          <w:tcPr>
            <w:tcW w:w="902"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right="299"/>
              <w:jc w:val="right"/>
              <w:rPr>
                <w:sz w:val="18"/>
              </w:rPr>
            </w:pPr>
            <w:r>
              <w:rPr>
                <w:sz w:val="18"/>
              </w:rPr>
              <w:t>827</w:t>
            </w:r>
          </w:p>
        </w:tc>
        <w:tc>
          <w:tcPr>
            <w:tcW w:w="717" w:type="dxa"/>
            <w:gridSpan w:val="2"/>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left="252"/>
              <w:jc w:val="left"/>
              <w:rPr>
                <w:sz w:val="18"/>
              </w:rPr>
            </w:pPr>
            <w:r>
              <w:rPr>
                <w:sz w:val="18"/>
              </w:rPr>
              <w:t>1.0</w:t>
            </w:r>
          </w:p>
        </w:tc>
        <w:tc>
          <w:tcPr>
            <w:tcW w:w="891" w:type="dxa"/>
            <w:gridSpan w:val="2"/>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left="323" w:right="297"/>
              <w:rPr>
                <w:sz w:val="18"/>
              </w:rPr>
            </w:pPr>
            <w:r>
              <w:rPr>
                <w:sz w:val="18"/>
              </w:rPr>
              <w:t>1.0</w:t>
            </w:r>
          </w:p>
        </w:tc>
        <w:tc>
          <w:tcPr>
            <w:tcW w:w="810"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left="188"/>
              <w:jc w:val="left"/>
              <w:rPr>
                <w:sz w:val="18"/>
              </w:rPr>
            </w:pPr>
            <w:r>
              <w:rPr>
                <w:sz w:val="18"/>
              </w:rPr>
              <w:t>49400</w:t>
            </w:r>
          </w:p>
        </w:tc>
        <w:tc>
          <w:tcPr>
            <w:tcW w:w="904"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right="209"/>
              <w:jc w:val="right"/>
              <w:rPr>
                <w:sz w:val="18"/>
              </w:rPr>
            </w:pPr>
            <w:r>
              <w:rPr>
                <w:sz w:val="18"/>
              </w:rPr>
              <w:t>60800</w:t>
            </w:r>
          </w:p>
        </w:tc>
        <w:tc>
          <w:tcPr>
            <w:tcW w:w="803"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left="279" w:right="254"/>
              <w:rPr>
                <w:sz w:val="18"/>
              </w:rPr>
            </w:pPr>
            <w:r>
              <w:rPr>
                <w:sz w:val="18"/>
              </w:rPr>
              <w:t>0.5</w:t>
            </w:r>
          </w:p>
        </w:tc>
        <w:tc>
          <w:tcPr>
            <w:tcW w:w="820" w:type="dxa"/>
            <w:tcBorders>
              <w:top w:val="single" w:sz="2" w:space="0" w:color="000000"/>
              <w:left w:val="single" w:sz="2" w:space="0" w:color="000000"/>
              <w:bottom w:val="single" w:sz="2" w:space="0" w:color="000000"/>
            </w:tcBorders>
          </w:tcPr>
          <w:p w:rsidR="000232AA" w:rsidRDefault="00D42583">
            <w:pPr>
              <w:pStyle w:val="TableParagraph"/>
              <w:spacing w:before="28"/>
              <w:ind w:right="271"/>
              <w:jc w:val="right"/>
              <w:rPr>
                <w:sz w:val="18"/>
              </w:rPr>
            </w:pPr>
            <w:r>
              <w:rPr>
                <w:sz w:val="18"/>
              </w:rPr>
              <w:t>0.6</w:t>
            </w:r>
          </w:p>
        </w:tc>
      </w:tr>
      <w:tr w:rsidR="000232AA">
        <w:trPr>
          <w:trHeight w:val="275"/>
        </w:trPr>
        <w:tc>
          <w:tcPr>
            <w:tcW w:w="1471" w:type="dxa"/>
            <w:vMerge/>
            <w:tcBorders>
              <w:top w:val="nil"/>
              <w:right w:val="single" w:sz="2" w:space="0" w:color="000000"/>
            </w:tcBorders>
          </w:tcPr>
          <w:p w:rsidR="000232AA" w:rsidRDefault="000232AA">
            <w:pPr>
              <w:rPr>
                <w:sz w:val="2"/>
                <w:szCs w:val="2"/>
              </w:rPr>
            </w:pPr>
          </w:p>
        </w:tc>
        <w:tc>
          <w:tcPr>
            <w:tcW w:w="542"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left="12"/>
              <w:rPr>
                <w:sz w:val="18"/>
              </w:rPr>
            </w:pPr>
            <w:r>
              <w:rPr>
                <w:sz w:val="18"/>
              </w:rPr>
              <w:t>M</w:t>
            </w:r>
          </w:p>
        </w:tc>
        <w:tc>
          <w:tcPr>
            <w:tcW w:w="900"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left="303" w:right="281"/>
              <w:rPr>
                <w:sz w:val="18"/>
              </w:rPr>
            </w:pPr>
            <w:r>
              <w:rPr>
                <w:sz w:val="18"/>
              </w:rPr>
              <w:t>60</w:t>
            </w:r>
          </w:p>
        </w:tc>
        <w:tc>
          <w:tcPr>
            <w:tcW w:w="720"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left="123" w:right="106"/>
              <w:rPr>
                <w:sz w:val="18"/>
              </w:rPr>
            </w:pPr>
            <w:r>
              <w:rPr>
                <w:sz w:val="18"/>
              </w:rPr>
              <w:t>1980</w:t>
            </w:r>
          </w:p>
        </w:tc>
        <w:tc>
          <w:tcPr>
            <w:tcW w:w="902"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right="254"/>
              <w:jc w:val="right"/>
              <w:rPr>
                <w:sz w:val="18"/>
              </w:rPr>
            </w:pPr>
            <w:r>
              <w:rPr>
                <w:sz w:val="18"/>
              </w:rPr>
              <w:t>4430</w:t>
            </w:r>
          </w:p>
        </w:tc>
        <w:tc>
          <w:tcPr>
            <w:tcW w:w="717" w:type="dxa"/>
            <w:gridSpan w:val="2"/>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left="252"/>
              <w:jc w:val="left"/>
              <w:rPr>
                <w:sz w:val="18"/>
              </w:rPr>
            </w:pPr>
            <w:r>
              <w:rPr>
                <w:sz w:val="18"/>
              </w:rPr>
              <w:t>2.3</w:t>
            </w:r>
          </w:p>
        </w:tc>
        <w:tc>
          <w:tcPr>
            <w:tcW w:w="891" w:type="dxa"/>
            <w:gridSpan w:val="2"/>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left="323" w:right="297"/>
              <w:rPr>
                <w:sz w:val="18"/>
              </w:rPr>
            </w:pPr>
            <w:r>
              <w:rPr>
                <w:sz w:val="18"/>
              </w:rPr>
              <w:t>5.2</w:t>
            </w:r>
          </w:p>
        </w:tc>
        <w:tc>
          <w:tcPr>
            <w:tcW w:w="810"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left="144"/>
              <w:jc w:val="left"/>
              <w:rPr>
                <w:sz w:val="18"/>
              </w:rPr>
            </w:pPr>
            <w:r>
              <w:rPr>
                <w:sz w:val="18"/>
              </w:rPr>
              <w:t>148000</w:t>
            </w:r>
          </w:p>
        </w:tc>
        <w:tc>
          <w:tcPr>
            <w:tcW w:w="904"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right="166"/>
              <w:jc w:val="right"/>
              <w:rPr>
                <w:sz w:val="18"/>
              </w:rPr>
            </w:pPr>
            <w:r>
              <w:rPr>
                <w:sz w:val="18"/>
              </w:rPr>
              <w:t>390000</w:t>
            </w:r>
          </w:p>
        </w:tc>
        <w:tc>
          <w:tcPr>
            <w:tcW w:w="803"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left="279" w:right="254"/>
              <w:rPr>
                <w:sz w:val="18"/>
              </w:rPr>
            </w:pPr>
            <w:r>
              <w:rPr>
                <w:sz w:val="18"/>
              </w:rPr>
              <w:t>1.5</w:t>
            </w:r>
          </w:p>
        </w:tc>
        <w:tc>
          <w:tcPr>
            <w:tcW w:w="820" w:type="dxa"/>
            <w:tcBorders>
              <w:top w:val="single" w:sz="2" w:space="0" w:color="000000"/>
              <w:left w:val="single" w:sz="2" w:space="0" w:color="000000"/>
              <w:bottom w:val="single" w:sz="2" w:space="0" w:color="000000"/>
            </w:tcBorders>
          </w:tcPr>
          <w:p w:rsidR="000232AA" w:rsidRDefault="00D42583">
            <w:pPr>
              <w:pStyle w:val="TableParagraph"/>
              <w:spacing w:before="28"/>
              <w:ind w:right="271"/>
              <w:jc w:val="right"/>
              <w:rPr>
                <w:sz w:val="18"/>
              </w:rPr>
            </w:pPr>
            <w:r>
              <w:rPr>
                <w:sz w:val="18"/>
              </w:rPr>
              <w:t>4.0</w:t>
            </w:r>
          </w:p>
        </w:tc>
      </w:tr>
      <w:tr w:rsidR="000232AA">
        <w:trPr>
          <w:trHeight w:val="277"/>
        </w:trPr>
        <w:tc>
          <w:tcPr>
            <w:tcW w:w="1471" w:type="dxa"/>
            <w:vMerge/>
            <w:tcBorders>
              <w:top w:val="nil"/>
              <w:right w:val="single" w:sz="2" w:space="0" w:color="000000"/>
            </w:tcBorders>
          </w:tcPr>
          <w:p w:rsidR="000232AA" w:rsidRDefault="000232AA">
            <w:pPr>
              <w:rPr>
                <w:sz w:val="2"/>
                <w:szCs w:val="2"/>
              </w:rPr>
            </w:pPr>
          </w:p>
        </w:tc>
        <w:tc>
          <w:tcPr>
            <w:tcW w:w="542"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left="14"/>
              <w:rPr>
                <w:sz w:val="18"/>
              </w:rPr>
            </w:pPr>
            <w:r>
              <w:rPr>
                <w:sz w:val="18"/>
              </w:rPr>
              <w:t>F</w:t>
            </w:r>
          </w:p>
        </w:tc>
        <w:tc>
          <w:tcPr>
            <w:tcW w:w="900"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left="303" w:right="281"/>
              <w:rPr>
                <w:sz w:val="18"/>
              </w:rPr>
            </w:pPr>
            <w:r>
              <w:rPr>
                <w:sz w:val="18"/>
              </w:rPr>
              <w:t>60</w:t>
            </w:r>
          </w:p>
        </w:tc>
        <w:tc>
          <w:tcPr>
            <w:tcW w:w="720"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left="123" w:right="106"/>
              <w:rPr>
                <w:sz w:val="18"/>
              </w:rPr>
            </w:pPr>
            <w:r>
              <w:rPr>
                <w:sz w:val="18"/>
              </w:rPr>
              <w:t>1990</w:t>
            </w:r>
          </w:p>
        </w:tc>
        <w:tc>
          <w:tcPr>
            <w:tcW w:w="902"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right="254"/>
              <w:jc w:val="right"/>
              <w:rPr>
                <w:sz w:val="18"/>
              </w:rPr>
            </w:pPr>
            <w:r>
              <w:rPr>
                <w:sz w:val="18"/>
              </w:rPr>
              <w:t>3630</w:t>
            </w:r>
          </w:p>
        </w:tc>
        <w:tc>
          <w:tcPr>
            <w:tcW w:w="717" w:type="dxa"/>
            <w:gridSpan w:val="2"/>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left="252"/>
              <w:jc w:val="left"/>
              <w:rPr>
                <w:sz w:val="18"/>
              </w:rPr>
            </w:pPr>
            <w:r>
              <w:rPr>
                <w:sz w:val="18"/>
              </w:rPr>
              <w:t>2.3</w:t>
            </w:r>
          </w:p>
        </w:tc>
        <w:tc>
          <w:tcPr>
            <w:tcW w:w="891" w:type="dxa"/>
            <w:gridSpan w:val="2"/>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left="323" w:right="297"/>
              <w:rPr>
                <w:sz w:val="18"/>
              </w:rPr>
            </w:pPr>
            <w:r>
              <w:rPr>
                <w:sz w:val="18"/>
              </w:rPr>
              <w:t>4.3</w:t>
            </w:r>
          </w:p>
        </w:tc>
        <w:tc>
          <w:tcPr>
            <w:tcW w:w="810"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left="144"/>
              <w:jc w:val="left"/>
              <w:rPr>
                <w:sz w:val="18"/>
              </w:rPr>
            </w:pPr>
            <w:r>
              <w:rPr>
                <w:sz w:val="18"/>
              </w:rPr>
              <w:t>141000</w:t>
            </w:r>
          </w:p>
        </w:tc>
        <w:tc>
          <w:tcPr>
            <w:tcW w:w="904"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right="166"/>
              <w:jc w:val="right"/>
              <w:rPr>
                <w:sz w:val="18"/>
              </w:rPr>
            </w:pPr>
            <w:r>
              <w:rPr>
                <w:sz w:val="18"/>
              </w:rPr>
              <w:t>317000</w:t>
            </w:r>
          </w:p>
        </w:tc>
        <w:tc>
          <w:tcPr>
            <w:tcW w:w="803"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left="279" w:right="254"/>
              <w:rPr>
                <w:sz w:val="18"/>
              </w:rPr>
            </w:pPr>
            <w:r>
              <w:rPr>
                <w:sz w:val="18"/>
              </w:rPr>
              <w:t>1.5</w:t>
            </w:r>
          </w:p>
        </w:tc>
        <w:tc>
          <w:tcPr>
            <w:tcW w:w="820" w:type="dxa"/>
            <w:tcBorders>
              <w:top w:val="single" w:sz="2" w:space="0" w:color="000000"/>
              <w:left w:val="single" w:sz="2" w:space="0" w:color="000000"/>
              <w:bottom w:val="single" w:sz="2" w:space="0" w:color="000000"/>
            </w:tcBorders>
          </w:tcPr>
          <w:p w:rsidR="000232AA" w:rsidRDefault="00D42583">
            <w:pPr>
              <w:pStyle w:val="TableParagraph"/>
              <w:spacing w:before="28"/>
              <w:ind w:right="271"/>
              <w:jc w:val="right"/>
              <w:rPr>
                <w:sz w:val="18"/>
              </w:rPr>
            </w:pPr>
            <w:r>
              <w:rPr>
                <w:sz w:val="18"/>
              </w:rPr>
              <w:t>3.3</w:t>
            </w:r>
          </w:p>
        </w:tc>
      </w:tr>
      <w:tr w:rsidR="000232AA">
        <w:trPr>
          <w:trHeight w:val="277"/>
        </w:trPr>
        <w:tc>
          <w:tcPr>
            <w:tcW w:w="1471" w:type="dxa"/>
            <w:vMerge/>
            <w:tcBorders>
              <w:top w:val="nil"/>
              <w:right w:val="single" w:sz="2" w:space="0" w:color="000000"/>
            </w:tcBorders>
          </w:tcPr>
          <w:p w:rsidR="000232AA" w:rsidRDefault="000232AA">
            <w:pPr>
              <w:rPr>
                <w:sz w:val="2"/>
                <w:szCs w:val="2"/>
              </w:rPr>
            </w:pPr>
          </w:p>
        </w:tc>
        <w:tc>
          <w:tcPr>
            <w:tcW w:w="542"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left="12"/>
              <w:rPr>
                <w:sz w:val="18"/>
              </w:rPr>
            </w:pPr>
            <w:r>
              <w:rPr>
                <w:sz w:val="18"/>
              </w:rPr>
              <w:t>M</w:t>
            </w:r>
          </w:p>
        </w:tc>
        <w:tc>
          <w:tcPr>
            <w:tcW w:w="900"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left="303" w:right="281"/>
              <w:rPr>
                <w:sz w:val="18"/>
              </w:rPr>
            </w:pPr>
            <w:r>
              <w:rPr>
                <w:sz w:val="18"/>
                <w:u w:val="single"/>
              </w:rPr>
              <w:t>200</w:t>
            </w:r>
          </w:p>
        </w:tc>
        <w:tc>
          <w:tcPr>
            <w:tcW w:w="720"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left="123" w:right="106"/>
              <w:rPr>
                <w:sz w:val="18"/>
              </w:rPr>
            </w:pPr>
            <w:r>
              <w:rPr>
                <w:sz w:val="18"/>
              </w:rPr>
              <w:t>5730</w:t>
            </w:r>
          </w:p>
        </w:tc>
        <w:tc>
          <w:tcPr>
            <w:tcW w:w="902"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right="254"/>
              <w:jc w:val="right"/>
              <w:rPr>
                <w:sz w:val="18"/>
              </w:rPr>
            </w:pPr>
            <w:r>
              <w:rPr>
                <w:sz w:val="18"/>
              </w:rPr>
              <w:t>7050</w:t>
            </w:r>
          </w:p>
        </w:tc>
        <w:tc>
          <w:tcPr>
            <w:tcW w:w="717" w:type="dxa"/>
            <w:gridSpan w:val="2"/>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left="252"/>
              <w:jc w:val="left"/>
              <w:rPr>
                <w:sz w:val="18"/>
              </w:rPr>
            </w:pPr>
            <w:r>
              <w:rPr>
                <w:sz w:val="18"/>
              </w:rPr>
              <w:t>6.7</w:t>
            </w:r>
          </w:p>
        </w:tc>
        <w:tc>
          <w:tcPr>
            <w:tcW w:w="891" w:type="dxa"/>
            <w:gridSpan w:val="2"/>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left="323" w:right="297"/>
              <w:rPr>
                <w:sz w:val="18"/>
              </w:rPr>
            </w:pPr>
            <w:r>
              <w:rPr>
                <w:sz w:val="18"/>
              </w:rPr>
              <w:t>8.3</w:t>
            </w:r>
          </w:p>
        </w:tc>
        <w:tc>
          <w:tcPr>
            <w:tcW w:w="810"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left="144"/>
              <w:jc w:val="left"/>
              <w:rPr>
                <w:sz w:val="18"/>
              </w:rPr>
            </w:pPr>
            <w:r>
              <w:rPr>
                <w:sz w:val="18"/>
              </w:rPr>
              <w:t>424000</w:t>
            </w:r>
          </w:p>
        </w:tc>
        <w:tc>
          <w:tcPr>
            <w:tcW w:w="904"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right="166"/>
              <w:jc w:val="right"/>
              <w:rPr>
                <w:sz w:val="18"/>
              </w:rPr>
            </w:pPr>
            <w:r>
              <w:rPr>
                <w:sz w:val="18"/>
              </w:rPr>
              <w:t>828000</w:t>
            </w:r>
          </w:p>
        </w:tc>
        <w:tc>
          <w:tcPr>
            <w:tcW w:w="803" w:type="dxa"/>
            <w:tcBorders>
              <w:top w:val="single" w:sz="2" w:space="0" w:color="000000"/>
              <w:left w:val="single" w:sz="2" w:space="0" w:color="000000"/>
              <w:bottom w:val="single" w:sz="2" w:space="0" w:color="000000"/>
              <w:right w:val="single" w:sz="2" w:space="0" w:color="000000"/>
            </w:tcBorders>
          </w:tcPr>
          <w:p w:rsidR="000232AA" w:rsidRDefault="00D42583">
            <w:pPr>
              <w:pStyle w:val="TableParagraph"/>
              <w:spacing w:before="28"/>
              <w:ind w:left="279" w:right="254"/>
              <w:rPr>
                <w:sz w:val="18"/>
              </w:rPr>
            </w:pPr>
            <w:r>
              <w:rPr>
                <w:sz w:val="18"/>
              </w:rPr>
              <w:t>4.4</w:t>
            </w:r>
          </w:p>
        </w:tc>
        <w:tc>
          <w:tcPr>
            <w:tcW w:w="820" w:type="dxa"/>
            <w:tcBorders>
              <w:top w:val="single" w:sz="2" w:space="0" w:color="000000"/>
              <w:left w:val="single" w:sz="2" w:space="0" w:color="000000"/>
              <w:bottom w:val="single" w:sz="2" w:space="0" w:color="000000"/>
            </w:tcBorders>
          </w:tcPr>
          <w:p w:rsidR="000232AA" w:rsidRDefault="00D42583">
            <w:pPr>
              <w:pStyle w:val="TableParagraph"/>
              <w:spacing w:before="28"/>
              <w:ind w:right="271"/>
              <w:jc w:val="right"/>
              <w:rPr>
                <w:sz w:val="18"/>
              </w:rPr>
            </w:pPr>
            <w:r>
              <w:rPr>
                <w:sz w:val="18"/>
              </w:rPr>
              <w:t>8.5</w:t>
            </w:r>
          </w:p>
        </w:tc>
      </w:tr>
      <w:tr w:rsidR="000232AA">
        <w:trPr>
          <w:trHeight w:val="282"/>
        </w:trPr>
        <w:tc>
          <w:tcPr>
            <w:tcW w:w="1471" w:type="dxa"/>
            <w:vMerge/>
            <w:tcBorders>
              <w:top w:val="nil"/>
              <w:right w:val="single" w:sz="2" w:space="0" w:color="000000"/>
            </w:tcBorders>
          </w:tcPr>
          <w:p w:rsidR="000232AA" w:rsidRDefault="000232AA">
            <w:pPr>
              <w:rPr>
                <w:sz w:val="2"/>
                <w:szCs w:val="2"/>
              </w:rPr>
            </w:pPr>
          </w:p>
        </w:tc>
        <w:tc>
          <w:tcPr>
            <w:tcW w:w="542" w:type="dxa"/>
            <w:tcBorders>
              <w:top w:val="single" w:sz="2" w:space="0" w:color="000000"/>
              <w:left w:val="single" w:sz="2" w:space="0" w:color="000000"/>
              <w:right w:val="single" w:sz="2" w:space="0" w:color="000000"/>
            </w:tcBorders>
          </w:tcPr>
          <w:p w:rsidR="000232AA" w:rsidRDefault="00D42583">
            <w:pPr>
              <w:pStyle w:val="TableParagraph"/>
              <w:spacing w:before="28"/>
              <w:ind w:left="14"/>
              <w:rPr>
                <w:sz w:val="18"/>
              </w:rPr>
            </w:pPr>
            <w:r>
              <w:rPr>
                <w:sz w:val="18"/>
              </w:rPr>
              <w:t>F</w:t>
            </w:r>
          </w:p>
        </w:tc>
        <w:tc>
          <w:tcPr>
            <w:tcW w:w="900" w:type="dxa"/>
            <w:tcBorders>
              <w:top w:val="single" w:sz="2" w:space="0" w:color="000000"/>
              <w:left w:val="single" w:sz="2" w:space="0" w:color="000000"/>
              <w:right w:val="single" w:sz="2" w:space="0" w:color="000000"/>
            </w:tcBorders>
          </w:tcPr>
          <w:p w:rsidR="000232AA" w:rsidRDefault="00D42583">
            <w:pPr>
              <w:pStyle w:val="TableParagraph"/>
              <w:spacing w:before="28"/>
              <w:ind w:left="303" w:right="281"/>
              <w:rPr>
                <w:sz w:val="18"/>
              </w:rPr>
            </w:pPr>
            <w:r>
              <w:rPr>
                <w:sz w:val="18"/>
                <w:u w:val="single"/>
              </w:rPr>
              <w:t>200</w:t>
            </w:r>
          </w:p>
        </w:tc>
        <w:tc>
          <w:tcPr>
            <w:tcW w:w="720" w:type="dxa"/>
            <w:tcBorders>
              <w:top w:val="single" w:sz="2" w:space="0" w:color="000000"/>
              <w:left w:val="single" w:sz="2" w:space="0" w:color="000000"/>
              <w:right w:val="single" w:sz="2" w:space="0" w:color="000000"/>
            </w:tcBorders>
          </w:tcPr>
          <w:p w:rsidR="000232AA" w:rsidRDefault="00D42583">
            <w:pPr>
              <w:pStyle w:val="TableParagraph"/>
              <w:spacing w:before="28"/>
              <w:ind w:left="123" w:right="106"/>
              <w:rPr>
                <w:sz w:val="18"/>
              </w:rPr>
            </w:pPr>
            <w:r>
              <w:rPr>
                <w:sz w:val="18"/>
              </w:rPr>
              <w:t>6230</w:t>
            </w:r>
          </w:p>
        </w:tc>
        <w:tc>
          <w:tcPr>
            <w:tcW w:w="902" w:type="dxa"/>
            <w:tcBorders>
              <w:top w:val="single" w:sz="2" w:space="0" w:color="000000"/>
              <w:left w:val="single" w:sz="2" w:space="0" w:color="000000"/>
              <w:right w:val="single" w:sz="2" w:space="0" w:color="000000"/>
            </w:tcBorders>
          </w:tcPr>
          <w:p w:rsidR="000232AA" w:rsidRDefault="00D42583">
            <w:pPr>
              <w:pStyle w:val="TableParagraph"/>
              <w:spacing w:before="28"/>
              <w:ind w:right="254"/>
              <w:jc w:val="right"/>
              <w:rPr>
                <w:sz w:val="18"/>
              </w:rPr>
            </w:pPr>
            <w:r>
              <w:rPr>
                <w:sz w:val="18"/>
              </w:rPr>
              <w:t>7590</w:t>
            </w:r>
          </w:p>
        </w:tc>
        <w:tc>
          <w:tcPr>
            <w:tcW w:w="717" w:type="dxa"/>
            <w:gridSpan w:val="2"/>
            <w:tcBorders>
              <w:top w:val="single" w:sz="2" w:space="0" w:color="000000"/>
              <w:left w:val="single" w:sz="2" w:space="0" w:color="000000"/>
              <w:right w:val="single" w:sz="2" w:space="0" w:color="000000"/>
            </w:tcBorders>
          </w:tcPr>
          <w:p w:rsidR="000232AA" w:rsidRDefault="00D42583">
            <w:pPr>
              <w:pStyle w:val="TableParagraph"/>
              <w:spacing w:before="28"/>
              <w:ind w:left="252"/>
              <w:jc w:val="left"/>
              <w:rPr>
                <w:sz w:val="18"/>
              </w:rPr>
            </w:pPr>
            <w:r>
              <w:rPr>
                <w:sz w:val="18"/>
              </w:rPr>
              <w:t>7.3</w:t>
            </w:r>
          </w:p>
        </w:tc>
        <w:tc>
          <w:tcPr>
            <w:tcW w:w="891" w:type="dxa"/>
            <w:gridSpan w:val="2"/>
            <w:tcBorders>
              <w:top w:val="single" w:sz="2" w:space="0" w:color="000000"/>
              <w:left w:val="single" w:sz="2" w:space="0" w:color="000000"/>
              <w:right w:val="single" w:sz="2" w:space="0" w:color="000000"/>
            </w:tcBorders>
          </w:tcPr>
          <w:p w:rsidR="000232AA" w:rsidRDefault="00D42583">
            <w:pPr>
              <w:pStyle w:val="TableParagraph"/>
              <w:spacing w:before="28"/>
              <w:ind w:left="323" w:right="297"/>
              <w:rPr>
                <w:sz w:val="18"/>
              </w:rPr>
            </w:pPr>
            <w:r>
              <w:rPr>
                <w:sz w:val="18"/>
              </w:rPr>
              <w:t>8.9</w:t>
            </w:r>
          </w:p>
        </w:tc>
        <w:tc>
          <w:tcPr>
            <w:tcW w:w="810" w:type="dxa"/>
            <w:tcBorders>
              <w:top w:val="single" w:sz="2" w:space="0" w:color="000000"/>
              <w:left w:val="single" w:sz="2" w:space="0" w:color="000000"/>
              <w:right w:val="single" w:sz="2" w:space="0" w:color="000000"/>
            </w:tcBorders>
          </w:tcPr>
          <w:p w:rsidR="000232AA" w:rsidRDefault="00D42583">
            <w:pPr>
              <w:pStyle w:val="TableParagraph"/>
              <w:spacing w:before="28"/>
              <w:ind w:left="144"/>
              <w:jc w:val="left"/>
              <w:rPr>
                <w:sz w:val="18"/>
              </w:rPr>
            </w:pPr>
            <w:r>
              <w:rPr>
                <w:sz w:val="18"/>
              </w:rPr>
              <w:t>431000</w:t>
            </w:r>
          </w:p>
        </w:tc>
        <w:tc>
          <w:tcPr>
            <w:tcW w:w="904" w:type="dxa"/>
            <w:tcBorders>
              <w:top w:val="single" w:sz="2" w:space="0" w:color="000000"/>
              <w:left w:val="single" w:sz="2" w:space="0" w:color="000000"/>
              <w:right w:val="single" w:sz="2" w:space="0" w:color="000000"/>
            </w:tcBorders>
          </w:tcPr>
          <w:p w:rsidR="000232AA" w:rsidRDefault="00D42583">
            <w:pPr>
              <w:pStyle w:val="TableParagraph"/>
              <w:spacing w:before="28"/>
              <w:ind w:right="166"/>
              <w:jc w:val="right"/>
              <w:rPr>
                <w:sz w:val="18"/>
              </w:rPr>
            </w:pPr>
            <w:r>
              <w:rPr>
                <w:sz w:val="18"/>
              </w:rPr>
              <w:t>790000</w:t>
            </w:r>
          </w:p>
        </w:tc>
        <w:tc>
          <w:tcPr>
            <w:tcW w:w="803" w:type="dxa"/>
            <w:tcBorders>
              <w:top w:val="single" w:sz="2" w:space="0" w:color="000000"/>
              <w:left w:val="single" w:sz="2" w:space="0" w:color="000000"/>
              <w:right w:val="single" w:sz="2" w:space="0" w:color="000000"/>
            </w:tcBorders>
          </w:tcPr>
          <w:p w:rsidR="000232AA" w:rsidRDefault="00D42583">
            <w:pPr>
              <w:pStyle w:val="TableParagraph"/>
              <w:spacing w:before="28"/>
              <w:ind w:left="279" w:right="254"/>
              <w:rPr>
                <w:sz w:val="18"/>
              </w:rPr>
            </w:pPr>
            <w:r>
              <w:rPr>
                <w:sz w:val="18"/>
              </w:rPr>
              <w:t>4.4</w:t>
            </w:r>
          </w:p>
        </w:tc>
        <w:tc>
          <w:tcPr>
            <w:tcW w:w="820" w:type="dxa"/>
            <w:tcBorders>
              <w:top w:val="single" w:sz="2" w:space="0" w:color="000000"/>
              <w:left w:val="single" w:sz="2" w:space="0" w:color="000000"/>
            </w:tcBorders>
          </w:tcPr>
          <w:p w:rsidR="000232AA" w:rsidRDefault="00D42583">
            <w:pPr>
              <w:pStyle w:val="TableParagraph"/>
              <w:spacing w:before="28"/>
              <w:ind w:right="271"/>
              <w:jc w:val="right"/>
              <w:rPr>
                <w:sz w:val="18"/>
              </w:rPr>
            </w:pPr>
            <w:r>
              <w:rPr>
                <w:sz w:val="18"/>
              </w:rPr>
              <w:t>8.1</w:t>
            </w:r>
          </w:p>
        </w:tc>
      </w:tr>
    </w:tbl>
    <w:p w:rsidR="000232AA" w:rsidRDefault="00D42583">
      <w:pPr>
        <w:spacing w:before="53"/>
        <w:ind w:left="235"/>
        <w:rPr>
          <w:sz w:val="20"/>
        </w:rPr>
      </w:pPr>
      <w:r>
        <w:rPr>
          <w:sz w:val="20"/>
        </w:rPr>
        <w:t>F: female; M: male; NOAEL: no-observed-adverse-effect level;</w:t>
      </w:r>
    </w:p>
    <w:p w:rsidR="000232AA" w:rsidRDefault="00D42583">
      <w:pPr>
        <w:spacing w:before="58"/>
        <w:ind w:left="235"/>
        <w:rPr>
          <w:sz w:val="20"/>
        </w:rPr>
      </w:pPr>
      <w:r>
        <w:rPr>
          <w:sz w:val="20"/>
        </w:rPr>
        <w:t>† The underlined dose represents the NOAEL.</w:t>
      </w:r>
    </w:p>
    <w:p w:rsidR="000232AA" w:rsidRDefault="00D42583">
      <w:pPr>
        <w:spacing w:before="61"/>
        <w:ind w:left="235" w:right="1689"/>
        <w:rPr>
          <w:sz w:val="20"/>
        </w:rPr>
      </w:pPr>
      <w:r>
        <w:rPr>
          <w:sz w:val="20"/>
        </w:rPr>
        <w:t>‡ The exposure ratios were calculated as (AUC</w:t>
      </w:r>
      <w:r>
        <w:rPr>
          <w:sz w:val="20"/>
          <w:vertAlign w:val="subscript"/>
        </w:rPr>
        <w:t>168h</w:t>
      </w:r>
      <w:r>
        <w:rPr>
          <w:sz w:val="20"/>
        </w:rPr>
        <w:t xml:space="preserve"> × 2 [or </w:t>
      </w:r>
      <w:proofErr w:type="spellStart"/>
      <w:r>
        <w:rPr>
          <w:sz w:val="20"/>
        </w:rPr>
        <w:t>C</w:t>
      </w:r>
      <w:r>
        <w:rPr>
          <w:sz w:val="20"/>
          <w:vertAlign w:val="subscript"/>
        </w:rPr>
        <w:t>max</w:t>
      </w:r>
      <w:proofErr w:type="spellEnd"/>
      <w:r>
        <w:rPr>
          <w:sz w:val="20"/>
        </w:rPr>
        <w:t xml:space="preserve">]) / (estimated human systemic exposure level at the efficacious dose). The estimated human systemic exposure level of </w:t>
      </w:r>
      <w:proofErr w:type="spellStart"/>
      <w:r>
        <w:rPr>
          <w:sz w:val="20"/>
        </w:rPr>
        <w:t>C</w:t>
      </w:r>
      <w:r>
        <w:rPr>
          <w:sz w:val="20"/>
          <w:vertAlign w:val="subscript"/>
        </w:rPr>
        <w:t>max</w:t>
      </w:r>
      <w:proofErr w:type="spellEnd"/>
      <w:r>
        <w:rPr>
          <w:sz w:val="20"/>
        </w:rPr>
        <w:t xml:space="preserve"> or AUC</w:t>
      </w:r>
      <w:r>
        <w:rPr>
          <w:sz w:val="20"/>
          <w:vertAlign w:val="subscript"/>
        </w:rPr>
        <w:t>336h</w:t>
      </w:r>
      <w:r>
        <w:rPr>
          <w:sz w:val="20"/>
        </w:rPr>
        <w:t xml:space="preserve"> was 850 µg/mL or 8100 µ</w:t>
      </w:r>
      <w:proofErr w:type="spellStart"/>
      <w:r>
        <w:rPr>
          <w:sz w:val="20"/>
        </w:rPr>
        <w:t>g·day</w:t>
      </w:r>
      <w:proofErr w:type="spellEnd"/>
      <w:r>
        <w:rPr>
          <w:sz w:val="20"/>
        </w:rPr>
        <w:t>/mL (194400 µ</w:t>
      </w:r>
      <w:proofErr w:type="spellStart"/>
      <w:r>
        <w:rPr>
          <w:sz w:val="20"/>
        </w:rPr>
        <w:t>g·h</w:t>
      </w:r>
      <w:proofErr w:type="spellEnd"/>
      <w:r>
        <w:rPr>
          <w:sz w:val="20"/>
        </w:rPr>
        <w:t xml:space="preserve">/mL), respectively, at the </w:t>
      </w:r>
      <w:r>
        <w:rPr>
          <w:sz w:val="20"/>
        </w:rPr>
        <w:lastRenderedPageBreak/>
        <w:t>estimated efficacious dose of 1200 mg/2 weeks.</w:t>
      </w:r>
    </w:p>
    <w:p w:rsidR="000232AA" w:rsidRDefault="00D42583">
      <w:pPr>
        <w:spacing w:before="61" w:line="300" w:lineRule="auto"/>
        <w:ind w:left="235" w:right="6978"/>
        <w:rPr>
          <w:sz w:val="18"/>
        </w:rPr>
      </w:pPr>
      <w:r>
        <w:rPr>
          <w:sz w:val="20"/>
        </w:rPr>
        <w:t xml:space="preserve">§ Day 29 for rats, day 22 for monkey. Source: Studies </w:t>
      </w:r>
      <w:r w:rsidR="005C6C34">
        <w:rPr>
          <w:sz w:val="18"/>
        </w:rPr>
        <w:t>PROJECT 12</w:t>
      </w:r>
      <w:r>
        <w:rPr>
          <w:sz w:val="18"/>
        </w:rPr>
        <w:t xml:space="preserve">-025 </w:t>
      </w:r>
      <w:r>
        <w:rPr>
          <w:sz w:val="20"/>
        </w:rPr>
        <w:t>and</w:t>
      </w:r>
      <w:r>
        <w:rPr>
          <w:spacing w:val="-7"/>
          <w:sz w:val="20"/>
        </w:rPr>
        <w:t xml:space="preserve"> </w:t>
      </w:r>
      <w:r w:rsidR="005C6C34">
        <w:rPr>
          <w:sz w:val="18"/>
        </w:rPr>
        <w:t>PROJECT 12</w:t>
      </w:r>
      <w:r>
        <w:rPr>
          <w:sz w:val="18"/>
        </w:rPr>
        <w:t>-026</w:t>
      </w:r>
    </w:p>
    <w:p w:rsidR="000232AA" w:rsidRDefault="00D42583">
      <w:pPr>
        <w:pStyle w:val="a3"/>
        <w:spacing w:before="88" w:line="261" w:lineRule="auto"/>
        <w:ind w:left="235" w:right="1632"/>
      </w:pPr>
      <w:r>
        <w:t xml:space="preserve">No mortalities were seen following weekly administration of </w:t>
      </w:r>
      <w:r w:rsidR="005C6C34">
        <w:t>PROJECT 12</w:t>
      </w:r>
      <w:r>
        <w:t xml:space="preserve"> for 4 weeks (5 doses) in either rats or cynomolgus monkeys at doses ≤ 500 mg/kg and ≤ 200 mg/kg, respectively. In addition, </w:t>
      </w:r>
      <w:r w:rsidRPr="005C6C34">
        <w:rPr>
          <w:highlight w:val="magenta"/>
        </w:rPr>
        <w:t>no target organs of toxicity were identified</w:t>
      </w:r>
      <w:r>
        <w:t xml:space="preserve"> in either species at exposure ratios 8.1- to 12.1-fold higher than the predicted human systemic exposure at the estimated clinical efficacious dose [</w:t>
      </w:r>
      <w:hyperlink w:anchor="_bookmark71" w:history="1">
        <w:r>
          <w:t>Table 11</w:t>
        </w:r>
      </w:hyperlink>
      <w:r>
        <w:t>]. Decreases in triglyceride levels were noted in both rats and cynomolgus monkeys. Similar findings have been reported in these same species following administration of the anti-NRP1 monoclonal antibody, MNRP1685A [</w:t>
      </w:r>
      <w:proofErr w:type="spellStart"/>
      <w:r>
        <w:t>Zafra</w:t>
      </w:r>
      <w:proofErr w:type="spellEnd"/>
      <w:r>
        <w:t xml:space="preserve"> et al, 2010].</w:t>
      </w:r>
      <w:r>
        <w:rPr>
          <w:spacing w:val="29"/>
        </w:rPr>
        <w:t xml:space="preserve"> </w:t>
      </w:r>
      <w:r>
        <w:t>The mechanism of the decrease in triglyceride is unknown, however, these changes were not considered adverse or toxicologically significant as there were no gross or histopathological changes associated with this finding. In addition, the absence of a similar finding in the clinical trial of MNRP168A suggests that the decrease in triglyceride levels seen in the nonclinical studies may not be relevant to humans [Weekes et al, 2014; Patnaik et al,</w:t>
      </w:r>
      <w:r>
        <w:rPr>
          <w:spacing w:val="-15"/>
        </w:rPr>
        <w:t xml:space="preserve"> </w:t>
      </w:r>
      <w:r>
        <w:t>2014].</w:t>
      </w:r>
    </w:p>
    <w:p w:rsidR="000232AA" w:rsidRDefault="00D42583" w:rsidP="00D42583">
      <w:pPr>
        <w:pStyle w:val="a3"/>
        <w:spacing w:before="111" w:line="261" w:lineRule="auto"/>
        <w:ind w:left="235" w:right="1646"/>
        <w:rPr>
          <w:sz w:val="20"/>
        </w:rPr>
      </w:pPr>
      <w:r>
        <w:t xml:space="preserve">In vitro, </w:t>
      </w:r>
      <w:r w:rsidR="005C6C34">
        <w:t>PROJECT 12</w:t>
      </w:r>
      <w:r>
        <w:t xml:space="preserve"> bound to cytoplasmic elements in normal cynomolgus monkey and human tissues. The one difference was that </w:t>
      </w:r>
      <w:r w:rsidR="005C6C34">
        <w:t>PROJECT 12</w:t>
      </w:r>
      <w:r>
        <w:t xml:space="preserve"> bound to a dense feltwork of interwoven cytoplasmic processes of nerve cells (dendrites and axons) and neuroglial cells, termed neuropil in the cynomolgus monkey but not in the human brain. Monoclonal antibody binding to cytoplasmic sites generally is considered of little to no toxicologic significance,</w:t>
      </w:r>
      <w:r w:rsidR="00494EF6">
        <w:pict>
          <v:shape id="_x0000_s1046" style="position:absolute;left:0;text-align:left;margin-left:159.7pt;margin-top:388.95pt;width:18.5pt;height:13.6pt;z-index:-251567104;mso-position-horizontal-relative:page;mso-position-vertical-relative:page" coordorigin="3194,7779" coordsize="370,272" o:spt="100" adj="0,,0" path="m6378,272r370,l6748,m6378,r,272e" filled="f" strokecolor="blue" strokeweight="1pt">
            <v:stroke joinstyle="round"/>
            <v:formulas/>
            <v:path arrowok="t" o:connecttype="segments"/>
            <w10:wrap anchorx="page" anchory="page"/>
          </v:shape>
        </w:pict>
      </w:r>
    </w:p>
    <w:p w:rsidR="000232AA" w:rsidRDefault="00D42583">
      <w:pPr>
        <w:pStyle w:val="a3"/>
        <w:spacing w:before="230" w:line="261" w:lineRule="auto"/>
        <w:ind w:left="235" w:right="1867"/>
      </w:pPr>
      <w:r>
        <w:t>due to the inability of antibody therapeutics to access the cytoplasmic compartment in vivo [Leach et al, 2010; Hall et al, 2008].</w:t>
      </w:r>
    </w:p>
    <w:p w:rsidR="000232AA" w:rsidRDefault="00494EF6">
      <w:pPr>
        <w:pStyle w:val="a3"/>
        <w:spacing w:before="118" w:line="261" w:lineRule="auto"/>
        <w:ind w:left="235" w:right="1658"/>
      </w:pPr>
      <w:r>
        <w:pict>
          <v:rect id="_x0000_s1045" style="position:absolute;left:0;text-align:left;margin-left:200.1pt;margin-top:135.5pt;width:36.5pt;height:14pt;z-index:-251568128;mso-position-horizontal-relative:page" filled="f" strokecolor="blue" strokeweight="1pt">
            <w10:wrap anchorx="page"/>
          </v:rect>
        </w:pict>
      </w:r>
      <w:r w:rsidR="00D42583">
        <w:t xml:space="preserve">In the cytokine-release and proliferation assessment study, </w:t>
      </w:r>
      <w:r w:rsidR="005C6C34">
        <w:t>PROJECT 12</w:t>
      </w:r>
      <w:r w:rsidR="00D42583">
        <w:t xml:space="preserve"> induced proinflammatory cytokine-release from normal human PBMCs at concentrations ≥ 30 µg/mL in the soluble format assay only. No increase in any cytokine was observed at any </w:t>
      </w:r>
      <w:r w:rsidR="005C6C34">
        <w:t>PROJECT 12</w:t>
      </w:r>
      <w:r w:rsidR="00D42583">
        <w:t xml:space="preserve"> concentration in the wet-coated format assay. The increased IL-6 observed at 30 µg/mL in the soluble assay was approximately 5.5-fold when compared to that of the isotype control, the level was much lower than IL-6 concentration induced by the positive control (anti-CD3 antibody; 55-fold). </w:t>
      </w:r>
      <w:r w:rsidR="005C6C34">
        <w:t>PROJECT 12</w:t>
      </w:r>
      <w:r w:rsidR="00D42583">
        <w:t xml:space="preserve"> did not induce PBMC proliferation in either format. In the repeat-dose cynomolgus monkey study, administration of </w:t>
      </w:r>
      <w:r w:rsidR="005C6C34">
        <w:t>PROJECT 12</w:t>
      </w:r>
      <w:r w:rsidR="00D42583">
        <w:t xml:space="preserve"> was not associated with indications of proinflammatory mediator release nor were there indications of </w:t>
      </w:r>
      <w:proofErr w:type="spellStart"/>
      <w:r w:rsidR="00D42583">
        <w:t>immunostimulation</w:t>
      </w:r>
      <w:proofErr w:type="spellEnd"/>
      <w:r w:rsidR="00D42583">
        <w:t xml:space="preserve">. While these animal results provide a certain level of confidence regarding the immune associated risk, the animal results may not accurately predict the human response. Since the in vitro cytokine-release assay is considered a tool for a hazard identification rather than for a quantitative risk assessment, the impact of the cytokine findings with </w:t>
      </w:r>
      <w:r w:rsidR="005C6C34">
        <w:t>PROJECT 12</w:t>
      </w:r>
      <w:r w:rsidR="00D42583">
        <w:t xml:space="preserve"> on human safety is unclear [</w:t>
      </w:r>
      <w:proofErr w:type="spellStart"/>
      <w:r w:rsidR="00D42583">
        <w:t>Finco</w:t>
      </w:r>
      <w:proofErr w:type="spellEnd"/>
      <w:r w:rsidR="00D42583">
        <w:t xml:space="preserve"> et al. 2014; Vidal et al., 2010]. </w:t>
      </w:r>
      <w:r w:rsidR="00D42583">
        <w:rPr>
          <w:spacing w:val="-6"/>
        </w:rPr>
        <w:t xml:space="preserve">In </w:t>
      </w:r>
      <w:r w:rsidR="00D42583">
        <w:t>the clinical trials, careful monitoring of appropriate parameters should be</w:t>
      </w:r>
      <w:r w:rsidR="00D42583">
        <w:rPr>
          <w:spacing w:val="-11"/>
        </w:rPr>
        <w:t xml:space="preserve"> </w:t>
      </w:r>
      <w:r w:rsidR="00D42583">
        <w:t>considered.</w:t>
      </w:r>
    </w:p>
    <w:p w:rsidR="000232AA" w:rsidRDefault="00D42583">
      <w:pPr>
        <w:pStyle w:val="3"/>
        <w:numPr>
          <w:ilvl w:val="2"/>
          <w:numId w:val="5"/>
        </w:numPr>
        <w:tabs>
          <w:tab w:val="left" w:pos="1087"/>
          <w:tab w:val="left" w:pos="1088"/>
        </w:tabs>
        <w:spacing w:before="113"/>
      </w:pPr>
      <w:bookmarkStart w:id="37" w:name="4.4.2_Starting_Dose_Rationale"/>
      <w:bookmarkStart w:id="38" w:name="_bookmark72"/>
      <w:bookmarkEnd w:id="37"/>
      <w:bookmarkEnd w:id="38"/>
      <w:r>
        <w:t>Starting Dose</w:t>
      </w:r>
      <w:r>
        <w:rPr>
          <w:spacing w:val="-3"/>
        </w:rPr>
        <w:t xml:space="preserve"> </w:t>
      </w:r>
      <w:r>
        <w:t>Rationale</w:t>
      </w:r>
    </w:p>
    <w:p w:rsidR="000232AA" w:rsidRDefault="005C6C34">
      <w:pPr>
        <w:pStyle w:val="a3"/>
        <w:spacing w:before="139" w:line="261" w:lineRule="auto"/>
        <w:ind w:left="235" w:right="1672"/>
      </w:pPr>
      <w:r>
        <w:lastRenderedPageBreak/>
        <w:t>PROJECT 12</w:t>
      </w:r>
      <w:r w:rsidR="00D42583">
        <w:t xml:space="preserve"> has been shown to stimulate the immune system in nonclinical pharmacology models [Section </w:t>
      </w:r>
      <w:hyperlink w:anchor="_bookmark5" w:history="1">
        <w:r w:rsidR="00D42583">
          <w:t>4.1</w:t>
        </w:r>
      </w:hyperlink>
      <w:r w:rsidR="00D42583">
        <w:t xml:space="preserve">]. The FDA recommends that a minimally anticipated biologic effect level (MABEL) be considered for selection of a starting dose for biopharmaceuticals with immune agonistic properties [FDA Guidance for Industry, International Conference on </w:t>
      </w:r>
      <w:proofErr w:type="spellStart"/>
      <w:r w:rsidR="00D42583">
        <w:t>Harmonisation</w:t>
      </w:r>
      <w:proofErr w:type="spellEnd"/>
      <w:r w:rsidR="00D42583">
        <w:t xml:space="preserve"> [ICH] S9 Nonclinical Evaluation for Anticancer Pharmaceuticals, 2010]. The starting dose of </w:t>
      </w:r>
      <w:r>
        <w:t>PROJECT 12</w:t>
      </w:r>
      <w:r w:rsidR="00D42583">
        <w:t xml:space="preserve"> FIH study is chosen as 70 mg based on the systemic receptor occupancy using a MABEL approach, with the following considerations:</w:t>
      </w:r>
    </w:p>
    <w:p w:rsidR="000232AA" w:rsidRDefault="00D42583">
      <w:pPr>
        <w:pStyle w:val="a4"/>
        <w:numPr>
          <w:ilvl w:val="0"/>
          <w:numId w:val="4"/>
        </w:numPr>
        <w:tabs>
          <w:tab w:val="left" w:pos="659"/>
          <w:tab w:val="left" w:pos="660"/>
        </w:tabs>
        <w:spacing w:before="114" w:line="261" w:lineRule="auto"/>
        <w:ind w:right="1680"/>
        <w:rPr>
          <w:sz w:val="24"/>
        </w:rPr>
      </w:pPr>
      <w:r>
        <w:rPr>
          <w:sz w:val="24"/>
        </w:rPr>
        <w:t xml:space="preserve">A 70 mg dose of </w:t>
      </w:r>
      <w:r w:rsidR="005C6C34">
        <w:rPr>
          <w:sz w:val="24"/>
        </w:rPr>
        <w:t>PROJECT 12</w:t>
      </w:r>
      <w:r>
        <w:rPr>
          <w:sz w:val="24"/>
        </w:rPr>
        <w:t xml:space="preserve"> is predicted to be within the TMDD range in human, with a transient saturation of systemic RO (&lt; 1 day) and rapid loss of exposure to drug [Section </w:t>
      </w:r>
      <w:hyperlink w:anchor="_bookmark56" w:history="1">
        <w:r>
          <w:rPr>
            <w:sz w:val="24"/>
          </w:rPr>
          <w:t>4.2.6.1</w:t>
        </w:r>
      </w:hyperlink>
      <w:r>
        <w:rPr>
          <w:sz w:val="24"/>
        </w:rPr>
        <w:t xml:space="preserve">]. </w:t>
      </w:r>
      <w:r>
        <w:rPr>
          <w:spacing w:val="-3"/>
          <w:sz w:val="24"/>
        </w:rPr>
        <w:t xml:space="preserve">In </w:t>
      </w:r>
      <w:r>
        <w:rPr>
          <w:sz w:val="24"/>
        </w:rPr>
        <w:t>addition, the predicted maximum concentration (</w:t>
      </w:r>
      <w:proofErr w:type="spellStart"/>
      <w:r>
        <w:rPr>
          <w:sz w:val="24"/>
        </w:rPr>
        <w:t>C</w:t>
      </w:r>
      <w:r>
        <w:rPr>
          <w:sz w:val="24"/>
          <w:vertAlign w:val="subscript"/>
        </w:rPr>
        <w:t>max</w:t>
      </w:r>
      <w:proofErr w:type="spellEnd"/>
      <w:r>
        <w:rPr>
          <w:sz w:val="24"/>
        </w:rPr>
        <w:t xml:space="preserve">) of 70 mg </w:t>
      </w:r>
      <w:r w:rsidR="005C6C34">
        <w:rPr>
          <w:sz w:val="24"/>
        </w:rPr>
        <w:t>PROJECT 12</w:t>
      </w:r>
      <w:r>
        <w:rPr>
          <w:spacing w:val="-9"/>
          <w:sz w:val="24"/>
        </w:rPr>
        <w:t xml:space="preserve"> </w:t>
      </w:r>
      <w:r>
        <w:rPr>
          <w:sz w:val="24"/>
        </w:rPr>
        <w:t>is</w:t>
      </w:r>
    </w:p>
    <w:p w:rsidR="000232AA" w:rsidRDefault="00D42583">
      <w:pPr>
        <w:pStyle w:val="a3"/>
        <w:spacing w:line="261" w:lineRule="auto"/>
        <w:ind w:left="660" w:right="1673"/>
      </w:pPr>
      <w:r>
        <w:t xml:space="preserve">3.5 to 6.6 </w:t>
      </w:r>
      <w:proofErr w:type="spellStart"/>
      <w:r>
        <w:t>μg</w:t>
      </w:r>
      <w:proofErr w:type="spellEnd"/>
      <w:r>
        <w:t xml:space="preserve">/mL, about 5- to 9-fold less than the lowest observed effect level (LOEL) of 30 </w:t>
      </w:r>
      <w:proofErr w:type="spellStart"/>
      <w:r>
        <w:t>μg</w:t>
      </w:r>
      <w:proofErr w:type="spellEnd"/>
      <w:r>
        <w:t>/mL observed in the in vitro cytokine release and proliferation assay.</w:t>
      </w:r>
    </w:p>
    <w:p w:rsidR="000232AA" w:rsidRDefault="00D42583">
      <w:pPr>
        <w:pStyle w:val="a4"/>
        <w:numPr>
          <w:ilvl w:val="0"/>
          <w:numId w:val="4"/>
        </w:numPr>
        <w:tabs>
          <w:tab w:val="left" w:pos="659"/>
          <w:tab w:val="left" w:pos="660"/>
        </w:tabs>
        <w:spacing w:before="0" w:line="261" w:lineRule="auto"/>
        <w:ind w:right="1994"/>
        <w:rPr>
          <w:sz w:val="24"/>
        </w:rPr>
      </w:pPr>
      <w:r>
        <w:rPr>
          <w:sz w:val="24"/>
        </w:rPr>
        <w:t xml:space="preserve">In the non-GLP pharmacokinetic and pharmacodynamic studies and the GLP toxicity studies in rat and monkey, no significant safety findings were identified at </w:t>
      </w:r>
      <w:r w:rsidR="005C6C34">
        <w:rPr>
          <w:sz w:val="24"/>
        </w:rPr>
        <w:t>PROJECT 12</w:t>
      </w:r>
      <w:r>
        <w:rPr>
          <w:sz w:val="24"/>
        </w:rPr>
        <w:t xml:space="preserve"> doses that saturated systemic target</w:t>
      </w:r>
      <w:r>
        <w:rPr>
          <w:spacing w:val="-5"/>
          <w:sz w:val="24"/>
        </w:rPr>
        <w:t xml:space="preserve"> </w:t>
      </w:r>
      <w:r>
        <w:rPr>
          <w:sz w:val="24"/>
        </w:rPr>
        <w:t>occupancy.</w:t>
      </w:r>
    </w:p>
    <w:p w:rsidR="000232AA" w:rsidRPr="00D42583" w:rsidRDefault="005C6C34" w:rsidP="00D42583">
      <w:pPr>
        <w:pStyle w:val="a4"/>
        <w:numPr>
          <w:ilvl w:val="0"/>
          <w:numId w:val="4"/>
        </w:numPr>
        <w:tabs>
          <w:tab w:val="left" w:pos="659"/>
          <w:tab w:val="left" w:pos="660"/>
        </w:tabs>
        <w:spacing w:before="0" w:line="261" w:lineRule="auto"/>
        <w:ind w:right="1678"/>
        <w:rPr>
          <w:sz w:val="20"/>
        </w:rPr>
      </w:pPr>
      <w:r>
        <w:rPr>
          <w:sz w:val="24"/>
        </w:rPr>
        <w:t>PROJECT 12</w:t>
      </w:r>
      <w:r w:rsidR="00D42583" w:rsidRPr="00D42583">
        <w:rPr>
          <w:sz w:val="24"/>
        </w:rPr>
        <w:t xml:space="preserve"> is not the first anti-NRP1 antibody moving into the clinic. Another anti-NRP1 antibody, MNRP1685A, has been tested up to 40 mg/kg (2 mg/kg starting dose) in a phase 1 clinical trial without reaching a maximum tolerated dose [Weekes et al, 2014]. MNRP1685A displayed similar TMDD behaviors as </w:t>
      </w:r>
      <w:r>
        <w:rPr>
          <w:sz w:val="24"/>
        </w:rPr>
        <w:t>PROJECT 12</w:t>
      </w:r>
      <w:r w:rsidR="00D42583" w:rsidRPr="00D42583">
        <w:rPr>
          <w:sz w:val="24"/>
        </w:rPr>
        <w:t xml:space="preserve"> across a wide range of doses in nonclinical species and human. In humans, a significant number of infusion- related reactions (IRRs) were observed at high doses (&gt; 10 mg/kg) of MNRP1685A, which was successfully mitigated with dexamethasone</w:t>
      </w:r>
      <w:r w:rsidR="00D42583" w:rsidRPr="00D42583">
        <w:rPr>
          <w:spacing w:val="-14"/>
          <w:sz w:val="24"/>
        </w:rPr>
        <w:t xml:space="preserve"> </w:t>
      </w:r>
      <w:r w:rsidR="00D42583" w:rsidRPr="00D42583">
        <w:rPr>
          <w:sz w:val="24"/>
        </w:rPr>
        <w:t>pretreatment.</w:t>
      </w:r>
    </w:p>
    <w:p w:rsidR="000232AA" w:rsidRDefault="00D42583">
      <w:pPr>
        <w:pStyle w:val="a3"/>
        <w:spacing w:before="230" w:line="261" w:lineRule="auto"/>
        <w:ind w:left="235" w:right="1833"/>
      </w:pPr>
      <w:r>
        <w:t xml:space="preserve">Considering the overall favorable safety profile of </w:t>
      </w:r>
      <w:r w:rsidR="005C6C34">
        <w:t>PROJECT 12</w:t>
      </w:r>
      <w:r>
        <w:t xml:space="preserve"> in toxicity studies and the clinical experience with the existing anti-NRP1 antibody (MNRP1685A), a starting dose of 70 mg </w:t>
      </w:r>
      <w:r w:rsidR="005C6C34">
        <w:t>PROJECT 12</w:t>
      </w:r>
      <w:r>
        <w:t xml:space="preserve"> is deemed safe in humans.</w:t>
      </w:r>
    </w:p>
    <w:p w:rsidR="000232AA" w:rsidRDefault="00D42583">
      <w:pPr>
        <w:pStyle w:val="a3"/>
        <w:spacing w:before="117" w:line="261" w:lineRule="auto"/>
        <w:ind w:left="235" w:right="1624"/>
      </w:pPr>
      <w:r>
        <w:t>The clinical efficacious dose is estimated to be ~ 1200 mg Q2W based on results from the mouse MC38 syngeneic tumor model [Section</w:t>
      </w:r>
      <w:hyperlink w:anchor="_bookmark13" w:history="1">
        <w:r>
          <w:t xml:space="preserve"> 4.1.1.2</w:t>
        </w:r>
      </w:hyperlink>
      <w:r>
        <w:t xml:space="preserve">]. The dose escalation portion of the FIH study will evaluate 5 </w:t>
      </w:r>
      <w:r w:rsidR="005C6C34">
        <w:t>PROJECT 12</w:t>
      </w:r>
      <w:r>
        <w:t xml:space="preserve"> dose levels: 70, 200, 700, 1200 and 2000 mg. Dose escalation will take half-log (~ 3-fold) steps initially, with smaller steps once approaching the predicted efficacious dose levels. The NOAEL in the repeat-dose toxicity studies was</w:t>
      </w:r>
    </w:p>
    <w:p w:rsidR="000232AA" w:rsidRDefault="00D42583">
      <w:pPr>
        <w:pStyle w:val="a3"/>
        <w:spacing w:line="261" w:lineRule="auto"/>
        <w:ind w:left="235" w:right="1843"/>
      </w:pPr>
      <w:r>
        <w:t xml:space="preserve">500 mg/kg in rat and 200 mg/kg in cynomolgus monkey (the highest dose tested for each species in each study), which achieved a </w:t>
      </w:r>
      <w:proofErr w:type="spellStart"/>
      <w:r>
        <w:t>C</w:t>
      </w:r>
      <w:r>
        <w:rPr>
          <w:vertAlign w:val="subscript"/>
        </w:rPr>
        <w:t>max</w:t>
      </w:r>
      <w:proofErr w:type="spellEnd"/>
      <w:r>
        <w:t xml:space="preserve"> of 13500 µg/mL and 7320 µg/mL (sex combined), respectively. These concentrations are more than 1100-fold higher than the projected steady state </w:t>
      </w:r>
      <w:proofErr w:type="spellStart"/>
      <w:r>
        <w:t>C</w:t>
      </w:r>
      <w:r>
        <w:rPr>
          <w:vertAlign w:val="subscript"/>
        </w:rPr>
        <w:t>max</w:t>
      </w:r>
      <w:proofErr w:type="spellEnd"/>
      <w:r>
        <w:t xml:space="preserve"> at the FIH starting dose of 70 mg (3.5 to 6.6 </w:t>
      </w:r>
      <w:proofErr w:type="spellStart"/>
      <w:r>
        <w:t>μg</w:t>
      </w:r>
      <w:proofErr w:type="spellEnd"/>
      <w:r>
        <w:t xml:space="preserve">/mL) and greater than 5-fold higher than the top dose of 2000 mg (810 to 1600 </w:t>
      </w:r>
      <w:proofErr w:type="spellStart"/>
      <w:r>
        <w:t>μg</w:t>
      </w:r>
      <w:proofErr w:type="spellEnd"/>
      <w:r>
        <w:t>/mL).</w:t>
      </w:r>
    </w:p>
    <w:p w:rsidR="000232AA" w:rsidRDefault="00D42583">
      <w:pPr>
        <w:pStyle w:val="2"/>
        <w:spacing w:before="92"/>
        <w:ind w:left="235" w:firstLine="0"/>
      </w:pPr>
      <w:bookmarkStart w:id="39" w:name="Conclusion"/>
      <w:bookmarkStart w:id="40" w:name="_bookmark73"/>
      <w:bookmarkEnd w:id="39"/>
      <w:bookmarkEnd w:id="40"/>
      <w:r>
        <w:t>Conclusion</w:t>
      </w:r>
    </w:p>
    <w:p w:rsidR="000232AA" w:rsidRDefault="00D42583">
      <w:pPr>
        <w:pStyle w:val="a3"/>
        <w:spacing w:before="140" w:line="261" w:lineRule="auto"/>
        <w:ind w:left="235" w:right="1706"/>
      </w:pPr>
      <w:r>
        <w:t xml:space="preserve">Based on the currently available safety data, it was concluded that there were no identified toxicological findings that would preclude initiation of clinical development of </w:t>
      </w:r>
      <w:r w:rsidR="005C6C34">
        <w:t>PROJECT 12</w:t>
      </w:r>
      <w:r>
        <w:t xml:space="preserve">. Cytokine-release was noted in vitro, the </w:t>
      </w:r>
      <w:r>
        <w:lastRenderedPageBreak/>
        <w:t xml:space="preserve">clinical impact of which is unknown. Monitoring of appropriate parameters in clinical studies should be considered </w:t>
      </w:r>
      <w:hyperlink w:anchor="_bookmark82" w:history="1">
        <w:r>
          <w:t>[Section 6.2.5</w:t>
        </w:r>
      </w:hyperlink>
      <w:r>
        <w:t>].</w:t>
      </w:r>
    </w:p>
    <w:p w:rsidR="000232AA" w:rsidRDefault="00D42583">
      <w:pPr>
        <w:pStyle w:val="3"/>
        <w:spacing w:before="121"/>
        <w:ind w:left="235"/>
      </w:pPr>
      <w:r>
        <w:t>List of References</w:t>
      </w:r>
    </w:p>
    <w:p w:rsidR="000232AA" w:rsidRDefault="00D42583">
      <w:pPr>
        <w:spacing w:before="115"/>
        <w:ind w:left="801" w:right="2131" w:hanging="567"/>
      </w:pPr>
      <w:r>
        <w:t xml:space="preserve">Baine I, </w:t>
      </w:r>
      <w:proofErr w:type="spellStart"/>
      <w:r>
        <w:t>Basu</w:t>
      </w:r>
      <w:proofErr w:type="spellEnd"/>
      <w:r>
        <w:t xml:space="preserve"> S, Ames R, Sellers RS, </w:t>
      </w:r>
      <w:proofErr w:type="spellStart"/>
      <w:r>
        <w:t>Macian</w:t>
      </w:r>
      <w:proofErr w:type="spellEnd"/>
      <w:r>
        <w:t xml:space="preserve"> F. Helios induces epigenetic silencing of IL2 gene expression in regulatory T cells. J Immunol. 2013;190(3):1008-16.</w:t>
      </w:r>
    </w:p>
    <w:p w:rsidR="000232AA" w:rsidRDefault="000232AA">
      <w:pPr>
        <w:pStyle w:val="a3"/>
        <w:spacing w:before="10"/>
        <w:rPr>
          <w:sz w:val="20"/>
        </w:rPr>
      </w:pPr>
    </w:p>
    <w:p w:rsidR="000232AA" w:rsidRDefault="00D42583">
      <w:pPr>
        <w:spacing w:before="1"/>
        <w:ind w:left="801" w:right="1660" w:hanging="567"/>
      </w:pPr>
      <w:proofErr w:type="spellStart"/>
      <w:r>
        <w:t>Finco</w:t>
      </w:r>
      <w:proofErr w:type="spellEnd"/>
      <w:r>
        <w:t xml:space="preserve"> D, Grimaldi C, Fort M, Walker M, </w:t>
      </w:r>
      <w:proofErr w:type="spellStart"/>
      <w:r>
        <w:t>Kiessling</w:t>
      </w:r>
      <w:proofErr w:type="spellEnd"/>
      <w:r>
        <w:t xml:space="preserve"> A, Wolf B, et al. Cytokine release assays: Current practices and future directions. Cytokine. 2014;66(2):143-55</w:t>
      </w:r>
    </w:p>
    <w:p w:rsidR="000232AA" w:rsidRDefault="000232AA">
      <w:pPr>
        <w:pStyle w:val="a3"/>
        <w:spacing w:before="10"/>
        <w:rPr>
          <w:sz w:val="20"/>
        </w:rPr>
      </w:pPr>
    </w:p>
    <w:p w:rsidR="000232AA" w:rsidRDefault="00D42583">
      <w:pPr>
        <w:ind w:left="801" w:right="1889" w:hanging="567"/>
      </w:pPr>
      <w:r>
        <w:t>Hall W, Price-</w:t>
      </w:r>
      <w:proofErr w:type="spellStart"/>
      <w:r>
        <w:t>Schiavi</w:t>
      </w:r>
      <w:proofErr w:type="spellEnd"/>
      <w:r>
        <w:t xml:space="preserve"> S, Wicks J, </w:t>
      </w:r>
      <w:proofErr w:type="spellStart"/>
      <w:r>
        <w:t>Rojko</w:t>
      </w:r>
      <w:proofErr w:type="spellEnd"/>
      <w:r>
        <w:t xml:space="preserve"> JL. Tissue Cross-Reactivity Studies for Monoclonal Antibodies: Predictive Value and Use for Selection of Relevant Animal Species for Toxicity Testing. In: </w:t>
      </w:r>
      <w:proofErr w:type="spellStart"/>
      <w:r>
        <w:t>Cavagnaro</w:t>
      </w:r>
      <w:proofErr w:type="spellEnd"/>
      <w:r>
        <w:t xml:space="preserve"> JA, editor. Preclinical Safety Evaluation of Biopharmaceuticals: A Science-Based Approach to Facilitating Clinical Trials. Wiley-</w:t>
      </w:r>
      <w:proofErr w:type="spellStart"/>
      <w:r>
        <w:t>Interscience</w:t>
      </w:r>
      <w:proofErr w:type="spellEnd"/>
      <w:r>
        <w:t>; 2008. p. 208-40.</w:t>
      </w:r>
    </w:p>
    <w:p w:rsidR="000232AA" w:rsidRDefault="000232AA">
      <w:pPr>
        <w:pStyle w:val="a3"/>
        <w:spacing w:before="8"/>
        <w:rPr>
          <w:sz w:val="20"/>
        </w:rPr>
      </w:pPr>
    </w:p>
    <w:p w:rsidR="000232AA" w:rsidRDefault="00D42583">
      <w:pPr>
        <w:ind w:left="801" w:right="2119" w:hanging="567"/>
      </w:pPr>
      <w:r>
        <w:t xml:space="preserve">Keizer RJ, Huitema ADR, </w:t>
      </w:r>
      <w:proofErr w:type="spellStart"/>
      <w:r>
        <w:t>Schellens</w:t>
      </w:r>
      <w:proofErr w:type="spellEnd"/>
      <w:r>
        <w:t xml:space="preserve"> JHM, </w:t>
      </w:r>
      <w:proofErr w:type="spellStart"/>
      <w:r>
        <w:t>Beijnen</w:t>
      </w:r>
      <w:proofErr w:type="spellEnd"/>
      <w:r>
        <w:t xml:space="preserve"> JH. Clinical pharmacokinetics of therapeutic monoclonal antibodies. Clin </w:t>
      </w:r>
      <w:proofErr w:type="spellStart"/>
      <w:r>
        <w:t>Pharmacokinet</w:t>
      </w:r>
      <w:proofErr w:type="spellEnd"/>
      <w:r>
        <w:t>. 2010;49:493-507.</w:t>
      </w:r>
    </w:p>
    <w:p w:rsidR="000232AA" w:rsidRDefault="000232AA">
      <w:pPr>
        <w:pStyle w:val="a3"/>
        <w:spacing w:before="11"/>
        <w:rPr>
          <w:sz w:val="20"/>
        </w:rPr>
      </w:pPr>
    </w:p>
    <w:p w:rsidR="000232AA" w:rsidRDefault="00D42583">
      <w:pPr>
        <w:ind w:left="801" w:right="1960" w:hanging="567"/>
      </w:pPr>
      <w:r>
        <w:t xml:space="preserve">Leach MW, Halpern WG, Johnson CW, </w:t>
      </w:r>
      <w:proofErr w:type="spellStart"/>
      <w:r>
        <w:t>Rojko</w:t>
      </w:r>
      <w:proofErr w:type="spellEnd"/>
      <w:r>
        <w:t xml:space="preserve"> JL, MacLachlan TK, Chan CM, et al. Use of tissue cross-reactivity studies in the development of antibody-based biopharmaceuticals: history, experience, methodology, and future directions. </w:t>
      </w:r>
      <w:proofErr w:type="spellStart"/>
      <w:r>
        <w:t>Toxicol</w:t>
      </w:r>
      <w:proofErr w:type="spellEnd"/>
      <w:r>
        <w:t xml:space="preserve"> </w:t>
      </w:r>
      <w:proofErr w:type="spellStart"/>
      <w:r>
        <w:t>Pathol</w:t>
      </w:r>
      <w:proofErr w:type="spellEnd"/>
      <w:r>
        <w:t xml:space="preserve"> 2010;38(7):1138-66.</w:t>
      </w:r>
    </w:p>
    <w:p w:rsidR="000232AA" w:rsidRDefault="000232AA">
      <w:pPr>
        <w:pStyle w:val="a3"/>
        <w:spacing w:before="9"/>
        <w:rPr>
          <w:sz w:val="20"/>
        </w:rPr>
      </w:pPr>
    </w:p>
    <w:p w:rsidR="000232AA" w:rsidRDefault="00D42583">
      <w:pPr>
        <w:ind w:left="801" w:right="1630" w:hanging="567"/>
      </w:pPr>
      <w:r>
        <w:t xml:space="preserve">Patnaik A, </w:t>
      </w:r>
      <w:proofErr w:type="spellStart"/>
      <w:r>
        <w:t>LoRusso</w:t>
      </w:r>
      <w:proofErr w:type="spellEnd"/>
      <w:r>
        <w:t xml:space="preserve"> PM, Messersmith WA, Papadopoulos KP, Gore L, </w:t>
      </w:r>
      <w:proofErr w:type="spellStart"/>
      <w:r>
        <w:t>Beeram</w:t>
      </w:r>
      <w:proofErr w:type="spellEnd"/>
      <w:r>
        <w:t xml:space="preserve"> M, et al. A Phase </w:t>
      </w:r>
      <w:proofErr w:type="spellStart"/>
      <w:r>
        <w:t>Ib</w:t>
      </w:r>
      <w:proofErr w:type="spellEnd"/>
      <w:r>
        <w:t xml:space="preserve"> study evaluating MNRP1685A, a fully human anti-NRP1 monoclonal antibody, in combination with bevacizumab and paclitaxel in patients with advanced solid tumors. Cancer Chemother </w:t>
      </w:r>
      <w:proofErr w:type="spellStart"/>
      <w:r>
        <w:t>Pharmacol</w:t>
      </w:r>
      <w:proofErr w:type="spellEnd"/>
      <w:r>
        <w:t>. 2014;73(5):951-60.</w:t>
      </w:r>
    </w:p>
    <w:p w:rsidR="000232AA" w:rsidRDefault="000232AA">
      <w:pPr>
        <w:pStyle w:val="a3"/>
        <w:rPr>
          <w:sz w:val="21"/>
        </w:rPr>
      </w:pPr>
    </w:p>
    <w:p w:rsidR="000232AA" w:rsidRDefault="00D42583" w:rsidP="00D42583">
      <w:pPr>
        <w:ind w:left="801" w:right="1666" w:hanging="567"/>
        <w:rPr>
          <w:sz w:val="29"/>
        </w:rPr>
      </w:pPr>
      <w:r>
        <w:t xml:space="preserve">Roy S, Bag AK, Singh RK, Talmadge JE, Batra SK, Datta K. Multifaceted Role of </w:t>
      </w:r>
      <w:proofErr w:type="spellStart"/>
      <w:r>
        <w:t>Neuropilins</w:t>
      </w:r>
      <w:proofErr w:type="spellEnd"/>
      <w:r>
        <w:t xml:space="preserve"> in the Immune System: Potential Targets for Immunotherapy. Front Immunol. 2017;8:1228.</w:t>
      </w:r>
    </w:p>
    <w:p w:rsidR="000232AA" w:rsidRDefault="00D42583">
      <w:pPr>
        <w:spacing w:before="92"/>
        <w:ind w:left="801" w:right="1603" w:hanging="567"/>
      </w:pPr>
      <w:r>
        <w:t xml:space="preserve">Vidal JM, Kawabata TT, Thorpe R, Silva-Lima B, </w:t>
      </w:r>
      <w:proofErr w:type="spellStart"/>
      <w:r>
        <w:t>Cederbrant</w:t>
      </w:r>
      <w:proofErr w:type="spellEnd"/>
      <w:r>
        <w:t xml:space="preserve"> K, Poole S, et al. In vitro cytokine release assays for predicting cytokine release syndrome: the current state-of-the-science. Report of a European Medicines Agency Workshop. Cytokine. 2010;51(2):213-5.</w:t>
      </w:r>
    </w:p>
    <w:p w:rsidR="000232AA" w:rsidRDefault="000232AA">
      <w:pPr>
        <w:pStyle w:val="a3"/>
        <w:spacing w:before="9"/>
        <w:rPr>
          <w:sz w:val="20"/>
        </w:rPr>
      </w:pPr>
    </w:p>
    <w:p w:rsidR="000232AA" w:rsidRDefault="00D42583">
      <w:pPr>
        <w:ind w:left="801" w:right="1672" w:hanging="567"/>
      </w:pPr>
      <w:r>
        <w:t xml:space="preserve">Weekes CD, </w:t>
      </w:r>
      <w:proofErr w:type="spellStart"/>
      <w:r>
        <w:t>Beeram</w:t>
      </w:r>
      <w:proofErr w:type="spellEnd"/>
      <w:r>
        <w:t xml:space="preserve"> M, </w:t>
      </w:r>
      <w:proofErr w:type="spellStart"/>
      <w:r>
        <w:t>Tolcher</w:t>
      </w:r>
      <w:proofErr w:type="spellEnd"/>
      <w:r>
        <w:t xml:space="preserve"> AW, Papadopoulos KP, Gore L, Hegde P, et al. A phase I study of the human monoclonal anti-NRP1 antibody MNRP1685A in patients with advanced solid tumors. Invest New Drugs. 2014;32(4):653-60.</w:t>
      </w:r>
    </w:p>
    <w:p w:rsidR="000232AA" w:rsidRDefault="000232AA">
      <w:pPr>
        <w:pStyle w:val="a3"/>
        <w:spacing w:before="10"/>
        <w:rPr>
          <w:sz w:val="20"/>
        </w:rPr>
      </w:pPr>
    </w:p>
    <w:p w:rsidR="000232AA" w:rsidRDefault="00D42583" w:rsidP="00D42583">
      <w:pPr>
        <w:ind w:left="801" w:right="2005" w:hanging="567"/>
        <w:rPr>
          <w:sz w:val="20"/>
        </w:rPr>
      </w:pPr>
      <w:proofErr w:type="spellStart"/>
      <w:r>
        <w:t>Zafra</w:t>
      </w:r>
      <w:proofErr w:type="spellEnd"/>
      <w:r>
        <w:t xml:space="preserve"> de C, </w:t>
      </w:r>
      <w:proofErr w:type="spellStart"/>
      <w:r>
        <w:t>Allamneni</w:t>
      </w:r>
      <w:proofErr w:type="spellEnd"/>
      <w:r>
        <w:t xml:space="preserve"> K, Kennedy D, Cain G, Xiang H, Auyeung-Kim D, et al. Nonclinical toxicology evaluation of a monoclonal antibody against the VEGF co-receptor </w:t>
      </w:r>
      <w:proofErr w:type="spellStart"/>
      <w:r>
        <w:t>neuropilin</w:t>
      </w:r>
      <w:proofErr w:type="spellEnd"/>
      <w:r>
        <w:t xml:space="preserve"> 1 (Abstract). 2010. 49th Annual Meeting of the Society of Toxicology, PS1044.</w:t>
      </w:r>
    </w:p>
    <w:sectPr w:rsidR="000232AA">
      <w:headerReference w:type="default" r:id="rId7"/>
      <w:footerReference w:type="default" r:id="rId8"/>
      <w:pgSz w:w="11910" w:h="16840"/>
      <w:pgMar w:top="1120" w:right="1220" w:bottom="280" w:left="12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28A" w:rsidRDefault="0066128A">
      <w:r>
        <w:separator/>
      </w:r>
    </w:p>
  </w:endnote>
  <w:endnote w:type="continuationSeparator" w:id="0">
    <w:p w:rsidR="0066128A" w:rsidRDefault="00661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2AA" w:rsidRDefault="000232AA">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28A" w:rsidRDefault="0066128A">
      <w:r>
        <w:separator/>
      </w:r>
    </w:p>
  </w:footnote>
  <w:footnote w:type="continuationSeparator" w:id="0">
    <w:p w:rsidR="0066128A" w:rsidRDefault="00661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2AA" w:rsidRDefault="000232AA">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901"/>
    <w:multiLevelType w:val="multilevel"/>
    <w:tmpl w:val="726AB152"/>
    <w:lvl w:ilvl="0">
      <w:start w:val="4"/>
      <w:numFmt w:val="decimal"/>
      <w:lvlText w:val="%1"/>
      <w:lvlJc w:val="left"/>
      <w:pPr>
        <w:ind w:left="1087" w:hanging="852"/>
        <w:jc w:val="left"/>
      </w:pPr>
      <w:rPr>
        <w:rFonts w:hint="default"/>
      </w:rPr>
    </w:lvl>
    <w:lvl w:ilvl="1">
      <w:start w:val="2"/>
      <w:numFmt w:val="decimal"/>
      <w:lvlText w:val="%1.%2"/>
      <w:lvlJc w:val="left"/>
      <w:pPr>
        <w:ind w:left="1087" w:hanging="852"/>
        <w:jc w:val="left"/>
      </w:pPr>
      <w:rPr>
        <w:rFonts w:hint="default"/>
      </w:rPr>
    </w:lvl>
    <w:lvl w:ilvl="2">
      <w:start w:val="1"/>
      <w:numFmt w:val="decimal"/>
      <w:lvlText w:val="%1.%2.%3"/>
      <w:lvlJc w:val="left"/>
      <w:pPr>
        <w:ind w:left="1087" w:hanging="852"/>
        <w:jc w:val="left"/>
      </w:pPr>
      <w:rPr>
        <w:rFonts w:hint="default"/>
      </w:rPr>
    </w:lvl>
    <w:lvl w:ilvl="3">
      <w:start w:val="1"/>
      <w:numFmt w:val="decimal"/>
      <w:lvlText w:val="%1.%2.%3.%4"/>
      <w:lvlJc w:val="left"/>
      <w:pPr>
        <w:ind w:left="1087" w:hanging="852"/>
        <w:jc w:val="left"/>
      </w:pPr>
      <w:rPr>
        <w:rFonts w:ascii="Times New Roman" w:eastAsia="Times New Roman" w:hAnsi="Times New Roman" w:cs="Times New Roman" w:hint="default"/>
        <w:b/>
        <w:bCs/>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 w15:restartNumberingAfterBreak="0">
    <w:nsid w:val="02D60A21"/>
    <w:multiLevelType w:val="multilevel"/>
    <w:tmpl w:val="1AF44C5C"/>
    <w:lvl w:ilvl="0">
      <w:start w:val="3"/>
      <w:numFmt w:val="decimal"/>
      <w:lvlText w:val="%1"/>
      <w:lvlJc w:val="left"/>
      <w:pPr>
        <w:ind w:left="1786" w:hanging="994"/>
        <w:jc w:val="left"/>
      </w:pPr>
      <w:rPr>
        <w:rFonts w:hint="default"/>
      </w:rPr>
    </w:lvl>
    <w:lvl w:ilvl="1">
      <w:start w:val="2"/>
      <w:numFmt w:val="decimal"/>
      <w:lvlText w:val="%1.%2"/>
      <w:lvlJc w:val="left"/>
      <w:pPr>
        <w:ind w:left="1786" w:hanging="994"/>
        <w:jc w:val="left"/>
      </w:pPr>
      <w:rPr>
        <w:rFonts w:hint="default"/>
      </w:rPr>
    </w:lvl>
    <w:lvl w:ilvl="2">
      <w:start w:val="1"/>
      <w:numFmt w:val="decimal"/>
      <w:lvlText w:val="%1.%2.%3"/>
      <w:lvlJc w:val="left"/>
      <w:pPr>
        <w:ind w:left="1786" w:hanging="994"/>
        <w:jc w:val="left"/>
      </w:pPr>
      <w:rPr>
        <w:rFonts w:ascii="Times New Roman" w:eastAsia="Times New Roman" w:hAnsi="Times New Roman" w:cs="Times New Roman" w:hint="default"/>
        <w:w w:val="100"/>
        <w:sz w:val="22"/>
        <w:szCs w:val="22"/>
      </w:rPr>
    </w:lvl>
    <w:lvl w:ilvl="3">
      <w:numFmt w:val="bullet"/>
      <w:lvlText w:val="•"/>
      <w:lvlJc w:val="left"/>
      <w:pPr>
        <w:ind w:left="5836" w:hanging="994"/>
      </w:pPr>
      <w:rPr>
        <w:rFonts w:hint="default"/>
      </w:rPr>
    </w:lvl>
    <w:lvl w:ilvl="4">
      <w:numFmt w:val="bullet"/>
      <w:lvlText w:val="•"/>
      <w:lvlJc w:val="left"/>
      <w:pPr>
        <w:ind w:left="7188" w:hanging="994"/>
      </w:pPr>
      <w:rPr>
        <w:rFonts w:hint="default"/>
      </w:rPr>
    </w:lvl>
    <w:lvl w:ilvl="5">
      <w:numFmt w:val="bullet"/>
      <w:lvlText w:val="•"/>
      <w:lvlJc w:val="left"/>
      <w:pPr>
        <w:ind w:left="8540" w:hanging="994"/>
      </w:pPr>
      <w:rPr>
        <w:rFonts w:hint="default"/>
      </w:rPr>
    </w:lvl>
    <w:lvl w:ilvl="6">
      <w:numFmt w:val="bullet"/>
      <w:lvlText w:val="•"/>
      <w:lvlJc w:val="left"/>
      <w:pPr>
        <w:ind w:left="9892" w:hanging="994"/>
      </w:pPr>
      <w:rPr>
        <w:rFonts w:hint="default"/>
      </w:rPr>
    </w:lvl>
    <w:lvl w:ilvl="7">
      <w:numFmt w:val="bullet"/>
      <w:lvlText w:val="•"/>
      <w:lvlJc w:val="left"/>
      <w:pPr>
        <w:ind w:left="11244" w:hanging="994"/>
      </w:pPr>
      <w:rPr>
        <w:rFonts w:hint="default"/>
      </w:rPr>
    </w:lvl>
    <w:lvl w:ilvl="8">
      <w:numFmt w:val="bullet"/>
      <w:lvlText w:val="•"/>
      <w:lvlJc w:val="left"/>
      <w:pPr>
        <w:ind w:left="12596" w:hanging="994"/>
      </w:pPr>
      <w:rPr>
        <w:rFonts w:hint="default"/>
      </w:rPr>
    </w:lvl>
  </w:abstractNum>
  <w:abstractNum w:abstractNumId="2" w15:restartNumberingAfterBreak="0">
    <w:nsid w:val="0B1845F7"/>
    <w:multiLevelType w:val="multilevel"/>
    <w:tmpl w:val="FD6EFFA4"/>
    <w:lvl w:ilvl="0">
      <w:start w:val="4"/>
      <w:numFmt w:val="decimal"/>
      <w:lvlText w:val="%1"/>
      <w:lvlJc w:val="left"/>
      <w:pPr>
        <w:ind w:left="1512" w:hanging="1277"/>
        <w:jc w:val="left"/>
      </w:pPr>
      <w:rPr>
        <w:rFonts w:hint="default"/>
      </w:rPr>
    </w:lvl>
    <w:lvl w:ilvl="1">
      <w:start w:val="1"/>
      <w:numFmt w:val="decimal"/>
      <w:lvlText w:val="%1.%2"/>
      <w:lvlJc w:val="left"/>
      <w:pPr>
        <w:ind w:left="1512" w:hanging="1277"/>
        <w:jc w:val="left"/>
      </w:pPr>
      <w:rPr>
        <w:rFonts w:hint="default"/>
      </w:rPr>
    </w:lvl>
    <w:lvl w:ilvl="2">
      <w:start w:val="1"/>
      <w:numFmt w:val="decimal"/>
      <w:lvlText w:val="%1.%2.%3"/>
      <w:lvlJc w:val="left"/>
      <w:pPr>
        <w:ind w:left="1512" w:hanging="1277"/>
        <w:jc w:val="left"/>
      </w:pPr>
      <w:rPr>
        <w:rFonts w:hint="default"/>
      </w:rPr>
    </w:lvl>
    <w:lvl w:ilvl="3">
      <w:start w:val="2"/>
      <w:numFmt w:val="decimal"/>
      <w:lvlText w:val="%1.%2.%3.%4"/>
      <w:lvlJc w:val="left"/>
      <w:pPr>
        <w:ind w:left="1512" w:hanging="1277"/>
        <w:jc w:val="left"/>
      </w:pPr>
      <w:rPr>
        <w:rFonts w:hint="default"/>
      </w:rPr>
    </w:lvl>
    <w:lvl w:ilvl="4">
      <w:start w:val="2"/>
      <w:numFmt w:val="decimal"/>
      <w:lvlText w:val="%1.%2.%3.%4.%5"/>
      <w:lvlJc w:val="left"/>
      <w:pPr>
        <w:ind w:left="1512" w:hanging="1277"/>
        <w:jc w:val="left"/>
      </w:pPr>
      <w:rPr>
        <w:rFonts w:hint="default"/>
      </w:rPr>
    </w:lvl>
    <w:lvl w:ilvl="5">
      <w:start w:val="6"/>
      <w:numFmt w:val="decimal"/>
      <w:lvlText w:val="%1.%2.%3.%4.%5.%6"/>
      <w:lvlJc w:val="left"/>
      <w:pPr>
        <w:ind w:left="1512" w:hanging="1277"/>
        <w:jc w:val="left"/>
      </w:pPr>
      <w:rPr>
        <w:rFonts w:ascii="Times New Roman" w:eastAsia="Times New Roman" w:hAnsi="Times New Roman" w:cs="Times New Roman" w:hint="default"/>
        <w:b/>
        <w:bCs/>
        <w:w w:val="100"/>
        <w:sz w:val="22"/>
        <w:szCs w:val="22"/>
      </w:rPr>
    </w:lvl>
    <w:lvl w:ilvl="6">
      <w:numFmt w:val="bullet"/>
      <w:lvlText w:val="•"/>
      <w:lvlJc w:val="left"/>
      <w:pPr>
        <w:ind w:left="7124" w:hanging="1277"/>
      </w:pPr>
      <w:rPr>
        <w:rFonts w:hint="default"/>
      </w:rPr>
    </w:lvl>
    <w:lvl w:ilvl="7">
      <w:numFmt w:val="bullet"/>
      <w:lvlText w:val="•"/>
      <w:lvlJc w:val="left"/>
      <w:pPr>
        <w:ind w:left="8058" w:hanging="1277"/>
      </w:pPr>
      <w:rPr>
        <w:rFonts w:hint="default"/>
      </w:rPr>
    </w:lvl>
    <w:lvl w:ilvl="8">
      <w:numFmt w:val="bullet"/>
      <w:lvlText w:val="•"/>
      <w:lvlJc w:val="left"/>
      <w:pPr>
        <w:ind w:left="8992" w:hanging="1277"/>
      </w:pPr>
      <w:rPr>
        <w:rFonts w:hint="default"/>
      </w:rPr>
    </w:lvl>
  </w:abstractNum>
  <w:abstractNum w:abstractNumId="3" w15:restartNumberingAfterBreak="0">
    <w:nsid w:val="16445AAA"/>
    <w:multiLevelType w:val="multilevel"/>
    <w:tmpl w:val="C6F6873C"/>
    <w:lvl w:ilvl="0">
      <w:start w:val="1"/>
      <w:numFmt w:val="decimal"/>
      <w:lvlText w:val="%1"/>
      <w:lvlJc w:val="left"/>
      <w:pPr>
        <w:ind w:left="1087"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89"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89" w:hanging="852"/>
        <w:jc w:val="left"/>
      </w:pPr>
      <w:rPr>
        <w:rFonts w:ascii="Times New Roman" w:eastAsia="Times New Roman" w:hAnsi="Times New Roman" w:cs="Times New Roman" w:hint="default"/>
        <w:b/>
        <w:bCs/>
        <w:w w:val="99"/>
        <w:sz w:val="24"/>
        <w:szCs w:val="24"/>
      </w:rPr>
    </w:lvl>
    <w:lvl w:ilvl="3">
      <w:start w:val="1"/>
      <w:numFmt w:val="decimal"/>
      <w:lvlText w:val="%1.%2.%3.%4"/>
      <w:lvlJc w:val="left"/>
      <w:pPr>
        <w:ind w:left="1089" w:hanging="852"/>
        <w:jc w:val="left"/>
      </w:pPr>
      <w:rPr>
        <w:rFonts w:ascii="Times New Roman" w:eastAsia="Times New Roman" w:hAnsi="Times New Roman" w:cs="Times New Roman" w:hint="default"/>
        <w:b/>
        <w:bCs/>
        <w:w w:val="99"/>
        <w:sz w:val="24"/>
        <w:szCs w:val="24"/>
      </w:rPr>
    </w:lvl>
    <w:lvl w:ilvl="4">
      <w:start w:val="1"/>
      <w:numFmt w:val="decimal"/>
      <w:lvlText w:val="%1.%2.%3.%4.%5"/>
      <w:lvlJc w:val="left"/>
      <w:pPr>
        <w:ind w:left="1370" w:hanging="1133"/>
        <w:jc w:val="left"/>
      </w:pPr>
      <w:rPr>
        <w:rFonts w:ascii="Times New Roman" w:eastAsia="Times New Roman" w:hAnsi="Times New Roman" w:cs="Times New Roman" w:hint="default"/>
        <w:b/>
        <w:bCs/>
        <w:w w:val="99"/>
        <w:sz w:val="24"/>
        <w:szCs w:val="24"/>
      </w:rPr>
    </w:lvl>
    <w:lvl w:ilvl="5">
      <w:numFmt w:val="bullet"/>
      <w:lvlText w:val="•"/>
      <w:lvlJc w:val="left"/>
      <w:pPr>
        <w:ind w:left="5593" w:hanging="1133"/>
      </w:pPr>
      <w:rPr>
        <w:rFonts w:hint="default"/>
      </w:rPr>
    </w:lvl>
    <w:lvl w:ilvl="6">
      <w:numFmt w:val="bullet"/>
      <w:lvlText w:val="•"/>
      <w:lvlJc w:val="left"/>
      <w:pPr>
        <w:ind w:left="6646" w:hanging="1133"/>
      </w:pPr>
      <w:rPr>
        <w:rFonts w:hint="default"/>
      </w:rPr>
    </w:lvl>
    <w:lvl w:ilvl="7">
      <w:numFmt w:val="bullet"/>
      <w:lvlText w:val="•"/>
      <w:lvlJc w:val="left"/>
      <w:pPr>
        <w:ind w:left="7700" w:hanging="1133"/>
      </w:pPr>
      <w:rPr>
        <w:rFonts w:hint="default"/>
      </w:rPr>
    </w:lvl>
    <w:lvl w:ilvl="8">
      <w:numFmt w:val="bullet"/>
      <w:lvlText w:val="•"/>
      <w:lvlJc w:val="left"/>
      <w:pPr>
        <w:ind w:left="8753" w:hanging="1133"/>
      </w:pPr>
      <w:rPr>
        <w:rFonts w:hint="default"/>
      </w:rPr>
    </w:lvl>
  </w:abstractNum>
  <w:abstractNum w:abstractNumId="4" w15:restartNumberingAfterBreak="0">
    <w:nsid w:val="1D59272E"/>
    <w:multiLevelType w:val="multilevel"/>
    <w:tmpl w:val="B2202104"/>
    <w:lvl w:ilvl="0">
      <w:start w:val="1"/>
      <w:numFmt w:val="decimal"/>
      <w:lvlText w:val="%1"/>
      <w:lvlJc w:val="left"/>
      <w:pPr>
        <w:ind w:left="1076" w:hanging="850"/>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78"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78"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5346" w:hanging="852"/>
      </w:pPr>
      <w:rPr>
        <w:rFonts w:hint="default"/>
      </w:rPr>
    </w:lvl>
    <w:lvl w:ilvl="4">
      <w:numFmt w:val="bullet"/>
      <w:lvlText w:val="•"/>
      <w:lvlJc w:val="left"/>
      <w:pPr>
        <w:ind w:left="6768" w:hanging="852"/>
      </w:pPr>
      <w:rPr>
        <w:rFonts w:hint="default"/>
      </w:rPr>
    </w:lvl>
    <w:lvl w:ilvl="5">
      <w:numFmt w:val="bullet"/>
      <w:lvlText w:val="•"/>
      <w:lvlJc w:val="left"/>
      <w:pPr>
        <w:ind w:left="8190" w:hanging="852"/>
      </w:pPr>
      <w:rPr>
        <w:rFonts w:hint="default"/>
      </w:rPr>
    </w:lvl>
    <w:lvl w:ilvl="6">
      <w:numFmt w:val="bullet"/>
      <w:lvlText w:val="•"/>
      <w:lvlJc w:val="left"/>
      <w:pPr>
        <w:ind w:left="9612" w:hanging="852"/>
      </w:pPr>
      <w:rPr>
        <w:rFonts w:hint="default"/>
      </w:rPr>
    </w:lvl>
    <w:lvl w:ilvl="7">
      <w:numFmt w:val="bullet"/>
      <w:lvlText w:val="•"/>
      <w:lvlJc w:val="left"/>
      <w:pPr>
        <w:ind w:left="11034" w:hanging="852"/>
      </w:pPr>
      <w:rPr>
        <w:rFonts w:hint="default"/>
      </w:rPr>
    </w:lvl>
    <w:lvl w:ilvl="8">
      <w:numFmt w:val="bullet"/>
      <w:lvlText w:val="•"/>
      <w:lvlJc w:val="left"/>
      <w:pPr>
        <w:ind w:left="12456" w:hanging="852"/>
      </w:pPr>
      <w:rPr>
        <w:rFonts w:hint="default"/>
      </w:rPr>
    </w:lvl>
  </w:abstractNum>
  <w:abstractNum w:abstractNumId="5" w15:restartNumberingAfterBreak="0">
    <w:nsid w:val="24894CA5"/>
    <w:multiLevelType w:val="multilevel"/>
    <w:tmpl w:val="112C1DBA"/>
    <w:lvl w:ilvl="0">
      <w:start w:val="1"/>
      <w:numFmt w:val="decimal"/>
      <w:lvlText w:val="%1"/>
      <w:lvlJc w:val="left"/>
      <w:pPr>
        <w:ind w:left="943" w:hanging="708"/>
        <w:jc w:val="left"/>
      </w:pPr>
      <w:rPr>
        <w:rFonts w:ascii="Times New Roman" w:eastAsia="Times New Roman" w:hAnsi="Times New Roman" w:cs="Times New Roman" w:hint="default"/>
        <w:b/>
        <w:bCs/>
        <w:w w:val="100"/>
        <w:sz w:val="22"/>
        <w:szCs w:val="22"/>
      </w:rPr>
    </w:lvl>
    <w:lvl w:ilvl="1">
      <w:start w:val="1"/>
      <w:numFmt w:val="decimal"/>
      <w:lvlText w:val="%1.%2"/>
      <w:lvlJc w:val="left"/>
      <w:pPr>
        <w:ind w:left="1368" w:hanging="850"/>
        <w:jc w:val="left"/>
      </w:pPr>
      <w:rPr>
        <w:rFonts w:ascii="Times New Roman" w:eastAsia="Times New Roman" w:hAnsi="Times New Roman" w:cs="Times New Roman" w:hint="default"/>
        <w:w w:val="100"/>
        <w:sz w:val="22"/>
        <w:szCs w:val="22"/>
      </w:rPr>
    </w:lvl>
    <w:lvl w:ilvl="2">
      <w:start w:val="1"/>
      <w:numFmt w:val="decimal"/>
      <w:lvlText w:val="%1.%2.%3"/>
      <w:lvlJc w:val="left"/>
      <w:pPr>
        <w:ind w:left="1795" w:hanging="994"/>
        <w:jc w:val="left"/>
      </w:pPr>
      <w:rPr>
        <w:rFonts w:ascii="Times New Roman" w:eastAsia="Times New Roman" w:hAnsi="Times New Roman" w:cs="Times New Roman" w:hint="default"/>
        <w:w w:val="100"/>
        <w:sz w:val="22"/>
        <w:szCs w:val="22"/>
      </w:rPr>
    </w:lvl>
    <w:lvl w:ilvl="3">
      <w:start w:val="1"/>
      <w:numFmt w:val="decimal"/>
      <w:lvlText w:val="%1.%2.%3.%4"/>
      <w:lvlJc w:val="left"/>
      <w:pPr>
        <w:ind w:left="2220" w:hanging="1133"/>
        <w:jc w:val="left"/>
      </w:pPr>
      <w:rPr>
        <w:rFonts w:ascii="Times New Roman" w:eastAsia="Times New Roman" w:hAnsi="Times New Roman" w:cs="Times New Roman" w:hint="default"/>
        <w:w w:val="100"/>
        <w:sz w:val="22"/>
        <w:szCs w:val="22"/>
      </w:rPr>
    </w:lvl>
    <w:lvl w:ilvl="4">
      <w:numFmt w:val="bullet"/>
      <w:lvlText w:val="•"/>
      <w:lvlJc w:val="left"/>
      <w:pPr>
        <w:ind w:left="3454" w:hanging="1133"/>
      </w:pPr>
      <w:rPr>
        <w:rFonts w:hint="default"/>
      </w:rPr>
    </w:lvl>
    <w:lvl w:ilvl="5">
      <w:numFmt w:val="bullet"/>
      <w:lvlText w:val="•"/>
      <w:lvlJc w:val="left"/>
      <w:pPr>
        <w:ind w:left="4688" w:hanging="1133"/>
      </w:pPr>
      <w:rPr>
        <w:rFonts w:hint="default"/>
      </w:rPr>
    </w:lvl>
    <w:lvl w:ilvl="6">
      <w:numFmt w:val="bullet"/>
      <w:lvlText w:val="•"/>
      <w:lvlJc w:val="left"/>
      <w:pPr>
        <w:ind w:left="5922" w:hanging="1133"/>
      </w:pPr>
      <w:rPr>
        <w:rFonts w:hint="default"/>
      </w:rPr>
    </w:lvl>
    <w:lvl w:ilvl="7">
      <w:numFmt w:val="bullet"/>
      <w:lvlText w:val="•"/>
      <w:lvlJc w:val="left"/>
      <w:pPr>
        <w:ind w:left="7157" w:hanging="1133"/>
      </w:pPr>
      <w:rPr>
        <w:rFonts w:hint="default"/>
      </w:rPr>
    </w:lvl>
    <w:lvl w:ilvl="8">
      <w:numFmt w:val="bullet"/>
      <w:lvlText w:val="•"/>
      <w:lvlJc w:val="left"/>
      <w:pPr>
        <w:ind w:left="8391" w:hanging="1133"/>
      </w:pPr>
      <w:rPr>
        <w:rFonts w:hint="default"/>
      </w:rPr>
    </w:lvl>
  </w:abstractNum>
  <w:abstractNum w:abstractNumId="6" w15:restartNumberingAfterBreak="0">
    <w:nsid w:val="3BD1129F"/>
    <w:multiLevelType w:val="multilevel"/>
    <w:tmpl w:val="DB668F4E"/>
    <w:lvl w:ilvl="0">
      <w:start w:val="4"/>
      <w:numFmt w:val="decimal"/>
      <w:lvlText w:val="%1"/>
      <w:lvlJc w:val="left"/>
      <w:pPr>
        <w:ind w:left="1087" w:hanging="852"/>
        <w:jc w:val="left"/>
      </w:pPr>
      <w:rPr>
        <w:rFonts w:hint="default"/>
      </w:rPr>
    </w:lvl>
    <w:lvl w:ilvl="1">
      <w:start w:val="3"/>
      <w:numFmt w:val="decimal"/>
      <w:lvlText w:val="%1.%2"/>
      <w:lvlJc w:val="left"/>
      <w:pPr>
        <w:ind w:left="1087" w:hanging="852"/>
        <w:jc w:val="left"/>
      </w:pPr>
      <w:rPr>
        <w:rFonts w:hint="default"/>
      </w:rPr>
    </w:lvl>
    <w:lvl w:ilvl="2">
      <w:start w:val="1"/>
      <w:numFmt w:val="decimal"/>
      <w:lvlText w:val="%1.%2.%3"/>
      <w:lvlJc w:val="left"/>
      <w:pPr>
        <w:ind w:left="108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7" w15:restartNumberingAfterBreak="0">
    <w:nsid w:val="42601FE1"/>
    <w:multiLevelType w:val="multilevel"/>
    <w:tmpl w:val="0CEAB852"/>
    <w:lvl w:ilvl="0">
      <w:start w:val="4"/>
      <w:numFmt w:val="decimal"/>
      <w:lvlText w:val="%1"/>
      <w:lvlJc w:val="left"/>
      <w:pPr>
        <w:ind w:left="1087" w:hanging="852"/>
        <w:jc w:val="left"/>
      </w:pPr>
      <w:rPr>
        <w:rFonts w:hint="default"/>
      </w:rPr>
    </w:lvl>
    <w:lvl w:ilvl="1">
      <w:start w:val="1"/>
      <w:numFmt w:val="decimal"/>
      <w:lvlText w:val="%1.%2"/>
      <w:lvlJc w:val="left"/>
      <w:pPr>
        <w:ind w:left="1087" w:hanging="852"/>
        <w:jc w:val="left"/>
      </w:pPr>
      <w:rPr>
        <w:rFonts w:hint="default"/>
      </w:rPr>
    </w:lvl>
    <w:lvl w:ilvl="2">
      <w:start w:val="1"/>
      <w:numFmt w:val="decimal"/>
      <w:lvlText w:val="%1.%2.%3"/>
      <w:lvlJc w:val="left"/>
      <w:pPr>
        <w:ind w:left="1087" w:hanging="852"/>
        <w:jc w:val="left"/>
      </w:pPr>
      <w:rPr>
        <w:rFonts w:hint="default"/>
      </w:rPr>
    </w:lvl>
    <w:lvl w:ilvl="3">
      <w:start w:val="3"/>
      <w:numFmt w:val="decimal"/>
      <w:lvlText w:val="%1.%2.%3.%4"/>
      <w:lvlJc w:val="left"/>
      <w:pPr>
        <w:ind w:left="1087" w:hanging="852"/>
        <w:jc w:val="left"/>
      </w:pPr>
      <w:rPr>
        <w:rFonts w:ascii="Times New Roman" w:eastAsia="Times New Roman" w:hAnsi="Times New Roman" w:cs="Times New Roman" w:hint="default"/>
        <w:b/>
        <w:bCs/>
        <w:spacing w:val="-4"/>
        <w:w w:val="100"/>
        <w:sz w:val="24"/>
        <w:szCs w:val="24"/>
      </w:rPr>
    </w:lvl>
    <w:lvl w:ilvl="4">
      <w:start w:val="1"/>
      <w:numFmt w:val="decimal"/>
      <w:lvlText w:val="%1.%2.%3.%4.%5"/>
      <w:lvlJc w:val="left"/>
      <w:pPr>
        <w:ind w:left="1370" w:hanging="1133"/>
        <w:jc w:val="left"/>
      </w:pPr>
      <w:rPr>
        <w:rFonts w:ascii="Times New Roman" w:eastAsia="Times New Roman" w:hAnsi="Times New Roman" w:cs="Times New Roman" w:hint="default"/>
        <w:b/>
        <w:bCs/>
        <w:w w:val="99"/>
        <w:sz w:val="24"/>
        <w:szCs w:val="24"/>
      </w:rPr>
    </w:lvl>
    <w:lvl w:ilvl="5">
      <w:numFmt w:val="bullet"/>
      <w:lvlText w:val="•"/>
      <w:lvlJc w:val="left"/>
      <w:pPr>
        <w:ind w:left="5593" w:hanging="1133"/>
      </w:pPr>
      <w:rPr>
        <w:rFonts w:hint="default"/>
      </w:rPr>
    </w:lvl>
    <w:lvl w:ilvl="6">
      <w:numFmt w:val="bullet"/>
      <w:lvlText w:val="•"/>
      <w:lvlJc w:val="left"/>
      <w:pPr>
        <w:ind w:left="6646" w:hanging="1133"/>
      </w:pPr>
      <w:rPr>
        <w:rFonts w:hint="default"/>
      </w:rPr>
    </w:lvl>
    <w:lvl w:ilvl="7">
      <w:numFmt w:val="bullet"/>
      <w:lvlText w:val="•"/>
      <w:lvlJc w:val="left"/>
      <w:pPr>
        <w:ind w:left="7700" w:hanging="1133"/>
      </w:pPr>
      <w:rPr>
        <w:rFonts w:hint="default"/>
      </w:rPr>
    </w:lvl>
    <w:lvl w:ilvl="8">
      <w:numFmt w:val="bullet"/>
      <w:lvlText w:val="•"/>
      <w:lvlJc w:val="left"/>
      <w:pPr>
        <w:ind w:left="8753" w:hanging="1133"/>
      </w:pPr>
      <w:rPr>
        <w:rFonts w:hint="default"/>
      </w:rPr>
    </w:lvl>
  </w:abstractNum>
  <w:abstractNum w:abstractNumId="8" w15:restartNumberingAfterBreak="0">
    <w:nsid w:val="4D2F3D4A"/>
    <w:multiLevelType w:val="multilevel"/>
    <w:tmpl w:val="BBCE8380"/>
    <w:lvl w:ilvl="0">
      <w:start w:val="4"/>
      <w:numFmt w:val="decimal"/>
      <w:lvlText w:val="%1"/>
      <w:lvlJc w:val="left"/>
      <w:pPr>
        <w:ind w:left="1370" w:hanging="1133"/>
        <w:jc w:val="left"/>
      </w:pPr>
      <w:rPr>
        <w:rFonts w:hint="default"/>
      </w:rPr>
    </w:lvl>
    <w:lvl w:ilvl="1">
      <w:start w:val="1"/>
      <w:numFmt w:val="decimal"/>
      <w:lvlText w:val="%1.%2"/>
      <w:lvlJc w:val="left"/>
      <w:pPr>
        <w:ind w:left="1370" w:hanging="1133"/>
        <w:jc w:val="left"/>
      </w:pPr>
      <w:rPr>
        <w:rFonts w:hint="default"/>
      </w:rPr>
    </w:lvl>
    <w:lvl w:ilvl="2">
      <w:start w:val="1"/>
      <w:numFmt w:val="decimal"/>
      <w:lvlText w:val="%1.%2.%3"/>
      <w:lvlJc w:val="left"/>
      <w:pPr>
        <w:ind w:left="1370" w:hanging="1133"/>
        <w:jc w:val="left"/>
      </w:pPr>
      <w:rPr>
        <w:rFonts w:hint="default"/>
      </w:rPr>
    </w:lvl>
    <w:lvl w:ilvl="3">
      <w:start w:val="2"/>
      <w:numFmt w:val="decimal"/>
      <w:lvlText w:val="%1.%2.%3.%4"/>
      <w:lvlJc w:val="left"/>
      <w:pPr>
        <w:ind w:left="1370" w:hanging="1133"/>
        <w:jc w:val="left"/>
      </w:pPr>
      <w:rPr>
        <w:rFonts w:hint="default"/>
      </w:rPr>
    </w:lvl>
    <w:lvl w:ilvl="4">
      <w:start w:val="3"/>
      <w:numFmt w:val="decimal"/>
      <w:lvlText w:val="%1.%2.%3.%4.%5"/>
      <w:lvlJc w:val="left"/>
      <w:pPr>
        <w:ind w:left="1370" w:hanging="1133"/>
        <w:jc w:val="left"/>
      </w:pPr>
      <w:rPr>
        <w:rFonts w:ascii="Times New Roman" w:eastAsia="Times New Roman" w:hAnsi="Times New Roman" w:cs="Times New Roman" w:hint="default"/>
        <w:b/>
        <w:bCs/>
        <w:w w:val="99"/>
        <w:sz w:val="24"/>
        <w:szCs w:val="24"/>
      </w:rPr>
    </w:lvl>
    <w:lvl w:ilvl="5">
      <w:start w:val="1"/>
      <w:numFmt w:val="decimal"/>
      <w:lvlText w:val="%1.%2.%3.%4.%5.%6"/>
      <w:lvlJc w:val="left"/>
      <w:pPr>
        <w:ind w:left="1514" w:hanging="1277"/>
        <w:jc w:val="left"/>
      </w:pPr>
      <w:rPr>
        <w:rFonts w:ascii="Times New Roman" w:eastAsia="Times New Roman" w:hAnsi="Times New Roman" w:cs="Times New Roman" w:hint="default"/>
        <w:b/>
        <w:bCs/>
        <w:w w:val="99"/>
        <w:sz w:val="22"/>
        <w:szCs w:val="22"/>
      </w:rPr>
    </w:lvl>
    <w:lvl w:ilvl="6">
      <w:numFmt w:val="bullet"/>
      <w:lvlText w:val="•"/>
      <w:lvlJc w:val="left"/>
      <w:pPr>
        <w:ind w:left="6708" w:hanging="1277"/>
      </w:pPr>
      <w:rPr>
        <w:rFonts w:hint="default"/>
      </w:rPr>
    </w:lvl>
    <w:lvl w:ilvl="7">
      <w:numFmt w:val="bullet"/>
      <w:lvlText w:val="•"/>
      <w:lvlJc w:val="left"/>
      <w:pPr>
        <w:ind w:left="7746" w:hanging="1277"/>
      </w:pPr>
      <w:rPr>
        <w:rFonts w:hint="default"/>
      </w:rPr>
    </w:lvl>
    <w:lvl w:ilvl="8">
      <w:numFmt w:val="bullet"/>
      <w:lvlText w:val="•"/>
      <w:lvlJc w:val="left"/>
      <w:pPr>
        <w:ind w:left="8784" w:hanging="1277"/>
      </w:pPr>
      <w:rPr>
        <w:rFonts w:hint="default"/>
      </w:rPr>
    </w:lvl>
  </w:abstractNum>
  <w:abstractNum w:abstractNumId="9" w15:restartNumberingAfterBreak="0">
    <w:nsid w:val="56F54D30"/>
    <w:multiLevelType w:val="multilevel"/>
    <w:tmpl w:val="6DD63680"/>
    <w:lvl w:ilvl="0">
      <w:start w:val="5"/>
      <w:numFmt w:val="decimal"/>
      <w:lvlText w:val="%1"/>
      <w:lvlJc w:val="left"/>
      <w:pPr>
        <w:ind w:left="1087"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87"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87"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0" w15:restartNumberingAfterBreak="0">
    <w:nsid w:val="5C4A554C"/>
    <w:multiLevelType w:val="multilevel"/>
    <w:tmpl w:val="23C6E04A"/>
    <w:lvl w:ilvl="0">
      <w:start w:val="4"/>
      <w:numFmt w:val="decimal"/>
      <w:lvlText w:val="%1"/>
      <w:lvlJc w:val="left"/>
      <w:pPr>
        <w:ind w:left="1368" w:hanging="1133"/>
        <w:jc w:val="left"/>
      </w:pPr>
      <w:rPr>
        <w:rFonts w:hint="default"/>
      </w:rPr>
    </w:lvl>
    <w:lvl w:ilvl="1">
      <w:start w:val="1"/>
      <w:numFmt w:val="decimal"/>
      <w:lvlText w:val="%1.%2"/>
      <w:lvlJc w:val="left"/>
      <w:pPr>
        <w:ind w:left="1368" w:hanging="1133"/>
        <w:jc w:val="left"/>
      </w:pPr>
      <w:rPr>
        <w:rFonts w:hint="default"/>
      </w:rPr>
    </w:lvl>
    <w:lvl w:ilvl="2">
      <w:start w:val="1"/>
      <w:numFmt w:val="decimal"/>
      <w:lvlText w:val="%1.%2.%3"/>
      <w:lvlJc w:val="left"/>
      <w:pPr>
        <w:ind w:left="1368" w:hanging="1133"/>
        <w:jc w:val="left"/>
      </w:pPr>
      <w:rPr>
        <w:rFonts w:hint="default"/>
      </w:rPr>
    </w:lvl>
    <w:lvl w:ilvl="3">
      <w:start w:val="2"/>
      <w:numFmt w:val="decimal"/>
      <w:lvlText w:val="%1.%2.%3.%4"/>
      <w:lvlJc w:val="left"/>
      <w:pPr>
        <w:ind w:left="1368" w:hanging="1133"/>
        <w:jc w:val="left"/>
      </w:pPr>
      <w:rPr>
        <w:rFonts w:hint="default"/>
      </w:rPr>
    </w:lvl>
    <w:lvl w:ilvl="4">
      <w:start w:val="1"/>
      <w:numFmt w:val="decimal"/>
      <w:lvlText w:val="%1.%2.%3.%4.%5"/>
      <w:lvlJc w:val="left"/>
      <w:pPr>
        <w:ind w:left="1368" w:hanging="1133"/>
        <w:jc w:val="left"/>
      </w:pPr>
      <w:rPr>
        <w:rFonts w:ascii="Times New Roman" w:eastAsia="Times New Roman" w:hAnsi="Times New Roman" w:cs="Times New Roman" w:hint="default"/>
        <w:b/>
        <w:bCs/>
        <w:spacing w:val="-1"/>
        <w:w w:val="100"/>
        <w:sz w:val="24"/>
        <w:szCs w:val="24"/>
      </w:rPr>
    </w:lvl>
    <w:lvl w:ilvl="5">
      <w:start w:val="1"/>
      <w:numFmt w:val="decimal"/>
      <w:lvlText w:val="%1.%2.%3.%4.%5.%6"/>
      <w:lvlJc w:val="left"/>
      <w:pPr>
        <w:ind w:left="1514" w:hanging="1277"/>
        <w:jc w:val="left"/>
      </w:pPr>
      <w:rPr>
        <w:rFonts w:ascii="Times New Roman" w:eastAsia="Times New Roman" w:hAnsi="Times New Roman" w:cs="Times New Roman" w:hint="default"/>
        <w:b/>
        <w:bCs/>
        <w:w w:val="99"/>
        <w:sz w:val="22"/>
        <w:szCs w:val="22"/>
      </w:rPr>
    </w:lvl>
    <w:lvl w:ilvl="6">
      <w:numFmt w:val="bullet"/>
      <w:lvlText w:val="•"/>
      <w:lvlJc w:val="left"/>
      <w:pPr>
        <w:ind w:left="6708" w:hanging="1277"/>
      </w:pPr>
      <w:rPr>
        <w:rFonts w:hint="default"/>
      </w:rPr>
    </w:lvl>
    <w:lvl w:ilvl="7">
      <w:numFmt w:val="bullet"/>
      <w:lvlText w:val="•"/>
      <w:lvlJc w:val="left"/>
      <w:pPr>
        <w:ind w:left="7746" w:hanging="1277"/>
      </w:pPr>
      <w:rPr>
        <w:rFonts w:hint="default"/>
      </w:rPr>
    </w:lvl>
    <w:lvl w:ilvl="8">
      <w:numFmt w:val="bullet"/>
      <w:lvlText w:val="•"/>
      <w:lvlJc w:val="left"/>
      <w:pPr>
        <w:ind w:left="8784" w:hanging="1277"/>
      </w:pPr>
      <w:rPr>
        <w:rFonts w:hint="default"/>
      </w:rPr>
    </w:lvl>
  </w:abstractNum>
  <w:abstractNum w:abstractNumId="11" w15:restartNumberingAfterBreak="0">
    <w:nsid w:val="61AE0D0B"/>
    <w:multiLevelType w:val="multilevel"/>
    <w:tmpl w:val="1AF81BE0"/>
    <w:lvl w:ilvl="0">
      <w:start w:val="4"/>
      <w:numFmt w:val="decimal"/>
      <w:lvlText w:val="%1"/>
      <w:lvlJc w:val="left"/>
      <w:pPr>
        <w:ind w:left="1087" w:hanging="852"/>
        <w:jc w:val="left"/>
      </w:pPr>
      <w:rPr>
        <w:rFonts w:hint="default"/>
      </w:rPr>
    </w:lvl>
    <w:lvl w:ilvl="1">
      <w:start w:val="1"/>
      <w:numFmt w:val="decimal"/>
      <w:lvlText w:val="%1.%2"/>
      <w:lvlJc w:val="left"/>
      <w:pPr>
        <w:ind w:left="1087" w:hanging="852"/>
        <w:jc w:val="left"/>
      </w:pPr>
      <w:rPr>
        <w:rFonts w:hint="default"/>
      </w:rPr>
    </w:lvl>
    <w:lvl w:ilvl="2">
      <w:start w:val="2"/>
      <w:numFmt w:val="decimal"/>
      <w:lvlText w:val="%1.%2.%3"/>
      <w:lvlJc w:val="left"/>
      <w:pPr>
        <w:ind w:left="1087"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2" w15:restartNumberingAfterBreak="0">
    <w:nsid w:val="650A0007"/>
    <w:multiLevelType w:val="multilevel"/>
    <w:tmpl w:val="A6EAEDDE"/>
    <w:lvl w:ilvl="0">
      <w:start w:val="4"/>
      <w:numFmt w:val="decimal"/>
      <w:lvlText w:val="%1"/>
      <w:lvlJc w:val="left"/>
      <w:pPr>
        <w:ind w:left="1087" w:hanging="852"/>
      </w:pPr>
      <w:rPr>
        <w:rFonts w:hint="default"/>
      </w:rPr>
    </w:lvl>
    <w:lvl w:ilvl="1">
      <w:start w:val="3"/>
      <w:numFmt w:val="decimal"/>
      <w:lvlText w:val="%1.%2"/>
      <w:lvlJc w:val="left"/>
      <w:pPr>
        <w:ind w:left="1087" w:hanging="852"/>
      </w:pPr>
      <w:rPr>
        <w:rFonts w:hint="default"/>
      </w:rPr>
    </w:lvl>
    <w:lvl w:ilvl="2">
      <w:start w:val="2"/>
      <w:numFmt w:val="decimal"/>
      <w:lvlText w:val="%1.%2.%3"/>
      <w:lvlJc w:val="left"/>
      <w:pPr>
        <w:ind w:left="1087" w:hanging="852"/>
      </w:pPr>
      <w:rPr>
        <w:rFonts w:ascii="Times New Roman" w:eastAsia="ＭＳ 明朝" w:hAnsi="Times New Roman" w:cs="Times New Roman" w:hint="default"/>
        <w:b/>
        <w:bCs/>
        <w:w w:val="100"/>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3" w15:restartNumberingAfterBreak="0">
    <w:nsid w:val="68206BD3"/>
    <w:multiLevelType w:val="multilevel"/>
    <w:tmpl w:val="62249374"/>
    <w:lvl w:ilvl="0">
      <w:start w:val="4"/>
      <w:numFmt w:val="decimal"/>
      <w:lvlText w:val="%1"/>
      <w:lvlJc w:val="left"/>
      <w:pPr>
        <w:ind w:left="1087" w:hanging="852"/>
        <w:jc w:val="left"/>
      </w:pPr>
      <w:rPr>
        <w:rFonts w:hint="default"/>
      </w:rPr>
    </w:lvl>
    <w:lvl w:ilvl="1">
      <w:start w:val="4"/>
      <w:numFmt w:val="decimal"/>
      <w:lvlText w:val="%1.%2"/>
      <w:lvlJc w:val="left"/>
      <w:pPr>
        <w:ind w:left="1087"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87"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4" w15:restartNumberingAfterBreak="0">
    <w:nsid w:val="7B123C90"/>
    <w:multiLevelType w:val="multilevel"/>
    <w:tmpl w:val="682A695A"/>
    <w:lvl w:ilvl="0">
      <w:start w:val="4"/>
      <w:numFmt w:val="decimal"/>
      <w:lvlText w:val="%1"/>
      <w:lvlJc w:val="left"/>
      <w:pPr>
        <w:ind w:left="1795" w:hanging="994"/>
        <w:jc w:val="right"/>
      </w:pPr>
      <w:rPr>
        <w:rFonts w:hint="default"/>
      </w:rPr>
    </w:lvl>
    <w:lvl w:ilvl="1">
      <w:start w:val="3"/>
      <w:numFmt w:val="decimal"/>
      <w:lvlText w:val="%1.%2"/>
      <w:lvlJc w:val="left"/>
      <w:pPr>
        <w:ind w:left="1795" w:hanging="994"/>
        <w:jc w:val="right"/>
      </w:pPr>
      <w:rPr>
        <w:rFonts w:hint="default"/>
      </w:rPr>
    </w:lvl>
    <w:lvl w:ilvl="2">
      <w:start w:val="1"/>
      <w:numFmt w:val="decimal"/>
      <w:lvlText w:val="%1.%2.%3"/>
      <w:lvlJc w:val="left"/>
      <w:pPr>
        <w:ind w:left="1795" w:hanging="994"/>
        <w:jc w:val="left"/>
      </w:pPr>
      <w:rPr>
        <w:rFonts w:ascii="Times New Roman" w:eastAsia="Times New Roman" w:hAnsi="Times New Roman" w:cs="Times New Roman" w:hint="default"/>
        <w:w w:val="100"/>
        <w:sz w:val="22"/>
        <w:szCs w:val="22"/>
      </w:rPr>
    </w:lvl>
    <w:lvl w:ilvl="3">
      <w:start w:val="1"/>
      <w:numFmt w:val="decimal"/>
      <w:lvlText w:val="%1.%2.%3.%4"/>
      <w:lvlJc w:val="left"/>
      <w:pPr>
        <w:ind w:left="2220" w:hanging="1133"/>
        <w:jc w:val="left"/>
      </w:pPr>
      <w:rPr>
        <w:rFonts w:ascii="Times New Roman" w:eastAsia="Times New Roman" w:hAnsi="Times New Roman" w:cs="Times New Roman" w:hint="default"/>
        <w:w w:val="100"/>
        <w:sz w:val="22"/>
        <w:szCs w:val="22"/>
      </w:rPr>
    </w:lvl>
    <w:lvl w:ilvl="4">
      <w:numFmt w:val="bullet"/>
      <w:lvlText w:val="•"/>
      <w:lvlJc w:val="left"/>
      <w:pPr>
        <w:ind w:left="5100" w:hanging="1133"/>
      </w:pPr>
      <w:rPr>
        <w:rFonts w:hint="default"/>
      </w:rPr>
    </w:lvl>
    <w:lvl w:ilvl="5">
      <w:numFmt w:val="bullet"/>
      <w:lvlText w:val="•"/>
      <w:lvlJc w:val="left"/>
      <w:pPr>
        <w:ind w:left="6060" w:hanging="1133"/>
      </w:pPr>
      <w:rPr>
        <w:rFonts w:hint="default"/>
      </w:rPr>
    </w:lvl>
    <w:lvl w:ilvl="6">
      <w:numFmt w:val="bullet"/>
      <w:lvlText w:val="•"/>
      <w:lvlJc w:val="left"/>
      <w:pPr>
        <w:ind w:left="7020" w:hanging="1133"/>
      </w:pPr>
      <w:rPr>
        <w:rFonts w:hint="default"/>
      </w:rPr>
    </w:lvl>
    <w:lvl w:ilvl="7">
      <w:numFmt w:val="bullet"/>
      <w:lvlText w:val="•"/>
      <w:lvlJc w:val="left"/>
      <w:pPr>
        <w:ind w:left="7980" w:hanging="1133"/>
      </w:pPr>
      <w:rPr>
        <w:rFonts w:hint="default"/>
      </w:rPr>
    </w:lvl>
    <w:lvl w:ilvl="8">
      <w:numFmt w:val="bullet"/>
      <w:lvlText w:val="•"/>
      <w:lvlJc w:val="left"/>
      <w:pPr>
        <w:ind w:left="8940" w:hanging="1133"/>
      </w:pPr>
      <w:rPr>
        <w:rFonts w:hint="default"/>
      </w:rPr>
    </w:lvl>
  </w:abstractNum>
  <w:abstractNum w:abstractNumId="15" w15:restartNumberingAfterBreak="0">
    <w:nsid w:val="7B221F51"/>
    <w:multiLevelType w:val="hybridMultilevel"/>
    <w:tmpl w:val="2BF2687A"/>
    <w:lvl w:ilvl="0" w:tplc="82185926">
      <w:numFmt w:val="bullet"/>
      <w:lvlText w:val="●"/>
      <w:lvlJc w:val="left"/>
      <w:pPr>
        <w:ind w:left="660" w:hanging="425"/>
      </w:pPr>
      <w:rPr>
        <w:rFonts w:ascii="Times New Roman" w:eastAsia="Times New Roman" w:hAnsi="Times New Roman" w:cs="Times New Roman" w:hint="default"/>
        <w:spacing w:val="-6"/>
        <w:w w:val="97"/>
        <w:sz w:val="24"/>
        <w:szCs w:val="24"/>
      </w:rPr>
    </w:lvl>
    <w:lvl w:ilvl="1" w:tplc="6F0A7624">
      <w:numFmt w:val="bullet"/>
      <w:lvlText w:val="•"/>
      <w:lvlJc w:val="left"/>
      <w:pPr>
        <w:ind w:left="1680" w:hanging="425"/>
      </w:pPr>
      <w:rPr>
        <w:rFonts w:hint="default"/>
      </w:rPr>
    </w:lvl>
    <w:lvl w:ilvl="2" w:tplc="D472A39E">
      <w:numFmt w:val="bullet"/>
      <w:lvlText w:val="•"/>
      <w:lvlJc w:val="left"/>
      <w:pPr>
        <w:ind w:left="2700" w:hanging="425"/>
      </w:pPr>
      <w:rPr>
        <w:rFonts w:hint="default"/>
      </w:rPr>
    </w:lvl>
    <w:lvl w:ilvl="3" w:tplc="723ABE78">
      <w:numFmt w:val="bullet"/>
      <w:lvlText w:val="•"/>
      <w:lvlJc w:val="left"/>
      <w:pPr>
        <w:ind w:left="3720" w:hanging="425"/>
      </w:pPr>
      <w:rPr>
        <w:rFonts w:hint="default"/>
      </w:rPr>
    </w:lvl>
    <w:lvl w:ilvl="4" w:tplc="93F6B310">
      <w:numFmt w:val="bullet"/>
      <w:lvlText w:val="•"/>
      <w:lvlJc w:val="left"/>
      <w:pPr>
        <w:ind w:left="4740" w:hanging="425"/>
      </w:pPr>
      <w:rPr>
        <w:rFonts w:hint="default"/>
      </w:rPr>
    </w:lvl>
    <w:lvl w:ilvl="5" w:tplc="095450D2">
      <w:numFmt w:val="bullet"/>
      <w:lvlText w:val="•"/>
      <w:lvlJc w:val="left"/>
      <w:pPr>
        <w:ind w:left="5760" w:hanging="425"/>
      </w:pPr>
      <w:rPr>
        <w:rFonts w:hint="default"/>
      </w:rPr>
    </w:lvl>
    <w:lvl w:ilvl="6" w:tplc="01043AE6">
      <w:numFmt w:val="bullet"/>
      <w:lvlText w:val="•"/>
      <w:lvlJc w:val="left"/>
      <w:pPr>
        <w:ind w:left="6780" w:hanging="425"/>
      </w:pPr>
      <w:rPr>
        <w:rFonts w:hint="default"/>
      </w:rPr>
    </w:lvl>
    <w:lvl w:ilvl="7" w:tplc="E62CA480">
      <w:numFmt w:val="bullet"/>
      <w:lvlText w:val="•"/>
      <w:lvlJc w:val="left"/>
      <w:pPr>
        <w:ind w:left="7800" w:hanging="425"/>
      </w:pPr>
      <w:rPr>
        <w:rFonts w:hint="default"/>
      </w:rPr>
    </w:lvl>
    <w:lvl w:ilvl="8" w:tplc="4EAA34F4">
      <w:numFmt w:val="bullet"/>
      <w:lvlText w:val="•"/>
      <w:lvlJc w:val="left"/>
      <w:pPr>
        <w:ind w:left="8820" w:hanging="425"/>
      </w:pPr>
      <w:rPr>
        <w:rFonts w:hint="default"/>
      </w:rPr>
    </w:lvl>
  </w:abstractNum>
  <w:abstractNum w:abstractNumId="16" w15:restartNumberingAfterBreak="0">
    <w:nsid w:val="7E5D0CCD"/>
    <w:multiLevelType w:val="multilevel"/>
    <w:tmpl w:val="30189902"/>
    <w:lvl w:ilvl="0">
      <w:start w:val="4"/>
      <w:numFmt w:val="decimal"/>
      <w:lvlText w:val="%1"/>
      <w:lvlJc w:val="left"/>
      <w:pPr>
        <w:ind w:left="1795" w:hanging="994"/>
        <w:jc w:val="left"/>
      </w:pPr>
      <w:rPr>
        <w:rFonts w:hint="default"/>
      </w:rPr>
    </w:lvl>
    <w:lvl w:ilvl="1">
      <w:start w:val="2"/>
      <w:numFmt w:val="decimal"/>
      <w:lvlText w:val="%1.%2"/>
      <w:lvlJc w:val="left"/>
      <w:pPr>
        <w:ind w:left="1795" w:hanging="994"/>
        <w:jc w:val="right"/>
      </w:pPr>
      <w:rPr>
        <w:rFonts w:hint="default"/>
      </w:rPr>
    </w:lvl>
    <w:lvl w:ilvl="2">
      <w:start w:val="5"/>
      <w:numFmt w:val="decimal"/>
      <w:lvlText w:val="%1.%2.%3"/>
      <w:lvlJc w:val="left"/>
      <w:pPr>
        <w:ind w:left="1795" w:hanging="994"/>
        <w:jc w:val="left"/>
      </w:pPr>
      <w:rPr>
        <w:rFonts w:ascii="Times New Roman" w:eastAsia="Times New Roman" w:hAnsi="Times New Roman" w:cs="Times New Roman" w:hint="default"/>
        <w:w w:val="100"/>
        <w:sz w:val="22"/>
        <w:szCs w:val="22"/>
      </w:rPr>
    </w:lvl>
    <w:lvl w:ilvl="3">
      <w:numFmt w:val="bullet"/>
      <w:lvlText w:val="•"/>
      <w:lvlJc w:val="left"/>
      <w:pPr>
        <w:ind w:left="4518" w:hanging="994"/>
      </w:pPr>
      <w:rPr>
        <w:rFonts w:hint="default"/>
      </w:rPr>
    </w:lvl>
    <w:lvl w:ilvl="4">
      <w:numFmt w:val="bullet"/>
      <w:lvlText w:val="•"/>
      <w:lvlJc w:val="left"/>
      <w:pPr>
        <w:ind w:left="5424" w:hanging="994"/>
      </w:pPr>
      <w:rPr>
        <w:rFonts w:hint="default"/>
      </w:rPr>
    </w:lvl>
    <w:lvl w:ilvl="5">
      <w:numFmt w:val="bullet"/>
      <w:lvlText w:val="•"/>
      <w:lvlJc w:val="left"/>
      <w:pPr>
        <w:ind w:left="6330" w:hanging="994"/>
      </w:pPr>
      <w:rPr>
        <w:rFonts w:hint="default"/>
      </w:rPr>
    </w:lvl>
    <w:lvl w:ilvl="6">
      <w:numFmt w:val="bullet"/>
      <w:lvlText w:val="•"/>
      <w:lvlJc w:val="left"/>
      <w:pPr>
        <w:ind w:left="7236" w:hanging="994"/>
      </w:pPr>
      <w:rPr>
        <w:rFonts w:hint="default"/>
      </w:rPr>
    </w:lvl>
    <w:lvl w:ilvl="7">
      <w:numFmt w:val="bullet"/>
      <w:lvlText w:val="•"/>
      <w:lvlJc w:val="left"/>
      <w:pPr>
        <w:ind w:left="8142" w:hanging="994"/>
      </w:pPr>
      <w:rPr>
        <w:rFonts w:hint="default"/>
      </w:rPr>
    </w:lvl>
    <w:lvl w:ilvl="8">
      <w:numFmt w:val="bullet"/>
      <w:lvlText w:val="•"/>
      <w:lvlJc w:val="left"/>
      <w:pPr>
        <w:ind w:left="9048" w:hanging="994"/>
      </w:pPr>
      <w:rPr>
        <w:rFonts w:hint="default"/>
      </w:rPr>
    </w:lvl>
  </w:abstractNum>
  <w:num w:numId="1">
    <w:abstractNumId w:val="4"/>
  </w:num>
  <w:num w:numId="2">
    <w:abstractNumId w:val="1"/>
  </w:num>
  <w:num w:numId="3">
    <w:abstractNumId w:val="9"/>
  </w:num>
  <w:num w:numId="4">
    <w:abstractNumId w:val="15"/>
  </w:num>
  <w:num w:numId="5">
    <w:abstractNumId w:val="13"/>
  </w:num>
  <w:num w:numId="6">
    <w:abstractNumId w:val="6"/>
  </w:num>
  <w:num w:numId="7">
    <w:abstractNumId w:val="12"/>
  </w:num>
  <w:num w:numId="8">
    <w:abstractNumId w:val="0"/>
  </w:num>
  <w:num w:numId="9">
    <w:abstractNumId w:val="11"/>
  </w:num>
  <w:num w:numId="10">
    <w:abstractNumId w:val="7"/>
  </w:num>
  <w:num w:numId="11">
    <w:abstractNumId w:val="8"/>
  </w:num>
  <w:num w:numId="12">
    <w:abstractNumId w:val="2"/>
  </w:num>
  <w:num w:numId="13">
    <w:abstractNumId w:val="10"/>
  </w:num>
  <w:num w:numId="14">
    <w:abstractNumId w:val="3"/>
  </w:num>
  <w:num w:numId="15">
    <w:abstractNumId w:val="14"/>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4097">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0232AA"/>
    <w:rsid w:val="000232AA"/>
    <w:rsid w:val="0022301B"/>
    <w:rsid w:val="00494EF6"/>
    <w:rsid w:val="005C6C34"/>
    <w:rsid w:val="0066128A"/>
    <w:rsid w:val="00D425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DC4F92D1-D191-43B4-A21C-40A11F44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6"/>
      <w:ind w:left="215" w:right="4010"/>
      <w:jc w:val="center"/>
      <w:outlineLvl w:val="0"/>
    </w:pPr>
    <w:rPr>
      <w:b/>
      <w:bCs/>
      <w:sz w:val="32"/>
      <w:szCs w:val="32"/>
    </w:rPr>
  </w:style>
  <w:style w:type="paragraph" w:styleId="2">
    <w:name w:val="heading 2"/>
    <w:basedOn w:val="a"/>
    <w:uiPriority w:val="9"/>
    <w:unhideWhenUsed/>
    <w:qFormat/>
    <w:pPr>
      <w:spacing w:before="89"/>
      <w:ind w:left="1078" w:hanging="852"/>
      <w:outlineLvl w:val="1"/>
    </w:pPr>
    <w:rPr>
      <w:b/>
      <w:bCs/>
      <w:sz w:val="28"/>
      <w:szCs w:val="28"/>
    </w:rPr>
  </w:style>
  <w:style w:type="paragraph" w:styleId="3">
    <w:name w:val="heading 3"/>
    <w:basedOn w:val="a"/>
    <w:uiPriority w:val="9"/>
    <w:unhideWhenUsed/>
    <w:qFormat/>
    <w:pPr>
      <w:spacing w:before="208"/>
      <w:ind w:left="1087"/>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67"/>
      <w:ind w:left="943" w:hanging="708"/>
    </w:pPr>
    <w:rPr>
      <w:b/>
      <w:bCs/>
    </w:rPr>
  </w:style>
  <w:style w:type="paragraph" w:styleId="20">
    <w:name w:val="toc 2"/>
    <w:basedOn w:val="a"/>
    <w:uiPriority w:val="1"/>
    <w:qFormat/>
    <w:pPr>
      <w:spacing w:before="107"/>
      <w:ind w:left="1368" w:hanging="850"/>
    </w:pPr>
  </w:style>
  <w:style w:type="paragraph" w:styleId="30">
    <w:name w:val="toc 3"/>
    <w:basedOn w:val="a"/>
    <w:uiPriority w:val="1"/>
    <w:qFormat/>
    <w:pPr>
      <w:spacing w:before="107"/>
      <w:ind w:left="1795" w:hanging="994"/>
    </w:pPr>
  </w:style>
  <w:style w:type="paragraph" w:styleId="4">
    <w:name w:val="toc 4"/>
    <w:basedOn w:val="a"/>
    <w:uiPriority w:val="1"/>
    <w:qFormat/>
    <w:pPr>
      <w:spacing w:before="107"/>
      <w:ind w:left="2220" w:hanging="1133"/>
    </w:pPr>
  </w:style>
  <w:style w:type="paragraph" w:styleId="a3">
    <w:name w:val="Body Text"/>
    <w:basedOn w:val="a"/>
    <w:uiPriority w:val="1"/>
    <w:qFormat/>
    <w:rPr>
      <w:sz w:val="24"/>
      <w:szCs w:val="24"/>
    </w:rPr>
  </w:style>
  <w:style w:type="paragraph" w:styleId="a4">
    <w:name w:val="List Paragraph"/>
    <w:basedOn w:val="a"/>
    <w:uiPriority w:val="1"/>
    <w:qFormat/>
    <w:pPr>
      <w:spacing w:before="107"/>
      <w:ind w:left="1087" w:hanging="852"/>
    </w:pPr>
  </w:style>
  <w:style w:type="paragraph" w:customStyle="1" w:styleId="TableParagraph">
    <w:name w:val="Table Paragraph"/>
    <w:basedOn w:val="a"/>
    <w:uiPriority w:val="1"/>
    <w:qFormat/>
    <w:pPr>
      <w:spacing w:before="14"/>
      <w:jc w:val="center"/>
    </w:pPr>
  </w:style>
  <w:style w:type="paragraph" w:styleId="a5">
    <w:name w:val="header"/>
    <w:basedOn w:val="a"/>
    <w:link w:val="a6"/>
    <w:uiPriority w:val="99"/>
    <w:unhideWhenUsed/>
    <w:rsid w:val="00D42583"/>
    <w:pPr>
      <w:tabs>
        <w:tab w:val="center" w:pos="4252"/>
        <w:tab w:val="right" w:pos="8504"/>
      </w:tabs>
      <w:snapToGrid w:val="0"/>
    </w:pPr>
  </w:style>
  <w:style w:type="character" w:customStyle="1" w:styleId="a6">
    <w:name w:val="ヘッダー (文字)"/>
    <w:basedOn w:val="a0"/>
    <w:link w:val="a5"/>
    <w:uiPriority w:val="99"/>
    <w:rsid w:val="00D42583"/>
    <w:rPr>
      <w:rFonts w:ascii="Times New Roman" w:eastAsia="Times New Roman" w:hAnsi="Times New Roman" w:cs="Times New Roman"/>
    </w:rPr>
  </w:style>
  <w:style w:type="paragraph" w:styleId="a7">
    <w:name w:val="footer"/>
    <w:basedOn w:val="a"/>
    <w:link w:val="a8"/>
    <w:uiPriority w:val="99"/>
    <w:unhideWhenUsed/>
    <w:rsid w:val="00D42583"/>
    <w:pPr>
      <w:tabs>
        <w:tab w:val="center" w:pos="4252"/>
        <w:tab w:val="right" w:pos="8504"/>
      </w:tabs>
      <w:snapToGrid w:val="0"/>
    </w:pPr>
  </w:style>
  <w:style w:type="character" w:customStyle="1" w:styleId="a8">
    <w:name w:val="フッター (文字)"/>
    <w:basedOn w:val="a0"/>
    <w:link w:val="a7"/>
    <w:uiPriority w:val="99"/>
    <w:rsid w:val="00D4258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F0FBB6-F25A-4120-9C4B-907FAADBEDE8}"/>
</file>

<file path=customXml/itemProps2.xml><?xml version="1.0" encoding="utf-8"?>
<ds:datastoreItem xmlns:ds="http://schemas.openxmlformats.org/officeDocument/2006/customXml" ds:itemID="{4153F607-0C3F-47CE-9567-47261AC015D6}"/>
</file>

<file path=customXml/itemProps3.xml><?xml version="1.0" encoding="utf-8"?>
<ds:datastoreItem xmlns:ds="http://schemas.openxmlformats.org/officeDocument/2006/customXml" ds:itemID="{D3D5746A-3A60-49D9-8998-65A120AC1218}"/>
</file>

<file path=docProps/app.xml><?xml version="1.0" encoding="utf-8"?>
<Properties xmlns="http://schemas.openxmlformats.org/officeDocument/2006/extended-properties" xmlns:vt="http://schemas.openxmlformats.org/officeDocument/2006/docPropsVTypes">
  <Template>Normal</Template>
  <TotalTime>7</TotalTime>
  <Pages>8</Pages>
  <Words>3530</Words>
  <Characters>20126</Characters>
  <Application>Microsoft Office Word</Application>
  <DocSecurity>0</DocSecurity>
  <Lines>167</Lines>
  <Paragraphs>47</Paragraphs>
  <ScaleCrop>false</ScaleCrop>
  <Company/>
  <LinksUpToDate>false</LinksUpToDate>
  <CharactersWithSpaces>23609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5</cp:revision>
  <dcterms:created xsi:type="dcterms:W3CDTF">2021-06-22T01:07:00Z</dcterms:created>
  <dcterms:modified xsi:type="dcterms:W3CDTF">2021-07-08T09:34:00Z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2018-03-24T00:00:00Z</vt:filetime>
  </property>
  <property fmtid="{D5CDD505-2E9C-101B-9397-08002B2CF9AE}" pid="3" name="LastSaved">
    <vt:filetime>2021-06-22T00:00:00Z</vt:filetime>
  </property>
  <property fmtid="{D5CDD505-2E9C-101B-9397-08002B2CF9AE}" pid="4" name="ContentTypeId">
    <vt:lpwstr>0x0101007EA8C9399C6F4249AB6A1823D3F13C35</vt:lpwstr>
  </property>
</Properties>
</file>