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095" w:rsidRDefault="005A016F">
      <w:pPr>
        <w:pStyle w:val="3"/>
        <w:numPr>
          <w:ilvl w:val="2"/>
          <w:numId w:val="12"/>
        </w:numPr>
        <w:tabs>
          <w:tab w:val="left" w:pos="1004"/>
          <w:tab w:val="left" w:pos="1005"/>
        </w:tabs>
        <w:spacing w:before="149"/>
      </w:pPr>
      <w:bookmarkStart w:id="0" w:name="List_of_End-of-text_Tables"/>
      <w:bookmarkStart w:id="1" w:name="4.1.3_Safety_Pharmacology"/>
      <w:bookmarkStart w:id="2" w:name="_bookmark23"/>
      <w:bookmarkEnd w:id="0"/>
      <w:bookmarkEnd w:id="1"/>
      <w:bookmarkEnd w:id="2"/>
      <w:r>
        <w:t>Safety</w:t>
      </w:r>
      <w:r>
        <w:rPr>
          <w:spacing w:val="-2"/>
        </w:rPr>
        <w:t xml:space="preserve"> </w:t>
      </w:r>
      <w:r>
        <w:t>Pharmacology</w:t>
      </w:r>
    </w:p>
    <w:p w:rsidR="009B3095" w:rsidRDefault="005A016F">
      <w:pPr>
        <w:pStyle w:val="a3"/>
        <w:spacing w:before="139" w:line="261" w:lineRule="auto"/>
        <w:ind w:left="152" w:right="1695"/>
      </w:pPr>
      <w:r>
        <w:t xml:space="preserve">Safety pharmacology parameters were measured in the 5-week intravenous repeat-dose toxicity study in cynomolgus monkeys (Study </w:t>
      </w:r>
      <w:r w:rsidR="00B16187">
        <w:t>Project 13</w:t>
      </w:r>
      <w:r>
        <w:t>-TX-0002/</w:t>
      </w:r>
      <w:r w:rsidR="00B16187">
        <w:t>PROJECT 13</w:t>
      </w:r>
      <w:r>
        <w:t>-</w:t>
      </w:r>
      <w:hyperlink w:anchor="_bookmark39" w:history="1">
        <w:r>
          <w:t>018) [Section 4.3.2</w:t>
        </w:r>
      </w:hyperlink>
      <w:r>
        <w:t xml:space="preserve">]. </w:t>
      </w:r>
      <w:r w:rsidR="00B16187">
        <w:t>PROJECT 13</w:t>
      </w:r>
      <w:r>
        <w:t xml:space="preserve"> at doses of ≤ 200 mg/kg per week had no discernible effect on the assessed safety pharmacology parameters (neurological evaluation, electrocardiogram and respiratory function).</w:t>
      </w:r>
    </w:p>
    <w:p w:rsidR="009B3095" w:rsidRDefault="005A016F">
      <w:pPr>
        <w:pStyle w:val="3"/>
        <w:numPr>
          <w:ilvl w:val="2"/>
          <w:numId w:val="12"/>
        </w:numPr>
        <w:tabs>
          <w:tab w:val="left" w:pos="1004"/>
          <w:tab w:val="left" w:pos="1005"/>
        </w:tabs>
        <w:spacing w:before="121"/>
      </w:pPr>
      <w:bookmarkStart w:id="3" w:name="4.1.4_Pharmacodynamic_Drug_Interactions"/>
      <w:bookmarkStart w:id="4" w:name="_bookmark24"/>
      <w:bookmarkEnd w:id="3"/>
      <w:bookmarkEnd w:id="4"/>
      <w:r>
        <w:t>Pharmacodynamic Drug</w:t>
      </w:r>
      <w:r>
        <w:rPr>
          <w:spacing w:val="-2"/>
        </w:rPr>
        <w:t xml:space="preserve"> </w:t>
      </w:r>
      <w:r>
        <w:t>Interactions</w:t>
      </w:r>
    </w:p>
    <w:p w:rsidR="009B3095" w:rsidRDefault="005A016F">
      <w:pPr>
        <w:pStyle w:val="a3"/>
        <w:spacing w:before="139"/>
        <w:ind w:left="152"/>
      </w:pPr>
      <w:r>
        <w:t xml:space="preserve">No pharmacodynamic drug interaction studies of </w:t>
      </w:r>
      <w:r w:rsidR="00B16187">
        <w:t>PROJECT 13</w:t>
      </w:r>
      <w:r>
        <w:t xml:space="preserve"> have been conducted to date.</w:t>
      </w:r>
    </w:p>
    <w:p w:rsidR="009958C4" w:rsidRDefault="009958C4">
      <w:pPr>
        <w:pStyle w:val="a3"/>
        <w:spacing w:before="139"/>
        <w:ind w:left="152"/>
      </w:pPr>
    </w:p>
    <w:p w:rsidR="009B3095" w:rsidRDefault="005A016F" w:rsidP="00EE1098">
      <w:pPr>
        <w:pStyle w:val="2"/>
        <w:numPr>
          <w:ilvl w:val="1"/>
          <w:numId w:val="10"/>
        </w:numPr>
        <w:tabs>
          <w:tab w:val="left" w:pos="1004"/>
          <w:tab w:val="left" w:pos="1005"/>
        </w:tabs>
        <w:spacing w:before="94"/>
      </w:pPr>
      <w:bookmarkStart w:id="5" w:name="4.2_Pharmacokinetics_and_Product_Metabol"/>
      <w:bookmarkStart w:id="6" w:name="_bookmark25"/>
      <w:bookmarkStart w:id="7" w:name="4.3_Toxicology"/>
      <w:bookmarkStart w:id="8" w:name="_bookmark37"/>
      <w:bookmarkStart w:id="9" w:name="_GoBack"/>
      <w:bookmarkEnd w:id="5"/>
      <w:bookmarkEnd w:id="6"/>
      <w:bookmarkEnd w:id="7"/>
      <w:bookmarkEnd w:id="8"/>
      <w:bookmarkEnd w:id="9"/>
      <w:r>
        <w:t>Toxicology</w:t>
      </w:r>
    </w:p>
    <w:p w:rsidR="009B3095" w:rsidRDefault="00B16187">
      <w:pPr>
        <w:pStyle w:val="a3"/>
        <w:spacing w:before="140" w:line="261" w:lineRule="auto"/>
        <w:ind w:left="152" w:right="2575"/>
      </w:pPr>
      <w:r>
        <w:t>PROJECT 13</w:t>
      </w:r>
      <w:r w:rsidR="005A016F">
        <w:t xml:space="preserve"> has been assessed in 1 pivotal repeat-dose toxicity study (</w:t>
      </w:r>
      <w:r>
        <w:t>Project 13</w:t>
      </w:r>
      <w:r w:rsidR="005A016F">
        <w:t xml:space="preserve">-TX-0002/ </w:t>
      </w:r>
      <w:r>
        <w:t>PROJECT 13</w:t>
      </w:r>
      <w:r w:rsidR="005A016F">
        <w:t>-018), 1 non-GLP and 1 GLP tissue cross-reactivity study (</w:t>
      </w:r>
      <w:r>
        <w:t>Project 13</w:t>
      </w:r>
      <w:r w:rsidR="005A016F">
        <w:t>-TX-0004/</w:t>
      </w:r>
    </w:p>
    <w:p w:rsidR="009B3095" w:rsidRDefault="00B16187">
      <w:pPr>
        <w:pStyle w:val="a3"/>
        <w:spacing w:line="261" w:lineRule="auto"/>
        <w:ind w:left="152" w:right="1895"/>
      </w:pPr>
      <w:r>
        <w:t>PROJECT 13</w:t>
      </w:r>
      <w:r w:rsidR="005A016F">
        <w:t xml:space="preserve">-019 and </w:t>
      </w:r>
      <w:r>
        <w:t>Project 13</w:t>
      </w:r>
      <w:r w:rsidR="005A016F">
        <w:t>-TX-0001/</w:t>
      </w:r>
      <w:r>
        <w:t>PROJECT 13</w:t>
      </w:r>
      <w:r w:rsidR="005A016F">
        <w:t>-020, respectively) and 1 cytokine release assay (</w:t>
      </w:r>
      <w:r>
        <w:t>Project 13</w:t>
      </w:r>
      <w:r w:rsidR="005A016F">
        <w:t>-TX-0003/</w:t>
      </w:r>
      <w:r>
        <w:t>PROJECT 13</w:t>
      </w:r>
      <w:r w:rsidR="005A016F">
        <w:t>-044).</w:t>
      </w:r>
    </w:p>
    <w:p w:rsidR="009B3095" w:rsidRDefault="005A016F">
      <w:pPr>
        <w:pStyle w:val="3"/>
        <w:numPr>
          <w:ilvl w:val="2"/>
          <w:numId w:val="8"/>
        </w:numPr>
        <w:tabs>
          <w:tab w:val="left" w:pos="1004"/>
          <w:tab w:val="left" w:pos="1005"/>
        </w:tabs>
      </w:pPr>
      <w:bookmarkStart w:id="10" w:name="4.3.1_Single-dose_Toxicity"/>
      <w:bookmarkStart w:id="11" w:name="_bookmark38"/>
      <w:bookmarkEnd w:id="10"/>
      <w:bookmarkEnd w:id="11"/>
      <w:r>
        <w:t>Single-dose</w:t>
      </w:r>
      <w:r>
        <w:rPr>
          <w:spacing w:val="-2"/>
        </w:rPr>
        <w:t xml:space="preserve"> </w:t>
      </w:r>
      <w:r>
        <w:t>Toxicity</w:t>
      </w:r>
    </w:p>
    <w:p w:rsidR="009B3095" w:rsidRDefault="005A016F">
      <w:pPr>
        <w:pStyle w:val="a3"/>
        <w:spacing w:before="139" w:line="261" w:lineRule="auto"/>
        <w:ind w:left="152" w:right="1663"/>
      </w:pPr>
      <w:r>
        <w:t xml:space="preserve">No single dose toxicity study of </w:t>
      </w:r>
      <w:r w:rsidR="00B16187">
        <w:t>PROJECT 13</w:t>
      </w:r>
      <w:r>
        <w:t xml:space="preserve"> has been conducted. A single dose pharmacokinetic/pharmacodynamic study was conducted in the cynomolgus monkey with tolerability endpoints of mortality, clinical observations, body weights and clinical pathology (Study </w:t>
      </w:r>
      <w:r w:rsidR="00B16187">
        <w:t>Project 13</w:t>
      </w:r>
      <w:r>
        <w:t>-ME-9001/</w:t>
      </w:r>
      <w:r w:rsidR="00B16187">
        <w:t>PROJECT 13</w:t>
      </w:r>
      <w:r>
        <w:t>-021).</w:t>
      </w:r>
    </w:p>
    <w:p w:rsidR="009B3095" w:rsidRDefault="005A016F">
      <w:pPr>
        <w:pStyle w:val="a3"/>
        <w:spacing w:before="117" w:line="261" w:lineRule="auto"/>
        <w:ind w:left="152" w:right="1676"/>
      </w:pPr>
      <w:r>
        <w:t xml:space="preserve">In this study, male cynomolgus monkeys were given a single intravenous dose of </w:t>
      </w:r>
      <w:r w:rsidR="00B16187">
        <w:t>PROJECT 13</w:t>
      </w:r>
      <w:r>
        <w:t xml:space="preserve"> of 0.3, 3.0 and 30 mg/kg (60 min infusion). Animals were administered </w:t>
      </w:r>
      <w:r w:rsidR="00B16187">
        <w:t>PROJECT 13</w:t>
      </w:r>
      <w:r>
        <w:t xml:space="preserve"> on day 1 and observed for 42 days (1008 h). All animals in this study survived to termination. There were no drug-related effects on clinical observations, body weight or clinical pathology (clinical chemistry, hematology and urinalysis).</w:t>
      </w:r>
    </w:p>
    <w:p w:rsidR="009B3095" w:rsidRDefault="005A016F">
      <w:pPr>
        <w:pStyle w:val="3"/>
        <w:numPr>
          <w:ilvl w:val="2"/>
          <w:numId w:val="8"/>
        </w:numPr>
        <w:tabs>
          <w:tab w:val="left" w:pos="1004"/>
          <w:tab w:val="left" w:pos="1005"/>
        </w:tabs>
        <w:spacing w:before="120"/>
      </w:pPr>
      <w:bookmarkStart w:id="12" w:name="4.3.2_Repeat-dose_Toxicity"/>
      <w:bookmarkStart w:id="13" w:name="_bookmark39"/>
      <w:bookmarkEnd w:id="12"/>
      <w:bookmarkEnd w:id="13"/>
      <w:r>
        <w:t>Repeat-dose</w:t>
      </w:r>
      <w:r>
        <w:rPr>
          <w:spacing w:val="-2"/>
        </w:rPr>
        <w:t xml:space="preserve"> </w:t>
      </w:r>
      <w:r>
        <w:t>Toxicity</w:t>
      </w:r>
    </w:p>
    <w:p w:rsidR="009B3095" w:rsidRPr="00B16187" w:rsidRDefault="005A016F">
      <w:pPr>
        <w:pStyle w:val="a3"/>
        <w:spacing w:before="140"/>
        <w:ind w:left="152"/>
        <w:rPr>
          <w:highlight w:val="cyan"/>
        </w:rPr>
      </w:pPr>
      <w:r w:rsidRPr="00B16187">
        <w:rPr>
          <w:highlight w:val="cyan"/>
        </w:rPr>
        <w:t>A tabulated summary of the results of the repeat-dose toxicity study</w:t>
      </w:r>
    </w:p>
    <w:p w:rsidR="009B3095" w:rsidRPr="00B16187" w:rsidRDefault="005A016F" w:rsidP="00B16187">
      <w:pPr>
        <w:pStyle w:val="a3"/>
        <w:spacing w:before="24" w:line="261" w:lineRule="auto"/>
        <w:ind w:left="152" w:right="1676"/>
        <w:rPr>
          <w:highlight w:val="cyan"/>
        </w:rPr>
      </w:pPr>
      <w:r w:rsidRPr="00B16187">
        <w:rPr>
          <w:highlight w:val="cyan"/>
        </w:rPr>
        <w:t xml:space="preserve">(Study </w:t>
      </w:r>
      <w:r w:rsidR="00B16187" w:rsidRPr="00B16187">
        <w:rPr>
          <w:highlight w:val="cyan"/>
        </w:rPr>
        <w:t>Project 13</w:t>
      </w:r>
      <w:r w:rsidRPr="00B16187">
        <w:rPr>
          <w:highlight w:val="cyan"/>
        </w:rPr>
        <w:t>-TX-0002/</w:t>
      </w:r>
      <w:r w:rsidR="00B16187" w:rsidRPr="00B16187">
        <w:rPr>
          <w:highlight w:val="cyan"/>
        </w:rPr>
        <w:t>PROJECT 13</w:t>
      </w:r>
      <w:r w:rsidRPr="00B16187">
        <w:rPr>
          <w:highlight w:val="cyan"/>
        </w:rPr>
        <w:t xml:space="preserve">-018) is presented in [End-of-Text Table 3.2]. The safety of </w:t>
      </w:r>
      <w:r w:rsidR="00B16187" w:rsidRPr="00B16187">
        <w:rPr>
          <w:highlight w:val="cyan"/>
        </w:rPr>
        <w:t>PROJECT 13</w:t>
      </w:r>
      <w:r w:rsidRPr="00B16187">
        <w:rPr>
          <w:highlight w:val="cyan"/>
        </w:rPr>
        <w:t xml:space="preserve"> was evaluated following weekly intravenous administration (0, 50, 100 and</w:t>
      </w:r>
      <w:r w:rsidR="00B16187" w:rsidRPr="00B16187">
        <w:rPr>
          <w:highlight w:val="cyan"/>
        </w:rPr>
        <w:t xml:space="preserve"> </w:t>
      </w:r>
      <w:r w:rsidRPr="00B16187">
        <w:rPr>
          <w:highlight w:val="cyan"/>
        </w:rPr>
        <w:t>200 mg/kg) to cynomolgus monkeys (3 males and 3 females per group) for 5 weeks. The animals were sacrificed 24 hours after the last (5th) dose. In addition, 2 males and 2 females were added to the control and 200 mg/kg group to assess the reversibility of toxicity finding following a 4-week recovery period. Local irritation was also evaluated.</w:t>
      </w:r>
    </w:p>
    <w:p w:rsidR="009B3095" w:rsidRPr="00B16187" w:rsidRDefault="005A016F">
      <w:pPr>
        <w:pStyle w:val="a3"/>
        <w:spacing w:before="115" w:line="261" w:lineRule="auto"/>
        <w:ind w:left="152" w:right="1822"/>
        <w:rPr>
          <w:highlight w:val="cyan"/>
        </w:rPr>
      </w:pPr>
      <w:r w:rsidRPr="00B16187">
        <w:rPr>
          <w:highlight w:val="cyan"/>
        </w:rPr>
        <w:t>No animals died or were euthanized due to moribundity. There were no test article-related changes noted for any of the parameters measured (clinical signs, general behavior and neurobehavioral function, body weight, food consumption, ophthalmology, electrocardiography, respiration rate, urinalysis, hematology, blood chemistry, immunophenotyping, cytokine analysis, organ weights, gross pathology or histopathology).</w:t>
      </w:r>
    </w:p>
    <w:p w:rsidR="009B3095" w:rsidRPr="00B16187" w:rsidRDefault="005A016F">
      <w:pPr>
        <w:pStyle w:val="a3"/>
        <w:spacing w:before="115" w:line="259" w:lineRule="auto"/>
        <w:ind w:left="152" w:right="1676"/>
        <w:rPr>
          <w:highlight w:val="cyan"/>
        </w:rPr>
      </w:pPr>
      <w:r w:rsidRPr="00B16187">
        <w:rPr>
          <w:position w:val="2"/>
          <w:highlight w:val="cyan"/>
        </w:rPr>
        <w:t>Systemic exposure, as defined by C</w:t>
      </w:r>
      <w:r w:rsidRPr="00B16187">
        <w:rPr>
          <w:sz w:val="16"/>
          <w:highlight w:val="cyan"/>
        </w:rPr>
        <w:t xml:space="preserve">max </w:t>
      </w:r>
      <w:r w:rsidRPr="00B16187">
        <w:rPr>
          <w:position w:val="2"/>
          <w:highlight w:val="cyan"/>
        </w:rPr>
        <w:t>and AUC</w:t>
      </w:r>
      <w:r w:rsidRPr="00B16187">
        <w:rPr>
          <w:sz w:val="16"/>
          <w:highlight w:val="cyan"/>
        </w:rPr>
        <w:t>168h)</w:t>
      </w:r>
      <w:r w:rsidRPr="00B16187">
        <w:rPr>
          <w:position w:val="2"/>
          <w:highlight w:val="cyan"/>
        </w:rPr>
        <w:t xml:space="preserve">, increased with dose in a </w:t>
      </w:r>
      <w:r w:rsidRPr="00B16187">
        <w:rPr>
          <w:position w:val="2"/>
          <w:highlight w:val="cyan"/>
        </w:rPr>
        <w:lastRenderedPageBreak/>
        <w:t xml:space="preserve">dose </w:t>
      </w:r>
      <w:r w:rsidRPr="00B16187">
        <w:rPr>
          <w:highlight w:val="cyan"/>
        </w:rPr>
        <w:t xml:space="preserve">proportional manner. No striking sex differences were observed in exposure. ADA was detected in 2 female animals in the 50 mg/kg group during the dosing period. No ADA was detected in the other animals administered </w:t>
      </w:r>
      <w:r w:rsidR="00B16187" w:rsidRPr="00B16187">
        <w:rPr>
          <w:highlight w:val="cyan"/>
        </w:rPr>
        <w:t>PROJECT 13</w:t>
      </w:r>
      <w:r w:rsidRPr="00B16187">
        <w:rPr>
          <w:highlight w:val="cyan"/>
        </w:rPr>
        <w:t>.</w:t>
      </w:r>
    </w:p>
    <w:p w:rsidR="009B3095" w:rsidRDefault="005A016F">
      <w:pPr>
        <w:pStyle w:val="a3"/>
        <w:spacing w:before="143" w:line="259" w:lineRule="auto"/>
        <w:ind w:left="152" w:right="1868"/>
      </w:pPr>
      <w:r w:rsidRPr="00B16187">
        <w:rPr>
          <w:highlight w:val="cyan"/>
        </w:rPr>
        <w:t xml:space="preserve">In conclusion, weekly intravenous administration of </w:t>
      </w:r>
      <w:r w:rsidR="00B16187" w:rsidRPr="00B16187">
        <w:rPr>
          <w:highlight w:val="cyan"/>
        </w:rPr>
        <w:t>PROJECT 13</w:t>
      </w:r>
      <w:r w:rsidRPr="00B16187">
        <w:rPr>
          <w:highlight w:val="cyan"/>
        </w:rPr>
        <w:t xml:space="preserve"> over 5 weeks was well tolerated in both male and female monkeys at doses of ≤ 200 mg/kg. There were no treatment-related changes in the parameters evaluated. Based on these results, the NOAEL </w:t>
      </w:r>
      <w:r w:rsidRPr="00B16187">
        <w:rPr>
          <w:position w:val="2"/>
          <w:highlight w:val="cyan"/>
        </w:rPr>
        <w:t>was considered to be 200 mg/kg (C</w:t>
      </w:r>
      <w:r w:rsidRPr="00B16187">
        <w:rPr>
          <w:sz w:val="16"/>
          <w:highlight w:val="cyan"/>
        </w:rPr>
        <w:t xml:space="preserve">max </w:t>
      </w:r>
      <w:r w:rsidRPr="00B16187">
        <w:rPr>
          <w:position w:val="2"/>
          <w:highlight w:val="cyan"/>
        </w:rPr>
        <w:t>7365 µg/mL and AUC</w:t>
      </w:r>
      <w:r w:rsidRPr="00B16187">
        <w:rPr>
          <w:sz w:val="16"/>
          <w:highlight w:val="cyan"/>
        </w:rPr>
        <w:t xml:space="preserve">168h </w:t>
      </w:r>
      <w:r w:rsidRPr="00B16187">
        <w:rPr>
          <w:position w:val="2"/>
          <w:highlight w:val="cyan"/>
        </w:rPr>
        <w:t xml:space="preserve">786000 µg∙h/mL, sex </w:t>
      </w:r>
      <w:r w:rsidRPr="00B16187">
        <w:rPr>
          <w:highlight w:val="cyan"/>
        </w:rPr>
        <w:t>combined).</w:t>
      </w:r>
    </w:p>
    <w:p w:rsidR="009B3095" w:rsidRDefault="005A016F">
      <w:pPr>
        <w:pStyle w:val="3"/>
        <w:numPr>
          <w:ilvl w:val="2"/>
          <w:numId w:val="8"/>
        </w:numPr>
        <w:tabs>
          <w:tab w:val="left" w:pos="1004"/>
          <w:tab w:val="left" w:pos="1005"/>
        </w:tabs>
        <w:spacing w:before="132"/>
      </w:pPr>
      <w:bookmarkStart w:id="14" w:name="4.3.3_Genotoxicity"/>
      <w:bookmarkStart w:id="15" w:name="_bookmark40"/>
      <w:bookmarkEnd w:id="14"/>
      <w:bookmarkEnd w:id="15"/>
      <w:r>
        <w:t>Genotoxicity</w:t>
      </w:r>
    </w:p>
    <w:p w:rsidR="009B3095" w:rsidRDefault="005A016F">
      <w:pPr>
        <w:pStyle w:val="a3"/>
        <w:spacing w:before="139" w:line="261" w:lineRule="auto"/>
        <w:ind w:left="152" w:right="2320"/>
      </w:pPr>
      <w:r>
        <w:t>The genotoxicity studies routinely conducted for pharmaceuticals are not applicable to biotechnology-derived pharmaceuticals (ICH S6 and S9).</w:t>
      </w:r>
    </w:p>
    <w:p w:rsidR="009B3095" w:rsidRDefault="005A016F">
      <w:pPr>
        <w:pStyle w:val="3"/>
        <w:numPr>
          <w:ilvl w:val="2"/>
          <w:numId w:val="8"/>
        </w:numPr>
        <w:tabs>
          <w:tab w:val="left" w:pos="1004"/>
          <w:tab w:val="left" w:pos="1005"/>
        </w:tabs>
        <w:spacing w:before="123"/>
      </w:pPr>
      <w:bookmarkStart w:id="16" w:name="4.3.4_Carcinogenicity"/>
      <w:bookmarkStart w:id="17" w:name="_bookmark41"/>
      <w:bookmarkEnd w:id="16"/>
      <w:bookmarkEnd w:id="17"/>
      <w:r>
        <w:t>Carcinogenicity</w:t>
      </w:r>
    </w:p>
    <w:p w:rsidR="009B3095" w:rsidRDefault="005A016F">
      <w:pPr>
        <w:pStyle w:val="a3"/>
        <w:spacing w:before="140" w:line="261" w:lineRule="auto"/>
        <w:ind w:left="152" w:right="2283"/>
      </w:pPr>
      <w:r>
        <w:t xml:space="preserve">No carcinogenicity studies with </w:t>
      </w:r>
      <w:r w:rsidR="00B16187">
        <w:t>PROJECT 13</w:t>
      </w:r>
      <w:r>
        <w:t xml:space="preserve"> have been conducted and are not considered necessary for anti-cancer therapies (ICH S9).</w:t>
      </w:r>
    </w:p>
    <w:p w:rsidR="009B3095" w:rsidRDefault="005A016F">
      <w:pPr>
        <w:pStyle w:val="3"/>
        <w:numPr>
          <w:ilvl w:val="2"/>
          <w:numId w:val="8"/>
        </w:numPr>
        <w:tabs>
          <w:tab w:val="left" w:pos="1004"/>
          <w:tab w:val="left" w:pos="1005"/>
        </w:tabs>
        <w:spacing w:before="123"/>
      </w:pPr>
      <w:bookmarkStart w:id="18" w:name="4.3.5_Reproductive_and_Developmental_Tox"/>
      <w:bookmarkStart w:id="19" w:name="_bookmark42"/>
      <w:bookmarkEnd w:id="18"/>
      <w:bookmarkEnd w:id="19"/>
      <w:r>
        <w:t>Reproductive and Developmental</w:t>
      </w:r>
      <w:r>
        <w:rPr>
          <w:spacing w:val="-5"/>
        </w:rPr>
        <w:t xml:space="preserve"> </w:t>
      </w:r>
      <w:r>
        <w:t>Toxicity</w:t>
      </w:r>
    </w:p>
    <w:p w:rsidR="009B3095" w:rsidRDefault="005A016F">
      <w:pPr>
        <w:pStyle w:val="a3"/>
        <w:spacing w:before="139"/>
        <w:ind w:left="152"/>
      </w:pPr>
      <w:r>
        <w:t xml:space="preserve">No reproductive and development toxicity studies of </w:t>
      </w:r>
      <w:r w:rsidR="00B16187">
        <w:t>PROJECT 13</w:t>
      </w:r>
      <w:r>
        <w:t xml:space="preserve"> have been conducted to date.</w:t>
      </w:r>
    </w:p>
    <w:p w:rsidR="009B3095" w:rsidRDefault="005A016F">
      <w:pPr>
        <w:pStyle w:val="3"/>
        <w:numPr>
          <w:ilvl w:val="2"/>
          <w:numId w:val="8"/>
        </w:numPr>
        <w:tabs>
          <w:tab w:val="left" w:pos="1004"/>
          <w:tab w:val="left" w:pos="1005"/>
        </w:tabs>
        <w:spacing w:before="149"/>
      </w:pPr>
      <w:bookmarkStart w:id="20" w:name="4.3.6_Local_Tolerance"/>
      <w:bookmarkStart w:id="21" w:name="_bookmark43"/>
      <w:bookmarkEnd w:id="20"/>
      <w:bookmarkEnd w:id="21"/>
      <w:r>
        <w:t>Local</w:t>
      </w:r>
      <w:r>
        <w:rPr>
          <w:spacing w:val="-2"/>
        </w:rPr>
        <w:t xml:space="preserve"> </w:t>
      </w:r>
      <w:r>
        <w:t>Tolerance</w:t>
      </w:r>
    </w:p>
    <w:p w:rsidR="009B3095" w:rsidRDefault="005A016F">
      <w:pPr>
        <w:pStyle w:val="a3"/>
        <w:spacing w:before="139" w:line="261" w:lineRule="auto"/>
        <w:ind w:left="152" w:right="1610"/>
      </w:pPr>
      <w:r>
        <w:t xml:space="preserve">Local irritation was evaluated as part of the 5-week repeated intravenous dose toxicity study in cynomolgus monkeys (Study </w:t>
      </w:r>
      <w:r w:rsidR="00B16187">
        <w:t>Project 13</w:t>
      </w:r>
      <w:r>
        <w:t>-TX-0002/</w:t>
      </w:r>
      <w:r w:rsidR="00B16187">
        <w:t>PROJECT 13</w:t>
      </w:r>
      <w:r>
        <w:t>-</w:t>
      </w:r>
      <w:hyperlink w:anchor="_bookmark39" w:history="1">
        <w:r>
          <w:t>018) [Section 4.3.2</w:t>
        </w:r>
      </w:hyperlink>
      <w:r>
        <w:t>]. The gross and microscopic findings were considered incidental, as they are commonly observed in cynomolgus monkeys, following intravenous infusion.</w:t>
      </w:r>
    </w:p>
    <w:p w:rsidR="009B3095" w:rsidRDefault="005A016F">
      <w:pPr>
        <w:pStyle w:val="3"/>
        <w:numPr>
          <w:ilvl w:val="2"/>
          <w:numId w:val="8"/>
        </w:numPr>
        <w:tabs>
          <w:tab w:val="left" w:pos="1004"/>
          <w:tab w:val="left" w:pos="1005"/>
        </w:tabs>
      </w:pPr>
      <w:bookmarkStart w:id="22" w:name="4.3.7_Other_Toxicity_Studies"/>
      <w:bookmarkStart w:id="23" w:name="_bookmark44"/>
      <w:bookmarkEnd w:id="22"/>
      <w:bookmarkEnd w:id="23"/>
      <w:r>
        <w:t>Other Toxicity</w:t>
      </w:r>
      <w:r>
        <w:rPr>
          <w:spacing w:val="-7"/>
        </w:rPr>
        <w:t xml:space="preserve"> </w:t>
      </w:r>
      <w:r>
        <w:t>Studies</w:t>
      </w:r>
    </w:p>
    <w:p w:rsidR="009B3095" w:rsidRDefault="005A016F">
      <w:pPr>
        <w:pStyle w:val="3"/>
        <w:numPr>
          <w:ilvl w:val="3"/>
          <w:numId w:val="8"/>
        </w:numPr>
        <w:tabs>
          <w:tab w:val="left" w:pos="1005"/>
        </w:tabs>
        <w:spacing w:before="144"/>
      </w:pPr>
      <w:bookmarkStart w:id="24" w:name="4.3.7.1_Tissue_Cross-reactivity"/>
      <w:bookmarkStart w:id="25" w:name="_bookmark45"/>
      <w:bookmarkEnd w:id="24"/>
      <w:bookmarkEnd w:id="25"/>
      <w:r>
        <w:t>Tissue</w:t>
      </w:r>
      <w:r>
        <w:rPr>
          <w:spacing w:val="-5"/>
        </w:rPr>
        <w:t xml:space="preserve"> </w:t>
      </w:r>
      <w:r>
        <w:t>Cross-reactivity</w:t>
      </w:r>
    </w:p>
    <w:p w:rsidR="009B3095" w:rsidRDefault="005A016F">
      <w:pPr>
        <w:pStyle w:val="a3"/>
        <w:spacing w:before="139" w:line="261" w:lineRule="auto"/>
        <w:ind w:left="152" w:right="1639"/>
      </w:pPr>
      <w:r>
        <w:t xml:space="preserve">A non-GLP tissue cross-reactivity study was performed in limited monkey and human tissues (Study </w:t>
      </w:r>
      <w:r w:rsidR="00B16187">
        <w:t>Project 13</w:t>
      </w:r>
      <w:r>
        <w:t xml:space="preserve">-TX-0004/ </w:t>
      </w:r>
      <w:r w:rsidR="00B16187">
        <w:t>PROJECT 13</w:t>
      </w:r>
      <w:r>
        <w:t xml:space="preserve">-019). A GLP tissue cross-reactivity study confirmed the results of this non-GLP study (Study </w:t>
      </w:r>
      <w:r w:rsidR="00B16187">
        <w:t>Project 13</w:t>
      </w:r>
      <w:r>
        <w:t>-TX-0001/</w:t>
      </w:r>
      <w:r w:rsidR="00B16187">
        <w:t>PROJECT 13</w:t>
      </w:r>
      <w:r>
        <w:t xml:space="preserve">-020).  </w:t>
      </w:r>
      <w:r w:rsidR="00B16187">
        <w:t>PROJECT 13</w:t>
      </w:r>
      <w:r>
        <w:t xml:space="preserve"> was applied to cryosections of 36 different normal human tissues (3 donors per tissue, where available) and cynomolgus monkey tissues (2 donors per tissue) at 2 concentrations (2 and 0.5 µg/mL). In addition, the test article was substituted with an isotype control (monoclonal human IgG4 with hinge stabilizing mutation). Other controls were produced </w:t>
      </w:r>
      <w:r>
        <w:rPr>
          <w:spacing w:val="2"/>
        </w:rPr>
        <w:t xml:space="preserve">by </w:t>
      </w:r>
      <w:r>
        <w:t>omission of the test or control articles from the assay (assay</w:t>
      </w:r>
      <w:r>
        <w:rPr>
          <w:spacing w:val="-12"/>
        </w:rPr>
        <w:t xml:space="preserve"> </w:t>
      </w:r>
      <w:r>
        <w:t>control).</w:t>
      </w:r>
    </w:p>
    <w:p w:rsidR="009B3095" w:rsidRDefault="00B16187">
      <w:pPr>
        <w:pStyle w:val="a3"/>
        <w:spacing w:before="113" w:line="261" w:lineRule="auto"/>
        <w:ind w:left="152" w:right="1663"/>
      </w:pPr>
      <w:r>
        <w:t>PROJECT 13</w:t>
      </w:r>
      <w:r w:rsidR="005A016F">
        <w:t xml:space="preserve"> stained the membrane and cytoplasm of mononuclear cells in human and cynomolgus monkey lymphoid tissues and select nonlymphoid tissues. This staining represented expected reactivity of the test article as TIGIT is reported to be expressed by mononuclear cell types, such as T cells and NK cells [Johnston et al, 2014; Levin et al, 2011; Stanietsky et al, 2009; Yu et al, 2009].</w:t>
      </w:r>
    </w:p>
    <w:p w:rsidR="009B3095" w:rsidRDefault="00B16187">
      <w:pPr>
        <w:pStyle w:val="a3"/>
        <w:spacing w:before="116" w:line="261" w:lineRule="auto"/>
        <w:ind w:left="152" w:right="1723"/>
      </w:pPr>
      <w:r>
        <w:t>PROJECT 13</w:t>
      </w:r>
      <w:r w:rsidR="005A016F">
        <w:t xml:space="preserve"> also produced cytoplasmic staining of select epithelia, retinal cells in the eye, glial cell processes in the brain, ovarian granulosa cells, and testicular interstitial cells in human tissues, as well as renal tubular epithelium </w:t>
      </w:r>
      <w:r w:rsidR="005A016F">
        <w:lastRenderedPageBreak/>
        <w:t xml:space="preserve">and ovarian theca cells in cynomolgus monkey tissues. No literature describing the expression of TIGIT by the other cell types stained with </w:t>
      </w:r>
      <w:r>
        <w:t>PROJECT 13</w:t>
      </w:r>
      <w:r w:rsidR="005A016F">
        <w:t xml:space="preserve"> in the current study was found; thus, the staining of these tissue elements might</w:t>
      </w:r>
    </w:p>
    <w:p w:rsidR="009B3095" w:rsidRDefault="005A016F">
      <w:pPr>
        <w:pStyle w:val="a3"/>
        <w:spacing w:before="143" w:line="261" w:lineRule="auto"/>
        <w:ind w:left="152" w:right="2080"/>
      </w:pPr>
      <w:r>
        <w:t>represent either previously unreported sites of TIGIT expression or unexpected tissue cross-reactivity of the test article. However, this unexpected staining was cytoplasmic in</w:t>
      </w:r>
    </w:p>
    <w:p w:rsidR="009B3095" w:rsidRDefault="005A016F">
      <w:pPr>
        <w:pStyle w:val="a3"/>
        <w:spacing w:line="261" w:lineRule="auto"/>
        <w:ind w:left="152" w:right="1689"/>
      </w:pPr>
      <w:r>
        <w:t xml:space="preserve">nature and monoclonal antibody binding to cytoplasmic sites generally is considered of little to no toxicologic significance [Hall et al, 2008; Leach et al, 2010]. Tissue cross-reactivity showed comparable tissue distribution of </w:t>
      </w:r>
      <w:r w:rsidR="00B16187">
        <w:t>PROJECT 13</w:t>
      </w:r>
      <w:r>
        <w:t xml:space="preserve"> in both humans and cynomolgus monkeys supporting the position that the cynomolgus monkey is a relevant species for use in safety assessments, and suggesting the potential for off target binding is low.</w:t>
      </w:r>
    </w:p>
    <w:p w:rsidR="009B3095" w:rsidRDefault="005A016F">
      <w:pPr>
        <w:pStyle w:val="3"/>
        <w:numPr>
          <w:ilvl w:val="3"/>
          <w:numId w:val="8"/>
        </w:numPr>
        <w:tabs>
          <w:tab w:val="left" w:pos="1005"/>
        </w:tabs>
        <w:spacing w:before="119"/>
      </w:pPr>
      <w:bookmarkStart w:id="26" w:name="4.3.7.2_Cytokine_Release_and_Proliferati"/>
      <w:bookmarkStart w:id="27" w:name="_bookmark46"/>
      <w:bookmarkEnd w:id="26"/>
      <w:bookmarkEnd w:id="27"/>
      <w:r>
        <w:t>Cytokine Release and</w:t>
      </w:r>
      <w:r>
        <w:rPr>
          <w:spacing w:val="-2"/>
        </w:rPr>
        <w:t xml:space="preserve"> </w:t>
      </w:r>
      <w:r>
        <w:t>Proliferation</w:t>
      </w:r>
    </w:p>
    <w:p w:rsidR="009B3095" w:rsidRDefault="005A016F">
      <w:pPr>
        <w:pStyle w:val="a3"/>
        <w:spacing w:before="140" w:line="261" w:lineRule="auto"/>
        <w:ind w:left="152" w:right="1676"/>
      </w:pPr>
      <w:r>
        <w:t xml:space="preserve">The in vitro effects of </w:t>
      </w:r>
      <w:r w:rsidR="00B16187">
        <w:t>PROJECT 13</w:t>
      </w:r>
      <w:r>
        <w:t xml:space="preserve"> on human PBMC cytokine release and proliferation was assessed in soluble and wet-coated immobilized assay formats following a 46 ± 2 h period (Study </w:t>
      </w:r>
      <w:r w:rsidR="00B16187">
        <w:t>Project 13</w:t>
      </w:r>
      <w:r>
        <w:t>-TX-0003/</w:t>
      </w:r>
      <w:r w:rsidR="00B16187">
        <w:t>PROJECT 13</w:t>
      </w:r>
      <w:r>
        <w:t xml:space="preserve">-044). Samples from 10 healthy human donors were collected. Four concentrations of </w:t>
      </w:r>
      <w:r w:rsidR="00B16187">
        <w:t>PROJECT 13</w:t>
      </w:r>
      <w:r>
        <w:t xml:space="preserve"> were used for the human PBMC cytokine release and proliferation assays. Note that the 4 </w:t>
      </w:r>
      <w:r w:rsidR="00B16187">
        <w:t>PROJECT 13</w:t>
      </w:r>
      <w:r>
        <w:t xml:space="preserve"> concentrations tested were equivalent in terms of µg/well, between the soluble (0.3, 3.0, 30, and 300 µg/mL) and the wet-coated immobilized (0.06, 0.6, 6.0, and 60 µg/well) stimulation assay formats. For each assay, a negative control, an isotype control, and an anti-human CD3 positive control (and phytohemagglutinin for soluble format) were included.</w:t>
      </w:r>
    </w:p>
    <w:p w:rsidR="009B3095" w:rsidRDefault="005A016F">
      <w:pPr>
        <w:pStyle w:val="a3"/>
        <w:spacing w:before="112" w:line="261" w:lineRule="auto"/>
        <w:ind w:left="152" w:right="2088"/>
      </w:pPr>
      <w:r>
        <w:t>Cytokine levels were measured using a Luminex multiplex method for IL-1β, IL-2, IL-6, IL-10, IL-12(p70), IFNγ, TNFα and G-CSF and a singleplex method for IL-8.</w:t>
      </w:r>
    </w:p>
    <w:p w:rsidR="009B3095" w:rsidRDefault="005A016F">
      <w:pPr>
        <w:pStyle w:val="a3"/>
        <w:spacing w:before="119" w:line="261" w:lineRule="auto"/>
        <w:ind w:left="152" w:right="2171"/>
      </w:pPr>
      <w:r>
        <w:t xml:space="preserve">In summary, in vitro stimulation of human PBMCs with </w:t>
      </w:r>
      <w:r w:rsidR="00B16187">
        <w:t>PROJECT 13</w:t>
      </w:r>
      <w:r>
        <w:t xml:space="preserve"> in the soluble format (0.3, 3.0, 30 and 300 µg/mL) and the wet-coated immobilized format (0.06, 0.6, 6.0 and</w:t>
      </w:r>
    </w:p>
    <w:p w:rsidR="009B3095" w:rsidRDefault="005A016F">
      <w:pPr>
        <w:pStyle w:val="a3"/>
        <w:spacing w:line="274" w:lineRule="exact"/>
        <w:ind w:left="152"/>
      </w:pPr>
      <w:r>
        <w:t>60 µg/well) did not induce the secretion of IL-1β, IL-2, IL-10, IL-12(p70), IFNγ or G-CSF.</w:t>
      </w:r>
    </w:p>
    <w:p w:rsidR="009B3095" w:rsidRDefault="005A016F">
      <w:pPr>
        <w:pStyle w:val="a3"/>
        <w:spacing w:before="144" w:line="261" w:lineRule="auto"/>
        <w:ind w:left="152" w:right="1596"/>
      </w:pPr>
      <w:r>
        <w:t xml:space="preserve">Stimulation with </w:t>
      </w:r>
      <w:r w:rsidR="00B16187">
        <w:t>PROJECT 13</w:t>
      </w:r>
      <w:r>
        <w:t xml:space="preserve"> at 30 and 300 µg/mL in the soluble format resulted in some increases in IL-6, IL-8 and TNFα (1.1- to 6.3-fold compared to negative and isotype control), while stimulation at 6.0 and 60 µg/well resulted in an increase in TNFα levels in the</w:t>
      </w:r>
    </w:p>
    <w:p w:rsidR="009B3095" w:rsidRDefault="005A016F">
      <w:pPr>
        <w:pStyle w:val="a3"/>
        <w:spacing w:line="261" w:lineRule="auto"/>
        <w:ind w:left="152" w:right="2106"/>
      </w:pPr>
      <w:r>
        <w:t xml:space="preserve">wet-coated format. These changes were not dose-dependent. The assay positive control (anti-CD3 antibody, 10 µg/mL) resulted in increases of &gt; 21-fold for the aforementioned 3 cytokines demonstrating that the PBMCs used in the assay had the potential to release much higher levels of cytokines, when strongly stimulated, than the levels of cytokine released after treatment with </w:t>
      </w:r>
      <w:r w:rsidR="00B16187">
        <w:t>PROJECT 13</w:t>
      </w:r>
      <w:r>
        <w:t>.</w:t>
      </w:r>
    </w:p>
    <w:p w:rsidR="009B3095" w:rsidRDefault="005A016F">
      <w:pPr>
        <w:pStyle w:val="a3"/>
        <w:spacing w:before="113" w:line="261" w:lineRule="auto"/>
        <w:ind w:left="152" w:right="1874"/>
        <w:jc w:val="both"/>
      </w:pPr>
      <w:r>
        <w:t xml:space="preserve">In vitro stimulation of human PBMCs for 3 days with </w:t>
      </w:r>
      <w:r w:rsidR="00B16187">
        <w:t>PROJECT 13</w:t>
      </w:r>
      <w:r>
        <w:t xml:space="preserve"> in soluble format (0.3, 3.0, 30 and 300 µg/mL) and in wet-coated format (0.06, 0.6, 6.0 and 60 µg/well) did not induce proliferation in any of the 10 donors tested.</w:t>
      </w:r>
    </w:p>
    <w:p w:rsidR="005A016F" w:rsidRDefault="005A016F">
      <w:pPr>
        <w:pStyle w:val="a3"/>
        <w:spacing w:before="113" w:line="261" w:lineRule="auto"/>
        <w:ind w:left="152" w:right="1874"/>
        <w:jc w:val="both"/>
      </w:pPr>
    </w:p>
    <w:p w:rsidR="009B3095" w:rsidRDefault="005A016F">
      <w:pPr>
        <w:pStyle w:val="2"/>
        <w:numPr>
          <w:ilvl w:val="1"/>
          <w:numId w:val="7"/>
        </w:numPr>
        <w:tabs>
          <w:tab w:val="left" w:pos="1004"/>
          <w:tab w:val="left" w:pos="1005"/>
        </w:tabs>
        <w:spacing w:before="97"/>
        <w:ind w:right="1696"/>
      </w:pPr>
      <w:bookmarkStart w:id="28" w:name="4.4_Integrated_Nonclinical_Overview_and_"/>
      <w:bookmarkStart w:id="29" w:name="_bookmark47"/>
      <w:bookmarkEnd w:id="28"/>
      <w:bookmarkEnd w:id="29"/>
      <w:r>
        <w:lastRenderedPageBreak/>
        <w:t>Integrated Nonclinical Overview and Conclusion: Potential Clinical Relevance</w:t>
      </w:r>
    </w:p>
    <w:p w:rsidR="009B3095" w:rsidRDefault="005A016F">
      <w:pPr>
        <w:pStyle w:val="3"/>
        <w:numPr>
          <w:ilvl w:val="2"/>
          <w:numId w:val="7"/>
        </w:numPr>
        <w:tabs>
          <w:tab w:val="left" w:pos="1004"/>
          <w:tab w:val="left" w:pos="1005"/>
        </w:tabs>
        <w:spacing w:before="145"/>
      </w:pPr>
      <w:bookmarkStart w:id="30" w:name="4.4.1_Rationale_for_Species_Selection"/>
      <w:bookmarkStart w:id="31" w:name="_bookmark48"/>
      <w:bookmarkEnd w:id="30"/>
      <w:bookmarkEnd w:id="31"/>
      <w:r>
        <w:t>Rationale for Species</w:t>
      </w:r>
      <w:r>
        <w:rPr>
          <w:spacing w:val="-4"/>
        </w:rPr>
        <w:t xml:space="preserve"> </w:t>
      </w:r>
      <w:r>
        <w:t>Selection</w:t>
      </w:r>
    </w:p>
    <w:p w:rsidR="009B3095" w:rsidRDefault="005A016F">
      <w:pPr>
        <w:pStyle w:val="a3"/>
        <w:spacing w:before="139" w:line="261" w:lineRule="auto"/>
        <w:ind w:left="152" w:right="1676"/>
      </w:pPr>
      <w:r>
        <w:t xml:space="preserve">Binding studies were conducted to assess if </w:t>
      </w:r>
      <w:r w:rsidR="00B16187">
        <w:t>PROJECT 13</w:t>
      </w:r>
      <w:r>
        <w:t xml:space="preserve"> recognizes rodent andcynomolgus monkey TIGIT in order to determine the appropriate species for safety studies. Results of these studies indicate that there is low binding of </w:t>
      </w:r>
      <w:r w:rsidR="00B16187">
        <w:t>PROJECT 13</w:t>
      </w:r>
      <w:r>
        <w:t xml:space="preserve"> to mouse TIGIT in vitro and no</w:t>
      </w:r>
    </w:p>
    <w:p w:rsidR="009B3095" w:rsidRDefault="005A016F">
      <w:pPr>
        <w:pStyle w:val="a3"/>
        <w:spacing w:before="143" w:line="261" w:lineRule="auto"/>
        <w:ind w:left="152" w:right="1895"/>
      </w:pPr>
      <w:r>
        <w:t xml:space="preserve">binding to rat TIGIT, while binding to cynomolgus monkey TIGIT was similar to that of human TIGIT. Therefore, cynomolgus monkey was chosen as the appropriate species for safety evaluation of </w:t>
      </w:r>
      <w:r w:rsidR="00B16187">
        <w:t>PROJECT 13</w:t>
      </w:r>
      <w:r>
        <w:t>.</w:t>
      </w:r>
    </w:p>
    <w:p w:rsidR="009B3095" w:rsidRDefault="005A016F">
      <w:pPr>
        <w:pStyle w:val="3"/>
        <w:numPr>
          <w:ilvl w:val="2"/>
          <w:numId w:val="7"/>
        </w:numPr>
        <w:tabs>
          <w:tab w:val="left" w:pos="1004"/>
          <w:tab w:val="left" w:pos="1005"/>
        </w:tabs>
        <w:spacing w:before="123"/>
      </w:pPr>
      <w:bookmarkStart w:id="32" w:name="4.4.2_Summary_of_Nonclinical_Data_Packag"/>
      <w:bookmarkStart w:id="33" w:name="_bookmark49"/>
      <w:bookmarkEnd w:id="32"/>
      <w:bookmarkEnd w:id="33"/>
      <w:r>
        <w:t>Summary of Nonclinical Data</w:t>
      </w:r>
      <w:r>
        <w:rPr>
          <w:spacing w:val="-5"/>
        </w:rPr>
        <w:t xml:space="preserve"> </w:t>
      </w:r>
      <w:r>
        <w:t>Package</w:t>
      </w:r>
    </w:p>
    <w:p w:rsidR="009B3095" w:rsidRDefault="005A016F">
      <w:pPr>
        <w:spacing w:before="139"/>
        <w:ind w:left="152"/>
        <w:rPr>
          <w:i/>
          <w:sz w:val="24"/>
        </w:rPr>
      </w:pPr>
      <w:r>
        <w:rPr>
          <w:i/>
          <w:sz w:val="24"/>
        </w:rPr>
        <w:t>Pharmacology</w:t>
      </w:r>
    </w:p>
    <w:p w:rsidR="009B3095" w:rsidRDefault="00B16187">
      <w:pPr>
        <w:pStyle w:val="a3"/>
        <w:spacing w:before="144" w:line="261" w:lineRule="auto"/>
        <w:ind w:left="152" w:right="1755"/>
      </w:pPr>
      <w:r>
        <w:t>PROJECT 13</w:t>
      </w:r>
      <w:r w:rsidR="005A016F">
        <w:t xml:space="preserve"> is a fully human monoclonal IgG4 antibody that binds to TIGIT with high affinity to block interaction with its ligands. </w:t>
      </w:r>
      <w:r>
        <w:t>PROJECT 13</w:t>
      </w:r>
      <w:r w:rsidR="005A016F">
        <w:t xml:space="preserve"> contains the S228P hinge modification to ablate IgG4 arm exchange and is expressed and purified from Chinese hamster ovary cells.</w:t>
      </w:r>
    </w:p>
    <w:p w:rsidR="009B3095" w:rsidRDefault="00B16187">
      <w:pPr>
        <w:pStyle w:val="a3"/>
        <w:spacing w:before="117" w:line="256" w:lineRule="auto"/>
        <w:ind w:left="152" w:right="2029"/>
      </w:pPr>
      <w:r>
        <w:t>PROJECT 13</w:t>
      </w:r>
      <w:r w:rsidR="005A016F">
        <w:t xml:space="preserve"> has a high affinity for recombinant human and cynomolgus monkey TIGIT. </w:t>
      </w:r>
      <w:r>
        <w:t>PROJECT 13</w:t>
      </w:r>
      <w:r w:rsidR="005A016F">
        <w:t xml:space="preserve"> induced IL-2 production in human TIGIT Jurkat/anti-CD3 antibody HT-1080 co-culture assay. </w:t>
      </w:r>
      <w:r>
        <w:t>PROJECT 13</w:t>
      </w:r>
      <w:r w:rsidR="005A016F">
        <w:t xml:space="preserve"> also increased IFN-γ production in sub-optimally stimulated PBMCs as well as in CD4</w:t>
      </w:r>
      <w:r w:rsidR="005A016F">
        <w:rPr>
          <w:position w:val="9"/>
          <w:sz w:val="16"/>
        </w:rPr>
        <w:t xml:space="preserve">+ </w:t>
      </w:r>
      <w:r w:rsidR="005A016F">
        <w:t xml:space="preserve">T cells isolated from human PBMCs. </w:t>
      </w:r>
      <w:r>
        <w:t>PROJECT 13</w:t>
      </w:r>
      <w:r w:rsidR="005A016F">
        <w:t xml:space="preserve"> enhanced the increase in IL-2, IFN-γ and TNF in a CMV-specific T cell recall response assay. The</w:t>
      </w:r>
    </w:p>
    <w:p w:rsidR="009B3095" w:rsidRDefault="005A016F">
      <w:pPr>
        <w:pStyle w:val="a3"/>
        <w:spacing w:before="9" w:line="261" w:lineRule="auto"/>
        <w:ind w:left="152" w:right="1636"/>
      </w:pPr>
      <w:r>
        <w:t xml:space="preserve">combination of </w:t>
      </w:r>
      <w:r w:rsidR="00B16187">
        <w:t>PROJECT 13</w:t>
      </w:r>
      <w:r>
        <w:t xml:space="preserve"> with an anti-PD-1 antibody enhanced the TNF induction observed with either </w:t>
      </w:r>
      <w:r w:rsidR="00B16187">
        <w:t>PROJECT 13</w:t>
      </w:r>
      <w:r>
        <w:t xml:space="preserve"> or anti-PD-1 antibody alone. A surrogate anti-TIGIT antibody (SEC1) demonstrated anti-tumor activity in 2 syngeneic mouse tumor models, either as a single agent or in combination with an anti-PD-1 antibody.</w:t>
      </w:r>
    </w:p>
    <w:p w:rsidR="009B3095" w:rsidRDefault="005A016F">
      <w:pPr>
        <w:spacing w:before="116"/>
        <w:ind w:left="152"/>
        <w:rPr>
          <w:i/>
          <w:sz w:val="24"/>
        </w:rPr>
      </w:pPr>
      <w:r>
        <w:rPr>
          <w:i/>
          <w:sz w:val="24"/>
        </w:rPr>
        <w:t>Pharmacokinetics</w:t>
      </w:r>
    </w:p>
    <w:p w:rsidR="009B3095" w:rsidRDefault="00B16187">
      <w:pPr>
        <w:pStyle w:val="a3"/>
        <w:spacing w:before="144" w:line="259" w:lineRule="auto"/>
        <w:ind w:left="152" w:right="1676"/>
      </w:pPr>
      <w:r>
        <w:t>PROJECT 13</w:t>
      </w:r>
      <w:r w:rsidR="005A016F">
        <w:t xml:space="preserve"> exhibited non-linear behavior after single-doses of 0.3 to 30 mg/kg, while exhibiting approximately linear behavior after repeat-doses of 50 to 200 mg/kg. The mean </w:t>
      </w:r>
      <w:r w:rsidR="005A016F">
        <w:rPr>
          <w:position w:val="2"/>
        </w:rPr>
        <w:t>serum t</w:t>
      </w:r>
      <w:r w:rsidR="005A016F">
        <w:rPr>
          <w:sz w:val="16"/>
        </w:rPr>
        <w:t xml:space="preserve">1/2 </w:t>
      </w:r>
      <w:r w:rsidR="005A016F">
        <w:rPr>
          <w:position w:val="2"/>
        </w:rPr>
        <w:t xml:space="preserve">in the recovery period after repeated-dosing at 200 mg/kg was 343 h. No striking </w:t>
      </w:r>
      <w:r w:rsidR="005A016F">
        <w:t xml:space="preserve">sex differences were observed in exposure. The exposure of </w:t>
      </w:r>
      <w:r>
        <w:t>PROJECT 13</w:t>
      </w:r>
      <w:r w:rsidR="005A016F">
        <w:t xml:space="preserve"> on day 22 and day 29 (in the recovery period) was higher when compared to day 1.</w:t>
      </w:r>
    </w:p>
    <w:p w:rsidR="009B3095" w:rsidRDefault="005A016F">
      <w:pPr>
        <w:spacing w:before="127"/>
        <w:ind w:left="152"/>
        <w:rPr>
          <w:i/>
          <w:sz w:val="24"/>
        </w:rPr>
      </w:pPr>
      <w:r>
        <w:rPr>
          <w:i/>
          <w:sz w:val="24"/>
        </w:rPr>
        <w:t>Toxicology</w:t>
      </w:r>
    </w:p>
    <w:p w:rsidR="009B3095" w:rsidRDefault="00B16187">
      <w:pPr>
        <w:pStyle w:val="a3"/>
        <w:spacing w:before="144" w:line="261" w:lineRule="auto"/>
        <w:ind w:left="152" w:right="1750"/>
      </w:pPr>
      <w:r>
        <w:t>PROJECT 13</w:t>
      </w:r>
      <w:r w:rsidR="005A016F">
        <w:t xml:space="preserve"> at a dose of ≤ 200 mg/kg, which is at least 34.4-fold higher than the projected human exposure at the predicted clinically efficacious dose for in cynomolgus monkeys, did not result in any discernible toxicity.</w:t>
      </w:r>
    </w:p>
    <w:p w:rsidR="009B3095" w:rsidRDefault="005A016F">
      <w:pPr>
        <w:pStyle w:val="a3"/>
        <w:spacing w:before="118" w:line="261" w:lineRule="auto"/>
        <w:ind w:left="152" w:right="1737"/>
      </w:pPr>
      <w:r>
        <w:t xml:space="preserve">Human PBMCs stimulated in vitro at clinically relevant concentrations of </w:t>
      </w:r>
      <w:r w:rsidR="00B16187">
        <w:t>PROJECT 13</w:t>
      </w:r>
      <w:r>
        <w:t xml:space="preserve"> showed increases in IL-6, IL-8 and TNFα compared to negative and isotype controls in unstimulated human PBMCs in vitro at 30 and 300 μg/mL; these increases were not dose-dependent and were of lower magnitude than that observed with the positive control (1.1- to 6.3-fold vs</w:t>
      </w:r>
    </w:p>
    <w:p w:rsidR="009B3095" w:rsidRDefault="005A016F">
      <w:pPr>
        <w:pStyle w:val="a3"/>
        <w:spacing w:line="273" w:lineRule="exact"/>
        <w:ind w:left="152"/>
      </w:pPr>
      <w:r>
        <w:t xml:space="preserve">&gt; 21-fold). Data in the literature, as well as internal data (Study </w:t>
      </w:r>
      <w:r w:rsidR="00B16187">
        <w:t>Project 13</w:t>
      </w:r>
      <w:r>
        <w:t>-PH-9004/</w:t>
      </w:r>
    </w:p>
    <w:p w:rsidR="009B3095" w:rsidRDefault="00B16187">
      <w:pPr>
        <w:pStyle w:val="a3"/>
        <w:spacing w:before="24" w:line="261" w:lineRule="auto"/>
        <w:ind w:left="152" w:right="1637"/>
      </w:pPr>
      <w:r>
        <w:t>PROJECT 13</w:t>
      </w:r>
      <w:r w:rsidR="005A016F">
        <w:t xml:space="preserve">-005) suggest TIGIT antagonism can result in increases in some </w:t>
      </w:r>
      <w:r w:rsidR="005A016F">
        <w:lastRenderedPageBreak/>
        <w:t>cytokines, although in general these effects are weak in the absence of TCR activation, consistent with its function as a coinhibitory checkpoint molecule. Since the ability to define the clinical risk of cytokine release syndrome (CRS) from in vitro cytokine release assays is limited [Finco et al, 2014], it cannot be ruled out that the observed increases may reflect the possibility for cytokine release, and cytokine release syndrome should be considered a potential risk as it is for any monoclonal antibody [Bugelski et al, 2009].</w:t>
      </w:r>
    </w:p>
    <w:p w:rsidR="009B3095" w:rsidRDefault="005A016F">
      <w:pPr>
        <w:pStyle w:val="a3"/>
        <w:spacing w:before="143" w:line="261" w:lineRule="auto"/>
        <w:ind w:left="152" w:right="2590"/>
      </w:pPr>
      <w:r>
        <w:t xml:space="preserve">In conclusion, the nonclinical pharmacology studies and safety package support the investigation of </w:t>
      </w:r>
      <w:r w:rsidR="00B16187">
        <w:t>PROJECT 13</w:t>
      </w:r>
      <w:r>
        <w:t xml:space="preserve"> in patients with advanced malignancies.</w:t>
      </w:r>
    </w:p>
    <w:p w:rsidR="009B3095" w:rsidRDefault="005A016F">
      <w:pPr>
        <w:pStyle w:val="3"/>
        <w:numPr>
          <w:ilvl w:val="2"/>
          <w:numId w:val="7"/>
        </w:numPr>
        <w:tabs>
          <w:tab w:val="left" w:pos="1004"/>
          <w:tab w:val="left" w:pos="1005"/>
        </w:tabs>
        <w:spacing w:before="123"/>
      </w:pPr>
      <w:bookmarkStart w:id="34" w:name="4.4.3_Exposure_Ratios_of_ASP8374_Based_o"/>
      <w:bookmarkStart w:id="35" w:name="_bookmark50"/>
      <w:bookmarkEnd w:id="34"/>
      <w:bookmarkEnd w:id="35"/>
      <w:r>
        <w:t xml:space="preserve">Exposure Ratios of </w:t>
      </w:r>
      <w:r w:rsidR="00B16187">
        <w:t>PROJECT 13</w:t>
      </w:r>
      <w:r>
        <w:t xml:space="preserve"> Based on Cynomolgus</w:t>
      </w:r>
      <w:r>
        <w:rPr>
          <w:spacing w:val="-3"/>
        </w:rPr>
        <w:t xml:space="preserve"> </w:t>
      </w:r>
      <w:r>
        <w:t>Monkeys</w:t>
      </w:r>
    </w:p>
    <w:p w:rsidR="009B3095" w:rsidRDefault="005A016F">
      <w:pPr>
        <w:pStyle w:val="a3"/>
        <w:spacing w:before="139" w:line="259" w:lineRule="auto"/>
        <w:ind w:left="152" w:right="1676"/>
      </w:pPr>
      <w:r>
        <w:rPr>
          <w:position w:val="2"/>
        </w:rPr>
        <w:t>The mean C</w:t>
      </w:r>
      <w:r>
        <w:rPr>
          <w:sz w:val="16"/>
        </w:rPr>
        <w:t xml:space="preserve">max </w:t>
      </w:r>
      <w:r>
        <w:rPr>
          <w:position w:val="2"/>
        </w:rPr>
        <w:t xml:space="preserve">and AUC following the first and last dose and exposure ratio to the projected </w:t>
      </w:r>
      <w:r>
        <w:t>human exposure are shown in [</w:t>
      </w:r>
      <w:hyperlink w:anchor="_bookmark51" w:history="1">
        <w:r>
          <w:t>Table 6</w:t>
        </w:r>
      </w:hyperlink>
      <w:r>
        <w:t>].</w:t>
      </w:r>
    </w:p>
    <w:p w:rsidR="009B3095" w:rsidRDefault="005A016F">
      <w:pPr>
        <w:pStyle w:val="3"/>
        <w:tabs>
          <w:tab w:val="left" w:pos="1571"/>
        </w:tabs>
        <w:spacing w:before="100"/>
        <w:ind w:left="1571" w:right="2271" w:hanging="1419"/>
      </w:pPr>
      <w:bookmarkStart w:id="36" w:name="_bookmark51"/>
      <w:bookmarkEnd w:id="36"/>
      <w:r>
        <w:rPr>
          <w:position w:val="1"/>
        </w:rPr>
        <w:t>Table</w:t>
      </w:r>
      <w:r>
        <w:rPr>
          <w:spacing w:val="-1"/>
          <w:position w:val="1"/>
        </w:rPr>
        <w:t xml:space="preserve"> </w:t>
      </w:r>
      <w:r>
        <w:rPr>
          <w:position w:val="1"/>
        </w:rPr>
        <w:t>6</w:t>
      </w:r>
      <w:r>
        <w:rPr>
          <w:position w:val="1"/>
        </w:rPr>
        <w:tab/>
        <w:t>Exposure Ratios Based on Animal C</w:t>
      </w:r>
      <w:r>
        <w:rPr>
          <w:sz w:val="16"/>
        </w:rPr>
        <w:t>max</w:t>
      </w:r>
      <w:r>
        <w:rPr>
          <w:position w:val="1"/>
        </w:rPr>
        <w:t>/AUC and Predicted Human C</w:t>
      </w:r>
      <w:r>
        <w:rPr>
          <w:sz w:val="16"/>
        </w:rPr>
        <w:t>max</w:t>
      </w:r>
      <w:r>
        <w:rPr>
          <w:position w:val="1"/>
        </w:rPr>
        <w:t>/AUC of</w:t>
      </w:r>
      <w:r>
        <w:rPr>
          <w:spacing w:val="-3"/>
          <w:position w:val="1"/>
        </w:rPr>
        <w:t xml:space="preserve"> </w:t>
      </w:r>
      <w:r w:rsidR="00B16187">
        <w:rPr>
          <w:position w:val="1"/>
        </w:rPr>
        <w:t>PROJECT 13</w:t>
      </w:r>
    </w:p>
    <w:p w:rsidR="009B3095" w:rsidRDefault="009B3095">
      <w:pPr>
        <w:pStyle w:val="a3"/>
        <w:spacing w:before="6"/>
        <w:rPr>
          <w:b/>
          <w:sz w:val="5"/>
        </w:rPr>
      </w:pPr>
    </w:p>
    <w:tbl>
      <w:tblPr>
        <w:tblStyle w:val="TableNormal"/>
        <w:tblW w:w="0" w:type="auto"/>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3"/>
        <w:gridCol w:w="938"/>
        <w:gridCol w:w="883"/>
        <w:gridCol w:w="708"/>
        <w:gridCol w:w="727"/>
        <w:gridCol w:w="629"/>
        <w:gridCol w:w="617"/>
        <w:gridCol w:w="816"/>
        <w:gridCol w:w="842"/>
        <w:gridCol w:w="628"/>
        <w:gridCol w:w="606"/>
      </w:tblGrid>
      <w:tr w:rsidR="009B3095">
        <w:trPr>
          <w:trHeight w:val="309"/>
        </w:trPr>
        <w:tc>
          <w:tcPr>
            <w:tcW w:w="1603" w:type="dxa"/>
            <w:vMerge w:val="restart"/>
            <w:tcBorders>
              <w:bottom w:val="single" w:sz="2" w:space="0" w:color="000000"/>
              <w:right w:val="single" w:sz="2" w:space="0" w:color="000000"/>
            </w:tcBorders>
          </w:tcPr>
          <w:p w:rsidR="009B3095" w:rsidRDefault="009B3095">
            <w:pPr>
              <w:pStyle w:val="TableParagraph"/>
              <w:spacing w:before="8"/>
              <w:jc w:val="left"/>
              <w:rPr>
                <w:b/>
                <w:sz w:val="30"/>
              </w:rPr>
            </w:pPr>
          </w:p>
          <w:p w:rsidR="009B3095" w:rsidRDefault="005A016F">
            <w:pPr>
              <w:pStyle w:val="TableParagraph"/>
              <w:spacing w:before="0"/>
              <w:ind w:left="311" w:right="281" w:hanging="3"/>
              <w:jc w:val="left"/>
              <w:rPr>
                <w:b/>
                <w:sz w:val="20"/>
              </w:rPr>
            </w:pPr>
            <w:r>
              <w:rPr>
                <w:b/>
                <w:sz w:val="20"/>
              </w:rPr>
              <w:t>Study Type (Study No.)</w:t>
            </w:r>
          </w:p>
        </w:tc>
        <w:tc>
          <w:tcPr>
            <w:tcW w:w="938" w:type="dxa"/>
            <w:vMerge w:val="restart"/>
            <w:tcBorders>
              <w:left w:val="single" w:sz="2" w:space="0" w:color="000000"/>
              <w:bottom w:val="single" w:sz="2" w:space="0" w:color="000000"/>
              <w:right w:val="single" w:sz="2" w:space="0" w:color="000000"/>
            </w:tcBorders>
          </w:tcPr>
          <w:p w:rsidR="009B3095" w:rsidRDefault="009B3095">
            <w:pPr>
              <w:pStyle w:val="TableParagraph"/>
              <w:spacing w:before="7"/>
              <w:jc w:val="left"/>
              <w:rPr>
                <w:b/>
                <w:sz w:val="20"/>
              </w:rPr>
            </w:pPr>
          </w:p>
          <w:p w:rsidR="009B3095" w:rsidRDefault="005A016F">
            <w:pPr>
              <w:pStyle w:val="TableParagraph"/>
              <w:spacing w:before="1"/>
              <w:ind w:left="117" w:right="104" w:firstLine="1"/>
              <w:rPr>
                <w:b/>
                <w:sz w:val="20"/>
              </w:rPr>
            </w:pPr>
            <w:r>
              <w:rPr>
                <w:b/>
                <w:sz w:val="20"/>
              </w:rPr>
              <w:t xml:space="preserve">Sex/No. of   </w:t>
            </w:r>
            <w:r>
              <w:rPr>
                <w:b/>
                <w:w w:val="95"/>
                <w:sz w:val="20"/>
              </w:rPr>
              <w:t>Animals</w:t>
            </w:r>
          </w:p>
        </w:tc>
        <w:tc>
          <w:tcPr>
            <w:tcW w:w="883" w:type="dxa"/>
            <w:vMerge w:val="restart"/>
            <w:tcBorders>
              <w:left w:val="single" w:sz="2" w:space="0" w:color="000000"/>
              <w:bottom w:val="single" w:sz="2" w:space="0" w:color="000000"/>
              <w:right w:val="single" w:sz="2" w:space="0" w:color="000000"/>
            </w:tcBorders>
          </w:tcPr>
          <w:p w:rsidR="009B3095" w:rsidRDefault="009B3095">
            <w:pPr>
              <w:pStyle w:val="TableParagraph"/>
              <w:spacing w:before="0"/>
              <w:jc w:val="left"/>
              <w:rPr>
                <w:b/>
                <w:sz w:val="29"/>
              </w:rPr>
            </w:pPr>
          </w:p>
          <w:p w:rsidR="009B3095" w:rsidRDefault="005A016F">
            <w:pPr>
              <w:pStyle w:val="TableParagraph"/>
              <w:spacing w:before="0" w:line="280" w:lineRule="auto"/>
              <w:ind w:left="110" w:firstLine="76"/>
              <w:jc w:val="left"/>
              <w:rPr>
                <w:b/>
                <w:sz w:val="20"/>
              </w:rPr>
            </w:pPr>
            <w:r>
              <w:rPr>
                <w:b/>
                <w:sz w:val="20"/>
              </w:rPr>
              <w:t xml:space="preserve">Dose† </w:t>
            </w:r>
            <w:r>
              <w:rPr>
                <w:b/>
                <w:w w:val="95"/>
                <w:sz w:val="20"/>
              </w:rPr>
              <w:t>(mg/kg)</w:t>
            </w:r>
          </w:p>
        </w:tc>
        <w:tc>
          <w:tcPr>
            <w:tcW w:w="2681" w:type="dxa"/>
            <w:gridSpan w:val="4"/>
            <w:tcBorders>
              <w:left w:val="single" w:sz="2" w:space="0" w:color="000000"/>
              <w:bottom w:val="single" w:sz="2" w:space="0" w:color="000000"/>
              <w:right w:val="single" w:sz="2" w:space="0" w:color="000000"/>
            </w:tcBorders>
          </w:tcPr>
          <w:p w:rsidR="009B3095" w:rsidRDefault="005A016F">
            <w:pPr>
              <w:pStyle w:val="TableParagraph"/>
              <w:spacing w:before="38"/>
              <w:ind w:left="773"/>
              <w:jc w:val="left"/>
              <w:rPr>
                <w:b/>
                <w:sz w:val="20"/>
              </w:rPr>
            </w:pPr>
            <w:r>
              <w:rPr>
                <w:b/>
                <w:position w:val="1"/>
                <w:sz w:val="20"/>
              </w:rPr>
              <w:t>C</w:t>
            </w:r>
            <w:r>
              <w:rPr>
                <w:b/>
                <w:sz w:val="13"/>
              </w:rPr>
              <w:t xml:space="preserve">max </w:t>
            </w:r>
            <w:r>
              <w:rPr>
                <w:b/>
                <w:position w:val="1"/>
                <w:sz w:val="20"/>
              </w:rPr>
              <w:t>(µg/mL)</w:t>
            </w:r>
          </w:p>
        </w:tc>
        <w:tc>
          <w:tcPr>
            <w:tcW w:w="2892" w:type="dxa"/>
            <w:gridSpan w:val="4"/>
            <w:tcBorders>
              <w:left w:val="single" w:sz="2" w:space="0" w:color="000000"/>
              <w:bottom w:val="single" w:sz="2" w:space="0" w:color="000000"/>
            </w:tcBorders>
          </w:tcPr>
          <w:p w:rsidR="009B3095" w:rsidRDefault="005A016F">
            <w:pPr>
              <w:pStyle w:val="TableParagraph"/>
              <w:spacing w:before="38"/>
              <w:ind w:left="643"/>
              <w:jc w:val="left"/>
              <w:rPr>
                <w:b/>
                <w:sz w:val="20"/>
              </w:rPr>
            </w:pPr>
            <w:r>
              <w:rPr>
                <w:b/>
                <w:position w:val="1"/>
                <w:sz w:val="20"/>
              </w:rPr>
              <w:t>AUC</w:t>
            </w:r>
            <w:r>
              <w:rPr>
                <w:b/>
                <w:sz w:val="13"/>
              </w:rPr>
              <w:t xml:space="preserve">168h </w:t>
            </w:r>
            <w:r>
              <w:rPr>
                <w:b/>
                <w:position w:val="1"/>
                <w:sz w:val="20"/>
              </w:rPr>
              <w:t>(µg∙h/mL)</w:t>
            </w:r>
          </w:p>
        </w:tc>
      </w:tr>
      <w:tr w:rsidR="009B3095">
        <w:trPr>
          <w:trHeight w:val="539"/>
        </w:trPr>
        <w:tc>
          <w:tcPr>
            <w:tcW w:w="1603" w:type="dxa"/>
            <w:vMerge/>
            <w:tcBorders>
              <w:top w:val="nil"/>
              <w:bottom w:val="single" w:sz="2" w:space="0" w:color="000000"/>
              <w:right w:val="single" w:sz="2" w:space="0" w:color="000000"/>
            </w:tcBorders>
          </w:tcPr>
          <w:p w:rsidR="009B3095" w:rsidRDefault="009B3095">
            <w:pPr>
              <w:rPr>
                <w:sz w:val="2"/>
                <w:szCs w:val="2"/>
              </w:rPr>
            </w:pPr>
          </w:p>
        </w:tc>
        <w:tc>
          <w:tcPr>
            <w:tcW w:w="938"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883"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708" w:type="dxa"/>
            <w:vMerge w:val="restart"/>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97"/>
              <w:ind w:left="151" w:right="120"/>
              <w:jc w:val="left"/>
              <w:rPr>
                <w:b/>
                <w:sz w:val="20"/>
              </w:rPr>
            </w:pPr>
            <w:r>
              <w:rPr>
                <w:b/>
                <w:sz w:val="20"/>
              </w:rPr>
              <w:t>First Dose</w:t>
            </w:r>
          </w:p>
        </w:tc>
        <w:tc>
          <w:tcPr>
            <w:tcW w:w="727" w:type="dxa"/>
            <w:vMerge w:val="restart"/>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97"/>
              <w:ind w:left="113" w:right="77" w:firstLine="67"/>
              <w:jc w:val="left"/>
              <w:rPr>
                <w:b/>
                <w:sz w:val="20"/>
              </w:rPr>
            </w:pPr>
            <w:r>
              <w:rPr>
                <w:b/>
                <w:sz w:val="20"/>
              </w:rPr>
              <w:t>Last Dose§</w:t>
            </w:r>
          </w:p>
        </w:tc>
        <w:tc>
          <w:tcPr>
            <w:tcW w:w="1246" w:type="dxa"/>
            <w:gridSpan w:val="2"/>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303" w:hanging="82"/>
              <w:jc w:val="left"/>
              <w:rPr>
                <w:b/>
                <w:sz w:val="20"/>
              </w:rPr>
            </w:pPr>
            <w:r>
              <w:rPr>
                <w:b/>
                <w:w w:val="95"/>
                <w:sz w:val="20"/>
              </w:rPr>
              <w:t xml:space="preserve">Exposure </w:t>
            </w:r>
            <w:r>
              <w:rPr>
                <w:b/>
                <w:sz w:val="20"/>
              </w:rPr>
              <w:t>Ratios‡</w:t>
            </w:r>
          </w:p>
        </w:tc>
        <w:tc>
          <w:tcPr>
            <w:tcW w:w="816" w:type="dxa"/>
            <w:vMerge w:val="restart"/>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97"/>
              <w:ind w:left="204" w:right="175"/>
              <w:jc w:val="left"/>
              <w:rPr>
                <w:b/>
                <w:sz w:val="20"/>
              </w:rPr>
            </w:pPr>
            <w:r>
              <w:rPr>
                <w:b/>
                <w:sz w:val="20"/>
              </w:rPr>
              <w:t>First Dose</w:t>
            </w:r>
          </w:p>
        </w:tc>
        <w:tc>
          <w:tcPr>
            <w:tcW w:w="842" w:type="dxa"/>
            <w:vMerge w:val="restart"/>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97"/>
              <w:ind w:left="168" w:right="137" w:firstLine="67"/>
              <w:jc w:val="left"/>
              <w:rPr>
                <w:b/>
                <w:sz w:val="20"/>
              </w:rPr>
            </w:pPr>
            <w:r>
              <w:rPr>
                <w:b/>
                <w:sz w:val="20"/>
              </w:rPr>
              <w:t>Last Dose§</w:t>
            </w:r>
          </w:p>
        </w:tc>
        <w:tc>
          <w:tcPr>
            <w:tcW w:w="1234" w:type="dxa"/>
            <w:gridSpan w:val="2"/>
            <w:tcBorders>
              <w:top w:val="single" w:sz="2" w:space="0" w:color="000000"/>
              <w:left w:val="single" w:sz="2" w:space="0" w:color="000000"/>
              <w:bottom w:val="single" w:sz="2" w:space="0" w:color="000000"/>
            </w:tcBorders>
          </w:tcPr>
          <w:p w:rsidR="009B3095" w:rsidRDefault="005A016F">
            <w:pPr>
              <w:pStyle w:val="TableParagraph"/>
              <w:spacing w:before="38"/>
              <w:ind w:left="300" w:right="174" w:hanging="82"/>
              <w:jc w:val="left"/>
              <w:rPr>
                <w:b/>
                <w:sz w:val="20"/>
              </w:rPr>
            </w:pPr>
            <w:r>
              <w:rPr>
                <w:b/>
                <w:sz w:val="20"/>
              </w:rPr>
              <w:t>Exposure</w:t>
            </w:r>
            <w:r>
              <w:rPr>
                <w:b/>
                <w:w w:val="99"/>
                <w:sz w:val="20"/>
              </w:rPr>
              <w:t xml:space="preserve"> </w:t>
            </w:r>
            <w:r>
              <w:rPr>
                <w:b/>
                <w:sz w:val="20"/>
              </w:rPr>
              <w:t>Ratios‡</w:t>
            </w:r>
          </w:p>
        </w:tc>
      </w:tr>
      <w:tr w:rsidR="009B3095">
        <w:trPr>
          <w:trHeight w:val="311"/>
        </w:trPr>
        <w:tc>
          <w:tcPr>
            <w:tcW w:w="1603" w:type="dxa"/>
            <w:vMerge/>
            <w:tcBorders>
              <w:top w:val="nil"/>
              <w:bottom w:val="single" w:sz="2" w:space="0" w:color="000000"/>
              <w:right w:val="single" w:sz="2" w:space="0" w:color="000000"/>
            </w:tcBorders>
          </w:tcPr>
          <w:p w:rsidR="009B3095" w:rsidRDefault="009B3095">
            <w:pPr>
              <w:rPr>
                <w:sz w:val="2"/>
                <w:szCs w:val="2"/>
              </w:rPr>
            </w:pPr>
          </w:p>
        </w:tc>
        <w:tc>
          <w:tcPr>
            <w:tcW w:w="938"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883"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708"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727"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629"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right="98"/>
              <w:jc w:val="right"/>
              <w:rPr>
                <w:b/>
                <w:sz w:val="20"/>
              </w:rPr>
            </w:pPr>
            <w:r>
              <w:rPr>
                <w:b/>
                <w:w w:val="95"/>
                <w:sz w:val="20"/>
              </w:rPr>
              <w:t>First</w:t>
            </w:r>
          </w:p>
        </w:tc>
        <w:tc>
          <w:tcPr>
            <w:tcW w:w="61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123"/>
              <w:jc w:val="left"/>
              <w:rPr>
                <w:b/>
                <w:sz w:val="20"/>
              </w:rPr>
            </w:pPr>
            <w:r>
              <w:rPr>
                <w:b/>
                <w:sz w:val="20"/>
              </w:rPr>
              <w:t>Last</w:t>
            </w:r>
          </w:p>
        </w:tc>
        <w:tc>
          <w:tcPr>
            <w:tcW w:w="816"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842" w:type="dxa"/>
            <w:vMerge/>
            <w:tcBorders>
              <w:top w:val="nil"/>
              <w:left w:val="single" w:sz="2" w:space="0" w:color="000000"/>
              <w:bottom w:val="single" w:sz="2" w:space="0" w:color="000000"/>
              <w:right w:val="single" w:sz="2" w:space="0" w:color="000000"/>
            </w:tcBorders>
          </w:tcPr>
          <w:p w:rsidR="009B3095" w:rsidRDefault="009B3095">
            <w:pPr>
              <w:rPr>
                <w:sz w:val="2"/>
                <w:szCs w:val="2"/>
              </w:rPr>
            </w:pPr>
          </w:p>
        </w:tc>
        <w:tc>
          <w:tcPr>
            <w:tcW w:w="62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93" w:right="79"/>
              <w:rPr>
                <w:b/>
                <w:sz w:val="20"/>
              </w:rPr>
            </w:pPr>
            <w:r>
              <w:rPr>
                <w:b/>
                <w:sz w:val="20"/>
              </w:rPr>
              <w:t>First</w:t>
            </w:r>
          </w:p>
        </w:tc>
        <w:tc>
          <w:tcPr>
            <w:tcW w:w="606" w:type="dxa"/>
            <w:tcBorders>
              <w:top w:val="single" w:sz="2" w:space="0" w:color="000000"/>
              <w:left w:val="single" w:sz="2" w:space="0" w:color="000000"/>
              <w:bottom w:val="single" w:sz="2" w:space="0" w:color="000000"/>
            </w:tcBorders>
          </w:tcPr>
          <w:p w:rsidR="009B3095" w:rsidRDefault="005A016F">
            <w:pPr>
              <w:pStyle w:val="TableParagraph"/>
              <w:spacing w:before="38"/>
              <w:ind w:left="98" w:right="80"/>
              <w:rPr>
                <w:b/>
                <w:sz w:val="20"/>
              </w:rPr>
            </w:pPr>
            <w:r>
              <w:rPr>
                <w:b/>
                <w:sz w:val="20"/>
              </w:rPr>
              <w:t>Last</w:t>
            </w:r>
          </w:p>
        </w:tc>
      </w:tr>
      <w:tr w:rsidR="009B3095">
        <w:trPr>
          <w:trHeight w:val="304"/>
        </w:trPr>
        <w:tc>
          <w:tcPr>
            <w:tcW w:w="1603" w:type="dxa"/>
            <w:vMerge w:val="restart"/>
            <w:tcBorders>
              <w:top w:val="single" w:sz="2" w:space="0" w:color="000000"/>
              <w:right w:val="single" w:sz="2" w:space="0" w:color="000000"/>
            </w:tcBorders>
          </w:tcPr>
          <w:p w:rsidR="009B3095" w:rsidRDefault="009B3095">
            <w:pPr>
              <w:pStyle w:val="TableParagraph"/>
              <w:spacing w:before="0"/>
              <w:jc w:val="left"/>
              <w:rPr>
                <w:b/>
              </w:rPr>
            </w:pPr>
          </w:p>
          <w:p w:rsidR="009B3095" w:rsidRDefault="009B3095">
            <w:pPr>
              <w:pStyle w:val="TableParagraph"/>
              <w:spacing w:before="0"/>
              <w:jc w:val="left"/>
              <w:rPr>
                <w:b/>
              </w:rPr>
            </w:pPr>
          </w:p>
          <w:p w:rsidR="009B3095" w:rsidRDefault="009B3095">
            <w:pPr>
              <w:pStyle w:val="TableParagraph"/>
              <w:spacing w:before="6"/>
              <w:jc w:val="left"/>
              <w:rPr>
                <w:b/>
                <w:sz w:val="25"/>
              </w:rPr>
            </w:pPr>
          </w:p>
          <w:p w:rsidR="009B3095" w:rsidRDefault="005A016F">
            <w:pPr>
              <w:pStyle w:val="TableParagraph"/>
              <w:spacing w:before="0"/>
              <w:ind w:left="724" w:right="43" w:hanging="603"/>
              <w:jc w:val="left"/>
              <w:rPr>
                <w:sz w:val="20"/>
              </w:rPr>
            </w:pPr>
            <w:r>
              <w:rPr>
                <w:w w:val="95"/>
                <w:sz w:val="20"/>
              </w:rPr>
              <w:t xml:space="preserve">Monkey/5-week, </w:t>
            </w:r>
            <w:r>
              <w:rPr>
                <w:sz w:val="20"/>
              </w:rPr>
              <w:t>iv</w:t>
            </w:r>
          </w:p>
          <w:p w:rsidR="009B3095" w:rsidRDefault="005A016F">
            <w:pPr>
              <w:pStyle w:val="TableParagraph"/>
              <w:spacing w:before="39"/>
              <w:ind w:left="134"/>
              <w:jc w:val="left"/>
              <w:rPr>
                <w:sz w:val="20"/>
              </w:rPr>
            </w:pPr>
            <w:r>
              <w:rPr>
                <w:sz w:val="20"/>
              </w:rPr>
              <w:t>(</w:t>
            </w:r>
            <w:r w:rsidR="00B16187">
              <w:rPr>
                <w:sz w:val="20"/>
              </w:rPr>
              <w:t>Project 13</w:t>
            </w:r>
            <w:r>
              <w:rPr>
                <w:sz w:val="20"/>
              </w:rPr>
              <w:t>-TX-0002)</w:t>
            </w:r>
          </w:p>
        </w:tc>
        <w:tc>
          <w:tcPr>
            <w:tcW w:w="93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284" w:right="275"/>
              <w:rPr>
                <w:sz w:val="20"/>
              </w:rPr>
            </w:pPr>
            <w:r>
              <w:rPr>
                <w:sz w:val="20"/>
              </w:rPr>
              <w:t>M/3</w:t>
            </w:r>
          </w:p>
        </w:tc>
        <w:tc>
          <w:tcPr>
            <w:tcW w:w="88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274" w:right="263"/>
              <w:rPr>
                <w:sz w:val="20"/>
              </w:rPr>
            </w:pPr>
            <w:r>
              <w:rPr>
                <w:sz w:val="20"/>
              </w:rPr>
              <w:t>50</w:t>
            </w:r>
          </w:p>
        </w:tc>
        <w:tc>
          <w:tcPr>
            <w:tcW w:w="70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138" w:right="125"/>
              <w:rPr>
                <w:sz w:val="20"/>
              </w:rPr>
            </w:pPr>
            <w:r>
              <w:rPr>
                <w:sz w:val="20"/>
              </w:rPr>
              <w:t>1240</w:t>
            </w:r>
          </w:p>
        </w:tc>
        <w:tc>
          <w:tcPr>
            <w:tcW w:w="72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150" w:right="132"/>
              <w:rPr>
                <w:sz w:val="20"/>
              </w:rPr>
            </w:pPr>
            <w:r>
              <w:rPr>
                <w:sz w:val="20"/>
              </w:rPr>
              <w:t>1500</w:t>
            </w:r>
          </w:p>
        </w:tc>
        <w:tc>
          <w:tcPr>
            <w:tcW w:w="629"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192"/>
              <w:jc w:val="left"/>
              <w:rPr>
                <w:sz w:val="20"/>
              </w:rPr>
            </w:pPr>
            <w:r>
              <w:rPr>
                <w:sz w:val="20"/>
              </w:rPr>
              <w:t>3.7</w:t>
            </w:r>
          </w:p>
        </w:tc>
        <w:tc>
          <w:tcPr>
            <w:tcW w:w="61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185"/>
              <w:jc w:val="left"/>
              <w:rPr>
                <w:sz w:val="20"/>
              </w:rPr>
            </w:pPr>
            <w:r>
              <w:rPr>
                <w:sz w:val="20"/>
              </w:rPr>
              <w:t>4.5</w:t>
            </w:r>
          </w:p>
        </w:tc>
        <w:tc>
          <w:tcPr>
            <w:tcW w:w="81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right="146"/>
              <w:jc w:val="right"/>
              <w:rPr>
                <w:sz w:val="20"/>
              </w:rPr>
            </w:pPr>
            <w:r>
              <w:rPr>
                <w:w w:val="95"/>
                <w:sz w:val="20"/>
              </w:rPr>
              <w:t>95600</w:t>
            </w:r>
          </w:p>
        </w:tc>
        <w:tc>
          <w:tcPr>
            <w:tcW w:w="84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106" w:right="91"/>
              <w:rPr>
                <w:sz w:val="20"/>
              </w:rPr>
            </w:pPr>
            <w:r>
              <w:rPr>
                <w:sz w:val="20"/>
              </w:rPr>
              <w:t>139000</w:t>
            </w:r>
          </w:p>
        </w:tc>
        <w:tc>
          <w:tcPr>
            <w:tcW w:w="62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4"/>
              <w:ind w:left="93" w:right="79"/>
              <w:rPr>
                <w:sz w:val="20"/>
              </w:rPr>
            </w:pPr>
            <w:r>
              <w:rPr>
                <w:sz w:val="20"/>
              </w:rPr>
              <w:t>4.5</w:t>
            </w:r>
          </w:p>
        </w:tc>
        <w:tc>
          <w:tcPr>
            <w:tcW w:w="606" w:type="dxa"/>
            <w:tcBorders>
              <w:top w:val="single" w:sz="2" w:space="0" w:color="000000"/>
              <w:left w:val="single" w:sz="2" w:space="0" w:color="000000"/>
              <w:bottom w:val="single" w:sz="2" w:space="0" w:color="000000"/>
            </w:tcBorders>
          </w:tcPr>
          <w:p w:rsidR="009B3095" w:rsidRDefault="005A016F">
            <w:pPr>
              <w:pStyle w:val="TableParagraph"/>
              <w:spacing w:before="34"/>
              <w:ind w:left="98" w:right="75"/>
              <w:rPr>
                <w:sz w:val="20"/>
              </w:rPr>
            </w:pPr>
            <w:r>
              <w:rPr>
                <w:sz w:val="20"/>
              </w:rPr>
              <w:t>6.6</w:t>
            </w:r>
          </w:p>
        </w:tc>
      </w:tr>
      <w:tr w:rsidR="009B3095">
        <w:trPr>
          <w:trHeight w:val="299"/>
        </w:trPr>
        <w:tc>
          <w:tcPr>
            <w:tcW w:w="1603" w:type="dxa"/>
            <w:vMerge/>
            <w:tcBorders>
              <w:top w:val="nil"/>
              <w:right w:val="single" w:sz="2" w:space="0" w:color="000000"/>
            </w:tcBorders>
          </w:tcPr>
          <w:p w:rsidR="009B3095" w:rsidRDefault="009B3095">
            <w:pPr>
              <w:rPr>
                <w:sz w:val="2"/>
                <w:szCs w:val="2"/>
              </w:rPr>
            </w:pPr>
          </w:p>
        </w:tc>
        <w:tc>
          <w:tcPr>
            <w:tcW w:w="93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283" w:right="275"/>
              <w:rPr>
                <w:sz w:val="20"/>
              </w:rPr>
            </w:pPr>
            <w:r>
              <w:rPr>
                <w:sz w:val="20"/>
              </w:rPr>
              <w:t>F/3</w:t>
            </w:r>
          </w:p>
        </w:tc>
        <w:tc>
          <w:tcPr>
            <w:tcW w:w="88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274" w:right="263"/>
              <w:rPr>
                <w:sz w:val="20"/>
              </w:rPr>
            </w:pPr>
            <w:r>
              <w:rPr>
                <w:sz w:val="20"/>
              </w:rPr>
              <w:t>50</w:t>
            </w:r>
          </w:p>
        </w:tc>
        <w:tc>
          <w:tcPr>
            <w:tcW w:w="70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38" w:right="125"/>
              <w:rPr>
                <w:sz w:val="20"/>
              </w:rPr>
            </w:pPr>
            <w:r>
              <w:rPr>
                <w:sz w:val="20"/>
              </w:rPr>
              <w:t>1320</w:t>
            </w:r>
          </w:p>
        </w:tc>
        <w:tc>
          <w:tcPr>
            <w:tcW w:w="72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50" w:right="132"/>
              <w:rPr>
                <w:sz w:val="20"/>
              </w:rPr>
            </w:pPr>
            <w:r>
              <w:rPr>
                <w:sz w:val="20"/>
              </w:rPr>
              <w:t>2250</w:t>
            </w:r>
          </w:p>
        </w:tc>
        <w:tc>
          <w:tcPr>
            <w:tcW w:w="629"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92"/>
              <w:jc w:val="left"/>
              <w:rPr>
                <w:sz w:val="20"/>
              </w:rPr>
            </w:pPr>
            <w:r>
              <w:rPr>
                <w:sz w:val="20"/>
              </w:rPr>
              <w:t>4.0</w:t>
            </w:r>
          </w:p>
        </w:tc>
        <w:tc>
          <w:tcPr>
            <w:tcW w:w="61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85"/>
              <w:jc w:val="left"/>
              <w:rPr>
                <w:sz w:val="20"/>
              </w:rPr>
            </w:pPr>
            <w:r>
              <w:rPr>
                <w:sz w:val="20"/>
              </w:rPr>
              <w:t>6.8</w:t>
            </w:r>
          </w:p>
        </w:tc>
        <w:tc>
          <w:tcPr>
            <w:tcW w:w="81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right="146"/>
              <w:jc w:val="right"/>
              <w:rPr>
                <w:sz w:val="20"/>
              </w:rPr>
            </w:pPr>
            <w:r>
              <w:rPr>
                <w:w w:val="95"/>
                <w:sz w:val="20"/>
              </w:rPr>
              <w:t>97800</w:t>
            </w:r>
          </w:p>
        </w:tc>
        <w:tc>
          <w:tcPr>
            <w:tcW w:w="84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06" w:right="91"/>
              <w:rPr>
                <w:sz w:val="20"/>
              </w:rPr>
            </w:pPr>
            <w:r>
              <w:rPr>
                <w:sz w:val="20"/>
              </w:rPr>
              <w:t>217000</w:t>
            </w:r>
          </w:p>
        </w:tc>
        <w:tc>
          <w:tcPr>
            <w:tcW w:w="62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93" w:right="79"/>
              <w:rPr>
                <w:sz w:val="20"/>
              </w:rPr>
            </w:pPr>
            <w:r>
              <w:rPr>
                <w:sz w:val="20"/>
              </w:rPr>
              <w:t>4.6</w:t>
            </w:r>
          </w:p>
        </w:tc>
        <w:tc>
          <w:tcPr>
            <w:tcW w:w="606" w:type="dxa"/>
            <w:tcBorders>
              <w:top w:val="single" w:sz="2" w:space="0" w:color="000000"/>
              <w:left w:val="single" w:sz="2" w:space="0" w:color="000000"/>
              <w:bottom w:val="single" w:sz="2" w:space="0" w:color="000000"/>
            </w:tcBorders>
          </w:tcPr>
          <w:p w:rsidR="009B3095" w:rsidRDefault="005A016F">
            <w:pPr>
              <w:pStyle w:val="TableParagraph"/>
              <w:spacing w:before="29"/>
              <w:ind w:left="98" w:right="74"/>
              <w:rPr>
                <w:sz w:val="20"/>
              </w:rPr>
            </w:pPr>
            <w:r>
              <w:rPr>
                <w:sz w:val="20"/>
              </w:rPr>
              <w:t>10.2</w:t>
            </w:r>
          </w:p>
        </w:tc>
      </w:tr>
      <w:tr w:rsidR="009B3095">
        <w:trPr>
          <w:trHeight w:val="299"/>
        </w:trPr>
        <w:tc>
          <w:tcPr>
            <w:tcW w:w="1603" w:type="dxa"/>
            <w:vMerge/>
            <w:tcBorders>
              <w:top w:val="nil"/>
              <w:right w:val="single" w:sz="2" w:space="0" w:color="000000"/>
            </w:tcBorders>
          </w:tcPr>
          <w:p w:rsidR="009B3095" w:rsidRDefault="009B3095">
            <w:pPr>
              <w:rPr>
                <w:sz w:val="2"/>
                <w:szCs w:val="2"/>
              </w:rPr>
            </w:pPr>
          </w:p>
        </w:tc>
        <w:tc>
          <w:tcPr>
            <w:tcW w:w="93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284" w:right="275"/>
              <w:rPr>
                <w:sz w:val="20"/>
              </w:rPr>
            </w:pPr>
            <w:r>
              <w:rPr>
                <w:sz w:val="20"/>
              </w:rPr>
              <w:t>M/3</w:t>
            </w:r>
          </w:p>
        </w:tc>
        <w:tc>
          <w:tcPr>
            <w:tcW w:w="88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274" w:right="263"/>
              <w:rPr>
                <w:sz w:val="20"/>
              </w:rPr>
            </w:pPr>
            <w:r>
              <w:rPr>
                <w:sz w:val="20"/>
              </w:rPr>
              <w:t>100</w:t>
            </w:r>
          </w:p>
        </w:tc>
        <w:tc>
          <w:tcPr>
            <w:tcW w:w="70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38" w:right="125"/>
              <w:rPr>
                <w:sz w:val="20"/>
              </w:rPr>
            </w:pPr>
            <w:r>
              <w:rPr>
                <w:sz w:val="20"/>
              </w:rPr>
              <w:t>2150</w:t>
            </w:r>
          </w:p>
        </w:tc>
        <w:tc>
          <w:tcPr>
            <w:tcW w:w="72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50" w:right="132"/>
              <w:rPr>
                <w:sz w:val="20"/>
              </w:rPr>
            </w:pPr>
            <w:r>
              <w:rPr>
                <w:sz w:val="20"/>
              </w:rPr>
              <w:t>3100</w:t>
            </w:r>
          </w:p>
        </w:tc>
        <w:tc>
          <w:tcPr>
            <w:tcW w:w="629"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92"/>
              <w:jc w:val="left"/>
              <w:rPr>
                <w:sz w:val="20"/>
              </w:rPr>
            </w:pPr>
            <w:r>
              <w:rPr>
                <w:sz w:val="20"/>
              </w:rPr>
              <w:t>6.5</w:t>
            </w:r>
          </w:p>
        </w:tc>
        <w:tc>
          <w:tcPr>
            <w:tcW w:w="61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85"/>
              <w:jc w:val="left"/>
              <w:rPr>
                <w:sz w:val="20"/>
              </w:rPr>
            </w:pPr>
            <w:r>
              <w:rPr>
                <w:sz w:val="20"/>
              </w:rPr>
              <w:t>9.4</w:t>
            </w:r>
          </w:p>
        </w:tc>
        <w:tc>
          <w:tcPr>
            <w:tcW w:w="81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right="96"/>
              <w:jc w:val="right"/>
              <w:rPr>
                <w:sz w:val="20"/>
              </w:rPr>
            </w:pPr>
            <w:r>
              <w:rPr>
                <w:w w:val="95"/>
                <w:sz w:val="20"/>
              </w:rPr>
              <w:t>167000</w:t>
            </w:r>
          </w:p>
        </w:tc>
        <w:tc>
          <w:tcPr>
            <w:tcW w:w="84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06" w:right="91"/>
              <w:rPr>
                <w:sz w:val="20"/>
              </w:rPr>
            </w:pPr>
            <w:r>
              <w:rPr>
                <w:sz w:val="20"/>
              </w:rPr>
              <w:t>356000</w:t>
            </w:r>
          </w:p>
        </w:tc>
        <w:tc>
          <w:tcPr>
            <w:tcW w:w="62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93" w:right="79"/>
              <w:rPr>
                <w:sz w:val="20"/>
              </w:rPr>
            </w:pPr>
            <w:r>
              <w:rPr>
                <w:sz w:val="20"/>
              </w:rPr>
              <w:t>7.9</w:t>
            </w:r>
          </w:p>
        </w:tc>
        <w:tc>
          <w:tcPr>
            <w:tcW w:w="606" w:type="dxa"/>
            <w:tcBorders>
              <w:top w:val="single" w:sz="2" w:space="0" w:color="000000"/>
              <w:left w:val="single" w:sz="2" w:space="0" w:color="000000"/>
              <w:bottom w:val="single" w:sz="2" w:space="0" w:color="000000"/>
            </w:tcBorders>
          </w:tcPr>
          <w:p w:rsidR="009B3095" w:rsidRDefault="005A016F">
            <w:pPr>
              <w:pStyle w:val="TableParagraph"/>
              <w:spacing w:before="29"/>
              <w:ind w:left="98" w:right="74"/>
              <w:rPr>
                <w:sz w:val="20"/>
              </w:rPr>
            </w:pPr>
            <w:r>
              <w:rPr>
                <w:sz w:val="20"/>
              </w:rPr>
              <w:t>16.8</w:t>
            </w:r>
          </w:p>
        </w:tc>
      </w:tr>
      <w:tr w:rsidR="009B3095">
        <w:trPr>
          <w:trHeight w:val="301"/>
        </w:trPr>
        <w:tc>
          <w:tcPr>
            <w:tcW w:w="1603" w:type="dxa"/>
            <w:vMerge/>
            <w:tcBorders>
              <w:top w:val="nil"/>
              <w:right w:val="single" w:sz="2" w:space="0" w:color="000000"/>
            </w:tcBorders>
          </w:tcPr>
          <w:p w:rsidR="009B3095" w:rsidRDefault="009B3095">
            <w:pPr>
              <w:rPr>
                <w:sz w:val="2"/>
                <w:szCs w:val="2"/>
              </w:rPr>
            </w:pPr>
          </w:p>
        </w:tc>
        <w:tc>
          <w:tcPr>
            <w:tcW w:w="93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283" w:right="275"/>
              <w:rPr>
                <w:sz w:val="20"/>
              </w:rPr>
            </w:pPr>
            <w:r>
              <w:rPr>
                <w:sz w:val="20"/>
              </w:rPr>
              <w:t>F/3</w:t>
            </w:r>
          </w:p>
        </w:tc>
        <w:tc>
          <w:tcPr>
            <w:tcW w:w="88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274" w:right="263"/>
              <w:rPr>
                <w:sz w:val="20"/>
              </w:rPr>
            </w:pPr>
            <w:r>
              <w:rPr>
                <w:sz w:val="20"/>
              </w:rPr>
              <w:t>100</w:t>
            </w:r>
          </w:p>
        </w:tc>
        <w:tc>
          <w:tcPr>
            <w:tcW w:w="70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38" w:right="125"/>
              <w:rPr>
                <w:sz w:val="20"/>
              </w:rPr>
            </w:pPr>
            <w:r>
              <w:rPr>
                <w:sz w:val="20"/>
              </w:rPr>
              <w:t>2240</w:t>
            </w:r>
          </w:p>
        </w:tc>
        <w:tc>
          <w:tcPr>
            <w:tcW w:w="72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50" w:right="132"/>
              <w:rPr>
                <w:sz w:val="20"/>
              </w:rPr>
            </w:pPr>
            <w:r>
              <w:rPr>
                <w:sz w:val="20"/>
              </w:rPr>
              <w:t>3920</w:t>
            </w:r>
          </w:p>
        </w:tc>
        <w:tc>
          <w:tcPr>
            <w:tcW w:w="629"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92"/>
              <w:jc w:val="left"/>
              <w:rPr>
                <w:sz w:val="20"/>
              </w:rPr>
            </w:pPr>
            <w:r>
              <w:rPr>
                <w:sz w:val="20"/>
              </w:rPr>
              <w:t>6.8</w:t>
            </w:r>
          </w:p>
        </w:tc>
        <w:tc>
          <w:tcPr>
            <w:tcW w:w="61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35"/>
              <w:jc w:val="left"/>
              <w:rPr>
                <w:sz w:val="20"/>
              </w:rPr>
            </w:pPr>
            <w:r>
              <w:rPr>
                <w:sz w:val="20"/>
              </w:rPr>
              <w:t>11.8</w:t>
            </w:r>
          </w:p>
        </w:tc>
        <w:tc>
          <w:tcPr>
            <w:tcW w:w="81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right="96"/>
              <w:jc w:val="right"/>
              <w:rPr>
                <w:sz w:val="20"/>
              </w:rPr>
            </w:pPr>
            <w:r>
              <w:rPr>
                <w:w w:val="95"/>
                <w:sz w:val="20"/>
              </w:rPr>
              <w:t>177000</w:t>
            </w:r>
          </w:p>
        </w:tc>
        <w:tc>
          <w:tcPr>
            <w:tcW w:w="84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106" w:right="91"/>
              <w:rPr>
                <w:sz w:val="20"/>
              </w:rPr>
            </w:pPr>
            <w:r>
              <w:rPr>
                <w:sz w:val="20"/>
              </w:rPr>
              <w:t>459000</w:t>
            </w:r>
          </w:p>
        </w:tc>
        <w:tc>
          <w:tcPr>
            <w:tcW w:w="62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93" w:right="79"/>
              <w:rPr>
                <w:sz w:val="20"/>
              </w:rPr>
            </w:pPr>
            <w:r>
              <w:rPr>
                <w:sz w:val="20"/>
              </w:rPr>
              <w:t>8.3</w:t>
            </w:r>
          </w:p>
        </w:tc>
        <w:tc>
          <w:tcPr>
            <w:tcW w:w="606" w:type="dxa"/>
            <w:tcBorders>
              <w:top w:val="single" w:sz="2" w:space="0" w:color="000000"/>
              <w:left w:val="single" w:sz="2" w:space="0" w:color="000000"/>
              <w:bottom w:val="single" w:sz="2" w:space="0" w:color="000000"/>
            </w:tcBorders>
          </w:tcPr>
          <w:p w:rsidR="009B3095" w:rsidRDefault="005A016F">
            <w:pPr>
              <w:pStyle w:val="TableParagraph"/>
              <w:spacing w:before="29"/>
              <w:ind w:left="98" w:right="74"/>
              <w:rPr>
                <w:sz w:val="20"/>
              </w:rPr>
            </w:pPr>
            <w:r>
              <w:rPr>
                <w:sz w:val="20"/>
              </w:rPr>
              <w:t>21.7</w:t>
            </w:r>
          </w:p>
        </w:tc>
      </w:tr>
      <w:tr w:rsidR="009B3095">
        <w:trPr>
          <w:trHeight w:val="529"/>
        </w:trPr>
        <w:tc>
          <w:tcPr>
            <w:tcW w:w="1603" w:type="dxa"/>
            <w:vMerge/>
            <w:tcBorders>
              <w:top w:val="nil"/>
              <w:right w:val="single" w:sz="2" w:space="0" w:color="000000"/>
            </w:tcBorders>
          </w:tcPr>
          <w:p w:rsidR="009B3095" w:rsidRDefault="009B3095">
            <w:pPr>
              <w:rPr>
                <w:sz w:val="2"/>
                <w:szCs w:val="2"/>
              </w:rPr>
            </w:pPr>
          </w:p>
        </w:tc>
        <w:tc>
          <w:tcPr>
            <w:tcW w:w="93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left="376" w:right="167" w:hanging="180"/>
              <w:jc w:val="left"/>
              <w:rPr>
                <w:sz w:val="20"/>
              </w:rPr>
            </w:pPr>
            <w:r>
              <w:rPr>
                <w:sz w:val="20"/>
              </w:rPr>
              <w:t>M/5 or 2¶</w:t>
            </w:r>
          </w:p>
        </w:tc>
        <w:tc>
          <w:tcPr>
            <w:tcW w:w="88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4"/>
              <w:ind w:left="274" w:right="263"/>
              <w:rPr>
                <w:sz w:val="20"/>
              </w:rPr>
            </w:pPr>
            <w:r>
              <w:rPr>
                <w:sz w:val="20"/>
                <w:u w:val="single"/>
              </w:rPr>
              <w:t>200</w:t>
            </w:r>
          </w:p>
        </w:tc>
        <w:tc>
          <w:tcPr>
            <w:tcW w:w="70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4"/>
              <w:ind w:left="138" w:right="125"/>
              <w:rPr>
                <w:sz w:val="20"/>
              </w:rPr>
            </w:pPr>
            <w:r>
              <w:rPr>
                <w:sz w:val="20"/>
              </w:rPr>
              <w:t>4260</w:t>
            </w:r>
          </w:p>
        </w:tc>
        <w:tc>
          <w:tcPr>
            <w:tcW w:w="72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4"/>
              <w:ind w:left="150" w:right="132"/>
              <w:rPr>
                <w:sz w:val="20"/>
              </w:rPr>
            </w:pPr>
            <w:r>
              <w:rPr>
                <w:sz w:val="20"/>
              </w:rPr>
              <w:t>6450</w:t>
            </w:r>
          </w:p>
        </w:tc>
        <w:tc>
          <w:tcPr>
            <w:tcW w:w="629"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4"/>
              <w:ind w:right="126"/>
              <w:jc w:val="right"/>
              <w:rPr>
                <w:sz w:val="20"/>
              </w:rPr>
            </w:pPr>
            <w:r>
              <w:rPr>
                <w:sz w:val="20"/>
              </w:rPr>
              <w:t>12.9</w:t>
            </w:r>
          </w:p>
        </w:tc>
        <w:tc>
          <w:tcPr>
            <w:tcW w:w="617"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4"/>
              <w:ind w:left="135"/>
              <w:jc w:val="left"/>
              <w:rPr>
                <w:sz w:val="20"/>
              </w:rPr>
            </w:pPr>
            <w:r>
              <w:rPr>
                <w:sz w:val="20"/>
              </w:rPr>
              <w:t>19.5</w:t>
            </w:r>
          </w:p>
        </w:tc>
        <w:tc>
          <w:tcPr>
            <w:tcW w:w="81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29"/>
              <w:ind w:right="96"/>
              <w:jc w:val="right"/>
              <w:rPr>
                <w:sz w:val="20"/>
              </w:rPr>
            </w:pPr>
            <w:r>
              <w:rPr>
                <w:w w:val="95"/>
                <w:sz w:val="20"/>
              </w:rPr>
              <w:t>359000</w:t>
            </w:r>
          </w:p>
        </w:tc>
        <w:tc>
          <w:tcPr>
            <w:tcW w:w="84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4"/>
              <w:ind w:left="106" w:right="91"/>
              <w:rPr>
                <w:sz w:val="20"/>
              </w:rPr>
            </w:pPr>
            <w:r>
              <w:rPr>
                <w:sz w:val="20"/>
              </w:rPr>
              <w:t>729000</w:t>
            </w:r>
          </w:p>
        </w:tc>
        <w:tc>
          <w:tcPr>
            <w:tcW w:w="628"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4"/>
              <w:ind w:left="93" w:right="79"/>
              <w:rPr>
                <w:sz w:val="20"/>
              </w:rPr>
            </w:pPr>
            <w:r>
              <w:rPr>
                <w:sz w:val="20"/>
              </w:rPr>
              <w:t>16.9</w:t>
            </w:r>
          </w:p>
        </w:tc>
        <w:tc>
          <w:tcPr>
            <w:tcW w:w="606" w:type="dxa"/>
            <w:tcBorders>
              <w:top w:val="single" w:sz="2" w:space="0" w:color="000000"/>
              <w:left w:val="single" w:sz="2" w:space="0" w:color="000000"/>
              <w:bottom w:val="single" w:sz="2" w:space="0" w:color="000000"/>
            </w:tcBorders>
          </w:tcPr>
          <w:p w:rsidR="009B3095" w:rsidRDefault="005A016F">
            <w:pPr>
              <w:pStyle w:val="TableParagraph"/>
              <w:spacing w:before="144"/>
              <w:ind w:left="98" w:right="74"/>
              <w:rPr>
                <w:sz w:val="20"/>
              </w:rPr>
            </w:pPr>
            <w:r>
              <w:rPr>
                <w:sz w:val="20"/>
              </w:rPr>
              <w:t>34.4</w:t>
            </w:r>
          </w:p>
        </w:tc>
      </w:tr>
      <w:tr w:rsidR="009B3095">
        <w:trPr>
          <w:trHeight w:val="534"/>
        </w:trPr>
        <w:tc>
          <w:tcPr>
            <w:tcW w:w="1603" w:type="dxa"/>
            <w:vMerge/>
            <w:tcBorders>
              <w:top w:val="nil"/>
              <w:right w:val="single" w:sz="2" w:space="0" w:color="000000"/>
            </w:tcBorders>
          </w:tcPr>
          <w:p w:rsidR="009B3095" w:rsidRDefault="009B3095">
            <w:pPr>
              <w:rPr>
                <w:sz w:val="2"/>
                <w:szCs w:val="2"/>
              </w:rPr>
            </w:pPr>
          </w:p>
        </w:tc>
        <w:tc>
          <w:tcPr>
            <w:tcW w:w="938" w:type="dxa"/>
            <w:tcBorders>
              <w:top w:val="single" w:sz="2" w:space="0" w:color="000000"/>
              <w:left w:val="single" w:sz="2" w:space="0" w:color="000000"/>
              <w:right w:val="single" w:sz="2" w:space="0" w:color="000000"/>
            </w:tcBorders>
          </w:tcPr>
          <w:p w:rsidR="009B3095" w:rsidRDefault="005A016F">
            <w:pPr>
              <w:pStyle w:val="TableParagraph"/>
              <w:spacing w:before="29"/>
              <w:ind w:left="376" w:right="200" w:hanging="147"/>
              <w:jc w:val="left"/>
              <w:rPr>
                <w:sz w:val="20"/>
              </w:rPr>
            </w:pPr>
            <w:r>
              <w:rPr>
                <w:sz w:val="20"/>
              </w:rPr>
              <w:t>F/5 or 2¶</w:t>
            </w:r>
          </w:p>
        </w:tc>
        <w:tc>
          <w:tcPr>
            <w:tcW w:w="883" w:type="dxa"/>
            <w:tcBorders>
              <w:top w:val="single" w:sz="2" w:space="0" w:color="000000"/>
              <w:left w:val="single" w:sz="2" w:space="0" w:color="000000"/>
              <w:right w:val="single" w:sz="2" w:space="0" w:color="000000"/>
            </w:tcBorders>
          </w:tcPr>
          <w:p w:rsidR="009B3095" w:rsidRDefault="005A016F">
            <w:pPr>
              <w:pStyle w:val="TableParagraph"/>
              <w:spacing w:before="144"/>
              <w:ind w:left="274" w:right="263"/>
              <w:rPr>
                <w:sz w:val="20"/>
              </w:rPr>
            </w:pPr>
            <w:r>
              <w:rPr>
                <w:sz w:val="20"/>
                <w:u w:val="single"/>
              </w:rPr>
              <w:t>200</w:t>
            </w:r>
          </w:p>
        </w:tc>
        <w:tc>
          <w:tcPr>
            <w:tcW w:w="708" w:type="dxa"/>
            <w:tcBorders>
              <w:top w:val="single" w:sz="2" w:space="0" w:color="000000"/>
              <w:left w:val="single" w:sz="2" w:space="0" w:color="000000"/>
              <w:right w:val="single" w:sz="2" w:space="0" w:color="000000"/>
            </w:tcBorders>
          </w:tcPr>
          <w:p w:rsidR="009B3095" w:rsidRDefault="005A016F">
            <w:pPr>
              <w:pStyle w:val="TableParagraph"/>
              <w:spacing w:before="144"/>
              <w:ind w:left="138" w:right="125"/>
              <w:rPr>
                <w:sz w:val="20"/>
              </w:rPr>
            </w:pPr>
            <w:r>
              <w:rPr>
                <w:sz w:val="20"/>
              </w:rPr>
              <w:t>3850</w:t>
            </w:r>
          </w:p>
        </w:tc>
        <w:tc>
          <w:tcPr>
            <w:tcW w:w="727" w:type="dxa"/>
            <w:tcBorders>
              <w:top w:val="single" w:sz="2" w:space="0" w:color="000000"/>
              <w:left w:val="single" w:sz="2" w:space="0" w:color="000000"/>
              <w:right w:val="single" w:sz="2" w:space="0" w:color="000000"/>
            </w:tcBorders>
          </w:tcPr>
          <w:p w:rsidR="009B3095" w:rsidRDefault="005A016F">
            <w:pPr>
              <w:pStyle w:val="TableParagraph"/>
              <w:spacing w:before="144"/>
              <w:ind w:left="150" w:right="132"/>
              <w:rPr>
                <w:sz w:val="20"/>
              </w:rPr>
            </w:pPr>
            <w:r>
              <w:rPr>
                <w:sz w:val="20"/>
              </w:rPr>
              <w:t>8280</w:t>
            </w:r>
          </w:p>
        </w:tc>
        <w:tc>
          <w:tcPr>
            <w:tcW w:w="629" w:type="dxa"/>
            <w:tcBorders>
              <w:top w:val="single" w:sz="2" w:space="0" w:color="000000"/>
              <w:left w:val="single" w:sz="2" w:space="0" w:color="000000"/>
              <w:right w:val="single" w:sz="2" w:space="0" w:color="000000"/>
            </w:tcBorders>
          </w:tcPr>
          <w:p w:rsidR="009B3095" w:rsidRDefault="005A016F">
            <w:pPr>
              <w:pStyle w:val="TableParagraph"/>
              <w:spacing w:before="144"/>
              <w:ind w:right="126"/>
              <w:jc w:val="right"/>
              <w:rPr>
                <w:sz w:val="20"/>
              </w:rPr>
            </w:pPr>
            <w:r>
              <w:rPr>
                <w:sz w:val="20"/>
              </w:rPr>
              <w:t>11.6</w:t>
            </w:r>
          </w:p>
        </w:tc>
        <w:tc>
          <w:tcPr>
            <w:tcW w:w="617" w:type="dxa"/>
            <w:tcBorders>
              <w:top w:val="single" w:sz="2" w:space="0" w:color="000000"/>
              <w:left w:val="single" w:sz="2" w:space="0" w:color="000000"/>
              <w:right w:val="single" w:sz="2" w:space="0" w:color="000000"/>
            </w:tcBorders>
          </w:tcPr>
          <w:p w:rsidR="009B3095" w:rsidRDefault="005A016F">
            <w:pPr>
              <w:pStyle w:val="TableParagraph"/>
              <w:spacing w:before="144"/>
              <w:ind w:left="135"/>
              <w:jc w:val="left"/>
              <w:rPr>
                <w:sz w:val="20"/>
              </w:rPr>
            </w:pPr>
            <w:r>
              <w:rPr>
                <w:sz w:val="20"/>
              </w:rPr>
              <w:t>25.0</w:t>
            </w:r>
          </w:p>
        </w:tc>
        <w:tc>
          <w:tcPr>
            <w:tcW w:w="816" w:type="dxa"/>
            <w:tcBorders>
              <w:top w:val="single" w:sz="2" w:space="0" w:color="000000"/>
              <w:left w:val="single" w:sz="2" w:space="0" w:color="000000"/>
              <w:right w:val="single" w:sz="2" w:space="0" w:color="000000"/>
            </w:tcBorders>
          </w:tcPr>
          <w:p w:rsidR="009B3095" w:rsidRDefault="005A016F">
            <w:pPr>
              <w:pStyle w:val="TableParagraph"/>
              <w:spacing w:before="29"/>
              <w:ind w:right="96"/>
              <w:jc w:val="right"/>
              <w:rPr>
                <w:sz w:val="20"/>
              </w:rPr>
            </w:pPr>
            <w:r>
              <w:rPr>
                <w:w w:val="95"/>
                <w:sz w:val="20"/>
              </w:rPr>
              <w:t>317000</w:t>
            </w:r>
          </w:p>
        </w:tc>
        <w:tc>
          <w:tcPr>
            <w:tcW w:w="842" w:type="dxa"/>
            <w:tcBorders>
              <w:top w:val="single" w:sz="2" w:space="0" w:color="000000"/>
              <w:left w:val="single" w:sz="2" w:space="0" w:color="000000"/>
              <w:right w:val="single" w:sz="2" w:space="0" w:color="000000"/>
            </w:tcBorders>
          </w:tcPr>
          <w:p w:rsidR="009B3095" w:rsidRDefault="005A016F">
            <w:pPr>
              <w:pStyle w:val="TableParagraph"/>
              <w:spacing w:before="144"/>
              <w:ind w:left="106" w:right="91"/>
              <w:rPr>
                <w:sz w:val="20"/>
              </w:rPr>
            </w:pPr>
            <w:r>
              <w:rPr>
                <w:sz w:val="20"/>
              </w:rPr>
              <w:t>843000</w:t>
            </w:r>
          </w:p>
        </w:tc>
        <w:tc>
          <w:tcPr>
            <w:tcW w:w="628" w:type="dxa"/>
            <w:tcBorders>
              <w:top w:val="single" w:sz="2" w:space="0" w:color="000000"/>
              <w:left w:val="single" w:sz="2" w:space="0" w:color="000000"/>
              <w:right w:val="single" w:sz="2" w:space="0" w:color="000000"/>
            </w:tcBorders>
          </w:tcPr>
          <w:p w:rsidR="009B3095" w:rsidRDefault="005A016F">
            <w:pPr>
              <w:pStyle w:val="TableParagraph"/>
              <w:spacing w:before="144"/>
              <w:ind w:left="93" w:right="79"/>
              <w:rPr>
                <w:sz w:val="20"/>
              </w:rPr>
            </w:pPr>
            <w:r>
              <w:rPr>
                <w:sz w:val="20"/>
              </w:rPr>
              <w:t>15.0</w:t>
            </w:r>
          </w:p>
        </w:tc>
        <w:tc>
          <w:tcPr>
            <w:tcW w:w="606" w:type="dxa"/>
            <w:tcBorders>
              <w:top w:val="single" w:sz="2" w:space="0" w:color="000000"/>
              <w:left w:val="single" w:sz="2" w:space="0" w:color="000000"/>
            </w:tcBorders>
          </w:tcPr>
          <w:p w:rsidR="009B3095" w:rsidRDefault="005A016F">
            <w:pPr>
              <w:pStyle w:val="TableParagraph"/>
              <w:spacing w:before="144"/>
              <w:ind w:left="98" w:right="74"/>
              <w:rPr>
                <w:sz w:val="20"/>
              </w:rPr>
            </w:pPr>
            <w:r>
              <w:rPr>
                <w:sz w:val="20"/>
              </w:rPr>
              <w:t>39.8</w:t>
            </w:r>
          </w:p>
        </w:tc>
      </w:tr>
    </w:tbl>
    <w:p w:rsidR="009B3095" w:rsidRDefault="005A016F">
      <w:pPr>
        <w:spacing w:before="53"/>
        <w:ind w:left="152"/>
        <w:rPr>
          <w:sz w:val="20"/>
        </w:rPr>
      </w:pPr>
      <w:r>
        <w:rPr>
          <w:sz w:val="20"/>
        </w:rPr>
        <w:t>F: female; M: male; NA: not applicable; NOAEL: no-observed-adverse-effect level;</w:t>
      </w:r>
    </w:p>
    <w:p w:rsidR="009B3095" w:rsidRDefault="005A016F">
      <w:pPr>
        <w:spacing w:before="61"/>
        <w:ind w:left="152"/>
        <w:rPr>
          <w:sz w:val="20"/>
        </w:rPr>
      </w:pPr>
      <w:r>
        <w:rPr>
          <w:sz w:val="20"/>
        </w:rPr>
        <w:t>† The underlined dose represents the NOAEL.</w:t>
      </w:r>
    </w:p>
    <w:p w:rsidR="009B3095" w:rsidRDefault="005A016F">
      <w:pPr>
        <w:spacing w:before="65" w:line="232" w:lineRule="auto"/>
        <w:ind w:left="152" w:right="1722"/>
        <w:rPr>
          <w:sz w:val="20"/>
        </w:rPr>
      </w:pPr>
      <w:r>
        <w:rPr>
          <w:position w:val="2"/>
          <w:sz w:val="20"/>
        </w:rPr>
        <w:t>‡ The exposure ratios were calculated as (AUC</w:t>
      </w:r>
      <w:r>
        <w:rPr>
          <w:sz w:val="13"/>
        </w:rPr>
        <w:t xml:space="preserve">168h </w:t>
      </w:r>
      <w:r>
        <w:rPr>
          <w:position w:val="2"/>
          <w:sz w:val="20"/>
        </w:rPr>
        <w:t>x 3 [or C</w:t>
      </w:r>
      <w:r>
        <w:rPr>
          <w:sz w:val="13"/>
        </w:rPr>
        <w:t>max</w:t>
      </w:r>
      <w:r>
        <w:rPr>
          <w:position w:val="2"/>
          <w:sz w:val="20"/>
        </w:rPr>
        <w:t>]) / (estimated human systemic exposure level at the efficacious dose [700 mg]). The estimated human systemic exposure level of C</w:t>
      </w:r>
      <w:r>
        <w:rPr>
          <w:sz w:val="13"/>
        </w:rPr>
        <w:t xml:space="preserve">max </w:t>
      </w:r>
      <w:r>
        <w:rPr>
          <w:position w:val="2"/>
          <w:sz w:val="20"/>
        </w:rPr>
        <w:t>or AUC</w:t>
      </w:r>
      <w:r>
        <w:rPr>
          <w:sz w:val="13"/>
        </w:rPr>
        <w:t xml:space="preserve">21d </w:t>
      </w:r>
      <w:r>
        <w:rPr>
          <w:position w:val="2"/>
          <w:sz w:val="20"/>
        </w:rPr>
        <w:t>was</w:t>
      </w:r>
    </w:p>
    <w:p w:rsidR="009B3095" w:rsidRDefault="005A016F">
      <w:pPr>
        <w:spacing w:line="227" w:lineRule="exact"/>
        <w:ind w:left="152"/>
        <w:rPr>
          <w:sz w:val="20"/>
        </w:rPr>
      </w:pPr>
      <w:r>
        <w:rPr>
          <w:sz w:val="20"/>
        </w:rPr>
        <w:t>331 µg/mL or 63600 µg·h/mL, respectively, at the estimated efficacious dose of 700 mg.</w:t>
      </w:r>
    </w:p>
    <w:p w:rsidR="009B3095" w:rsidRDefault="005A016F">
      <w:pPr>
        <w:spacing w:before="61"/>
        <w:ind w:left="152"/>
        <w:rPr>
          <w:sz w:val="20"/>
        </w:rPr>
      </w:pPr>
      <w:r>
        <w:rPr>
          <w:sz w:val="20"/>
        </w:rPr>
        <w:t>§ Day 22 for 50 and 100 mg/kg (n = 3) and day 29 for 200 mg/kg (n = 2)</w:t>
      </w:r>
    </w:p>
    <w:p w:rsidR="009B3095" w:rsidRDefault="005A016F">
      <w:pPr>
        <w:spacing w:before="60"/>
        <w:ind w:left="152" w:right="1680"/>
        <w:rPr>
          <w:sz w:val="20"/>
        </w:rPr>
      </w:pPr>
      <w:r>
        <w:rPr>
          <w:sz w:val="20"/>
        </w:rPr>
        <w:t>¶ A total of 5 animals: 3 animals during the main part of the study and 2 animals during the recovery part of the study</w:t>
      </w:r>
    </w:p>
    <w:p w:rsidR="009B3095" w:rsidRDefault="005A016F">
      <w:pPr>
        <w:spacing w:before="61"/>
        <w:ind w:left="152"/>
        <w:rPr>
          <w:sz w:val="20"/>
        </w:rPr>
      </w:pPr>
      <w:r>
        <w:rPr>
          <w:sz w:val="20"/>
        </w:rPr>
        <w:t xml:space="preserve">Source: Study </w:t>
      </w:r>
      <w:r w:rsidR="00B16187">
        <w:rPr>
          <w:sz w:val="20"/>
        </w:rPr>
        <w:t>Project 13</w:t>
      </w:r>
      <w:r>
        <w:rPr>
          <w:sz w:val="20"/>
        </w:rPr>
        <w:t xml:space="preserve">-ME-9002; Study </w:t>
      </w:r>
      <w:r w:rsidR="00B16187">
        <w:rPr>
          <w:sz w:val="20"/>
        </w:rPr>
        <w:t>Project 13</w:t>
      </w:r>
      <w:r>
        <w:rPr>
          <w:sz w:val="20"/>
        </w:rPr>
        <w:t>-TX-0002/</w:t>
      </w:r>
      <w:r w:rsidR="00B16187">
        <w:rPr>
          <w:sz w:val="20"/>
        </w:rPr>
        <w:t>PROJECT 13</w:t>
      </w:r>
      <w:r>
        <w:rPr>
          <w:sz w:val="20"/>
        </w:rPr>
        <w:t>-018</w:t>
      </w:r>
    </w:p>
    <w:p w:rsidR="009B3095" w:rsidRDefault="005A016F">
      <w:pPr>
        <w:pStyle w:val="3"/>
        <w:numPr>
          <w:ilvl w:val="2"/>
          <w:numId w:val="7"/>
        </w:numPr>
        <w:tabs>
          <w:tab w:val="left" w:pos="1004"/>
          <w:tab w:val="left" w:pos="1005"/>
        </w:tabs>
        <w:spacing w:before="148"/>
      </w:pPr>
      <w:bookmarkStart w:id="37" w:name="4.4.4_Starting_Dose_Rationale"/>
      <w:bookmarkStart w:id="38" w:name="_bookmark52"/>
      <w:bookmarkEnd w:id="37"/>
      <w:bookmarkEnd w:id="38"/>
      <w:r>
        <w:t>Starting Dose</w:t>
      </w:r>
      <w:r>
        <w:rPr>
          <w:spacing w:val="-3"/>
        </w:rPr>
        <w:t xml:space="preserve"> </w:t>
      </w:r>
      <w:r>
        <w:t>Rationale</w:t>
      </w:r>
    </w:p>
    <w:p w:rsidR="009B3095" w:rsidRDefault="00B16187">
      <w:pPr>
        <w:pStyle w:val="a3"/>
        <w:spacing w:before="139" w:line="261" w:lineRule="auto"/>
        <w:ind w:left="152" w:right="1681"/>
      </w:pPr>
      <w:r>
        <w:t>PROJECT 13</w:t>
      </w:r>
      <w:r w:rsidR="005A016F">
        <w:t xml:space="preserve"> has been shown to stimulate the immune system in in vitro pharmacology models </w:t>
      </w:r>
      <w:hyperlink w:anchor="_bookmark8" w:history="1">
        <w:r w:rsidR="005A016F">
          <w:t>[Section 4.1.1.1</w:t>
        </w:r>
      </w:hyperlink>
      <w:r w:rsidR="005A016F">
        <w:t xml:space="preserve">]. The FDA recommends that a minimum anticipated biological effect level (MABEL) be considered for selection of a starting dose for biopharmaceuticals with immune agonistic properties (FDA S9). The </w:t>
      </w:r>
      <w:r>
        <w:t>PROJECT 13</w:t>
      </w:r>
      <w:r w:rsidR="005A016F">
        <w:t xml:space="preserve"> FIH study uses a MABEL approach for starting dose</w:t>
      </w:r>
      <w:r w:rsidR="005A016F">
        <w:rPr>
          <w:spacing w:val="-3"/>
        </w:rPr>
        <w:t xml:space="preserve"> </w:t>
      </w:r>
      <w:r w:rsidR="005A016F">
        <w:t>selection.</w:t>
      </w:r>
    </w:p>
    <w:p w:rsidR="009B3095" w:rsidRDefault="005A016F">
      <w:pPr>
        <w:pStyle w:val="a3"/>
        <w:spacing w:before="116" w:line="261" w:lineRule="auto"/>
        <w:ind w:left="152" w:right="1895"/>
      </w:pPr>
      <w:r>
        <w:t>MABEL calculations were performed for each of the following in vitro studies: receptor occupancy using human whole blood; sub-optimally stimulated human PBMCs; and</w:t>
      </w:r>
    </w:p>
    <w:p w:rsidR="009B3095" w:rsidRDefault="005A016F">
      <w:pPr>
        <w:pStyle w:val="a3"/>
        <w:spacing w:line="274" w:lineRule="exact"/>
        <w:ind w:left="152"/>
      </w:pPr>
      <w:r>
        <w:t>sub-optimally stimulated human CD4</w:t>
      </w:r>
      <w:r>
        <w:rPr>
          <w:position w:val="9"/>
          <w:sz w:val="16"/>
        </w:rPr>
        <w:t xml:space="preserve">+ </w:t>
      </w:r>
      <w:r>
        <w:t>cells [</w:t>
      </w:r>
      <w:hyperlink w:anchor="_bookmark53" w:history="1">
        <w:r>
          <w:t>Table 7</w:t>
        </w:r>
      </w:hyperlink>
      <w:r>
        <w:t>]. MABEL was not calculated for the in</w:t>
      </w:r>
    </w:p>
    <w:p w:rsidR="009B3095" w:rsidRDefault="005A016F">
      <w:pPr>
        <w:pStyle w:val="a3"/>
        <w:spacing w:before="24"/>
        <w:ind w:left="152"/>
      </w:pPr>
      <w:r>
        <w:t>vitro study conducted in Jurkat cells, as these were engineered cells.</w:t>
      </w:r>
    </w:p>
    <w:p w:rsidR="009B3095" w:rsidRDefault="005A016F">
      <w:pPr>
        <w:pStyle w:val="3"/>
        <w:tabs>
          <w:tab w:val="left" w:pos="1571"/>
        </w:tabs>
        <w:ind w:left="152"/>
      </w:pPr>
      <w:bookmarkStart w:id="39" w:name="_bookmark53"/>
      <w:bookmarkEnd w:id="39"/>
      <w:r>
        <w:lastRenderedPageBreak/>
        <w:t>Table</w:t>
      </w:r>
      <w:r>
        <w:rPr>
          <w:spacing w:val="-1"/>
        </w:rPr>
        <w:t xml:space="preserve"> </w:t>
      </w:r>
      <w:r>
        <w:t>7</w:t>
      </w:r>
      <w:r>
        <w:tab/>
        <w:t>MABEL Calculations Based on In Vitro Pharmacology</w:t>
      </w:r>
      <w:r>
        <w:rPr>
          <w:spacing w:val="-6"/>
        </w:rPr>
        <w:t xml:space="preserve"> </w:t>
      </w:r>
      <w:r>
        <w:t>Studies</w:t>
      </w:r>
    </w:p>
    <w:p w:rsidR="009B3095" w:rsidRDefault="009B3095">
      <w:pPr>
        <w:pStyle w:val="a3"/>
        <w:spacing w:before="5"/>
        <w:rPr>
          <w:b/>
          <w:sz w:val="5"/>
        </w:rPr>
      </w:pPr>
    </w:p>
    <w:tbl>
      <w:tblPr>
        <w:tblStyle w:val="TableNormal"/>
        <w:tblW w:w="0" w:type="auto"/>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1"/>
        <w:gridCol w:w="1025"/>
        <w:gridCol w:w="996"/>
        <w:gridCol w:w="1025"/>
        <w:gridCol w:w="862"/>
        <w:gridCol w:w="773"/>
        <w:gridCol w:w="679"/>
      </w:tblGrid>
      <w:tr w:rsidR="009B3095">
        <w:trPr>
          <w:trHeight w:val="810"/>
        </w:trPr>
        <w:tc>
          <w:tcPr>
            <w:tcW w:w="3641" w:type="dxa"/>
            <w:vMerge w:val="restart"/>
            <w:tcBorders>
              <w:bottom w:val="single" w:sz="2" w:space="0" w:color="000000"/>
              <w:right w:val="single" w:sz="2" w:space="0" w:color="000000"/>
            </w:tcBorders>
          </w:tcPr>
          <w:p w:rsidR="009B3095" w:rsidRDefault="009B3095">
            <w:pPr>
              <w:pStyle w:val="TableParagraph"/>
              <w:spacing w:before="0"/>
              <w:jc w:val="left"/>
              <w:rPr>
                <w:b/>
              </w:rPr>
            </w:pPr>
          </w:p>
          <w:p w:rsidR="009B3095" w:rsidRDefault="009B3095">
            <w:pPr>
              <w:pStyle w:val="TableParagraph"/>
              <w:spacing w:before="0"/>
              <w:jc w:val="left"/>
              <w:rPr>
                <w:b/>
              </w:rPr>
            </w:pPr>
          </w:p>
          <w:p w:rsidR="009B3095" w:rsidRDefault="009B3095">
            <w:pPr>
              <w:pStyle w:val="TableParagraph"/>
              <w:spacing w:before="3"/>
              <w:jc w:val="left"/>
              <w:rPr>
                <w:b/>
                <w:sz w:val="30"/>
              </w:rPr>
            </w:pPr>
          </w:p>
          <w:p w:rsidR="009B3095" w:rsidRDefault="005A016F">
            <w:pPr>
              <w:pStyle w:val="TableParagraph"/>
              <w:spacing w:before="0"/>
              <w:ind w:left="114"/>
              <w:jc w:val="left"/>
              <w:rPr>
                <w:b/>
                <w:sz w:val="20"/>
              </w:rPr>
            </w:pPr>
            <w:r>
              <w:rPr>
                <w:b/>
                <w:sz w:val="20"/>
              </w:rPr>
              <w:t>Evaluation</w:t>
            </w:r>
          </w:p>
        </w:tc>
        <w:tc>
          <w:tcPr>
            <w:tcW w:w="3046" w:type="dxa"/>
            <w:gridSpan w:val="3"/>
            <w:tcBorders>
              <w:left w:val="single" w:sz="2" w:space="0" w:color="000000"/>
              <w:bottom w:val="single" w:sz="2" w:space="0" w:color="000000"/>
              <w:right w:val="single" w:sz="2" w:space="0" w:color="000000"/>
            </w:tcBorders>
          </w:tcPr>
          <w:p w:rsidR="009B3095" w:rsidRDefault="009B3095">
            <w:pPr>
              <w:pStyle w:val="TableParagraph"/>
              <w:spacing w:before="0"/>
              <w:jc w:val="left"/>
              <w:rPr>
                <w:b/>
              </w:rPr>
            </w:pPr>
          </w:p>
          <w:p w:rsidR="009B3095" w:rsidRDefault="009B3095">
            <w:pPr>
              <w:pStyle w:val="TableParagraph"/>
              <w:spacing w:before="8"/>
              <w:jc w:val="left"/>
              <w:rPr>
                <w:b/>
                <w:sz w:val="24"/>
              </w:rPr>
            </w:pPr>
          </w:p>
          <w:p w:rsidR="009B3095" w:rsidRDefault="00B16187">
            <w:pPr>
              <w:pStyle w:val="TableParagraph"/>
              <w:spacing w:before="1"/>
              <w:ind w:left="119"/>
              <w:jc w:val="left"/>
              <w:rPr>
                <w:b/>
                <w:sz w:val="20"/>
              </w:rPr>
            </w:pPr>
            <w:r>
              <w:rPr>
                <w:b/>
                <w:sz w:val="20"/>
              </w:rPr>
              <w:t>PROJECT 13</w:t>
            </w:r>
            <w:r w:rsidR="005A016F">
              <w:rPr>
                <w:b/>
                <w:sz w:val="20"/>
              </w:rPr>
              <w:t xml:space="preserve"> Concentration (µg/mL)</w:t>
            </w:r>
          </w:p>
        </w:tc>
        <w:tc>
          <w:tcPr>
            <w:tcW w:w="2314" w:type="dxa"/>
            <w:gridSpan w:val="3"/>
            <w:tcBorders>
              <w:left w:val="single" w:sz="2" w:space="0" w:color="000000"/>
              <w:bottom w:val="single" w:sz="2" w:space="0" w:color="000000"/>
            </w:tcBorders>
          </w:tcPr>
          <w:p w:rsidR="009B3095" w:rsidRDefault="005A016F">
            <w:pPr>
              <w:pStyle w:val="TableParagraph"/>
              <w:spacing w:before="38"/>
              <w:ind w:left="313" w:right="294"/>
              <w:rPr>
                <w:b/>
                <w:sz w:val="20"/>
              </w:rPr>
            </w:pPr>
            <w:r>
              <w:rPr>
                <w:b/>
                <w:sz w:val="20"/>
              </w:rPr>
              <w:t xml:space="preserve">Estimated </w:t>
            </w:r>
            <w:r w:rsidR="00B16187">
              <w:rPr>
                <w:b/>
                <w:sz w:val="20"/>
              </w:rPr>
              <w:t>PROJECT 13</w:t>
            </w:r>
            <w:r>
              <w:rPr>
                <w:b/>
                <w:sz w:val="20"/>
              </w:rPr>
              <w:t xml:space="preserve"> Human Dose</w:t>
            </w:r>
          </w:p>
          <w:p w:rsidR="009B3095" w:rsidRDefault="005A016F">
            <w:pPr>
              <w:pStyle w:val="TableParagraph"/>
              <w:spacing w:before="40"/>
              <w:ind w:left="307" w:right="294"/>
              <w:rPr>
                <w:b/>
                <w:sz w:val="20"/>
              </w:rPr>
            </w:pPr>
            <w:r>
              <w:rPr>
                <w:b/>
                <w:sz w:val="20"/>
              </w:rPr>
              <w:t>(mg)</w:t>
            </w:r>
          </w:p>
        </w:tc>
      </w:tr>
      <w:tr w:rsidR="009B3095">
        <w:trPr>
          <w:trHeight w:val="309"/>
        </w:trPr>
        <w:tc>
          <w:tcPr>
            <w:tcW w:w="3641" w:type="dxa"/>
            <w:vMerge/>
            <w:tcBorders>
              <w:top w:val="nil"/>
              <w:bottom w:val="single" w:sz="2" w:space="0" w:color="000000"/>
              <w:right w:val="single" w:sz="2" w:space="0" w:color="000000"/>
            </w:tcBorders>
          </w:tcPr>
          <w:p w:rsidR="009B3095" w:rsidRDefault="009B3095">
            <w:pPr>
              <w:rPr>
                <w:sz w:val="2"/>
                <w:szCs w:val="2"/>
              </w:rPr>
            </w:pPr>
          </w:p>
        </w:tc>
        <w:tc>
          <w:tcPr>
            <w:tcW w:w="1025"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216" w:right="207"/>
              <w:rPr>
                <w:b/>
                <w:sz w:val="13"/>
              </w:rPr>
            </w:pPr>
            <w:r>
              <w:rPr>
                <w:b/>
                <w:position w:val="1"/>
                <w:sz w:val="20"/>
              </w:rPr>
              <w:t>EC</w:t>
            </w:r>
            <w:r>
              <w:rPr>
                <w:b/>
                <w:sz w:val="13"/>
              </w:rPr>
              <w:t>10</w:t>
            </w:r>
          </w:p>
        </w:tc>
        <w:tc>
          <w:tcPr>
            <w:tcW w:w="99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203" w:right="195"/>
              <w:rPr>
                <w:b/>
                <w:sz w:val="13"/>
              </w:rPr>
            </w:pPr>
            <w:r>
              <w:rPr>
                <w:b/>
                <w:position w:val="1"/>
                <w:sz w:val="20"/>
              </w:rPr>
              <w:t>EC</w:t>
            </w:r>
            <w:r>
              <w:rPr>
                <w:b/>
                <w:sz w:val="13"/>
              </w:rPr>
              <w:t>50</w:t>
            </w:r>
          </w:p>
        </w:tc>
        <w:tc>
          <w:tcPr>
            <w:tcW w:w="1025"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215" w:right="207"/>
              <w:rPr>
                <w:b/>
                <w:sz w:val="13"/>
              </w:rPr>
            </w:pPr>
            <w:r>
              <w:rPr>
                <w:b/>
                <w:position w:val="1"/>
                <w:sz w:val="20"/>
              </w:rPr>
              <w:t>EC</w:t>
            </w:r>
            <w:r>
              <w:rPr>
                <w:b/>
                <w:sz w:val="13"/>
              </w:rPr>
              <w:t>90</w:t>
            </w:r>
          </w:p>
        </w:tc>
        <w:tc>
          <w:tcPr>
            <w:tcW w:w="86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134" w:right="126"/>
              <w:rPr>
                <w:b/>
                <w:sz w:val="13"/>
              </w:rPr>
            </w:pPr>
            <w:r>
              <w:rPr>
                <w:b/>
                <w:position w:val="1"/>
                <w:sz w:val="20"/>
              </w:rPr>
              <w:t>ED</w:t>
            </w:r>
            <w:r>
              <w:rPr>
                <w:b/>
                <w:sz w:val="13"/>
              </w:rPr>
              <w:t>10</w:t>
            </w:r>
          </w:p>
        </w:tc>
        <w:tc>
          <w:tcPr>
            <w:tcW w:w="77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38"/>
              <w:ind w:left="141" w:right="132"/>
              <w:rPr>
                <w:b/>
                <w:sz w:val="13"/>
              </w:rPr>
            </w:pPr>
            <w:r>
              <w:rPr>
                <w:b/>
                <w:position w:val="1"/>
                <w:sz w:val="20"/>
              </w:rPr>
              <w:t>ED</w:t>
            </w:r>
            <w:r>
              <w:rPr>
                <w:b/>
                <w:sz w:val="13"/>
              </w:rPr>
              <w:t>50</w:t>
            </w:r>
          </w:p>
        </w:tc>
        <w:tc>
          <w:tcPr>
            <w:tcW w:w="679" w:type="dxa"/>
            <w:tcBorders>
              <w:top w:val="single" w:sz="2" w:space="0" w:color="000000"/>
              <w:left w:val="single" w:sz="2" w:space="0" w:color="000000"/>
              <w:bottom w:val="single" w:sz="2" w:space="0" w:color="000000"/>
            </w:tcBorders>
          </w:tcPr>
          <w:p w:rsidR="009B3095" w:rsidRDefault="005A016F">
            <w:pPr>
              <w:pStyle w:val="TableParagraph"/>
              <w:spacing w:before="38"/>
              <w:ind w:left="119" w:right="102"/>
              <w:rPr>
                <w:b/>
                <w:sz w:val="13"/>
              </w:rPr>
            </w:pPr>
            <w:r>
              <w:rPr>
                <w:b/>
                <w:position w:val="1"/>
                <w:sz w:val="20"/>
              </w:rPr>
              <w:t>ED</w:t>
            </w:r>
            <w:r>
              <w:rPr>
                <w:b/>
                <w:sz w:val="13"/>
              </w:rPr>
              <w:t>90</w:t>
            </w:r>
          </w:p>
        </w:tc>
      </w:tr>
      <w:tr w:rsidR="009B3095">
        <w:trPr>
          <w:trHeight w:val="539"/>
        </w:trPr>
        <w:tc>
          <w:tcPr>
            <w:tcW w:w="3641" w:type="dxa"/>
            <w:tcBorders>
              <w:top w:val="single" w:sz="2" w:space="0" w:color="000000"/>
              <w:bottom w:val="single" w:sz="2" w:space="0" w:color="000000"/>
              <w:right w:val="single" w:sz="2" w:space="0" w:color="000000"/>
            </w:tcBorders>
          </w:tcPr>
          <w:p w:rsidR="009B3095" w:rsidRDefault="005A016F">
            <w:pPr>
              <w:pStyle w:val="TableParagraph"/>
              <w:spacing w:before="34"/>
              <w:ind w:left="114" w:right="531"/>
              <w:jc w:val="left"/>
              <w:rPr>
                <w:sz w:val="20"/>
              </w:rPr>
            </w:pPr>
            <w:r>
              <w:rPr>
                <w:sz w:val="20"/>
              </w:rPr>
              <w:t>Receptor occupancy in human whole blood† (n = 2 donors)</w:t>
            </w:r>
          </w:p>
        </w:tc>
        <w:tc>
          <w:tcPr>
            <w:tcW w:w="1025"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9"/>
              <w:ind w:left="222" w:right="207"/>
              <w:rPr>
                <w:sz w:val="20"/>
              </w:rPr>
            </w:pPr>
            <w:r>
              <w:rPr>
                <w:sz w:val="20"/>
              </w:rPr>
              <w:t>0.0015</w:t>
            </w:r>
          </w:p>
        </w:tc>
        <w:tc>
          <w:tcPr>
            <w:tcW w:w="99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9"/>
              <w:ind w:left="205" w:right="195"/>
              <w:rPr>
                <w:sz w:val="20"/>
              </w:rPr>
            </w:pPr>
            <w:r>
              <w:rPr>
                <w:sz w:val="20"/>
              </w:rPr>
              <w:t>0.0081</w:t>
            </w:r>
          </w:p>
        </w:tc>
        <w:tc>
          <w:tcPr>
            <w:tcW w:w="1025"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54"/>
              <w:ind w:left="220" w:right="207"/>
              <w:rPr>
                <w:b/>
                <w:sz w:val="20"/>
              </w:rPr>
            </w:pPr>
            <w:r>
              <w:rPr>
                <w:b/>
                <w:sz w:val="20"/>
              </w:rPr>
              <w:t>0.046</w:t>
            </w:r>
          </w:p>
        </w:tc>
        <w:tc>
          <w:tcPr>
            <w:tcW w:w="86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9"/>
              <w:ind w:left="140" w:right="126"/>
              <w:rPr>
                <w:sz w:val="20"/>
              </w:rPr>
            </w:pPr>
            <w:r>
              <w:rPr>
                <w:sz w:val="20"/>
              </w:rPr>
              <w:t>0.0044</w:t>
            </w:r>
          </w:p>
        </w:tc>
        <w:tc>
          <w:tcPr>
            <w:tcW w:w="77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9"/>
              <w:ind w:left="146" w:right="132"/>
              <w:rPr>
                <w:sz w:val="20"/>
              </w:rPr>
            </w:pPr>
            <w:r>
              <w:rPr>
                <w:sz w:val="20"/>
              </w:rPr>
              <w:t>0.024</w:t>
            </w:r>
          </w:p>
        </w:tc>
        <w:tc>
          <w:tcPr>
            <w:tcW w:w="679" w:type="dxa"/>
            <w:tcBorders>
              <w:top w:val="single" w:sz="2" w:space="0" w:color="000000"/>
              <w:left w:val="single" w:sz="2" w:space="0" w:color="000000"/>
              <w:bottom w:val="single" w:sz="2" w:space="0" w:color="000000"/>
            </w:tcBorders>
          </w:tcPr>
          <w:p w:rsidR="009B3095" w:rsidRDefault="005A016F">
            <w:pPr>
              <w:pStyle w:val="TableParagraph"/>
              <w:spacing w:before="154"/>
              <w:ind w:left="119" w:right="98"/>
              <w:rPr>
                <w:b/>
                <w:sz w:val="20"/>
              </w:rPr>
            </w:pPr>
            <w:r>
              <w:rPr>
                <w:b/>
                <w:sz w:val="20"/>
              </w:rPr>
              <w:t>0.14</w:t>
            </w:r>
          </w:p>
        </w:tc>
      </w:tr>
      <w:tr w:rsidR="009B3095">
        <w:trPr>
          <w:trHeight w:val="539"/>
        </w:trPr>
        <w:tc>
          <w:tcPr>
            <w:tcW w:w="3641" w:type="dxa"/>
            <w:tcBorders>
              <w:top w:val="single" w:sz="2" w:space="0" w:color="000000"/>
              <w:bottom w:val="single" w:sz="2" w:space="0" w:color="000000"/>
              <w:right w:val="single" w:sz="2" w:space="0" w:color="000000"/>
            </w:tcBorders>
          </w:tcPr>
          <w:p w:rsidR="009B3095" w:rsidRDefault="005A016F">
            <w:pPr>
              <w:pStyle w:val="TableParagraph"/>
              <w:spacing w:before="34"/>
              <w:ind w:left="114" w:right="269"/>
              <w:jc w:val="left"/>
              <w:rPr>
                <w:sz w:val="20"/>
              </w:rPr>
            </w:pPr>
            <w:r>
              <w:rPr>
                <w:sz w:val="20"/>
              </w:rPr>
              <w:t>Human PBMCs sub-optimal stimulation (n = 2 donors, TNF)</w:t>
            </w:r>
          </w:p>
        </w:tc>
        <w:tc>
          <w:tcPr>
            <w:tcW w:w="1025"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54"/>
              <w:ind w:left="220" w:right="207"/>
              <w:rPr>
                <w:b/>
                <w:sz w:val="20"/>
              </w:rPr>
            </w:pPr>
            <w:r>
              <w:rPr>
                <w:b/>
                <w:sz w:val="20"/>
              </w:rPr>
              <w:t>1.8</w:t>
            </w:r>
          </w:p>
        </w:tc>
        <w:tc>
          <w:tcPr>
            <w:tcW w:w="996"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9"/>
              <w:ind w:left="205" w:right="192"/>
              <w:rPr>
                <w:sz w:val="20"/>
              </w:rPr>
            </w:pPr>
            <w:r>
              <w:rPr>
                <w:sz w:val="20"/>
              </w:rPr>
              <w:t>2.5</w:t>
            </w:r>
          </w:p>
        </w:tc>
        <w:tc>
          <w:tcPr>
            <w:tcW w:w="1025"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9"/>
              <w:ind w:left="220" w:right="207"/>
              <w:rPr>
                <w:sz w:val="20"/>
              </w:rPr>
            </w:pPr>
            <w:r>
              <w:rPr>
                <w:sz w:val="20"/>
              </w:rPr>
              <w:t>4.1</w:t>
            </w:r>
          </w:p>
        </w:tc>
        <w:tc>
          <w:tcPr>
            <w:tcW w:w="862"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54"/>
              <w:ind w:left="138" w:right="126"/>
              <w:rPr>
                <w:b/>
                <w:sz w:val="20"/>
              </w:rPr>
            </w:pPr>
            <w:r>
              <w:rPr>
                <w:b/>
                <w:sz w:val="20"/>
              </w:rPr>
              <w:t>5.4</w:t>
            </w:r>
          </w:p>
        </w:tc>
        <w:tc>
          <w:tcPr>
            <w:tcW w:w="773" w:type="dxa"/>
            <w:tcBorders>
              <w:top w:val="single" w:sz="2" w:space="0" w:color="000000"/>
              <w:left w:val="single" w:sz="2" w:space="0" w:color="000000"/>
              <w:bottom w:val="single" w:sz="2" w:space="0" w:color="000000"/>
              <w:right w:val="single" w:sz="2" w:space="0" w:color="000000"/>
            </w:tcBorders>
          </w:tcPr>
          <w:p w:rsidR="009B3095" w:rsidRDefault="005A016F">
            <w:pPr>
              <w:pStyle w:val="TableParagraph"/>
              <w:spacing w:before="149"/>
              <w:ind w:left="146" w:right="132"/>
              <w:rPr>
                <w:sz w:val="20"/>
              </w:rPr>
            </w:pPr>
            <w:r>
              <w:rPr>
                <w:sz w:val="20"/>
              </w:rPr>
              <w:t>7.5</w:t>
            </w:r>
          </w:p>
        </w:tc>
        <w:tc>
          <w:tcPr>
            <w:tcW w:w="679" w:type="dxa"/>
            <w:tcBorders>
              <w:top w:val="single" w:sz="2" w:space="0" w:color="000000"/>
              <w:left w:val="single" w:sz="2" w:space="0" w:color="000000"/>
              <w:bottom w:val="single" w:sz="2" w:space="0" w:color="000000"/>
            </w:tcBorders>
          </w:tcPr>
          <w:p w:rsidR="009B3095" w:rsidRDefault="005A016F">
            <w:pPr>
              <w:pStyle w:val="TableParagraph"/>
              <w:spacing w:before="149"/>
              <w:ind w:left="119" w:right="100"/>
              <w:rPr>
                <w:sz w:val="20"/>
              </w:rPr>
            </w:pPr>
            <w:r>
              <w:rPr>
                <w:sz w:val="20"/>
              </w:rPr>
              <w:t>12</w:t>
            </w:r>
          </w:p>
        </w:tc>
      </w:tr>
      <w:tr w:rsidR="009B3095">
        <w:trPr>
          <w:trHeight w:val="539"/>
        </w:trPr>
        <w:tc>
          <w:tcPr>
            <w:tcW w:w="3641" w:type="dxa"/>
            <w:tcBorders>
              <w:top w:val="single" w:sz="2" w:space="0" w:color="000000"/>
              <w:right w:val="single" w:sz="2" w:space="0" w:color="000000"/>
            </w:tcBorders>
          </w:tcPr>
          <w:p w:rsidR="009B3095" w:rsidRDefault="005A016F">
            <w:pPr>
              <w:pStyle w:val="TableParagraph"/>
              <w:spacing w:before="29"/>
              <w:ind w:left="114" w:right="469"/>
              <w:jc w:val="left"/>
              <w:rPr>
                <w:sz w:val="20"/>
              </w:rPr>
            </w:pPr>
            <w:r>
              <w:rPr>
                <w:sz w:val="20"/>
              </w:rPr>
              <w:t>Human CD4</w:t>
            </w:r>
            <w:r>
              <w:rPr>
                <w:position w:val="7"/>
                <w:sz w:val="13"/>
              </w:rPr>
              <w:t xml:space="preserve">+ </w:t>
            </w:r>
            <w:r>
              <w:rPr>
                <w:sz w:val="20"/>
              </w:rPr>
              <w:t>sub-optimal stimulation (n = 3 donors, IFN-γ)</w:t>
            </w:r>
          </w:p>
        </w:tc>
        <w:tc>
          <w:tcPr>
            <w:tcW w:w="1025" w:type="dxa"/>
            <w:tcBorders>
              <w:top w:val="single" w:sz="2" w:space="0" w:color="000000"/>
              <w:left w:val="single" w:sz="2" w:space="0" w:color="000000"/>
              <w:right w:val="single" w:sz="2" w:space="0" w:color="000000"/>
            </w:tcBorders>
          </w:tcPr>
          <w:p w:rsidR="009B3095" w:rsidRDefault="005A016F">
            <w:pPr>
              <w:pStyle w:val="TableParagraph"/>
              <w:spacing w:before="154"/>
              <w:ind w:left="220" w:right="207"/>
              <w:rPr>
                <w:b/>
                <w:sz w:val="20"/>
              </w:rPr>
            </w:pPr>
            <w:r>
              <w:rPr>
                <w:b/>
                <w:sz w:val="20"/>
              </w:rPr>
              <w:t>0.11</w:t>
            </w:r>
          </w:p>
        </w:tc>
        <w:tc>
          <w:tcPr>
            <w:tcW w:w="996" w:type="dxa"/>
            <w:tcBorders>
              <w:top w:val="single" w:sz="2" w:space="0" w:color="000000"/>
              <w:left w:val="single" w:sz="2" w:space="0" w:color="000000"/>
              <w:right w:val="single" w:sz="2" w:space="0" w:color="000000"/>
            </w:tcBorders>
          </w:tcPr>
          <w:p w:rsidR="009B3095" w:rsidRDefault="005A016F">
            <w:pPr>
              <w:pStyle w:val="TableParagraph"/>
              <w:spacing w:before="149"/>
              <w:ind w:left="205" w:right="192"/>
              <w:rPr>
                <w:sz w:val="20"/>
              </w:rPr>
            </w:pPr>
            <w:r>
              <w:rPr>
                <w:sz w:val="20"/>
              </w:rPr>
              <w:t>0.15</w:t>
            </w:r>
          </w:p>
        </w:tc>
        <w:tc>
          <w:tcPr>
            <w:tcW w:w="1025" w:type="dxa"/>
            <w:tcBorders>
              <w:top w:val="single" w:sz="2" w:space="0" w:color="000000"/>
              <w:left w:val="single" w:sz="2" w:space="0" w:color="000000"/>
              <w:right w:val="single" w:sz="2" w:space="0" w:color="000000"/>
            </w:tcBorders>
          </w:tcPr>
          <w:p w:rsidR="009B3095" w:rsidRDefault="005A016F">
            <w:pPr>
              <w:pStyle w:val="TableParagraph"/>
              <w:spacing w:before="149"/>
              <w:ind w:left="220" w:right="207"/>
              <w:rPr>
                <w:sz w:val="20"/>
              </w:rPr>
            </w:pPr>
            <w:r>
              <w:rPr>
                <w:sz w:val="20"/>
              </w:rPr>
              <w:t>0.25</w:t>
            </w:r>
          </w:p>
        </w:tc>
        <w:tc>
          <w:tcPr>
            <w:tcW w:w="862" w:type="dxa"/>
            <w:tcBorders>
              <w:top w:val="single" w:sz="2" w:space="0" w:color="000000"/>
              <w:left w:val="single" w:sz="2" w:space="0" w:color="000000"/>
              <w:right w:val="single" w:sz="2" w:space="0" w:color="000000"/>
            </w:tcBorders>
          </w:tcPr>
          <w:p w:rsidR="009B3095" w:rsidRDefault="005A016F">
            <w:pPr>
              <w:pStyle w:val="TableParagraph"/>
              <w:spacing w:before="154"/>
              <w:ind w:left="138" w:right="126"/>
              <w:rPr>
                <w:b/>
                <w:sz w:val="20"/>
              </w:rPr>
            </w:pPr>
            <w:r>
              <w:rPr>
                <w:b/>
                <w:sz w:val="20"/>
              </w:rPr>
              <w:t>0.34</w:t>
            </w:r>
          </w:p>
        </w:tc>
        <w:tc>
          <w:tcPr>
            <w:tcW w:w="773" w:type="dxa"/>
            <w:tcBorders>
              <w:top w:val="single" w:sz="2" w:space="0" w:color="000000"/>
              <w:left w:val="single" w:sz="2" w:space="0" w:color="000000"/>
              <w:right w:val="single" w:sz="2" w:space="0" w:color="000000"/>
            </w:tcBorders>
          </w:tcPr>
          <w:p w:rsidR="009B3095" w:rsidRDefault="005A016F">
            <w:pPr>
              <w:pStyle w:val="TableParagraph"/>
              <w:spacing w:before="149"/>
              <w:ind w:left="146" w:right="132"/>
              <w:rPr>
                <w:sz w:val="20"/>
              </w:rPr>
            </w:pPr>
            <w:r>
              <w:rPr>
                <w:sz w:val="20"/>
              </w:rPr>
              <w:t>0.46</w:t>
            </w:r>
          </w:p>
        </w:tc>
        <w:tc>
          <w:tcPr>
            <w:tcW w:w="679" w:type="dxa"/>
            <w:tcBorders>
              <w:top w:val="single" w:sz="2" w:space="0" w:color="000000"/>
              <w:left w:val="single" w:sz="2" w:space="0" w:color="000000"/>
            </w:tcBorders>
          </w:tcPr>
          <w:p w:rsidR="009B3095" w:rsidRDefault="005A016F">
            <w:pPr>
              <w:pStyle w:val="TableParagraph"/>
              <w:spacing w:before="149"/>
              <w:ind w:left="119" w:right="98"/>
              <w:rPr>
                <w:sz w:val="20"/>
              </w:rPr>
            </w:pPr>
            <w:r>
              <w:rPr>
                <w:sz w:val="20"/>
              </w:rPr>
              <w:t>0.74</w:t>
            </w:r>
          </w:p>
        </w:tc>
      </w:tr>
    </w:tbl>
    <w:p w:rsidR="009B3095" w:rsidRDefault="005A016F">
      <w:pPr>
        <w:spacing w:before="54"/>
        <w:ind w:left="152" w:right="2027"/>
        <w:rPr>
          <w:sz w:val="20"/>
        </w:rPr>
      </w:pPr>
      <w:r>
        <w:rPr>
          <w:sz w:val="20"/>
        </w:rPr>
        <w:t>EC: effective concentration; ED: effective dose; IFN: interferon; MABEL: minimum anticipated biological effect level; PBMC: peripheral blood mononuclear cell; TNF: tumor necrosis factor</w:t>
      </w:r>
    </w:p>
    <w:p w:rsidR="009B3095" w:rsidRDefault="005A016F">
      <w:pPr>
        <w:spacing w:before="56" w:line="302" w:lineRule="auto"/>
        <w:ind w:left="152" w:right="1895"/>
        <w:rPr>
          <w:sz w:val="20"/>
        </w:rPr>
      </w:pPr>
      <w:r>
        <w:rPr>
          <w:sz w:val="20"/>
        </w:rPr>
        <w:t>†Average of EC values determined in CD4</w:t>
      </w:r>
      <w:r>
        <w:rPr>
          <w:position w:val="7"/>
          <w:sz w:val="13"/>
        </w:rPr>
        <w:t>+</w:t>
      </w:r>
      <w:r>
        <w:rPr>
          <w:sz w:val="20"/>
        </w:rPr>
        <w:t>, CD8</w:t>
      </w:r>
      <w:r>
        <w:rPr>
          <w:position w:val="7"/>
          <w:sz w:val="13"/>
        </w:rPr>
        <w:t xml:space="preserve">+ </w:t>
      </w:r>
      <w:r>
        <w:rPr>
          <w:sz w:val="20"/>
        </w:rPr>
        <w:t>and natural killer cell subsets in human whole blood MABEL Flat Dose (mg) = Concentration (µg/mL) * V (L), assuming V = 3 L in 70 kg human</w:t>
      </w:r>
    </w:p>
    <w:p w:rsidR="009B3095" w:rsidRDefault="005A016F">
      <w:pPr>
        <w:spacing w:before="1"/>
        <w:ind w:left="152" w:right="1727"/>
        <w:rPr>
          <w:sz w:val="20"/>
        </w:rPr>
      </w:pPr>
      <w:r>
        <w:rPr>
          <w:sz w:val="20"/>
        </w:rPr>
        <w:t xml:space="preserve">Concentrations in (µg/mL) were calculated based on those in (nmol/L) in Studies </w:t>
      </w:r>
      <w:r w:rsidR="00B16187">
        <w:rPr>
          <w:sz w:val="20"/>
        </w:rPr>
        <w:t>Project 13</w:t>
      </w:r>
      <w:r>
        <w:rPr>
          <w:sz w:val="20"/>
        </w:rPr>
        <w:t>-PH-9013/</w:t>
      </w:r>
      <w:r w:rsidR="00B16187">
        <w:rPr>
          <w:sz w:val="20"/>
        </w:rPr>
        <w:t>PROJECT 13</w:t>
      </w:r>
      <w:r>
        <w:rPr>
          <w:sz w:val="20"/>
        </w:rPr>
        <w:t xml:space="preserve">-007 and </w:t>
      </w:r>
      <w:r w:rsidR="00B16187">
        <w:rPr>
          <w:sz w:val="20"/>
        </w:rPr>
        <w:t>Project 13</w:t>
      </w:r>
      <w:r>
        <w:rPr>
          <w:sz w:val="20"/>
        </w:rPr>
        <w:t>-PH-9004/</w:t>
      </w:r>
      <w:r w:rsidR="00B16187">
        <w:rPr>
          <w:sz w:val="20"/>
        </w:rPr>
        <w:t>PROJECT 13</w:t>
      </w:r>
      <w:r>
        <w:rPr>
          <w:sz w:val="20"/>
        </w:rPr>
        <w:t>-005, using a nominal molecular weight for IgG of 150 kDa.</w:t>
      </w:r>
    </w:p>
    <w:p w:rsidR="009B3095" w:rsidRDefault="005A016F">
      <w:pPr>
        <w:spacing w:before="62" w:line="235" w:lineRule="auto"/>
        <w:ind w:left="152" w:right="1895"/>
        <w:rPr>
          <w:sz w:val="20"/>
        </w:rPr>
      </w:pPr>
      <w:r>
        <w:rPr>
          <w:position w:val="2"/>
          <w:sz w:val="20"/>
        </w:rPr>
        <w:t>EC</w:t>
      </w:r>
      <w:r>
        <w:rPr>
          <w:sz w:val="13"/>
        </w:rPr>
        <w:t>10</w:t>
      </w:r>
      <w:r>
        <w:rPr>
          <w:position w:val="2"/>
          <w:sz w:val="20"/>
        </w:rPr>
        <w:t>, EC</w:t>
      </w:r>
      <w:r>
        <w:rPr>
          <w:sz w:val="13"/>
        </w:rPr>
        <w:t xml:space="preserve">50 </w:t>
      </w:r>
      <w:r>
        <w:rPr>
          <w:position w:val="2"/>
          <w:sz w:val="20"/>
        </w:rPr>
        <w:t>and EC</w:t>
      </w:r>
      <w:r>
        <w:rPr>
          <w:sz w:val="13"/>
        </w:rPr>
        <w:t xml:space="preserve">90 </w:t>
      </w:r>
      <w:r>
        <w:rPr>
          <w:position w:val="2"/>
          <w:sz w:val="20"/>
        </w:rPr>
        <w:t xml:space="preserve">for receptor occupancy: Concentrations to achieve 10%, 50% and 90% receptor </w:t>
      </w:r>
      <w:r>
        <w:rPr>
          <w:sz w:val="20"/>
        </w:rPr>
        <w:t>occupancy, respectively.</w:t>
      </w:r>
    </w:p>
    <w:p w:rsidR="009B3095" w:rsidRDefault="005A016F">
      <w:pPr>
        <w:spacing w:before="76" w:line="220" w:lineRule="auto"/>
        <w:ind w:left="152" w:right="1895"/>
        <w:rPr>
          <w:sz w:val="20"/>
        </w:rPr>
      </w:pPr>
      <w:r>
        <w:rPr>
          <w:position w:val="2"/>
          <w:sz w:val="20"/>
        </w:rPr>
        <w:t>EC</w:t>
      </w:r>
      <w:r>
        <w:rPr>
          <w:sz w:val="13"/>
        </w:rPr>
        <w:t>10</w:t>
      </w:r>
      <w:r>
        <w:rPr>
          <w:position w:val="2"/>
          <w:sz w:val="20"/>
        </w:rPr>
        <w:t>, EC</w:t>
      </w:r>
      <w:r>
        <w:rPr>
          <w:sz w:val="13"/>
        </w:rPr>
        <w:t xml:space="preserve">50 </w:t>
      </w:r>
      <w:r>
        <w:rPr>
          <w:position w:val="2"/>
          <w:sz w:val="20"/>
        </w:rPr>
        <w:t>and EC</w:t>
      </w:r>
      <w:r>
        <w:rPr>
          <w:sz w:val="13"/>
        </w:rPr>
        <w:t xml:space="preserve">90 </w:t>
      </w:r>
      <w:r>
        <w:rPr>
          <w:position w:val="2"/>
          <w:sz w:val="20"/>
        </w:rPr>
        <w:t>for PBMC/CD4</w:t>
      </w:r>
      <w:r>
        <w:rPr>
          <w:position w:val="2"/>
          <w:sz w:val="20"/>
          <w:vertAlign w:val="superscript"/>
        </w:rPr>
        <w:t>+</w:t>
      </w:r>
      <w:r>
        <w:rPr>
          <w:position w:val="2"/>
          <w:sz w:val="20"/>
        </w:rPr>
        <w:t xml:space="preserve"> stimulation: Concentrations to achieve 10%, 50% and 90% maximal </w:t>
      </w:r>
      <w:r>
        <w:rPr>
          <w:sz w:val="20"/>
        </w:rPr>
        <w:t>effect, respectively.</w:t>
      </w:r>
    </w:p>
    <w:p w:rsidR="009B3095" w:rsidRDefault="005A016F">
      <w:pPr>
        <w:spacing w:before="69" w:line="232" w:lineRule="auto"/>
        <w:ind w:left="152" w:right="1852"/>
        <w:rPr>
          <w:sz w:val="20"/>
        </w:rPr>
      </w:pPr>
      <w:r>
        <w:rPr>
          <w:position w:val="2"/>
          <w:sz w:val="20"/>
        </w:rPr>
        <w:t>ED</w:t>
      </w:r>
      <w:r>
        <w:rPr>
          <w:sz w:val="13"/>
        </w:rPr>
        <w:t>10</w:t>
      </w:r>
      <w:r>
        <w:rPr>
          <w:position w:val="2"/>
          <w:sz w:val="20"/>
        </w:rPr>
        <w:t>, ED</w:t>
      </w:r>
      <w:r>
        <w:rPr>
          <w:sz w:val="13"/>
        </w:rPr>
        <w:t xml:space="preserve">50 </w:t>
      </w:r>
      <w:r>
        <w:rPr>
          <w:position w:val="2"/>
          <w:sz w:val="20"/>
        </w:rPr>
        <w:t>and ED</w:t>
      </w:r>
      <w:r>
        <w:rPr>
          <w:sz w:val="13"/>
        </w:rPr>
        <w:t>90</w:t>
      </w:r>
      <w:r>
        <w:rPr>
          <w:position w:val="2"/>
          <w:sz w:val="20"/>
        </w:rPr>
        <w:t>: Effective dose (ED) in humans expected to achieve the concentration observed at EC</w:t>
      </w:r>
      <w:r>
        <w:rPr>
          <w:sz w:val="13"/>
        </w:rPr>
        <w:t>10</w:t>
      </w:r>
      <w:r>
        <w:rPr>
          <w:position w:val="2"/>
          <w:sz w:val="20"/>
        </w:rPr>
        <w:t>, EC</w:t>
      </w:r>
      <w:r>
        <w:rPr>
          <w:sz w:val="13"/>
        </w:rPr>
        <w:t xml:space="preserve">50 </w:t>
      </w:r>
      <w:r>
        <w:rPr>
          <w:position w:val="2"/>
          <w:sz w:val="20"/>
        </w:rPr>
        <w:t>and EC</w:t>
      </w:r>
      <w:r>
        <w:rPr>
          <w:sz w:val="13"/>
        </w:rPr>
        <w:t>90</w:t>
      </w:r>
      <w:r>
        <w:rPr>
          <w:position w:val="2"/>
          <w:sz w:val="20"/>
        </w:rPr>
        <w:t>, respectively.</w:t>
      </w:r>
    </w:p>
    <w:p w:rsidR="009B3095" w:rsidRDefault="005A016F">
      <w:pPr>
        <w:spacing w:before="57"/>
        <w:ind w:left="152"/>
        <w:rPr>
          <w:sz w:val="20"/>
        </w:rPr>
      </w:pPr>
      <w:r>
        <w:rPr>
          <w:sz w:val="20"/>
        </w:rPr>
        <w:t xml:space="preserve">Source: Studies </w:t>
      </w:r>
      <w:r w:rsidR="00B16187">
        <w:rPr>
          <w:sz w:val="20"/>
        </w:rPr>
        <w:t>Project 13</w:t>
      </w:r>
      <w:r>
        <w:rPr>
          <w:sz w:val="20"/>
        </w:rPr>
        <w:t>-PH-9013/</w:t>
      </w:r>
      <w:r w:rsidR="00B16187">
        <w:rPr>
          <w:sz w:val="20"/>
        </w:rPr>
        <w:t>PROJECT 13</w:t>
      </w:r>
      <w:r>
        <w:rPr>
          <w:sz w:val="20"/>
        </w:rPr>
        <w:t xml:space="preserve">-007 and </w:t>
      </w:r>
      <w:r w:rsidR="00B16187">
        <w:rPr>
          <w:sz w:val="20"/>
        </w:rPr>
        <w:t>Project 13</w:t>
      </w:r>
      <w:r>
        <w:rPr>
          <w:sz w:val="20"/>
        </w:rPr>
        <w:t>-PH-9004/</w:t>
      </w:r>
      <w:r w:rsidR="00B16187">
        <w:rPr>
          <w:sz w:val="20"/>
        </w:rPr>
        <w:t>PROJECT 13</w:t>
      </w:r>
      <w:r>
        <w:rPr>
          <w:sz w:val="20"/>
        </w:rPr>
        <w:t>-005</w:t>
      </w:r>
    </w:p>
    <w:p w:rsidR="009B3095" w:rsidRDefault="005A016F">
      <w:pPr>
        <w:pStyle w:val="a3"/>
        <w:spacing w:before="145" w:line="256" w:lineRule="auto"/>
        <w:ind w:left="152" w:right="1774"/>
      </w:pPr>
      <w:r>
        <w:rPr>
          <w:position w:val="2"/>
        </w:rPr>
        <w:t xml:space="preserve">An </w:t>
      </w:r>
      <w:r w:rsidR="00B16187">
        <w:rPr>
          <w:position w:val="2"/>
        </w:rPr>
        <w:t>PROJECT 13</w:t>
      </w:r>
      <w:r>
        <w:rPr>
          <w:position w:val="2"/>
        </w:rPr>
        <w:t xml:space="preserve"> starting dose of 0.5 mg, based on the MABEL approach, has an expected C</w:t>
      </w:r>
      <w:r>
        <w:rPr>
          <w:sz w:val="16"/>
        </w:rPr>
        <w:t xml:space="preserve">max </w:t>
      </w:r>
      <w:r>
        <w:rPr>
          <w:position w:val="2"/>
        </w:rPr>
        <w:t>that is above the EC</w:t>
      </w:r>
      <w:r>
        <w:rPr>
          <w:sz w:val="16"/>
        </w:rPr>
        <w:t xml:space="preserve">90 </w:t>
      </w:r>
      <w:r>
        <w:rPr>
          <w:position w:val="2"/>
        </w:rPr>
        <w:t>for receptor occupancy in human whole blood. However, the C</w:t>
      </w:r>
      <w:r>
        <w:rPr>
          <w:sz w:val="16"/>
        </w:rPr>
        <w:t xml:space="preserve">max </w:t>
      </w:r>
      <w:r>
        <w:rPr>
          <w:position w:val="2"/>
        </w:rPr>
        <w:t xml:space="preserve">of </w:t>
      </w:r>
      <w:r w:rsidR="00B16187">
        <w:rPr>
          <w:position w:val="2"/>
        </w:rPr>
        <w:t>PROJECT 13</w:t>
      </w:r>
      <w:r>
        <w:rPr>
          <w:position w:val="2"/>
        </w:rPr>
        <w:t xml:space="preserve"> at 0.5 mg is expected to be less than the EC</w:t>
      </w:r>
      <w:r>
        <w:rPr>
          <w:sz w:val="16"/>
        </w:rPr>
        <w:t xml:space="preserve">10 </w:t>
      </w:r>
      <w:r>
        <w:rPr>
          <w:position w:val="2"/>
        </w:rPr>
        <w:t>(1.8 µg/mL) observed in human stimulated PBMCs and approximates the EC</w:t>
      </w:r>
      <w:r>
        <w:rPr>
          <w:sz w:val="16"/>
        </w:rPr>
        <w:t xml:space="preserve">50 </w:t>
      </w:r>
      <w:r>
        <w:rPr>
          <w:position w:val="2"/>
        </w:rPr>
        <w:t xml:space="preserve">(0.15 µg/mL) observed in the most sensitive </w:t>
      </w:r>
      <w:r>
        <w:t>in vitro pharmacological model (CD4</w:t>
      </w:r>
      <w:r>
        <w:rPr>
          <w:position w:val="9"/>
          <w:sz w:val="16"/>
        </w:rPr>
        <w:t xml:space="preserve">+ </w:t>
      </w:r>
      <w:r>
        <w:t xml:space="preserve">cell stimulation). Based on these data, an </w:t>
      </w:r>
      <w:r w:rsidR="00B16187">
        <w:t>PROJECT 13</w:t>
      </w:r>
      <w:r>
        <w:t xml:space="preserve"> starting dose of 0.5 mg is anticipated to have minimal pharmacological effect.</w:t>
      </w:r>
    </w:p>
    <w:p w:rsidR="009B3095" w:rsidRDefault="005A016F">
      <w:pPr>
        <w:pStyle w:val="a3"/>
        <w:spacing w:before="123" w:line="261" w:lineRule="auto"/>
        <w:ind w:left="152" w:right="1816"/>
      </w:pPr>
      <w:r>
        <w:t xml:space="preserve">The anti-mouse TIGIT surrogate antibody, SEC1, demonstrated anti-tumor activity as a single agent in the MC38 murine syngeneic tumor model at 106 μg/mL. The minimum efficacious exposure observed with SEC1 corresponds to a projected </w:t>
      </w:r>
      <w:r w:rsidR="00B16187">
        <w:t>PROJECT 13</w:t>
      </w:r>
      <w:r>
        <w:t xml:space="preserve"> human dose of at least 700 mg, based on the pharmacokinetic simulation. Thus, the </w:t>
      </w:r>
      <w:r w:rsidR="00B16187">
        <w:t>PROJECT 13</w:t>
      </w:r>
      <w:r>
        <w:t xml:space="preserve"> starting dose of 0.5 mg is 1400-fold lower than the estimated minimum efficacious dose in humans (700 mg) based on in vivo data.</w:t>
      </w:r>
    </w:p>
    <w:p w:rsidR="009B3095" w:rsidRDefault="005A016F">
      <w:pPr>
        <w:pStyle w:val="3"/>
        <w:spacing w:before="119"/>
        <w:ind w:left="152"/>
      </w:pPr>
      <w:r>
        <w:t>List of References</w:t>
      </w:r>
    </w:p>
    <w:p w:rsidR="009B3095" w:rsidRDefault="005A016F">
      <w:pPr>
        <w:spacing w:before="115"/>
        <w:ind w:left="719" w:right="1870" w:hanging="567"/>
      </w:pPr>
      <w:r>
        <w:t>Bugelski PJ, Achuthanandam R, Capocasale RJ, Treacy G, Bouman-Thio E. Monoclonal antibody- induced cytokine-release syndrome. Expert Rev Clin Immunol. 2009;5:499-521.</w:t>
      </w:r>
    </w:p>
    <w:p w:rsidR="009B3095" w:rsidRDefault="009B3095">
      <w:pPr>
        <w:pStyle w:val="a3"/>
        <w:spacing w:before="10"/>
        <w:rPr>
          <w:sz w:val="20"/>
        </w:rPr>
      </w:pPr>
    </w:p>
    <w:p w:rsidR="009B3095" w:rsidRDefault="005A016F">
      <w:pPr>
        <w:spacing w:before="1"/>
        <w:ind w:left="719" w:right="1711" w:hanging="567"/>
      </w:pPr>
      <w:r>
        <w:t>Finco D, Grimaldi C, Fort M, Walker M, Kiessling A, Wolf B, et al. Cytokine release assays: current practices and future directions. Cytokine. 2014;66:143-55.</w:t>
      </w:r>
    </w:p>
    <w:p w:rsidR="009B3095" w:rsidRDefault="005A016F">
      <w:pPr>
        <w:spacing w:before="119"/>
        <w:ind w:left="714" w:right="1896" w:hanging="562"/>
      </w:pPr>
      <w:r>
        <w:t xml:space="preserve">Hall W, Price-Schiavi S, Wicks J, Rojko JL. Tissue Cross-Reactivity Studies for Monoclonal Antibodies: Predictive Value and Use for Selection of Relevant Animal Species for Toxicity Testing. In: Cavagnaro JA, editor. Preclinical </w:t>
      </w:r>
      <w:r>
        <w:lastRenderedPageBreak/>
        <w:t>Safety Evaluation of Biopharmaceuticals: A Science-Based Approach to Facilitating Clinical Trials. Wiley-Interscience; 2008. p. 208-40.</w:t>
      </w:r>
    </w:p>
    <w:p w:rsidR="009B3095" w:rsidRDefault="009B3095">
      <w:pPr>
        <w:pStyle w:val="a3"/>
        <w:spacing w:before="3"/>
        <w:rPr>
          <w:sz w:val="21"/>
        </w:rPr>
      </w:pPr>
    </w:p>
    <w:p w:rsidR="009B3095" w:rsidRDefault="005A016F">
      <w:pPr>
        <w:spacing w:line="235" w:lineRule="auto"/>
        <w:ind w:left="719" w:right="1676" w:hanging="567"/>
      </w:pPr>
      <w:r>
        <w:t>Johnston RJ, Comps-Agrar L, Hackney J, Yu X, Huseni M et al. The immunoreceptor TIGIT regulates antitumor and antiviral CD8</w:t>
      </w:r>
      <w:r>
        <w:rPr>
          <w:position w:val="8"/>
          <w:sz w:val="14"/>
        </w:rPr>
        <w:t xml:space="preserve">+ </w:t>
      </w:r>
      <w:r>
        <w:t>T cell effector function. Cancer Cell. 2014;26:923-37.</w:t>
      </w:r>
    </w:p>
    <w:p w:rsidR="009B3095" w:rsidRDefault="009B3095">
      <w:pPr>
        <w:pStyle w:val="a3"/>
        <w:spacing w:before="9"/>
        <w:rPr>
          <w:sz w:val="20"/>
        </w:rPr>
      </w:pPr>
    </w:p>
    <w:p w:rsidR="009B3095" w:rsidRDefault="005A016F">
      <w:pPr>
        <w:ind w:left="719" w:right="2464" w:hanging="567"/>
      </w:pPr>
      <w:r>
        <w:t>Keizer RJ, Huitema AD, Schellens JH, Beijnen JH. Clinical pharmacokinetics of therapeutic monoclonal antibodies. Clin Pharmacokinet. 2010;49:493-507.</w:t>
      </w:r>
    </w:p>
    <w:p w:rsidR="009B3095" w:rsidRDefault="009B3095">
      <w:pPr>
        <w:pStyle w:val="a3"/>
        <w:spacing w:before="10"/>
        <w:rPr>
          <w:sz w:val="20"/>
        </w:rPr>
      </w:pPr>
    </w:p>
    <w:p w:rsidR="009B3095" w:rsidRDefault="005A016F">
      <w:pPr>
        <w:ind w:left="152"/>
      </w:pPr>
      <w:r>
        <w:t>Leach MW, Halpern WG, Johnson CW, Rojko JL, MacLanchlan TK et al. Use of tissue</w:t>
      </w:r>
    </w:p>
    <w:p w:rsidR="009B3095" w:rsidRDefault="005A016F">
      <w:pPr>
        <w:spacing w:before="2"/>
        <w:ind w:left="719" w:right="2092"/>
      </w:pPr>
      <w:r>
        <w:t>cross-reactivity studies in the development of antibody-based biopharmaceuticals: history, experience, methodology, and future directions. Toxicol Pathol. 2010;38:1138-66.</w:t>
      </w:r>
    </w:p>
    <w:p w:rsidR="009B3095" w:rsidRDefault="009B3095">
      <w:pPr>
        <w:pStyle w:val="a3"/>
        <w:spacing w:before="8"/>
        <w:rPr>
          <w:sz w:val="20"/>
        </w:rPr>
      </w:pPr>
    </w:p>
    <w:p w:rsidR="009B3095" w:rsidRDefault="005A016F">
      <w:pPr>
        <w:ind w:left="719" w:right="1687" w:hanging="567"/>
      </w:pPr>
      <w:r>
        <w:t>Levin SD, Taft DW, Brandt CS, Bucher C, Howard ED et al. Vstm3 is a member of the CD28 family and an important modulator of T-cell function. Eur J Immunol. 2011;41:902-15.</w:t>
      </w:r>
    </w:p>
    <w:p w:rsidR="009B3095" w:rsidRDefault="009B3095">
      <w:pPr>
        <w:pStyle w:val="a3"/>
        <w:spacing w:before="10"/>
        <w:rPr>
          <w:sz w:val="20"/>
        </w:rPr>
      </w:pPr>
    </w:p>
    <w:p w:rsidR="009B3095" w:rsidRDefault="005A016F">
      <w:pPr>
        <w:ind w:left="719" w:right="1718" w:hanging="567"/>
      </w:pPr>
      <w:r>
        <w:t>Stanietsky N, Simic H, Arapovic J, Toporik A, Levy O et al. The interaction of TIGIT with PVR and PVRL2 inhibits human NK cell cytotoxicity. Proc Natl Acad Sci USA. 2009;106:17858-63.</w:t>
      </w:r>
    </w:p>
    <w:p w:rsidR="009B3095" w:rsidRDefault="009B3095">
      <w:pPr>
        <w:pStyle w:val="a3"/>
        <w:spacing w:before="11"/>
        <w:rPr>
          <w:sz w:val="20"/>
        </w:rPr>
      </w:pPr>
    </w:p>
    <w:p w:rsidR="009B3095" w:rsidRDefault="005A016F">
      <w:pPr>
        <w:ind w:left="719" w:right="1738" w:hanging="567"/>
      </w:pPr>
      <w:r>
        <w:t>Yu X, Harden K, Gonzalez LC, Francesco M, Chiang E et al. The surface protein TIGIT suppresses T cell activation by promoting the generation of mature immunoregulatory dendritic cells. Nat Immunol. 2009; 10:48-57.</w:t>
      </w:r>
    </w:p>
    <w:p w:rsidR="009B3095" w:rsidRDefault="009B3095">
      <w:pPr>
        <w:spacing w:before="92"/>
        <w:ind w:right="195"/>
        <w:jc w:val="right"/>
        <w:rPr>
          <w:sz w:val="20"/>
        </w:rPr>
      </w:pPr>
      <w:bookmarkStart w:id="40" w:name="5_EFFECTS_IN_HUMANS"/>
      <w:bookmarkStart w:id="41" w:name="_bookmark54"/>
      <w:bookmarkEnd w:id="40"/>
      <w:bookmarkEnd w:id="41"/>
    </w:p>
    <w:sectPr w:rsidR="009B3095">
      <w:headerReference w:type="default" r:id="rId7"/>
      <w:footerReference w:type="default" r:id="rId8"/>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5B2" w:rsidRDefault="001705B2">
      <w:r>
        <w:separator/>
      </w:r>
    </w:p>
  </w:endnote>
  <w:endnote w:type="continuationSeparator" w:id="0">
    <w:p w:rsidR="001705B2" w:rsidRDefault="0017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095" w:rsidRDefault="009B3095">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5B2" w:rsidRDefault="001705B2">
      <w:r>
        <w:separator/>
      </w:r>
    </w:p>
  </w:footnote>
  <w:footnote w:type="continuationSeparator" w:id="0">
    <w:p w:rsidR="001705B2" w:rsidRDefault="00170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095" w:rsidRDefault="009B3095">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7D5"/>
    <w:multiLevelType w:val="multilevel"/>
    <w:tmpl w:val="4E4082AE"/>
    <w:lvl w:ilvl="0">
      <w:start w:val="4"/>
      <w:numFmt w:val="decimal"/>
      <w:lvlText w:val="%1"/>
      <w:lvlJc w:val="left"/>
      <w:pPr>
        <w:ind w:left="2137" w:hanging="1133"/>
        <w:jc w:val="right"/>
      </w:pPr>
      <w:rPr>
        <w:rFonts w:hint="default"/>
      </w:rPr>
    </w:lvl>
    <w:lvl w:ilvl="1">
      <w:start w:val="1"/>
      <w:numFmt w:val="decimal"/>
      <w:lvlText w:val="%1.%2"/>
      <w:lvlJc w:val="left"/>
      <w:pPr>
        <w:ind w:left="1285" w:hanging="850"/>
        <w:jc w:val="left"/>
      </w:pPr>
      <w:rPr>
        <w:rFonts w:hint="default"/>
        <w:w w:val="100"/>
      </w:rPr>
    </w:lvl>
    <w:lvl w:ilvl="2">
      <w:start w:val="1"/>
      <w:numFmt w:val="decimal"/>
      <w:lvlText w:val="%1.%2.%3"/>
      <w:lvlJc w:val="left"/>
      <w:pPr>
        <w:ind w:left="1712" w:hanging="850"/>
        <w:jc w:val="left"/>
      </w:pPr>
      <w:rPr>
        <w:rFonts w:hint="default"/>
        <w:w w:val="100"/>
      </w:rPr>
    </w:lvl>
    <w:lvl w:ilvl="3">
      <w:start w:val="1"/>
      <w:numFmt w:val="decimal"/>
      <w:lvlText w:val="%1.%2.%3.%4"/>
      <w:lvlJc w:val="left"/>
      <w:pPr>
        <w:ind w:left="2137" w:hanging="850"/>
        <w:jc w:val="left"/>
      </w:pPr>
      <w:rPr>
        <w:rFonts w:ascii="Times New Roman" w:eastAsia="Times New Roman" w:hAnsi="Times New Roman" w:cs="Times New Roman" w:hint="default"/>
        <w:w w:val="100"/>
        <w:sz w:val="22"/>
        <w:szCs w:val="22"/>
      </w:rPr>
    </w:lvl>
    <w:lvl w:ilvl="4">
      <w:numFmt w:val="bullet"/>
      <w:lvlText w:val="•"/>
      <w:lvlJc w:val="left"/>
      <w:pPr>
        <w:ind w:left="4300" w:hanging="850"/>
      </w:pPr>
      <w:rPr>
        <w:rFonts w:hint="default"/>
      </w:rPr>
    </w:lvl>
    <w:lvl w:ilvl="5">
      <w:numFmt w:val="bullet"/>
      <w:lvlText w:val="•"/>
      <w:lvlJc w:val="left"/>
      <w:pPr>
        <w:ind w:left="5380" w:hanging="850"/>
      </w:pPr>
      <w:rPr>
        <w:rFonts w:hint="default"/>
      </w:rPr>
    </w:lvl>
    <w:lvl w:ilvl="6">
      <w:numFmt w:val="bullet"/>
      <w:lvlText w:val="•"/>
      <w:lvlJc w:val="left"/>
      <w:pPr>
        <w:ind w:left="6460" w:hanging="850"/>
      </w:pPr>
      <w:rPr>
        <w:rFonts w:hint="default"/>
      </w:rPr>
    </w:lvl>
    <w:lvl w:ilvl="7">
      <w:numFmt w:val="bullet"/>
      <w:lvlText w:val="•"/>
      <w:lvlJc w:val="left"/>
      <w:pPr>
        <w:ind w:left="7540" w:hanging="850"/>
      </w:pPr>
      <w:rPr>
        <w:rFonts w:hint="default"/>
      </w:rPr>
    </w:lvl>
    <w:lvl w:ilvl="8">
      <w:numFmt w:val="bullet"/>
      <w:lvlText w:val="•"/>
      <w:lvlJc w:val="left"/>
      <w:pPr>
        <w:ind w:left="8620" w:hanging="850"/>
      </w:pPr>
      <w:rPr>
        <w:rFonts w:hint="default"/>
      </w:rPr>
    </w:lvl>
  </w:abstractNum>
  <w:abstractNum w:abstractNumId="1" w15:restartNumberingAfterBreak="0">
    <w:nsid w:val="043E70D7"/>
    <w:multiLevelType w:val="multilevel"/>
    <w:tmpl w:val="DACC7AB4"/>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2"/>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34" w:hanging="852"/>
      </w:pPr>
      <w:rPr>
        <w:rFonts w:hint="default"/>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2" w15:restartNumberingAfterBreak="0">
    <w:nsid w:val="10F96078"/>
    <w:multiLevelType w:val="multilevel"/>
    <w:tmpl w:val="BD143A9C"/>
    <w:lvl w:ilvl="0">
      <w:start w:val="1"/>
      <w:numFmt w:val="decimal"/>
      <w:lvlText w:val="%1"/>
      <w:lvlJc w:val="left"/>
      <w:pPr>
        <w:ind w:left="1011"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2"/>
        <w:jc w:val="left"/>
      </w:pPr>
      <w:rPr>
        <w:rFonts w:ascii="Times New Roman" w:eastAsia="Times New Roman" w:hAnsi="Times New Roman" w:cs="Times New Roman" w:hint="default"/>
        <w:b/>
        <w:bCs/>
        <w:w w:val="100"/>
        <w:sz w:val="28"/>
        <w:szCs w:val="28"/>
      </w:rPr>
    </w:lvl>
    <w:lvl w:ilvl="2">
      <w:numFmt w:val="bullet"/>
      <w:lvlText w:val="•"/>
      <w:lvlJc w:val="left"/>
      <w:pPr>
        <w:ind w:left="3820" w:hanging="852"/>
      </w:pPr>
      <w:rPr>
        <w:rFonts w:hint="default"/>
      </w:rPr>
    </w:lvl>
    <w:lvl w:ilvl="3">
      <w:numFmt w:val="bullet"/>
      <w:lvlText w:val="•"/>
      <w:lvlJc w:val="left"/>
      <w:pPr>
        <w:ind w:left="5220" w:hanging="852"/>
      </w:pPr>
      <w:rPr>
        <w:rFonts w:hint="default"/>
      </w:rPr>
    </w:lvl>
    <w:lvl w:ilvl="4">
      <w:numFmt w:val="bullet"/>
      <w:lvlText w:val="•"/>
      <w:lvlJc w:val="left"/>
      <w:pPr>
        <w:ind w:left="6620" w:hanging="852"/>
      </w:pPr>
      <w:rPr>
        <w:rFonts w:hint="default"/>
      </w:rPr>
    </w:lvl>
    <w:lvl w:ilvl="5">
      <w:numFmt w:val="bullet"/>
      <w:lvlText w:val="•"/>
      <w:lvlJc w:val="left"/>
      <w:pPr>
        <w:ind w:left="8020" w:hanging="852"/>
      </w:pPr>
      <w:rPr>
        <w:rFonts w:hint="default"/>
      </w:rPr>
    </w:lvl>
    <w:lvl w:ilvl="6">
      <w:numFmt w:val="bullet"/>
      <w:lvlText w:val="•"/>
      <w:lvlJc w:val="left"/>
      <w:pPr>
        <w:ind w:left="9420" w:hanging="852"/>
      </w:pPr>
      <w:rPr>
        <w:rFonts w:hint="default"/>
      </w:rPr>
    </w:lvl>
    <w:lvl w:ilvl="7">
      <w:numFmt w:val="bullet"/>
      <w:lvlText w:val="•"/>
      <w:lvlJc w:val="left"/>
      <w:pPr>
        <w:ind w:left="10820" w:hanging="852"/>
      </w:pPr>
      <w:rPr>
        <w:rFonts w:hint="default"/>
      </w:rPr>
    </w:lvl>
    <w:lvl w:ilvl="8">
      <w:numFmt w:val="bullet"/>
      <w:lvlText w:val="•"/>
      <w:lvlJc w:val="left"/>
      <w:pPr>
        <w:ind w:left="12220" w:hanging="852"/>
      </w:pPr>
      <w:rPr>
        <w:rFonts w:hint="default"/>
      </w:rPr>
    </w:lvl>
  </w:abstractNum>
  <w:abstractNum w:abstractNumId="3" w15:restartNumberingAfterBreak="0">
    <w:nsid w:val="121C5D6E"/>
    <w:multiLevelType w:val="multilevel"/>
    <w:tmpl w:val="EBA0FB2E"/>
    <w:lvl w:ilvl="0">
      <w:start w:val="4"/>
      <w:numFmt w:val="decimal"/>
      <w:lvlText w:val="%1"/>
      <w:lvlJc w:val="left"/>
      <w:pPr>
        <w:ind w:left="1285" w:hanging="1133"/>
        <w:jc w:val="left"/>
      </w:pPr>
      <w:rPr>
        <w:rFonts w:hint="default"/>
      </w:rPr>
    </w:lvl>
    <w:lvl w:ilvl="1">
      <w:start w:val="1"/>
      <w:numFmt w:val="decimal"/>
      <w:lvlText w:val="%1.%2"/>
      <w:lvlJc w:val="left"/>
      <w:pPr>
        <w:ind w:left="1285" w:hanging="1133"/>
        <w:jc w:val="left"/>
      </w:pPr>
      <w:rPr>
        <w:rFonts w:hint="default"/>
      </w:rPr>
    </w:lvl>
    <w:lvl w:ilvl="2">
      <w:start w:val="1"/>
      <w:numFmt w:val="decimal"/>
      <w:lvlText w:val="%1.%2.%3"/>
      <w:lvlJc w:val="left"/>
      <w:pPr>
        <w:ind w:left="1285" w:hanging="1133"/>
        <w:jc w:val="left"/>
      </w:pPr>
      <w:rPr>
        <w:rFonts w:hint="default"/>
      </w:rPr>
    </w:lvl>
    <w:lvl w:ilvl="3">
      <w:start w:val="1"/>
      <w:numFmt w:val="decimal"/>
      <w:lvlText w:val="%1.%2.%3.%4"/>
      <w:lvlJc w:val="left"/>
      <w:pPr>
        <w:ind w:left="1285" w:hanging="1133"/>
        <w:jc w:val="left"/>
      </w:pPr>
      <w:rPr>
        <w:rFonts w:hint="default"/>
      </w:rPr>
    </w:lvl>
    <w:lvl w:ilvl="4">
      <w:start w:val="3"/>
      <w:numFmt w:val="decimal"/>
      <w:lvlText w:val="%1.%2.%3.%4.%5"/>
      <w:lvlJc w:val="left"/>
      <w:pPr>
        <w:ind w:left="1285" w:hanging="1133"/>
        <w:jc w:val="left"/>
      </w:pPr>
      <w:rPr>
        <w:rFonts w:ascii="Times New Roman" w:eastAsia="Times New Roman" w:hAnsi="Times New Roman" w:cs="Times New Roman" w:hint="default"/>
        <w:b/>
        <w:bCs/>
        <w:w w:val="100"/>
        <w:sz w:val="24"/>
        <w:szCs w:val="24"/>
      </w:rPr>
    </w:lvl>
    <w:lvl w:ilvl="5">
      <w:numFmt w:val="bullet"/>
      <w:lvlText w:val="•"/>
      <w:lvlJc w:val="left"/>
      <w:pPr>
        <w:ind w:left="6030" w:hanging="1133"/>
      </w:pPr>
      <w:rPr>
        <w:rFonts w:hint="default"/>
      </w:rPr>
    </w:lvl>
    <w:lvl w:ilvl="6">
      <w:numFmt w:val="bullet"/>
      <w:lvlText w:val="•"/>
      <w:lvlJc w:val="left"/>
      <w:pPr>
        <w:ind w:left="6980" w:hanging="1133"/>
      </w:pPr>
      <w:rPr>
        <w:rFonts w:hint="default"/>
      </w:rPr>
    </w:lvl>
    <w:lvl w:ilvl="7">
      <w:numFmt w:val="bullet"/>
      <w:lvlText w:val="•"/>
      <w:lvlJc w:val="left"/>
      <w:pPr>
        <w:ind w:left="7930" w:hanging="1133"/>
      </w:pPr>
      <w:rPr>
        <w:rFonts w:hint="default"/>
      </w:rPr>
    </w:lvl>
    <w:lvl w:ilvl="8">
      <w:numFmt w:val="bullet"/>
      <w:lvlText w:val="•"/>
      <w:lvlJc w:val="left"/>
      <w:pPr>
        <w:ind w:left="8880" w:hanging="1133"/>
      </w:pPr>
      <w:rPr>
        <w:rFonts w:hint="default"/>
      </w:rPr>
    </w:lvl>
  </w:abstractNum>
  <w:abstractNum w:abstractNumId="4" w15:restartNumberingAfterBreak="0">
    <w:nsid w:val="12A7540C"/>
    <w:multiLevelType w:val="multilevel"/>
    <w:tmpl w:val="9D9E29D2"/>
    <w:lvl w:ilvl="0">
      <w:start w:val="4"/>
      <w:numFmt w:val="decimal"/>
      <w:lvlText w:val="%1"/>
      <w:lvlJc w:val="left"/>
      <w:pPr>
        <w:ind w:left="1004" w:hanging="852"/>
        <w:jc w:val="left"/>
      </w:pPr>
      <w:rPr>
        <w:rFonts w:hint="default"/>
      </w:rPr>
    </w:lvl>
    <w:lvl w:ilvl="1">
      <w:start w:val="3"/>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5" w15:restartNumberingAfterBreak="0">
    <w:nsid w:val="16F62167"/>
    <w:multiLevelType w:val="multilevel"/>
    <w:tmpl w:val="B85C1FF0"/>
    <w:lvl w:ilvl="0">
      <w:start w:val="6"/>
      <w:numFmt w:val="decimal"/>
      <w:lvlText w:val="%1"/>
      <w:lvlJc w:val="left"/>
      <w:pPr>
        <w:ind w:left="96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9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96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444" w:hanging="852"/>
      </w:pPr>
      <w:rPr>
        <w:rFonts w:hint="default"/>
      </w:rPr>
    </w:lvl>
    <w:lvl w:ilvl="4">
      <w:numFmt w:val="bullet"/>
      <w:lvlText w:val="•"/>
      <w:lvlJc w:val="left"/>
      <w:pPr>
        <w:ind w:left="4272" w:hanging="852"/>
      </w:pPr>
      <w:rPr>
        <w:rFonts w:hint="default"/>
      </w:rPr>
    </w:lvl>
    <w:lvl w:ilvl="5">
      <w:numFmt w:val="bullet"/>
      <w:lvlText w:val="•"/>
      <w:lvlJc w:val="left"/>
      <w:pPr>
        <w:ind w:left="5100" w:hanging="852"/>
      </w:pPr>
      <w:rPr>
        <w:rFonts w:hint="default"/>
      </w:rPr>
    </w:lvl>
    <w:lvl w:ilvl="6">
      <w:numFmt w:val="bullet"/>
      <w:lvlText w:val="•"/>
      <w:lvlJc w:val="left"/>
      <w:pPr>
        <w:ind w:left="5928" w:hanging="852"/>
      </w:pPr>
      <w:rPr>
        <w:rFonts w:hint="default"/>
      </w:rPr>
    </w:lvl>
    <w:lvl w:ilvl="7">
      <w:numFmt w:val="bullet"/>
      <w:lvlText w:val="•"/>
      <w:lvlJc w:val="left"/>
      <w:pPr>
        <w:ind w:left="6756" w:hanging="852"/>
      </w:pPr>
      <w:rPr>
        <w:rFonts w:hint="default"/>
      </w:rPr>
    </w:lvl>
    <w:lvl w:ilvl="8">
      <w:numFmt w:val="bullet"/>
      <w:lvlText w:val="•"/>
      <w:lvlJc w:val="left"/>
      <w:pPr>
        <w:ind w:left="7584" w:hanging="852"/>
      </w:pPr>
      <w:rPr>
        <w:rFonts w:hint="default"/>
      </w:rPr>
    </w:lvl>
  </w:abstractNum>
  <w:abstractNum w:abstractNumId="6" w15:restartNumberingAfterBreak="0">
    <w:nsid w:val="23F9408D"/>
    <w:multiLevelType w:val="multilevel"/>
    <w:tmpl w:val="A5E85740"/>
    <w:lvl w:ilvl="0">
      <w:start w:val="4"/>
      <w:numFmt w:val="decimal"/>
      <w:lvlText w:val="%1"/>
      <w:lvlJc w:val="left"/>
      <w:pPr>
        <w:ind w:left="1429" w:hanging="1277"/>
        <w:jc w:val="left"/>
      </w:pPr>
      <w:rPr>
        <w:rFonts w:hint="default"/>
      </w:rPr>
    </w:lvl>
    <w:lvl w:ilvl="1">
      <w:start w:val="1"/>
      <w:numFmt w:val="decimal"/>
      <w:lvlText w:val="%1.%2"/>
      <w:lvlJc w:val="left"/>
      <w:pPr>
        <w:ind w:left="1429" w:hanging="1277"/>
        <w:jc w:val="left"/>
      </w:pPr>
      <w:rPr>
        <w:rFonts w:hint="default"/>
      </w:rPr>
    </w:lvl>
    <w:lvl w:ilvl="2">
      <w:start w:val="1"/>
      <w:numFmt w:val="decimal"/>
      <w:lvlText w:val="%1.%2.%3"/>
      <w:lvlJc w:val="left"/>
      <w:pPr>
        <w:ind w:left="1429" w:hanging="1277"/>
        <w:jc w:val="left"/>
      </w:pPr>
      <w:rPr>
        <w:rFonts w:hint="default"/>
      </w:rPr>
    </w:lvl>
    <w:lvl w:ilvl="3">
      <w:start w:val="1"/>
      <w:numFmt w:val="decimal"/>
      <w:lvlText w:val="%1.%2.%3.%4"/>
      <w:lvlJc w:val="left"/>
      <w:pPr>
        <w:ind w:left="1429" w:hanging="1277"/>
        <w:jc w:val="left"/>
      </w:pPr>
      <w:rPr>
        <w:rFonts w:hint="default"/>
      </w:rPr>
    </w:lvl>
    <w:lvl w:ilvl="4">
      <w:start w:val="2"/>
      <w:numFmt w:val="decimal"/>
      <w:lvlText w:val="%1.%2.%3.%4.%5"/>
      <w:lvlJc w:val="left"/>
      <w:pPr>
        <w:ind w:left="1429" w:hanging="1277"/>
        <w:jc w:val="left"/>
      </w:pPr>
      <w:rPr>
        <w:rFonts w:hint="default"/>
      </w:rPr>
    </w:lvl>
    <w:lvl w:ilvl="5">
      <w:start w:val="6"/>
      <w:numFmt w:val="decimal"/>
      <w:lvlText w:val="%1.%2.%3.%4.%5.%6"/>
      <w:lvlJc w:val="left"/>
      <w:pPr>
        <w:ind w:left="1429" w:hanging="1277"/>
        <w:jc w:val="left"/>
      </w:pPr>
      <w:rPr>
        <w:rFonts w:ascii="Times New Roman" w:eastAsia="Times New Roman" w:hAnsi="Times New Roman" w:cs="Times New Roman" w:hint="default"/>
        <w:b/>
        <w:bCs/>
        <w:w w:val="100"/>
        <w:sz w:val="22"/>
        <w:szCs w:val="22"/>
      </w:rPr>
    </w:lvl>
    <w:lvl w:ilvl="6">
      <w:numFmt w:val="bullet"/>
      <w:lvlText w:val="•"/>
      <w:lvlJc w:val="left"/>
      <w:pPr>
        <w:ind w:left="7036" w:hanging="1277"/>
      </w:pPr>
      <w:rPr>
        <w:rFonts w:hint="default"/>
      </w:rPr>
    </w:lvl>
    <w:lvl w:ilvl="7">
      <w:numFmt w:val="bullet"/>
      <w:lvlText w:val="•"/>
      <w:lvlJc w:val="left"/>
      <w:pPr>
        <w:ind w:left="7972" w:hanging="1277"/>
      </w:pPr>
      <w:rPr>
        <w:rFonts w:hint="default"/>
      </w:rPr>
    </w:lvl>
    <w:lvl w:ilvl="8">
      <w:numFmt w:val="bullet"/>
      <w:lvlText w:val="•"/>
      <w:lvlJc w:val="left"/>
      <w:pPr>
        <w:ind w:left="8908" w:hanging="1277"/>
      </w:pPr>
      <w:rPr>
        <w:rFonts w:hint="default"/>
      </w:rPr>
    </w:lvl>
  </w:abstractNum>
  <w:abstractNum w:abstractNumId="7" w15:restartNumberingAfterBreak="0">
    <w:nsid w:val="3264529B"/>
    <w:multiLevelType w:val="multilevel"/>
    <w:tmpl w:val="92F65DAC"/>
    <w:lvl w:ilvl="0">
      <w:start w:val="5"/>
      <w:numFmt w:val="decimal"/>
      <w:lvlText w:val="%1"/>
      <w:lvlJc w:val="left"/>
      <w:pPr>
        <w:ind w:left="964" w:hanging="852"/>
        <w:jc w:val="left"/>
      </w:pPr>
      <w:rPr>
        <w:rFonts w:hint="default"/>
      </w:rPr>
    </w:lvl>
    <w:lvl w:ilvl="1">
      <w:start w:val="2"/>
      <w:numFmt w:val="decimal"/>
      <w:lvlText w:val="%1.%2"/>
      <w:lvlJc w:val="left"/>
      <w:pPr>
        <w:ind w:left="9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964" w:hanging="852"/>
        <w:jc w:val="left"/>
      </w:pPr>
      <w:rPr>
        <w:rFonts w:ascii="Times New Roman" w:eastAsia="Times New Roman" w:hAnsi="Times New Roman" w:cs="Times New Roman" w:hint="default"/>
        <w:b/>
        <w:bCs/>
        <w:w w:val="100"/>
        <w:sz w:val="24"/>
        <w:szCs w:val="24"/>
      </w:rPr>
    </w:lvl>
    <w:lvl w:ilvl="3">
      <w:numFmt w:val="bullet"/>
      <w:lvlText w:val="•"/>
      <w:lvlJc w:val="left"/>
      <w:pPr>
        <w:ind w:left="3438" w:hanging="852"/>
      </w:pPr>
      <w:rPr>
        <w:rFonts w:hint="default"/>
      </w:rPr>
    </w:lvl>
    <w:lvl w:ilvl="4">
      <w:numFmt w:val="bullet"/>
      <w:lvlText w:val="•"/>
      <w:lvlJc w:val="left"/>
      <w:pPr>
        <w:ind w:left="4264" w:hanging="852"/>
      </w:pPr>
      <w:rPr>
        <w:rFonts w:hint="default"/>
      </w:rPr>
    </w:lvl>
    <w:lvl w:ilvl="5">
      <w:numFmt w:val="bullet"/>
      <w:lvlText w:val="•"/>
      <w:lvlJc w:val="left"/>
      <w:pPr>
        <w:ind w:left="5090" w:hanging="852"/>
      </w:pPr>
      <w:rPr>
        <w:rFonts w:hint="default"/>
      </w:rPr>
    </w:lvl>
    <w:lvl w:ilvl="6">
      <w:numFmt w:val="bullet"/>
      <w:lvlText w:val="•"/>
      <w:lvlJc w:val="left"/>
      <w:pPr>
        <w:ind w:left="5916" w:hanging="852"/>
      </w:pPr>
      <w:rPr>
        <w:rFonts w:hint="default"/>
      </w:rPr>
    </w:lvl>
    <w:lvl w:ilvl="7">
      <w:numFmt w:val="bullet"/>
      <w:lvlText w:val="•"/>
      <w:lvlJc w:val="left"/>
      <w:pPr>
        <w:ind w:left="6742" w:hanging="852"/>
      </w:pPr>
      <w:rPr>
        <w:rFonts w:hint="default"/>
      </w:rPr>
    </w:lvl>
    <w:lvl w:ilvl="8">
      <w:numFmt w:val="bullet"/>
      <w:lvlText w:val="•"/>
      <w:lvlJc w:val="left"/>
      <w:pPr>
        <w:ind w:left="7568" w:hanging="852"/>
      </w:pPr>
      <w:rPr>
        <w:rFonts w:hint="default"/>
      </w:rPr>
    </w:lvl>
  </w:abstractNum>
  <w:abstractNum w:abstractNumId="8" w15:restartNumberingAfterBreak="0">
    <w:nsid w:val="3DBD44F5"/>
    <w:multiLevelType w:val="multilevel"/>
    <w:tmpl w:val="22CC71B8"/>
    <w:lvl w:ilvl="0">
      <w:start w:val="2"/>
      <w:numFmt w:val="decimal"/>
      <w:lvlText w:val="%1"/>
      <w:lvlJc w:val="left"/>
      <w:pPr>
        <w:ind w:left="100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1"/>
        <w:w w:val="100"/>
        <w:sz w:val="24"/>
        <w:szCs w:val="24"/>
      </w:rPr>
    </w:lvl>
    <w:lvl w:ilvl="5">
      <w:start w:val="1"/>
      <w:numFmt w:val="decimal"/>
      <w:lvlText w:val="%1.%2.%3.%4.%5.%6"/>
      <w:lvlJc w:val="left"/>
      <w:pPr>
        <w:ind w:left="1429" w:hanging="1277"/>
        <w:jc w:val="left"/>
      </w:pPr>
      <w:rPr>
        <w:rFonts w:ascii="Times New Roman" w:eastAsia="Times New Roman" w:hAnsi="Times New Roman" w:cs="Times New Roman" w:hint="default"/>
        <w:b/>
        <w:bCs/>
        <w:w w:val="100"/>
        <w:sz w:val="22"/>
        <w:szCs w:val="22"/>
      </w:rPr>
    </w:lvl>
    <w:lvl w:ilvl="6">
      <w:numFmt w:val="bullet"/>
      <w:lvlText w:val="•"/>
      <w:lvlJc w:val="left"/>
      <w:pPr>
        <w:ind w:left="6100" w:hanging="1277"/>
      </w:pPr>
      <w:rPr>
        <w:rFonts w:hint="default"/>
      </w:rPr>
    </w:lvl>
    <w:lvl w:ilvl="7">
      <w:numFmt w:val="bullet"/>
      <w:lvlText w:val="•"/>
      <w:lvlJc w:val="left"/>
      <w:pPr>
        <w:ind w:left="7270" w:hanging="1277"/>
      </w:pPr>
      <w:rPr>
        <w:rFonts w:hint="default"/>
      </w:rPr>
    </w:lvl>
    <w:lvl w:ilvl="8">
      <w:numFmt w:val="bullet"/>
      <w:lvlText w:val="•"/>
      <w:lvlJc w:val="left"/>
      <w:pPr>
        <w:ind w:left="8440" w:hanging="1277"/>
      </w:pPr>
      <w:rPr>
        <w:rFonts w:hint="default"/>
      </w:rPr>
    </w:lvl>
  </w:abstractNum>
  <w:abstractNum w:abstractNumId="9" w15:restartNumberingAfterBreak="0">
    <w:nsid w:val="541C7D62"/>
    <w:multiLevelType w:val="multilevel"/>
    <w:tmpl w:val="3D728DD8"/>
    <w:lvl w:ilvl="0">
      <w:start w:val="1"/>
      <w:numFmt w:val="decimal"/>
      <w:lvlText w:val="%1"/>
      <w:lvlJc w:val="left"/>
      <w:pPr>
        <w:ind w:left="964" w:hanging="852"/>
        <w:jc w:val="left"/>
      </w:pPr>
      <w:rPr>
        <w:rFonts w:hint="default"/>
      </w:rPr>
    </w:lvl>
    <w:lvl w:ilvl="1">
      <w:start w:val="1"/>
      <w:numFmt w:val="decimal"/>
      <w:lvlText w:val="%1.%2"/>
      <w:lvlJc w:val="left"/>
      <w:pPr>
        <w:ind w:left="9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96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444" w:hanging="852"/>
      </w:pPr>
      <w:rPr>
        <w:rFonts w:hint="default"/>
      </w:rPr>
    </w:lvl>
    <w:lvl w:ilvl="4">
      <w:numFmt w:val="bullet"/>
      <w:lvlText w:val="•"/>
      <w:lvlJc w:val="left"/>
      <w:pPr>
        <w:ind w:left="4272" w:hanging="852"/>
      </w:pPr>
      <w:rPr>
        <w:rFonts w:hint="default"/>
      </w:rPr>
    </w:lvl>
    <w:lvl w:ilvl="5">
      <w:numFmt w:val="bullet"/>
      <w:lvlText w:val="•"/>
      <w:lvlJc w:val="left"/>
      <w:pPr>
        <w:ind w:left="5100" w:hanging="852"/>
      </w:pPr>
      <w:rPr>
        <w:rFonts w:hint="default"/>
      </w:rPr>
    </w:lvl>
    <w:lvl w:ilvl="6">
      <w:numFmt w:val="bullet"/>
      <w:lvlText w:val="•"/>
      <w:lvlJc w:val="left"/>
      <w:pPr>
        <w:ind w:left="5928" w:hanging="852"/>
      </w:pPr>
      <w:rPr>
        <w:rFonts w:hint="default"/>
      </w:rPr>
    </w:lvl>
    <w:lvl w:ilvl="7">
      <w:numFmt w:val="bullet"/>
      <w:lvlText w:val="•"/>
      <w:lvlJc w:val="left"/>
      <w:pPr>
        <w:ind w:left="6756" w:hanging="852"/>
      </w:pPr>
      <w:rPr>
        <w:rFonts w:hint="default"/>
      </w:rPr>
    </w:lvl>
    <w:lvl w:ilvl="8">
      <w:numFmt w:val="bullet"/>
      <w:lvlText w:val="•"/>
      <w:lvlJc w:val="left"/>
      <w:pPr>
        <w:ind w:left="7584" w:hanging="852"/>
      </w:pPr>
      <w:rPr>
        <w:rFonts w:hint="default"/>
      </w:rPr>
    </w:lvl>
  </w:abstractNum>
  <w:abstractNum w:abstractNumId="10" w15:restartNumberingAfterBreak="0">
    <w:nsid w:val="573148E7"/>
    <w:multiLevelType w:val="hybridMultilevel"/>
    <w:tmpl w:val="341C7656"/>
    <w:lvl w:ilvl="0" w:tplc="1B7CA6E2">
      <w:numFmt w:val="bullet"/>
      <w:lvlText w:val="●"/>
      <w:lvlJc w:val="left"/>
      <w:pPr>
        <w:ind w:left="537" w:hanging="425"/>
      </w:pPr>
      <w:rPr>
        <w:rFonts w:ascii="Times New Roman" w:eastAsia="Times New Roman" w:hAnsi="Times New Roman" w:cs="Times New Roman" w:hint="default"/>
        <w:spacing w:val="-8"/>
        <w:w w:val="100"/>
        <w:sz w:val="24"/>
        <w:szCs w:val="24"/>
      </w:rPr>
    </w:lvl>
    <w:lvl w:ilvl="1" w:tplc="B846E5FE">
      <w:numFmt w:val="bullet"/>
      <w:lvlText w:val="•"/>
      <w:lvlJc w:val="left"/>
      <w:pPr>
        <w:ind w:left="1408" w:hanging="425"/>
      </w:pPr>
      <w:rPr>
        <w:rFonts w:hint="default"/>
      </w:rPr>
    </w:lvl>
    <w:lvl w:ilvl="2" w:tplc="DA220422">
      <w:numFmt w:val="bullet"/>
      <w:lvlText w:val="•"/>
      <w:lvlJc w:val="left"/>
      <w:pPr>
        <w:ind w:left="2276" w:hanging="425"/>
      </w:pPr>
      <w:rPr>
        <w:rFonts w:hint="default"/>
      </w:rPr>
    </w:lvl>
    <w:lvl w:ilvl="3" w:tplc="C9AC521C">
      <w:numFmt w:val="bullet"/>
      <w:lvlText w:val="•"/>
      <w:lvlJc w:val="left"/>
      <w:pPr>
        <w:ind w:left="3144" w:hanging="425"/>
      </w:pPr>
      <w:rPr>
        <w:rFonts w:hint="default"/>
      </w:rPr>
    </w:lvl>
    <w:lvl w:ilvl="4" w:tplc="6A689928">
      <w:numFmt w:val="bullet"/>
      <w:lvlText w:val="•"/>
      <w:lvlJc w:val="left"/>
      <w:pPr>
        <w:ind w:left="4012" w:hanging="425"/>
      </w:pPr>
      <w:rPr>
        <w:rFonts w:hint="default"/>
      </w:rPr>
    </w:lvl>
    <w:lvl w:ilvl="5" w:tplc="04906A50">
      <w:numFmt w:val="bullet"/>
      <w:lvlText w:val="•"/>
      <w:lvlJc w:val="left"/>
      <w:pPr>
        <w:ind w:left="4880" w:hanging="425"/>
      </w:pPr>
      <w:rPr>
        <w:rFonts w:hint="default"/>
      </w:rPr>
    </w:lvl>
    <w:lvl w:ilvl="6" w:tplc="1A3E3D24">
      <w:numFmt w:val="bullet"/>
      <w:lvlText w:val="•"/>
      <w:lvlJc w:val="left"/>
      <w:pPr>
        <w:ind w:left="5748" w:hanging="425"/>
      </w:pPr>
      <w:rPr>
        <w:rFonts w:hint="default"/>
      </w:rPr>
    </w:lvl>
    <w:lvl w:ilvl="7" w:tplc="FBB853A0">
      <w:numFmt w:val="bullet"/>
      <w:lvlText w:val="•"/>
      <w:lvlJc w:val="left"/>
      <w:pPr>
        <w:ind w:left="6616" w:hanging="425"/>
      </w:pPr>
      <w:rPr>
        <w:rFonts w:hint="default"/>
      </w:rPr>
    </w:lvl>
    <w:lvl w:ilvl="8" w:tplc="A014CBDA">
      <w:numFmt w:val="bullet"/>
      <w:lvlText w:val="•"/>
      <w:lvlJc w:val="left"/>
      <w:pPr>
        <w:ind w:left="7484" w:hanging="425"/>
      </w:pPr>
      <w:rPr>
        <w:rFonts w:hint="default"/>
      </w:rPr>
    </w:lvl>
  </w:abstractNum>
  <w:abstractNum w:abstractNumId="11" w15:restartNumberingAfterBreak="0">
    <w:nsid w:val="57E11B43"/>
    <w:multiLevelType w:val="hybridMultilevel"/>
    <w:tmpl w:val="04A0C4D4"/>
    <w:lvl w:ilvl="0" w:tplc="6D085994">
      <w:start w:val="2"/>
      <w:numFmt w:val="decimal"/>
      <w:lvlText w:val="%1-"/>
      <w:lvlJc w:val="left"/>
      <w:pPr>
        <w:ind w:left="152" w:hanging="201"/>
        <w:jc w:val="left"/>
      </w:pPr>
      <w:rPr>
        <w:rFonts w:ascii="Times New Roman" w:eastAsia="Times New Roman" w:hAnsi="Times New Roman" w:cs="Times New Roman" w:hint="default"/>
        <w:spacing w:val="-5"/>
        <w:w w:val="100"/>
        <w:sz w:val="22"/>
        <w:szCs w:val="22"/>
      </w:rPr>
    </w:lvl>
    <w:lvl w:ilvl="1" w:tplc="200A7AF8">
      <w:numFmt w:val="bullet"/>
      <w:lvlText w:val="•"/>
      <w:lvlJc w:val="left"/>
      <w:pPr>
        <w:ind w:left="1222" w:hanging="201"/>
      </w:pPr>
      <w:rPr>
        <w:rFonts w:hint="default"/>
      </w:rPr>
    </w:lvl>
    <w:lvl w:ilvl="2" w:tplc="1478BD4C">
      <w:numFmt w:val="bullet"/>
      <w:lvlText w:val="•"/>
      <w:lvlJc w:val="left"/>
      <w:pPr>
        <w:ind w:left="2284" w:hanging="201"/>
      </w:pPr>
      <w:rPr>
        <w:rFonts w:hint="default"/>
      </w:rPr>
    </w:lvl>
    <w:lvl w:ilvl="3" w:tplc="B27CACDE">
      <w:numFmt w:val="bullet"/>
      <w:lvlText w:val="•"/>
      <w:lvlJc w:val="left"/>
      <w:pPr>
        <w:ind w:left="3346" w:hanging="201"/>
      </w:pPr>
      <w:rPr>
        <w:rFonts w:hint="default"/>
      </w:rPr>
    </w:lvl>
    <w:lvl w:ilvl="4" w:tplc="46DE3FF8">
      <w:numFmt w:val="bullet"/>
      <w:lvlText w:val="•"/>
      <w:lvlJc w:val="left"/>
      <w:pPr>
        <w:ind w:left="4408" w:hanging="201"/>
      </w:pPr>
      <w:rPr>
        <w:rFonts w:hint="default"/>
      </w:rPr>
    </w:lvl>
    <w:lvl w:ilvl="5" w:tplc="82020E62">
      <w:numFmt w:val="bullet"/>
      <w:lvlText w:val="•"/>
      <w:lvlJc w:val="left"/>
      <w:pPr>
        <w:ind w:left="5470" w:hanging="201"/>
      </w:pPr>
      <w:rPr>
        <w:rFonts w:hint="default"/>
      </w:rPr>
    </w:lvl>
    <w:lvl w:ilvl="6" w:tplc="373AF418">
      <w:numFmt w:val="bullet"/>
      <w:lvlText w:val="•"/>
      <w:lvlJc w:val="left"/>
      <w:pPr>
        <w:ind w:left="6532" w:hanging="201"/>
      </w:pPr>
      <w:rPr>
        <w:rFonts w:hint="default"/>
      </w:rPr>
    </w:lvl>
    <w:lvl w:ilvl="7" w:tplc="EDA8058E">
      <w:numFmt w:val="bullet"/>
      <w:lvlText w:val="•"/>
      <w:lvlJc w:val="left"/>
      <w:pPr>
        <w:ind w:left="7594" w:hanging="201"/>
      </w:pPr>
      <w:rPr>
        <w:rFonts w:hint="default"/>
      </w:rPr>
    </w:lvl>
    <w:lvl w:ilvl="8" w:tplc="5DD411FA">
      <w:numFmt w:val="bullet"/>
      <w:lvlText w:val="•"/>
      <w:lvlJc w:val="left"/>
      <w:pPr>
        <w:ind w:left="8656" w:hanging="201"/>
      </w:pPr>
      <w:rPr>
        <w:rFonts w:hint="default"/>
      </w:rPr>
    </w:lvl>
  </w:abstractNum>
  <w:abstractNum w:abstractNumId="12" w15:restartNumberingAfterBreak="0">
    <w:nsid w:val="58F61AA2"/>
    <w:multiLevelType w:val="multilevel"/>
    <w:tmpl w:val="2840AD46"/>
    <w:lvl w:ilvl="0">
      <w:start w:val="4"/>
      <w:numFmt w:val="decimal"/>
      <w:lvlText w:val="%1"/>
      <w:lvlJc w:val="left"/>
      <w:pPr>
        <w:ind w:left="1004" w:hanging="852"/>
        <w:jc w:val="left"/>
      </w:pPr>
      <w:rPr>
        <w:rFonts w:hint="default"/>
      </w:rPr>
    </w:lvl>
    <w:lvl w:ilvl="1">
      <w:start w:val="2"/>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34" w:hanging="852"/>
      </w:pPr>
      <w:rPr>
        <w:rFonts w:hint="default"/>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13" w15:restartNumberingAfterBreak="0">
    <w:nsid w:val="60BB3F1F"/>
    <w:multiLevelType w:val="multilevel"/>
    <w:tmpl w:val="D0366320"/>
    <w:lvl w:ilvl="0">
      <w:start w:val="4"/>
      <w:numFmt w:val="decimal"/>
      <w:lvlText w:val="%1"/>
      <w:lvlJc w:val="left"/>
      <w:pPr>
        <w:ind w:left="1004" w:hanging="852"/>
        <w:jc w:val="left"/>
      </w:pPr>
      <w:rPr>
        <w:rFonts w:hint="default"/>
      </w:rPr>
    </w:lvl>
    <w:lvl w:ilvl="1">
      <w:start w:val="4"/>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34" w:hanging="852"/>
      </w:pPr>
      <w:rPr>
        <w:rFonts w:hint="default"/>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14" w15:restartNumberingAfterBreak="0">
    <w:nsid w:val="637C6392"/>
    <w:multiLevelType w:val="multilevel"/>
    <w:tmpl w:val="40CAED04"/>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hint="default"/>
      </w:rPr>
    </w:lvl>
    <w:lvl w:ilvl="3">
      <w:start w:val="2"/>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4"/>
        <w:w w:val="100"/>
        <w:sz w:val="24"/>
        <w:szCs w:val="24"/>
      </w:rPr>
    </w:lvl>
    <w:lvl w:ilvl="5">
      <w:numFmt w:val="bullet"/>
      <w:lvlText w:val="•"/>
      <w:lvlJc w:val="left"/>
      <w:pPr>
        <w:ind w:left="5502" w:hanging="1133"/>
      </w:pPr>
      <w:rPr>
        <w:rFonts w:hint="default"/>
      </w:rPr>
    </w:lvl>
    <w:lvl w:ilvl="6">
      <w:numFmt w:val="bullet"/>
      <w:lvlText w:val="•"/>
      <w:lvlJc w:val="left"/>
      <w:pPr>
        <w:ind w:left="6557" w:hanging="1133"/>
      </w:pPr>
      <w:rPr>
        <w:rFonts w:hint="default"/>
      </w:rPr>
    </w:lvl>
    <w:lvl w:ilvl="7">
      <w:numFmt w:val="bullet"/>
      <w:lvlText w:val="•"/>
      <w:lvlJc w:val="left"/>
      <w:pPr>
        <w:ind w:left="7613" w:hanging="1133"/>
      </w:pPr>
      <w:rPr>
        <w:rFonts w:hint="default"/>
      </w:rPr>
    </w:lvl>
    <w:lvl w:ilvl="8">
      <w:numFmt w:val="bullet"/>
      <w:lvlText w:val="•"/>
      <w:lvlJc w:val="left"/>
      <w:pPr>
        <w:ind w:left="8668" w:hanging="1133"/>
      </w:pPr>
      <w:rPr>
        <w:rFonts w:hint="default"/>
      </w:rPr>
    </w:lvl>
  </w:abstractNum>
  <w:abstractNum w:abstractNumId="15" w15:restartNumberingAfterBreak="0">
    <w:nsid w:val="78157EE3"/>
    <w:multiLevelType w:val="multilevel"/>
    <w:tmpl w:val="4BBAA6E0"/>
    <w:lvl w:ilvl="0">
      <w:start w:val="5"/>
      <w:numFmt w:val="decimal"/>
      <w:lvlText w:val="%1"/>
      <w:lvlJc w:val="left"/>
      <w:pPr>
        <w:ind w:left="964" w:hanging="852"/>
        <w:jc w:val="left"/>
      </w:pPr>
      <w:rPr>
        <w:rFonts w:hint="default"/>
      </w:rPr>
    </w:lvl>
    <w:lvl w:ilvl="1">
      <w:start w:val="2"/>
      <w:numFmt w:val="decimal"/>
      <w:lvlText w:val="%1.%2"/>
      <w:lvlJc w:val="left"/>
      <w:pPr>
        <w:ind w:left="964" w:hanging="852"/>
        <w:jc w:val="left"/>
      </w:pPr>
      <w:rPr>
        <w:rFonts w:hint="default"/>
      </w:rPr>
    </w:lvl>
    <w:lvl w:ilvl="2">
      <w:start w:val="2"/>
      <w:numFmt w:val="decimal"/>
      <w:lvlText w:val="%1.%2.%3"/>
      <w:lvlJc w:val="left"/>
      <w:pPr>
        <w:ind w:left="964" w:hanging="852"/>
        <w:jc w:val="left"/>
      </w:pPr>
      <w:rPr>
        <w:rFonts w:hint="default"/>
      </w:rPr>
    </w:lvl>
    <w:lvl w:ilvl="3">
      <w:start w:val="2"/>
      <w:numFmt w:val="decimal"/>
      <w:lvlText w:val="%1.%2.%3.%4"/>
      <w:lvlJc w:val="left"/>
      <w:pPr>
        <w:ind w:left="9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786" w:hanging="1133"/>
      </w:pPr>
      <w:rPr>
        <w:rFonts w:hint="default"/>
      </w:rPr>
    </w:lvl>
    <w:lvl w:ilvl="6">
      <w:numFmt w:val="bullet"/>
      <w:lvlText w:val="•"/>
      <w:lvlJc w:val="left"/>
      <w:pPr>
        <w:ind w:left="5673" w:hanging="1133"/>
      </w:pPr>
      <w:rPr>
        <w:rFonts w:hint="default"/>
      </w:rPr>
    </w:lvl>
    <w:lvl w:ilvl="7">
      <w:numFmt w:val="bullet"/>
      <w:lvlText w:val="•"/>
      <w:lvlJc w:val="left"/>
      <w:pPr>
        <w:ind w:left="6560" w:hanging="1133"/>
      </w:pPr>
      <w:rPr>
        <w:rFonts w:hint="default"/>
      </w:rPr>
    </w:lvl>
    <w:lvl w:ilvl="8">
      <w:numFmt w:val="bullet"/>
      <w:lvlText w:val="•"/>
      <w:lvlJc w:val="left"/>
      <w:pPr>
        <w:ind w:left="7446" w:hanging="1133"/>
      </w:pPr>
      <w:rPr>
        <w:rFonts w:hint="default"/>
      </w:rPr>
    </w:lvl>
  </w:abstractNum>
  <w:abstractNum w:abstractNumId="16" w15:restartNumberingAfterBreak="0">
    <w:nsid w:val="7BA00D00"/>
    <w:multiLevelType w:val="multilevel"/>
    <w:tmpl w:val="CB76049E"/>
    <w:lvl w:ilvl="0">
      <w:start w:val="4"/>
      <w:numFmt w:val="decimal"/>
      <w:lvlText w:val="%1"/>
      <w:lvlJc w:val="left"/>
      <w:pPr>
        <w:ind w:left="1004" w:hanging="852"/>
      </w:pPr>
      <w:rPr>
        <w:rFonts w:hint="default"/>
      </w:rPr>
    </w:lvl>
    <w:lvl w:ilvl="1">
      <w:start w:val="3"/>
      <w:numFmt w:val="decimal"/>
      <w:lvlText w:val="%1.%2"/>
      <w:lvlJc w:val="left"/>
      <w:pPr>
        <w:ind w:left="1004" w:hanging="852"/>
      </w:pPr>
      <w:rPr>
        <w:rFonts w:hint="default"/>
      </w:rPr>
    </w:lvl>
    <w:lvl w:ilvl="2">
      <w:start w:val="3"/>
      <w:numFmt w:val="decimal"/>
      <w:lvlText w:val="%1.%2.%3"/>
      <w:lvlJc w:val="left"/>
      <w:pPr>
        <w:ind w:left="1004" w:hanging="852"/>
      </w:pPr>
      <w:rPr>
        <w:rFonts w:ascii="Times New Roman" w:eastAsia="ＭＳ 明朝" w:hAnsi="Times New Roman" w:cs="Times New Roman" w:hint="default"/>
        <w:b/>
        <w:bCs/>
        <w:w w:val="100"/>
        <w:sz w:val="24"/>
        <w:szCs w:val="24"/>
      </w:rPr>
    </w:lvl>
    <w:lvl w:ilvl="3">
      <w:numFmt w:val="bullet"/>
      <w:lvlText w:val="•"/>
      <w:lvlJc w:val="left"/>
      <w:pPr>
        <w:ind w:left="3934" w:hanging="852"/>
      </w:pPr>
      <w:rPr>
        <w:rFonts w:hint="default"/>
      </w:rPr>
    </w:lvl>
    <w:lvl w:ilvl="4">
      <w:numFmt w:val="bullet"/>
      <w:lvlText w:val="•"/>
      <w:lvlJc w:val="left"/>
      <w:pPr>
        <w:ind w:left="4912" w:hanging="852"/>
      </w:pPr>
      <w:rPr>
        <w:rFonts w:hint="default"/>
      </w:rPr>
    </w:lvl>
    <w:lvl w:ilvl="5">
      <w:numFmt w:val="bullet"/>
      <w:lvlText w:val="•"/>
      <w:lvlJc w:val="left"/>
      <w:pPr>
        <w:ind w:left="5890" w:hanging="852"/>
      </w:pPr>
      <w:rPr>
        <w:rFonts w:hint="default"/>
      </w:rPr>
    </w:lvl>
    <w:lvl w:ilvl="6">
      <w:numFmt w:val="bullet"/>
      <w:lvlText w:val="•"/>
      <w:lvlJc w:val="left"/>
      <w:pPr>
        <w:ind w:left="6868" w:hanging="852"/>
      </w:pPr>
      <w:rPr>
        <w:rFonts w:hint="default"/>
      </w:rPr>
    </w:lvl>
    <w:lvl w:ilvl="7">
      <w:numFmt w:val="bullet"/>
      <w:lvlText w:val="•"/>
      <w:lvlJc w:val="left"/>
      <w:pPr>
        <w:ind w:left="7846" w:hanging="852"/>
      </w:pPr>
      <w:rPr>
        <w:rFonts w:hint="default"/>
      </w:rPr>
    </w:lvl>
    <w:lvl w:ilvl="8">
      <w:numFmt w:val="bullet"/>
      <w:lvlText w:val="•"/>
      <w:lvlJc w:val="left"/>
      <w:pPr>
        <w:ind w:left="8824" w:hanging="852"/>
      </w:pPr>
      <w:rPr>
        <w:rFonts w:hint="default"/>
      </w:rPr>
    </w:lvl>
  </w:abstractNum>
  <w:abstractNum w:abstractNumId="17" w15:restartNumberingAfterBreak="0">
    <w:nsid w:val="7C8F3F24"/>
    <w:multiLevelType w:val="multilevel"/>
    <w:tmpl w:val="5CEEB45A"/>
    <w:lvl w:ilvl="0">
      <w:start w:val="1"/>
      <w:numFmt w:val="decimal"/>
      <w:lvlText w:val="%1"/>
      <w:lvlJc w:val="left"/>
      <w:pPr>
        <w:ind w:left="2305" w:hanging="555"/>
        <w:jc w:val="left"/>
      </w:pPr>
      <w:rPr>
        <w:rFonts w:hint="default"/>
      </w:rPr>
    </w:lvl>
    <w:lvl w:ilvl="1">
      <w:start w:val="1"/>
      <w:numFmt w:val="decimal"/>
      <w:lvlText w:val="%1.%2"/>
      <w:lvlJc w:val="left"/>
      <w:pPr>
        <w:ind w:left="2305" w:hanging="555"/>
        <w:jc w:val="left"/>
      </w:pPr>
      <w:rPr>
        <w:rFonts w:ascii="Times New Roman" w:eastAsia="Times New Roman" w:hAnsi="Times New Roman" w:cs="Times New Roman" w:hint="default"/>
        <w:w w:val="100"/>
        <w:sz w:val="22"/>
        <w:szCs w:val="22"/>
      </w:rPr>
    </w:lvl>
    <w:lvl w:ilvl="2">
      <w:start w:val="1"/>
      <w:numFmt w:val="decimal"/>
      <w:lvlText w:val="%1.%2.%3"/>
      <w:lvlJc w:val="left"/>
      <w:pPr>
        <w:ind w:left="3119" w:hanging="814"/>
        <w:jc w:val="left"/>
      </w:pPr>
      <w:rPr>
        <w:rFonts w:ascii="Times New Roman" w:eastAsia="Times New Roman" w:hAnsi="Times New Roman" w:cs="Times New Roman" w:hint="default"/>
        <w:w w:val="100"/>
        <w:sz w:val="22"/>
        <w:szCs w:val="22"/>
      </w:rPr>
    </w:lvl>
    <w:lvl w:ilvl="3">
      <w:numFmt w:val="bullet"/>
      <w:lvlText w:val="•"/>
      <w:lvlJc w:val="left"/>
      <w:pPr>
        <w:ind w:left="4822" w:hanging="814"/>
      </w:pPr>
      <w:rPr>
        <w:rFonts w:hint="default"/>
      </w:rPr>
    </w:lvl>
    <w:lvl w:ilvl="4">
      <w:numFmt w:val="bullet"/>
      <w:lvlText w:val="•"/>
      <w:lvlJc w:val="left"/>
      <w:pPr>
        <w:ind w:left="5673" w:hanging="814"/>
      </w:pPr>
      <w:rPr>
        <w:rFonts w:hint="default"/>
      </w:rPr>
    </w:lvl>
    <w:lvl w:ilvl="5">
      <w:numFmt w:val="bullet"/>
      <w:lvlText w:val="•"/>
      <w:lvlJc w:val="left"/>
      <w:pPr>
        <w:ind w:left="6524" w:hanging="814"/>
      </w:pPr>
      <w:rPr>
        <w:rFonts w:hint="default"/>
      </w:rPr>
    </w:lvl>
    <w:lvl w:ilvl="6">
      <w:numFmt w:val="bullet"/>
      <w:lvlText w:val="•"/>
      <w:lvlJc w:val="left"/>
      <w:pPr>
        <w:ind w:left="7375" w:hanging="814"/>
      </w:pPr>
      <w:rPr>
        <w:rFonts w:hint="default"/>
      </w:rPr>
    </w:lvl>
    <w:lvl w:ilvl="7">
      <w:numFmt w:val="bullet"/>
      <w:lvlText w:val="•"/>
      <w:lvlJc w:val="left"/>
      <w:pPr>
        <w:ind w:left="8226" w:hanging="814"/>
      </w:pPr>
      <w:rPr>
        <w:rFonts w:hint="default"/>
      </w:rPr>
    </w:lvl>
    <w:lvl w:ilvl="8">
      <w:numFmt w:val="bullet"/>
      <w:lvlText w:val="•"/>
      <w:lvlJc w:val="left"/>
      <w:pPr>
        <w:ind w:left="9077" w:hanging="814"/>
      </w:pPr>
      <w:rPr>
        <w:rFonts w:hint="default"/>
      </w:rPr>
    </w:lvl>
  </w:abstractNum>
  <w:num w:numId="1">
    <w:abstractNumId w:val="9"/>
  </w:num>
  <w:num w:numId="2">
    <w:abstractNumId w:val="2"/>
  </w:num>
  <w:num w:numId="3">
    <w:abstractNumId w:val="5"/>
  </w:num>
  <w:num w:numId="4">
    <w:abstractNumId w:val="10"/>
  </w:num>
  <w:num w:numId="5">
    <w:abstractNumId w:val="15"/>
  </w:num>
  <w:num w:numId="6">
    <w:abstractNumId w:val="7"/>
  </w:num>
  <w:num w:numId="7">
    <w:abstractNumId w:val="13"/>
  </w:num>
  <w:num w:numId="8">
    <w:abstractNumId w:val="4"/>
  </w:num>
  <w:num w:numId="9">
    <w:abstractNumId w:val="11"/>
  </w:num>
  <w:num w:numId="10">
    <w:abstractNumId w:val="16"/>
  </w:num>
  <w:num w:numId="11">
    <w:abstractNumId w:val="12"/>
  </w:num>
  <w:num w:numId="12">
    <w:abstractNumId w:val="1"/>
  </w:num>
  <w:num w:numId="13">
    <w:abstractNumId w:val="14"/>
  </w:num>
  <w:num w:numId="14">
    <w:abstractNumId w:val="3"/>
  </w:num>
  <w:num w:numId="15">
    <w:abstractNumId w:val="6"/>
  </w:num>
  <w:num w:numId="16">
    <w:abstractNumId w:val="8"/>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B3095"/>
    <w:rsid w:val="001705B2"/>
    <w:rsid w:val="005A016F"/>
    <w:rsid w:val="00821C25"/>
    <w:rsid w:val="009958C4"/>
    <w:rsid w:val="009B3095"/>
    <w:rsid w:val="00AC48A5"/>
    <w:rsid w:val="00B16187"/>
    <w:rsid w:val="00EE1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117BACF7-EE04-4AC6-A197-DF27EBF2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28"/>
      <w:jc w:val="center"/>
      <w:outlineLvl w:val="0"/>
    </w:pPr>
    <w:rPr>
      <w:b/>
      <w:bCs/>
      <w:sz w:val="32"/>
      <w:szCs w:val="32"/>
    </w:rPr>
  </w:style>
  <w:style w:type="paragraph" w:styleId="2">
    <w:name w:val="heading 2"/>
    <w:basedOn w:val="a"/>
    <w:uiPriority w:val="9"/>
    <w:unhideWhenUsed/>
    <w:qFormat/>
    <w:pPr>
      <w:spacing w:before="89"/>
      <w:ind w:left="1013" w:hanging="852"/>
      <w:outlineLvl w:val="1"/>
    </w:pPr>
    <w:rPr>
      <w:b/>
      <w:bCs/>
      <w:sz w:val="28"/>
      <w:szCs w:val="28"/>
    </w:rPr>
  </w:style>
  <w:style w:type="paragraph" w:styleId="3">
    <w:name w:val="heading 3"/>
    <w:basedOn w:val="a"/>
    <w:uiPriority w:val="9"/>
    <w:unhideWhenUsed/>
    <w:qFormat/>
    <w:pPr>
      <w:spacing w:before="122"/>
      <w:ind w:left="100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12"/>
      <w:ind w:left="860" w:hanging="708"/>
    </w:pPr>
    <w:rPr>
      <w:b/>
      <w:bCs/>
    </w:rPr>
  </w:style>
  <w:style w:type="paragraph" w:styleId="20">
    <w:name w:val="toc 2"/>
    <w:basedOn w:val="a"/>
    <w:uiPriority w:val="1"/>
    <w:qFormat/>
    <w:pPr>
      <w:spacing w:before="107"/>
      <w:ind w:left="1285" w:hanging="849"/>
    </w:pPr>
  </w:style>
  <w:style w:type="paragraph" w:styleId="30">
    <w:name w:val="toc 3"/>
    <w:basedOn w:val="a"/>
    <w:uiPriority w:val="1"/>
    <w:qFormat/>
    <w:pPr>
      <w:spacing w:before="107"/>
      <w:ind w:left="1712" w:hanging="993"/>
    </w:pPr>
  </w:style>
  <w:style w:type="paragraph" w:styleId="4">
    <w:name w:val="toc 4"/>
    <w:basedOn w:val="a"/>
    <w:uiPriority w:val="1"/>
    <w:qFormat/>
    <w:pPr>
      <w:spacing w:before="107"/>
      <w:ind w:left="2137" w:hanging="1133"/>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04" w:hanging="852"/>
    </w:pPr>
  </w:style>
  <w:style w:type="paragraph" w:customStyle="1" w:styleId="TableParagraph">
    <w:name w:val="Table Paragraph"/>
    <w:basedOn w:val="a"/>
    <w:uiPriority w:val="1"/>
    <w:qFormat/>
    <w:pPr>
      <w:spacing w:before="1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85CBE6-6D30-431D-81BC-06459FA5877A}"/>
</file>

<file path=customXml/itemProps2.xml><?xml version="1.0" encoding="utf-8"?>
<ds:datastoreItem xmlns:ds="http://schemas.openxmlformats.org/officeDocument/2006/customXml" ds:itemID="{EE35A3A8-694F-41E7-9656-5EEB90D71F46}"/>
</file>

<file path=customXml/itemProps3.xml><?xml version="1.0" encoding="utf-8"?>
<ds:datastoreItem xmlns:ds="http://schemas.openxmlformats.org/officeDocument/2006/customXml" ds:itemID="{C6215889-4A35-4122-BE5F-518E626DC8A5}"/>
</file>

<file path=docProps/app.xml><?xml version="1.0" encoding="utf-8"?>
<Properties xmlns="http://schemas.openxmlformats.org/officeDocument/2006/extended-properties" xmlns:vt="http://schemas.openxmlformats.org/officeDocument/2006/docPropsVTypes">
  <Template>Normal</Template>
  <TotalTime>8</TotalTime>
  <Pages>7</Pages>
  <Words>2781</Words>
  <Characters>15857</Characters>
  <Application>Microsoft Office Word</Application>
  <DocSecurity>0</DocSecurity>
  <Lines>132</Lines>
  <Paragraphs>37</Paragraphs>
  <ScaleCrop>false</ScaleCrop>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7</cp:revision>
  <dcterms:created xsi:type="dcterms:W3CDTF">2021-06-28T10:12:00Z</dcterms:created>
  <dcterms:modified xsi:type="dcterms:W3CDTF">2021-07-08T09:34:00Z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2020-09-17T00:00:00Z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