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195" w:rsidRDefault="00432668">
      <w:pPr>
        <w:pStyle w:val="3"/>
        <w:numPr>
          <w:ilvl w:val="2"/>
          <w:numId w:val="13"/>
        </w:numPr>
        <w:tabs>
          <w:tab w:val="left" w:pos="1084"/>
          <w:tab w:val="left" w:pos="1085"/>
        </w:tabs>
        <w:spacing w:before="123"/>
      </w:pPr>
      <w:bookmarkStart w:id="0" w:name="4.1.3_Safety_Pharmacology"/>
      <w:bookmarkStart w:id="1" w:name="_bookmark12"/>
      <w:bookmarkEnd w:id="0"/>
      <w:bookmarkEnd w:id="1"/>
      <w:r>
        <w:t>Safety</w:t>
      </w:r>
      <w:r>
        <w:rPr>
          <w:spacing w:val="-2"/>
        </w:rPr>
        <w:t xml:space="preserve"> </w:t>
      </w:r>
      <w:r>
        <w:t>Pharmacology</w:t>
      </w:r>
    </w:p>
    <w:p w:rsidR="00275195" w:rsidRDefault="00432668">
      <w:pPr>
        <w:pStyle w:val="a3"/>
        <w:spacing w:before="139" w:line="261" w:lineRule="auto"/>
        <w:ind w:right="1809"/>
      </w:pPr>
      <w:r>
        <w:t xml:space="preserve">Safety pharmacology assessments of the major organ systems were performed as part of the 4-week intravenous toxicity study in cynomolgus monkeys (Study </w:t>
      </w:r>
      <w:r w:rsidR="00C64805">
        <w:t>Project 14</w:t>
      </w:r>
      <w:r>
        <w:t>-TX-0001)</w:t>
      </w:r>
    </w:p>
    <w:p w:rsidR="00275195" w:rsidRDefault="00724F95">
      <w:pPr>
        <w:pStyle w:val="a3"/>
        <w:spacing w:line="261" w:lineRule="auto"/>
        <w:ind w:right="1895"/>
      </w:pPr>
      <w:hyperlink w:anchor="_bookmark26" w:history="1">
        <w:r w:rsidR="00432668">
          <w:t>[Section 4.3.2.1</w:t>
        </w:r>
      </w:hyperlink>
      <w:r w:rsidR="00432668">
        <w:t>]. At doses up to 100 mg/kg, no discernible effects on the CNS (clinical observations), cardiovascular (electrocardiography and blood pressure) or respiratory (respiration rate) systems were noted.</w:t>
      </w:r>
    </w:p>
    <w:p w:rsidR="00275195" w:rsidRDefault="00432668" w:rsidP="00724F95">
      <w:pPr>
        <w:pStyle w:val="2"/>
        <w:numPr>
          <w:ilvl w:val="1"/>
          <w:numId w:val="12"/>
        </w:numPr>
        <w:tabs>
          <w:tab w:val="left" w:pos="1084"/>
          <w:tab w:val="left" w:pos="1085"/>
        </w:tabs>
        <w:spacing w:before="93"/>
      </w:pPr>
      <w:bookmarkStart w:id="2" w:name="4.1.4_Pharmacodynamic_Drug_Interactions"/>
      <w:bookmarkStart w:id="3" w:name="_bookmark13"/>
      <w:bookmarkStart w:id="4" w:name="4.3_Toxicology"/>
      <w:bookmarkStart w:id="5" w:name="_bookmark22"/>
      <w:bookmarkStart w:id="6" w:name="_GoBack"/>
      <w:bookmarkEnd w:id="2"/>
      <w:bookmarkEnd w:id="3"/>
      <w:bookmarkEnd w:id="4"/>
      <w:bookmarkEnd w:id="5"/>
      <w:bookmarkEnd w:id="6"/>
      <w:r>
        <w:t>Toxicology</w:t>
      </w:r>
    </w:p>
    <w:p w:rsidR="00275195" w:rsidRDefault="00432668">
      <w:pPr>
        <w:pStyle w:val="a3"/>
        <w:spacing w:before="140" w:line="261" w:lineRule="auto"/>
        <w:ind w:right="1636"/>
      </w:pPr>
      <w:r>
        <w:t xml:space="preserve">The safety of </w:t>
      </w:r>
      <w:r w:rsidR="00C64805">
        <w:t>PROJECT 14</w:t>
      </w:r>
      <w:r>
        <w:t xml:space="preserve"> has been evaluated in a total of 6 toxicology studies, 3 in vivo studies and 3 in vitro studies. A tabulated overview of these studies is provided in [End-of-Text Table 3.1]. A tabulated overview of the toxicokinetic studies and toxicokinetic data from these studies is provided in [End-of-Text Tables 3.2 and 3.3], respectively. The toxicology studies, with the exception of the exploratory cytokine release assessment, were conducted under appropriate national and international guidelines/guidances and in accordance with Good Laboratory Practice standards.</w:t>
      </w:r>
    </w:p>
    <w:p w:rsidR="00275195" w:rsidRDefault="00432668">
      <w:pPr>
        <w:pStyle w:val="a3"/>
        <w:spacing w:before="114" w:line="261" w:lineRule="auto"/>
        <w:ind w:right="2250"/>
      </w:pPr>
      <w:r>
        <w:t>The organs of toxicity identified by these studies included the renal/urinary system and immunological (immune) response. Details of these findings are outlined below.</w:t>
      </w:r>
    </w:p>
    <w:p w:rsidR="00275195" w:rsidRDefault="00432668">
      <w:pPr>
        <w:pStyle w:val="3"/>
        <w:numPr>
          <w:ilvl w:val="2"/>
          <w:numId w:val="12"/>
        </w:numPr>
        <w:tabs>
          <w:tab w:val="left" w:pos="1084"/>
          <w:tab w:val="left" w:pos="1085"/>
        </w:tabs>
        <w:spacing w:before="123"/>
      </w:pPr>
      <w:bookmarkStart w:id="7" w:name="4.3.1_Single-dose_Toxicity"/>
      <w:bookmarkStart w:id="8" w:name="_bookmark23"/>
      <w:bookmarkEnd w:id="7"/>
      <w:bookmarkEnd w:id="8"/>
      <w:r>
        <w:t>Single-dose</w:t>
      </w:r>
      <w:r>
        <w:rPr>
          <w:spacing w:val="-2"/>
        </w:rPr>
        <w:t xml:space="preserve"> </w:t>
      </w:r>
      <w:r>
        <w:t>Toxicity</w:t>
      </w:r>
    </w:p>
    <w:p w:rsidR="00275195" w:rsidRDefault="00432668">
      <w:pPr>
        <w:pStyle w:val="a4"/>
        <w:numPr>
          <w:ilvl w:val="3"/>
          <w:numId w:val="12"/>
        </w:numPr>
        <w:tabs>
          <w:tab w:val="left" w:pos="1085"/>
        </w:tabs>
        <w:spacing w:before="144"/>
        <w:rPr>
          <w:b/>
          <w:sz w:val="24"/>
        </w:rPr>
      </w:pPr>
      <w:bookmarkStart w:id="9" w:name="4.3.1.1_Single_Subcutaneous_Dose_Toxicit"/>
      <w:bookmarkStart w:id="10" w:name="_bookmark24"/>
      <w:bookmarkEnd w:id="9"/>
      <w:bookmarkEnd w:id="10"/>
      <w:r>
        <w:rPr>
          <w:b/>
          <w:sz w:val="24"/>
        </w:rPr>
        <w:t>Single Subcutaneous Dose Toxicity Study in Cynomolgus</w:t>
      </w:r>
      <w:r>
        <w:rPr>
          <w:b/>
          <w:spacing w:val="-9"/>
          <w:sz w:val="24"/>
        </w:rPr>
        <w:t xml:space="preserve"> </w:t>
      </w:r>
      <w:r>
        <w:rPr>
          <w:b/>
          <w:sz w:val="24"/>
        </w:rPr>
        <w:t>Monkeys</w:t>
      </w:r>
    </w:p>
    <w:p w:rsidR="00275195" w:rsidRDefault="00432668">
      <w:pPr>
        <w:pStyle w:val="a3"/>
        <w:spacing w:before="139" w:line="261" w:lineRule="auto"/>
        <w:ind w:right="1625"/>
      </w:pPr>
      <w:r>
        <w:t xml:space="preserve">A tabulated summary of the results of the single-dose toxicity study (Study </w:t>
      </w:r>
      <w:r w:rsidR="00C64805">
        <w:t>Project 14</w:t>
      </w:r>
      <w:r>
        <w:t>-TX-0002)</w:t>
      </w:r>
      <w:r>
        <w:rPr>
          <w:spacing w:val="-23"/>
        </w:rPr>
        <w:t xml:space="preserve"> </w:t>
      </w:r>
      <w:r>
        <w:t xml:space="preserve">is presented in [End-of-Text Table 3.4.1]. The potential of </w:t>
      </w:r>
      <w:r w:rsidR="00C64805">
        <w:t>PROJECT 14</w:t>
      </w:r>
      <w:r>
        <w:t xml:space="preserve"> (0, 10 or 50 mg/kg) to induce local irritation at the injection site as well as its systemic toxicity was investigated following a single subcutaneous injection in cynomolgus monkeys (2 males and 2 females per dose level). The animals were observed for 2 weeks following the</w:t>
      </w:r>
      <w:r>
        <w:rPr>
          <w:spacing w:val="-15"/>
        </w:rPr>
        <w:t xml:space="preserve"> </w:t>
      </w:r>
      <w:r>
        <w:t>injection.</w:t>
      </w:r>
    </w:p>
    <w:p w:rsidR="00275195" w:rsidRDefault="00432668" w:rsidP="00432668">
      <w:pPr>
        <w:pStyle w:val="a3"/>
        <w:spacing w:before="116" w:line="261" w:lineRule="auto"/>
        <w:ind w:right="1602"/>
      </w:pPr>
      <w:r>
        <w:t>No animal died at either dose level. No test article-related changes were observed in clinical signs, macroscopic examination (injection site), body weight, food consumption, gross pathology or histopathology.</w:t>
      </w:r>
      <w:r>
        <w:rPr>
          <w:rFonts w:ascii="ＭＳ 明朝" w:eastAsia="ＭＳ 明朝" w:hAnsi="ＭＳ 明朝" w:cs="ＭＳ 明朝" w:hint="eastAsia"/>
          <w:lang w:eastAsia="ja-JP"/>
        </w:rPr>
        <w:t xml:space="preserve"> </w:t>
      </w:r>
      <w:r>
        <w:t>Toxicokinetic assessments showed that the mean C</w:t>
      </w:r>
      <w:r>
        <w:rPr>
          <w:vertAlign w:val="subscript"/>
        </w:rPr>
        <w:t>max</w:t>
      </w:r>
      <w:r>
        <w:t xml:space="preserve"> values, mean AUC</w:t>
      </w:r>
      <w:r>
        <w:rPr>
          <w:vertAlign w:val="subscript"/>
        </w:rPr>
        <w:t>168</w:t>
      </w:r>
      <w:r>
        <w:t xml:space="preserve"> values and mean AUC</w:t>
      </w:r>
      <w:r>
        <w:rPr>
          <w:vertAlign w:val="subscript"/>
        </w:rPr>
        <w:t>336</w:t>
      </w:r>
      <w:r>
        <w:t xml:space="preserve"> values increased in a dose-proportional manner. There were no apparent gender differences in the toxicokinetic parameters.</w:t>
      </w:r>
    </w:p>
    <w:p w:rsidR="00275195" w:rsidRDefault="00432668">
      <w:pPr>
        <w:pStyle w:val="a3"/>
        <w:spacing w:before="118" w:line="261" w:lineRule="auto"/>
        <w:ind w:right="1602"/>
      </w:pPr>
      <w:r>
        <w:t>In conclusion, no test article-associated systemic toxicity findings and no discernible subcutaneous irritation at the injection site was noted in cynomolgus monkeys at doses up to 50 mg/kg.</w:t>
      </w:r>
    </w:p>
    <w:p w:rsidR="00275195" w:rsidRDefault="00432668">
      <w:pPr>
        <w:pStyle w:val="3"/>
        <w:numPr>
          <w:ilvl w:val="2"/>
          <w:numId w:val="12"/>
        </w:numPr>
        <w:tabs>
          <w:tab w:val="left" w:pos="1084"/>
          <w:tab w:val="left" w:pos="1085"/>
        </w:tabs>
        <w:spacing w:before="122"/>
      </w:pPr>
      <w:bookmarkStart w:id="11" w:name="4.3.2_Repeat-dose_Toxicity"/>
      <w:bookmarkStart w:id="12" w:name="_bookmark25"/>
      <w:bookmarkEnd w:id="11"/>
      <w:bookmarkEnd w:id="12"/>
      <w:r>
        <w:t>Repeat-dose</w:t>
      </w:r>
      <w:r>
        <w:rPr>
          <w:spacing w:val="-2"/>
        </w:rPr>
        <w:t xml:space="preserve"> </w:t>
      </w:r>
      <w:r>
        <w:t>Toxicity</w:t>
      </w:r>
    </w:p>
    <w:p w:rsidR="00275195" w:rsidRPr="00576120" w:rsidRDefault="00432668">
      <w:pPr>
        <w:pStyle w:val="a4"/>
        <w:numPr>
          <w:ilvl w:val="3"/>
          <w:numId w:val="12"/>
        </w:numPr>
        <w:tabs>
          <w:tab w:val="left" w:pos="1085"/>
        </w:tabs>
        <w:spacing w:before="144"/>
        <w:rPr>
          <w:b/>
          <w:sz w:val="24"/>
          <w:highlight w:val="cyan"/>
        </w:rPr>
      </w:pPr>
      <w:bookmarkStart w:id="13" w:name="4.3.2.1_4_Week_Repeated_Intravenous_Dose"/>
      <w:bookmarkStart w:id="14" w:name="_bookmark26"/>
      <w:bookmarkEnd w:id="13"/>
      <w:bookmarkEnd w:id="14"/>
      <w:r w:rsidRPr="00576120">
        <w:rPr>
          <w:b/>
          <w:sz w:val="24"/>
          <w:highlight w:val="cyan"/>
        </w:rPr>
        <w:t>4-Week Repeated Intravenous Dose Toxicity Study in Cynomolgus</w:t>
      </w:r>
      <w:r w:rsidRPr="00576120">
        <w:rPr>
          <w:b/>
          <w:spacing w:val="-6"/>
          <w:sz w:val="24"/>
          <w:highlight w:val="cyan"/>
        </w:rPr>
        <w:t xml:space="preserve"> </w:t>
      </w:r>
      <w:r w:rsidRPr="00576120">
        <w:rPr>
          <w:b/>
          <w:sz w:val="24"/>
          <w:highlight w:val="cyan"/>
        </w:rPr>
        <w:t>Monkeys</w:t>
      </w:r>
    </w:p>
    <w:p w:rsidR="00275195" w:rsidRPr="00576120" w:rsidRDefault="00432668" w:rsidP="00C64805">
      <w:pPr>
        <w:pStyle w:val="a3"/>
        <w:spacing w:before="140" w:line="261" w:lineRule="auto"/>
        <w:ind w:right="1829"/>
        <w:jc w:val="both"/>
        <w:rPr>
          <w:highlight w:val="cyan"/>
        </w:rPr>
      </w:pPr>
      <w:r w:rsidRPr="00576120">
        <w:rPr>
          <w:highlight w:val="cyan"/>
        </w:rPr>
        <w:t xml:space="preserve">A tabulated summary of the results of the repeat-dose toxicity study (Study </w:t>
      </w:r>
      <w:r w:rsidR="00C64805" w:rsidRPr="00576120">
        <w:rPr>
          <w:highlight w:val="cyan"/>
        </w:rPr>
        <w:t>Project 14</w:t>
      </w:r>
      <w:r w:rsidRPr="00576120">
        <w:rPr>
          <w:highlight w:val="cyan"/>
        </w:rPr>
        <w:t xml:space="preserve">-TX-0001) is presented in [End-of-Text Table 3.5.1]. The safety of </w:t>
      </w:r>
      <w:r w:rsidR="00C64805" w:rsidRPr="00576120">
        <w:rPr>
          <w:highlight w:val="cyan"/>
        </w:rPr>
        <w:t>PROJECT 14</w:t>
      </w:r>
      <w:r w:rsidRPr="00576120">
        <w:rPr>
          <w:highlight w:val="cyan"/>
        </w:rPr>
        <w:t xml:space="preserve"> was evaluated following weekly intravenous administration (0, 3, 10 and 100 mg/kg) to cynomolgus monkeys</w:t>
      </w:r>
      <w:r w:rsidR="00C64805" w:rsidRPr="00576120">
        <w:rPr>
          <w:highlight w:val="cyan"/>
        </w:rPr>
        <w:t xml:space="preserve"> </w:t>
      </w:r>
      <w:r w:rsidRPr="00576120">
        <w:rPr>
          <w:highlight w:val="cyan"/>
        </w:rPr>
        <w:t>(4 males and 4 females per group) for 4 weeks. The animals were sacrificed 7 days after the last dosing (4th dosing). In addition, 3 males and 3 females were added to the 100 mg/kg group to assess the reversibility of toxicity findings following a 4-week recovery period.</w:t>
      </w:r>
    </w:p>
    <w:p w:rsidR="00275195" w:rsidRPr="00576120" w:rsidRDefault="00432668">
      <w:pPr>
        <w:pStyle w:val="a3"/>
        <w:spacing w:before="115" w:line="261" w:lineRule="auto"/>
        <w:ind w:right="1897"/>
        <w:rPr>
          <w:highlight w:val="cyan"/>
        </w:rPr>
      </w:pPr>
      <w:r w:rsidRPr="00576120">
        <w:rPr>
          <w:highlight w:val="cyan"/>
        </w:rPr>
        <w:lastRenderedPageBreak/>
        <w:t>No test article-related death occurred in any group; however, 1 female from the 100 mg/kg dose group was found dead on day 20 of dosing (5 days after the 3</w:t>
      </w:r>
      <w:r w:rsidRPr="00576120">
        <w:rPr>
          <w:highlight w:val="cyan"/>
          <w:vertAlign w:val="superscript"/>
        </w:rPr>
        <w:t>rd</w:t>
      </w:r>
      <w:r w:rsidRPr="00576120">
        <w:rPr>
          <w:highlight w:val="cyan"/>
        </w:rPr>
        <w:t xml:space="preserve"> dosing). The cause of death was determined to be choking due to aspiration of a foreign body (vomit) and was therefore considered not drug related.</w:t>
      </w:r>
    </w:p>
    <w:p w:rsidR="00275195" w:rsidRPr="00576120" w:rsidRDefault="00432668">
      <w:pPr>
        <w:pStyle w:val="a3"/>
        <w:spacing w:before="116" w:line="261" w:lineRule="auto"/>
        <w:ind w:right="1624"/>
        <w:rPr>
          <w:highlight w:val="cyan"/>
        </w:rPr>
      </w:pPr>
      <w:r w:rsidRPr="00576120">
        <w:rPr>
          <w:highlight w:val="cyan"/>
        </w:rPr>
        <w:t xml:space="preserve">At the 100 mg/kg dose level, occult blood was noted in the urine of 3 males. </w:t>
      </w:r>
      <w:r w:rsidRPr="00576120">
        <w:rPr>
          <w:spacing w:val="-3"/>
          <w:highlight w:val="cyan"/>
        </w:rPr>
        <w:t xml:space="preserve">In </w:t>
      </w:r>
      <w:r w:rsidRPr="00576120">
        <w:rPr>
          <w:highlight w:val="cyan"/>
        </w:rPr>
        <w:t xml:space="preserve">1 male, low albumin concentration, low percent albumin and low albumin/globulin ratio as well as high percentages of globulin and γ-globulin were noted.  </w:t>
      </w:r>
      <w:r w:rsidRPr="00576120">
        <w:rPr>
          <w:spacing w:val="-3"/>
          <w:highlight w:val="cyan"/>
        </w:rPr>
        <w:t xml:space="preserve">In </w:t>
      </w:r>
      <w:r w:rsidRPr="00576120">
        <w:rPr>
          <w:highlight w:val="cyan"/>
        </w:rPr>
        <w:t>this same animal which was necropsied as planned, perivascular inflammatory cell infiltration was observed in various organs (heart, submandibular glands, esophagus, stomach, duodenum, ileum, cecum, rectum, urinary bladder, sciatic nerve, femoral skeletal muscle, lungs and pancreas) and inflammatory cell infiltration was reported in the alveoli and bronchioles. At the end of the 4-week recovery period, no test article-related changes were noted for any measured parameter, and the occult blood in the urine had</w:t>
      </w:r>
      <w:r w:rsidRPr="00576120">
        <w:rPr>
          <w:spacing w:val="-7"/>
          <w:highlight w:val="cyan"/>
        </w:rPr>
        <w:t xml:space="preserve"> </w:t>
      </w:r>
      <w:r w:rsidRPr="00576120">
        <w:rPr>
          <w:highlight w:val="cyan"/>
        </w:rPr>
        <w:t>disappeared.</w:t>
      </w:r>
    </w:p>
    <w:p w:rsidR="00275195" w:rsidRPr="00576120" w:rsidRDefault="00432668">
      <w:pPr>
        <w:pStyle w:val="a3"/>
        <w:spacing w:before="113"/>
        <w:rPr>
          <w:highlight w:val="cyan"/>
        </w:rPr>
      </w:pPr>
      <w:r w:rsidRPr="00576120">
        <w:rPr>
          <w:highlight w:val="cyan"/>
        </w:rPr>
        <w:t>No test article-related changes were noted at the 3 or 10 mg/kg dose levels.</w:t>
      </w:r>
    </w:p>
    <w:p w:rsidR="00275195" w:rsidRPr="00576120" w:rsidRDefault="00432668">
      <w:pPr>
        <w:pStyle w:val="a3"/>
        <w:spacing w:before="144" w:line="261" w:lineRule="auto"/>
        <w:ind w:right="1702"/>
        <w:rPr>
          <w:highlight w:val="cyan"/>
        </w:rPr>
      </w:pPr>
      <w:r w:rsidRPr="00576120">
        <w:rPr>
          <w:highlight w:val="cyan"/>
        </w:rPr>
        <w:t>Results from the toxicokinetic analy</w:t>
      </w:r>
      <w:hyperlink w:anchor="_bookmark16" w:history="1">
        <w:r w:rsidRPr="00576120">
          <w:rPr>
            <w:highlight w:val="cyan"/>
          </w:rPr>
          <w:t>sis are discussed in [Section 4.2.1.2</w:t>
        </w:r>
      </w:hyperlink>
      <w:r w:rsidRPr="00576120">
        <w:rPr>
          <w:highlight w:val="cyan"/>
        </w:rPr>
        <w:t>]. Antidrug antibody (ADA) assessments performed at the end of the treatment period showed the presence of anti-</w:t>
      </w:r>
      <w:r w:rsidR="00C64805" w:rsidRPr="00576120">
        <w:rPr>
          <w:highlight w:val="cyan"/>
        </w:rPr>
        <w:t>PROJECT 14</w:t>
      </w:r>
      <w:r w:rsidRPr="00576120">
        <w:rPr>
          <w:highlight w:val="cyan"/>
        </w:rPr>
        <w:t xml:space="preserve"> antibodies in 8 of 8 animals at the 3 mg/kg dose level, 2 of 8 animals at the</w:t>
      </w:r>
    </w:p>
    <w:p w:rsidR="00275195" w:rsidRPr="00576120" w:rsidRDefault="00432668">
      <w:pPr>
        <w:pStyle w:val="a3"/>
        <w:spacing w:line="274" w:lineRule="exact"/>
        <w:rPr>
          <w:highlight w:val="cyan"/>
        </w:rPr>
      </w:pPr>
      <w:r w:rsidRPr="00576120">
        <w:rPr>
          <w:highlight w:val="cyan"/>
        </w:rPr>
        <w:t>10 mg/kg dose level and 1 of 14 animals at the 100 mg/kg dose level.</w:t>
      </w:r>
    </w:p>
    <w:p w:rsidR="00275195" w:rsidRDefault="00432668">
      <w:pPr>
        <w:pStyle w:val="a3"/>
        <w:spacing w:before="144" w:line="261" w:lineRule="auto"/>
        <w:ind w:right="1643"/>
      </w:pPr>
      <w:r w:rsidRPr="00576120">
        <w:rPr>
          <w:highlight w:val="cyan"/>
        </w:rPr>
        <w:t>In conclusion, under the conditions of this study, the NOAEL was 10 mg/kg in males due to the occult blood in the urine and inflammatory cell infiltration; while in females, the NOAEL was determined to be 100 mg/kg.</w:t>
      </w:r>
    </w:p>
    <w:p w:rsidR="00275195" w:rsidRDefault="00432668">
      <w:pPr>
        <w:pStyle w:val="3"/>
        <w:numPr>
          <w:ilvl w:val="3"/>
          <w:numId w:val="12"/>
        </w:numPr>
        <w:tabs>
          <w:tab w:val="left" w:pos="1085"/>
        </w:tabs>
        <w:spacing w:before="122"/>
      </w:pPr>
      <w:bookmarkStart w:id="15" w:name="4.3.2.2_13_Week_Repeated_Intravenous_Dos"/>
      <w:bookmarkStart w:id="16" w:name="_bookmark27"/>
      <w:bookmarkEnd w:id="15"/>
      <w:bookmarkEnd w:id="16"/>
      <w:r>
        <w:t>13-Week Repeated Intravenous Dose Toxicity Study in Cynomolgus</w:t>
      </w:r>
      <w:r>
        <w:rPr>
          <w:spacing w:val="-12"/>
        </w:rPr>
        <w:t xml:space="preserve"> </w:t>
      </w:r>
      <w:r>
        <w:t>Monkeys</w:t>
      </w:r>
    </w:p>
    <w:p w:rsidR="00275195" w:rsidRDefault="00432668" w:rsidP="00432668">
      <w:pPr>
        <w:pStyle w:val="a3"/>
        <w:spacing w:before="140" w:line="261" w:lineRule="auto"/>
        <w:ind w:right="1702"/>
      </w:pPr>
      <w:r>
        <w:t xml:space="preserve">A tabulated summary of the results of the repeat-dose toxicity study (Study </w:t>
      </w:r>
      <w:r w:rsidR="00C64805">
        <w:t>Project 14</w:t>
      </w:r>
      <w:r>
        <w:t xml:space="preserve">-TX-0004) is presented in [End-of-Text Table 3.5.2]. The toxicity of </w:t>
      </w:r>
      <w:r w:rsidR="00C64805">
        <w:t>PROJECT 14</w:t>
      </w:r>
      <w:r>
        <w:t xml:space="preserve"> was evaluated following weekly intravenous administration (0, 25, 50 and 100 mg/kg) to cynomolgus monkeys</w:t>
      </w:r>
    </w:p>
    <w:p w:rsidR="00275195" w:rsidRDefault="00432668">
      <w:pPr>
        <w:pStyle w:val="a3"/>
        <w:spacing w:before="24" w:line="261" w:lineRule="auto"/>
        <w:ind w:right="1630"/>
      </w:pPr>
      <w:r>
        <w:t>(4 males and 4 females per group) for 13 weeks. The animals were sacrificed 7 days after the last dosing (13</w:t>
      </w:r>
      <w:r>
        <w:rPr>
          <w:vertAlign w:val="superscript"/>
        </w:rPr>
        <w:t>th</w:t>
      </w:r>
      <w:r>
        <w:t xml:space="preserve"> dosing). In addition, 3 males and 3 females were added to the 100 mg/kg dose group to assess the reversibility of toxicity findings following a 13-week recovery period.</w:t>
      </w:r>
    </w:p>
    <w:p w:rsidR="00275195" w:rsidRDefault="00432668">
      <w:pPr>
        <w:pStyle w:val="a3"/>
        <w:spacing w:before="117"/>
      </w:pPr>
      <w:r>
        <w:t>No mortality was observed in any dose group.</w:t>
      </w:r>
    </w:p>
    <w:p w:rsidR="00275195" w:rsidRDefault="00432668">
      <w:pPr>
        <w:pStyle w:val="a3"/>
        <w:spacing w:before="144" w:line="261" w:lineRule="auto"/>
        <w:ind w:right="1785"/>
      </w:pPr>
      <w:r>
        <w:t>At the 100 mg/kg dose level, high fibrinogen levels in 1 male and 1 female, high total bilirubin levels in 1 male and high thyroid weight in 1 male were noted. At the end of the recovery period, no test article-related changes were noted for any measured parameter, and all changes noted during the dosing period recovered.</w:t>
      </w:r>
    </w:p>
    <w:p w:rsidR="00275195" w:rsidRDefault="00432668">
      <w:pPr>
        <w:pStyle w:val="a3"/>
        <w:spacing w:before="117"/>
      </w:pPr>
      <w:r>
        <w:t>No test article-related changes were noted at the 25 or 50 mg/kg dose levels.</w:t>
      </w:r>
    </w:p>
    <w:p w:rsidR="00275195" w:rsidRDefault="00432668">
      <w:pPr>
        <w:pStyle w:val="a3"/>
        <w:spacing w:before="144" w:line="261" w:lineRule="auto"/>
        <w:ind w:right="1732"/>
        <w:jc w:val="both"/>
      </w:pPr>
      <w:r>
        <w:t>Results from the toxicokinetic analysis are discussed in [Sec</w:t>
      </w:r>
      <w:hyperlink w:anchor="_bookmark16" w:history="1">
        <w:r>
          <w:t>tion 4.2.1.2</w:t>
        </w:r>
      </w:hyperlink>
      <w:r>
        <w:t>]. ADA assessments performed at the end of the treatment period showed the presence of anti-</w:t>
      </w:r>
      <w:r w:rsidR="00C64805">
        <w:t>PROJECT 14</w:t>
      </w:r>
      <w:r>
        <w:t xml:space="preserve"> antibody in 2 of 8 animals at the 25 mg/kg dose level.</w:t>
      </w:r>
    </w:p>
    <w:p w:rsidR="00275195" w:rsidRDefault="00432668">
      <w:pPr>
        <w:pStyle w:val="a3"/>
        <w:spacing w:before="117" w:line="261" w:lineRule="auto"/>
        <w:ind w:right="1824"/>
      </w:pPr>
      <w:r>
        <w:t xml:space="preserve">In conclusion, under the conditions of this study, the NOAEL was 50 mg/kg in males and </w:t>
      </w:r>
      <w:r>
        <w:lastRenderedPageBreak/>
        <w:t>females due to the increased fibrinogen and total bilirubin levels as well as elevated thyroid weight noted at the dose of 100 mg/kg.</w:t>
      </w:r>
    </w:p>
    <w:p w:rsidR="00275195" w:rsidRDefault="00432668">
      <w:pPr>
        <w:pStyle w:val="3"/>
        <w:numPr>
          <w:ilvl w:val="2"/>
          <w:numId w:val="12"/>
        </w:numPr>
        <w:tabs>
          <w:tab w:val="left" w:pos="1084"/>
          <w:tab w:val="left" w:pos="1085"/>
        </w:tabs>
        <w:spacing w:before="123"/>
      </w:pPr>
      <w:bookmarkStart w:id="17" w:name="4.3.3_Genotoxicity"/>
      <w:bookmarkStart w:id="18" w:name="_bookmark28"/>
      <w:bookmarkEnd w:id="17"/>
      <w:bookmarkEnd w:id="18"/>
      <w:r>
        <w:t>Genotoxicity</w:t>
      </w:r>
    </w:p>
    <w:p w:rsidR="00275195" w:rsidRDefault="00724F95">
      <w:pPr>
        <w:pStyle w:val="a3"/>
        <w:spacing w:before="139" w:line="261" w:lineRule="auto"/>
        <w:ind w:right="1756"/>
      </w:pPr>
      <w:r>
        <w:pict>
          <v:rect id="_x0000_s1066" style="position:absolute;left:0;text-align:left;margin-left:471.15pt;margin-top:28.45pt;width:36.5pt;height:14pt;z-index:-251641344;mso-position-horizontal-relative:page" filled="f" strokecolor="blue" strokeweight="1pt">
            <w10:wrap anchorx="page"/>
          </v:rect>
        </w:pict>
      </w:r>
      <w:r w:rsidR="00432668">
        <w:t xml:space="preserve">The genotoxicity studies routinely conducted for pharmaceuticals are not applicable to biotechnology-derived pharmaceuticals. There is no indication that </w:t>
      </w:r>
      <w:r w:rsidR="00C64805">
        <w:t>PROJECT 14</w:t>
      </w:r>
      <w:r w:rsidR="00432668">
        <w:t xml:space="preserve"> would require a special approach to evaluate genotoxicity.</w:t>
      </w:r>
    </w:p>
    <w:p w:rsidR="00275195" w:rsidRDefault="00724F95">
      <w:pPr>
        <w:pStyle w:val="3"/>
        <w:numPr>
          <w:ilvl w:val="2"/>
          <w:numId w:val="12"/>
        </w:numPr>
        <w:tabs>
          <w:tab w:val="left" w:pos="1084"/>
          <w:tab w:val="left" w:pos="1085"/>
        </w:tabs>
        <w:spacing w:before="122"/>
      </w:pPr>
      <w:r>
        <w:pict>
          <v:rect id="_x0000_s1065" style="position:absolute;left:0;text-align:left;margin-left:529.15pt;margin-top:6.4pt;width:36.5pt;height:14pt;z-index:251639296;mso-position-horizontal-relative:page" filled="f" strokecolor="blue" strokeweight="1pt">
            <w10:wrap anchorx="page"/>
          </v:rect>
        </w:pict>
      </w:r>
      <w:bookmarkStart w:id="19" w:name="4.3.4_Carcinogenicity"/>
      <w:bookmarkStart w:id="20" w:name="_bookmark29"/>
      <w:bookmarkEnd w:id="19"/>
      <w:bookmarkEnd w:id="20"/>
      <w:r w:rsidR="00432668">
        <w:t>Carcinogenicity</w:t>
      </w:r>
    </w:p>
    <w:p w:rsidR="00275195" w:rsidRDefault="00432668">
      <w:pPr>
        <w:pStyle w:val="a3"/>
        <w:spacing w:before="140" w:line="261" w:lineRule="auto"/>
        <w:ind w:right="1816"/>
      </w:pPr>
      <w:r>
        <w:t xml:space="preserve">No carcinogenicity studies with </w:t>
      </w:r>
      <w:r w:rsidR="00C64805">
        <w:t>PROJECT 14</w:t>
      </w:r>
      <w:r>
        <w:t xml:space="preserve"> have been conducted as of the preparation of this IB.</w:t>
      </w:r>
    </w:p>
    <w:p w:rsidR="00275195" w:rsidRDefault="00432668">
      <w:pPr>
        <w:pStyle w:val="3"/>
        <w:numPr>
          <w:ilvl w:val="2"/>
          <w:numId w:val="12"/>
        </w:numPr>
        <w:tabs>
          <w:tab w:val="left" w:pos="1084"/>
          <w:tab w:val="left" w:pos="1085"/>
        </w:tabs>
        <w:spacing w:before="123"/>
      </w:pPr>
      <w:bookmarkStart w:id="21" w:name="4.3.5_Reproductive_and_Developmental_Tox"/>
      <w:bookmarkStart w:id="22" w:name="_bookmark30"/>
      <w:bookmarkEnd w:id="21"/>
      <w:bookmarkEnd w:id="22"/>
      <w:r>
        <w:t>Reproductive and Developmental</w:t>
      </w:r>
      <w:r>
        <w:rPr>
          <w:spacing w:val="-5"/>
        </w:rPr>
        <w:t xml:space="preserve"> </w:t>
      </w:r>
      <w:r>
        <w:t>Toxicity</w:t>
      </w:r>
    </w:p>
    <w:p w:rsidR="00275195" w:rsidRDefault="00432668">
      <w:pPr>
        <w:pStyle w:val="a3"/>
        <w:spacing w:before="139" w:line="261" w:lineRule="auto"/>
        <w:ind w:right="1796"/>
      </w:pPr>
      <w:r>
        <w:t xml:space="preserve">No reproductive and developmental toxicity studies with </w:t>
      </w:r>
      <w:r w:rsidR="00C64805">
        <w:t>PROJECT 14</w:t>
      </w:r>
      <w:r>
        <w:t xml:space="preserve"> have been conducted as of the preparation of this IB.</w:t>
      </w:r>
    </w:p>
    <w:p w:rsidR="00275195" w:rsidRDefault="00432668">
      <w:pPr>
        <w:pStyle w:val="3"/>
        <w:numPr>
          <w:ilvl w:val="2"/>
          <w:numId w:val="12"/>
        </w:numPr>
        <w:tabs>
          <w:tab w:val="left" w:pos="1084"/>
          <w:tab w:val="left" w:pos="1085"/>
        </w:tabs>
        <w:spacing w:before="123"/>
      </w:pPr>
      <w:bookmarkStart w:id="23" w:name="4.3.6_Local_Tolerance"/>
      <w:bookmarkStart w:id="24" w:name="_bookmark31"/>
      <w:bookmarkEnd w:id="23"/>
      <w:bookmarkEnd w:id="24"/>
      <w:r>
        <w:t>Local</w:t>
      </w:r>
      <w:r>
        <w:rPr>
          <w:spacing w:val="-2"/>
        </w:rPr>
        <w:t xml:space="preserve"> </w:t>
      </w:r>
      <w:r>
        <w:t>Tolerance</w:t>
      </w:r>
    </w:p>
    <w:p w:rsidR="00275195" w:rsidRDefault="00432668">
      <w:pPr>
        <w:pStyle w:val="a3"/>
        <w:spacing w:before="139"/>
      </w:pPr>
      <w:r>
        <w:t>Local irritation was evaluated as part of the single subcutaneous dose toxicity study</w:t>
      </w:r>
    </w:p>
    <w:p w:rsidR="00275195" w:rsidRDefault="00432668">
      <w:pPr>
        <w:pStyle w:val="a3"/>
        <w:spacing w:before="24" w:line="261" w:lineRule="auto"/>
        <w:ind w:right="1866"/>
        <w:jc w:val="both"/>
      </w:pPr>
      <w:r>
        <w:t xml:space="preserve">(Study </w:t>
      </w:r>
      <w:r w:rsidR="00C64805">
        <w:t>Project 14</w:t>
      </w:r>
      <w:r>
        <w:t>-TX-</w:t>
      </w:r>
      <w:hyperlink w:anchor="_bookmark24" w:history="1">
        <w:r>
          <w:t>0002) [Section 4.3.1.1</w:t>
        </w:r>
      </w:hyperlink>
      <w:r>
        <w:t xml:space="preserve">] and the 4-week repeated intravenous dose toxicity study (Study </w:t>
      </w:r>
      <w:r w:rsidR="00C64805">
        <w:t>Project 14</w:t>
      </w:r>
      <w:r>
        <w:t xml:space="preserve">-TX-0001) [Section </w:t>
      </w:r>
      <w:hyperlink w:anchor="_bookmark26" w:history="1">
        <w:r>
          <w:t>4.3.2.1</w:t>
        </w:r>
      </w:hyperlink>
      <w:r>
        <w:t>]. In both studies, no notable macroscopic or microscopic changes were observed at the injection sites.</w:t>
      </w:r>
    </w:p>
    <w:p w:rsidR="00275195" w:rsidRDefault="00432668">
      <w:pPr>
        <w:pStyle w:val="3"/>
        <w:numPr>
          <w:ilvl w:val="2"/>
          <w:numId w:val="12"/>
        </w:numPr>
        <w:tabs>
          <w:tab w:val="left" w:pos="1084"/>
          <w:tab w:val="left" w:pos="1085"/>
        </w:tabs>
        <w:spacing w:before="123"/>
      </w:pPr>
      <w:bookmarkStart w:id="25" w:name="4.3.7_Other_Toxicity_Studies"/>
      <w:bookmarkStart w:id="26" w:name="_bookmark32"/>
      <w:bookmarkEnd w:id="25"/>
      <w:bookmarkEnd w:id="26"/>
      <w:r>
        <w:t>Other Toxicity</w:t>
      </w:r>
      <w:r>
        <w:rPr>
          <w:spacing w:val="-1"/>
        </w:rPr>
        <w:t xml:space="preserve"> </w:t>
      </w:r>
      <w:r>
        <w:t>Studies</w:t>
      </w:r>
    </w:p>
    <w:p w:rsidR="00275195" w:rsidRDefault="00432668">
      <w:pPr>
        <w:pStyle w:val="a4"/>
        <w:numPr>
          <w:ilvl w:val="3"/>
          <w:numId w:val="12"/>
        </w:numPr>
        <w:tabs>
          <w:tab w:val="left" w:pos="1085"/>
        </w:tabs>
        <w:spacing w:before="144"/>
        <w:rPr>
          <w:b/>
          <w:sz w:val="24"/>
        </w:rPr>
      </w:pPr>
      <w:bookmarkStart w:id="27" w:name="4.3.7.1_In_Vitro_Tissue_Cross-reactivity"/>
      <w:bookmarkEnd w:id="27"/>
      <w:r>
        <w:rPr>
          <w:b/>
          <w:sz w:val="24"/>
        </w:rPr>
        <w:t>In Vitro Tissue Cross-reactivity Study in Human</w:t>
      </w:r>
      <w:r>
        <w:rPr>
          <w:b/>
          <w:spacing w:val="-3"/>
          <w:sz w:val="24"/>
        </w:rPr>
        <w:t xml:space="preserve"> </w:t>
      </w:r>
      <w:r>
        <w:rPr>
          <w:b/>
          <w:sz w:val="24"/>
        </w:rPr>
        <w:t>Tissues</w:t>
      </w:r>
    </w:p>
    <w:p w:rsidR="00275195" w:rsidRDefault="00432668" w:rsidP="00432668">
      <w:pPr>
        <w:pStyle w:val="a3"/>
        <w:spacing w:before="139" w:line="261" w:lineRule="auto"/>
        <w:ind w:right="1602"/>
      </w:pPr>
      <w:r>
        <w:t xml:space="preserve">A tabulated summary of the results of the tissue cross-reactivity study (Study </w:t>
      </w:r>
      <w:r w:rsidR="00C64805">
        <w:t>Project 14</w:t>
      </w:r>
      <w:r>
        <w:t xml:space="preserve">-TX-0003) is presented in [End-of-Text Table 3.6.1]. </w:t>
      </w:r>
      <w:r w:rsidR="00C64805">
        <w:t>PROJECT 14</w:t>
      </w:r>
      <w:r>
        <w:t xml:space="preserve"> was applied to cryosections of 36 different normal human tissues (3 donors per tissue, where available) at 2 concentrations (0.5 and 5 µg/mL). Control antibody, with a different antigenic specificity from </w:t>
      </w:r>
      <w:r w:rsidR="00C64805">
        <w:t>PROJECT 14</w:t>
      </w:r>
      <w:r>
        <w:t xml:space="preserve"> (designated HuIgG1), was applied to the same panel of tissues. In order to confirm antibody binding under the conditions of the study, recombinant human TSLPR Fc Chimera UV-resin spot slides (designated rhTSLPR) served as the positive control material; and human hypercalcemia of malignancy peptide (amino acid residues 1 - 34) UV-resin spot slides (designated PTHrP 1 - 34) served as the negative control material.</w:t>
      </w:r>
    </w:p>
    <w:p w:rsidR="00275195" w:rsidRDefault="00C64805">
      <w:pPr>
        <w:pStyle w:val="a3"/>
        <w:spacing w:before="115" w:line="261" w:lineRule="auto"/>
        <w:ind w:right="1895"/>
      </w:pPr>
      <w:r>
        <w:t>PROJECT 14</w:t>
      </w:r>
      <w:r w:rsidR="00432668">
        <w:t xml:space="preserve"> produced moderate to intense staining of the positive control material at both staining concentrations. </w:t>
      </w:r>
      <w:r>
        <w:t>PROJECT 14</w:t>
      </w:r>
      <w:r w:rsidR="00432668">
        <w:t xml:space="preserve"> did not specifically react with the negative control material at either staining concentration. The control article, HuIgG1, did not specifically react with either the positive or negative control materials.</w:t>
      </w:r>
    </w:p>
    <w:p w:rsidR="00275195" w:rsidRDefault="00C64805">
      <w:pPr>
        <w:pStyle w:val="a3"/>
        <w:spacing w:before="116" w:line="261" w:lineRule="auto"/>
        <w:ind w:right="1755"/>
      </w:pPr>
      <w:r>
        <w:t>PROJECT 14</w:t>
      </w:r>
      <w:r w:rsidR="00432668">
        <w:t xml:space="preserve"> stained mast cells in the urinary bladder, breast, esophagus, small intestine, heart, lymph node, parathyroid, prostate, skin, skeletal muscle, thymus, ureter and cervix. As TSLPR is reportedly expressed by mast cells, the mast cell staining observed with </w:t>
      </w:r>
      <w:r>
        <w:t>PROJECT 14</w:t>
      </w:r>
      <w:r w:rsidR="00432668">
        <w:t xml:space="preserve"> in this study was anticipated.</w:t>
      </w:r>
    </w:p>
    <w:p w:rsidR="00275195" w:rsidRDefault="00432668">
      <w:pPr>
        <w:pStyle w:val="a3"/>
        <w:spacing w:before="117" w:line="261" w:lineRule="auto"/>
        <w:ind w:right="1645"/>
      </w:pPr>
      <w:r>
        <w:t xml:space="preserve">In addition, </w:t>
      </w:r>
      <w:r w:rsidR="00C64805">
        <w:t>PROJECT 14</w:t>
      </w:r>
      <w:r>
        <w:t xml:space="preserve"> stained extracellular granules in the eye (sclera), vascular wall of the pancreas, perivascular region of the placenta and vascular wall of the endometrium as well as extracellular proteinaceous material in the kidney tubules. The specificity of these stainings was not determined, although mAb binding to extracellular sites is generally </w:t>
      </w:r>
      <w:r>
        <w:lastRenderedPageBreak/>
        <w:t>considered of little to no toxicologic significance.</w:t>
      </w:r>
    </w:p>
    <w:p w:rsidR="00275195" w:rsidRDefault="00432668">
      <w:pPr>
        <w:pStyle w:val="a3"/>
        <w:spacing w:before="116" w:line="261" w:lineRule="auto"/>
        <w:ind w:right="1830"/>
      </w:pPr>
      <w:r>
        <w:t xml:space="preserve">These data showed that </w:t>
      </w:r>
      <w:r w:rsidR="00C64805">
        <w:t>PROJECT 14</w:t>
      </w:r>
      <w:r>
        <w:t xml:space="preserve"> had little or no discernible tissue cross-reactivity and that the tissue binding that did occur was related to known expression of TSLPR.</w:t>
      </w:r>
    </w:p>
    <w:p w:rsidR="00275195" w:rsidRDefault="00432668">
      <w:pPr>
        <w:pStyle w:val="3"/>
        <w:numPr>
          <w:ilvl w:val="3"/>
          <w:numId w:val="12"/>
        </w:numPr>
        <w:tabs>
          <w:tab w:val="left" w:pos="1085"/>
        </w:tabs>
        <w:spacing w:before="123"/>
      </w:pPr>
      <w:bookmarkStart w:id="28" w:name="4.3.7.2_In_Vitro_Cytokine_Release_Assess"/>
      <w:bookmarkEnd w:id="28"/>
      <w:r>
        <w:t>In Vitro Cytokine Release Assessment in Human Peripheral</w:t>
      </w:r>
      <w:r>
        <w:rPr>
          <w:spacing w:val="-10"/>
        </w:rPr>
        <w:t xml:space="preserve"> </w:t>
      </w:r>
      <w:r>
        <w:t>Blood</w:t>
      </w:r>
    </w:p>
    <w:p w:rsidR="00275195" w:rsidRDefault="00432668">
      <w:pPr>
        <w:pStyle w:val="a3"/>
        <w:spacing w:before="139"/>
      </w:pPr>
      <w:r>
        <w:t>A tabulated summary of the results of the cytokine-release assessment study</w:t>
      </w:r>
    </w:p>
    <w:p w:rsidR="00275195" w:rsidRDefault="00432668">
      <w:pPr>
        <w:pStyle w:val="a3"/>
        <w:spacing w:before="24" w:line="261" w:lineRule="auto"/>
        <w:ind w:right="1620"/>
      </w:pPr>
      <w:r>
        <w:t xml:space="preserve">(Study </w:t>
      </w:r>
      <w:r w:rsidR="00C64805">
        <w:t>Project 14</w:t>
      </w:r>
      <w:r>
        <w:t xml:space="preserve">-TX-5001) is presented in [End-of-Text Table 3.6.2]. Whole blood samples from 10 healthy volunteers were incubated with </w:t>
      </w:r>
      <w:r w:rsidR="00C64805">
        <w:t>PROJECT 14</w:t>
      </w:r>
      <w:r>
        <w:t xml:space="preserve"> to a final concentration of 0, 10, 30 or 100 µg/mL for 24 h at 37°C and under an atmosphere of 5% CO</w:t>
      </w:r>
      <w:r>
        <w:rPr>
          <w:vertAlign w:val="subscript"/>
        </w:rPr>
        <w:t>2</w:t>
      </w:r>
      <w:r>
        <w:t>. Alemtuzumab or a monoclonal anti-human CD28 antibody (ANC28.1/5D10) at a concentration of 1 µg/mL served as the positive control while bevacizumab at a concentration of 10 µg/mL or PBS served as the negative control. After incubation, the blood was centrifuged and the cytokine (IL-1β, IL-2, IL-4, IL-6, IL-8, IL-10, interferon- γ and tumor necrosis factor-α) concentrations in the plasma were recorded. An increased cytokine concentration 2 times greater than background (PBS control) and greater than that observed in blood treated with bevacizumab in 3 volunteers or more at each concentration was considered to be</w:t>
      </w:r>
      <w:r>
        <w:rPr>
          <w:spacing w:val="-11"/>
        </w:rPr>
        <w:t xml:space="preserve"> </w:t>
      </w:r>
      <w:r>
        <w:t>positive.</w:t>
      </w:r>
    </w:p>
    <w:p w:rsidR="00275195" w:rsidRDefault="00C64805" w:rsidP="00432668">
      <w:pPr>
        <w:pStyle w:val="a3"/>
        <w:spacing w:before="112" w:line="261" w:lineRule="auto"/>
        <w:ind w:right="1777"/>
        <w:rPr>
          <w:sz w:val="20"/>
        </w:rPr>
      </w:pPr>
      <w:r>
        <w:t>PROJECT 14</w:t>
      </w:r>
      <w:r w:rsidR="00432668">
        <w:t xml:space="preserve"> at concentrations up to 100 µg/mL did not result in positive cytokine release from whole human blood. Positive and negative control mAbs yielded the expected results, confirming the assay validity.</w:t>
      </w:r>
    </w:p>
    <w:p w:rsidR="00275195" w:rsidRDefault="00432668">
      <w:pPr>
        <w:pStyle w:val="3"/>
        <w:numPr>
          <w:ilvl w:val="3"/>
          <w:numId w:val="12"/>
        </w:numPr>
        <w:tabs>
          <w:tab w:val="left" w:pos="1085"/>
        </w:tabs>
        <w:spacing w:before="232" w:line="261" w:lineRule="auto"/>
        <w:ind w:right="1834"/>
      </w:pPr>
      <w:bookmarkStart w:id="29" w:name="4.3.7.3_Immunofluorescence_Examination_f"/>
      <w:bookmarkEnd w:id="29"/>
      <w:r>
        <w:t xml:space="preserve">Immunofluorescence Examination for Immune Complex Localization in Selected Tissues From the 4-Week Repeated Intravenous Dose Toxicity Study of </w:t>
      </w:r>
      <w:r w:rsidR="00C64805">
        <w:t>PROJECT 14</w:t>
      </w:r>
      <w:r>
        <w:t xml:space="preserve"> in Cynomolgus</w:t>
      </w:r>
      <w:r>
        <w:rPr>
          <w:spacing w:val="-1"/>
        </w:rPr>
        <w:t xml:space="preserve"> </w:t>
      </w:r>
      <w:r>
        <w:t>Monkeys</w:t>
      </w:r>
    </w:p>
    <w:p w:rsidR="00275195" w:rsidRDefault="00432668">
      <w:pPr>
        <w:pStyle w:val="a3"/>
        <w:spacing w:before="113"/>
      </w:pPr>
      <w:r>
        <w:t>A tabulated summary of the results from the immunofluorescence examination</w:t>
      </w:r>
    </w:p>
    <w:p w:rsidR="00275195" w:rsidRDefault="00432668">
      <w:pPr>
        <w:pStyle w:val="a3"/>
        <w:spacing w:before="24" w:line="261" w:lineRule="auto"/>
        <w:ind w:right="1916"/>
      </w:pPr>
      <w:r>
        <w:t xml:space="preserve">(Study </w:t>
      </w:r>
      <w:r w:rsidR="00C64805">
        <w:t>Project 14</w:t>
      </w:r>
      <w:r>
        <w:t xml:space="preserve">-TX-0005) is presented in [End-of-Text Table 3.6.3]. To evaluate if immune complex deposition occurred in the kidneys and/or in sites of perivascular inflammation in animals from the previous 4-week repeated intravenous dose toxicity study in cynomolgus monkeys (Study </w:t>
      </w:r>
      <w:r w:rsidR="00C64805">
        <w:t>Project 14</w:t>
      </w:r>
      <w:r>
        <w:t>-TX-0001), the kidneys from vehicle-treated controls and</w:t>
      </w:r>
    </w:p>
    <w:p w:rsidR="00275195" w:rsidRDefault="00C64805">
      <w:pPr>
        <w:pStyle w:val="a3"/>
        <w:spacing w:line="273" w:lineRule="exact"/>
      </w:pPr>
      <w:r>
        <w:t>PROJECT 14</w:t>
      </w:r>
      <w:r w:rsidR="00432668">
        <w:t>-treated (100 mg/kg dose group) animals were stained for human</w:t>
      </w:r>
    </w:p>
    <w:p w:rsidR="00275195" w:rsidRDefault="00432668">
      <w:pPr>
        <w:pStyle w:val="a3"/>
        <w:spacing w:before="24" w:line="261" w:lineRule="auto"/>
        <w:ind w:right="1649"/>
      </w:pPr>
      <w:r>
        <w:t xml:space="preserve">immunoglobulin G (hIgG), cIgG, cynomolgus monkey IgM (cIgM) and cynomolgus monkey C3 by immunofluorescence. Selected organs (heart, lungs, pancreas, submandibular glands, sciatic nerve, esophagus, duodenum, cecum, stomach, ileum, rectum, urinary bladder and skeletal muscle) from 1 vehicle control animal and 1 </w:t>
      </w:r>
      <w:r w:rsidR="00C64805">
        <w:t>PROJECT 14</w:t>
      </w:r>
      <w:r>
        <w:t>-treated animal with perivascular inflammation were also immunofluorescently stained and evaluated for immune complex deposition.</w:t>
      </w:r>
    </w:p>
    <w:p w:rsidR="00275195" w:rsidRDefault="00432668">
      <w:pPr>
        <w:pStyle w:val="a3"/>
        <w:spacing w:before="115" w:line="261" w:lineRule="auto"/>
        <w:ind w:right="1821"/>
      </w:pPr>
      <w:r>
        <w:t xml:space="preserve">None of the tissues from the vehicle-treated animals stained positive for hIgG in either the vascular or extravascular space, while all of the vehicle-treated animals and all of the </w:t>
      </w:r>
      <w:r w:rsidR="00C64805">
        <w:t>PROJECT 14</w:t>
      </w:r>
      <w:r>
        <w:t xml:space="preserve">-treated monkeys stained positive for cIgG and cIgM in the vascular space. None of the vehicle-treated and none of the </w:t>
      </w:r>
      <w:r w:rsidR="00C64805">
        <w:t>PROJECT 14</w:t>
      </w:r>
      <w:r>
        <w:t xml:space="preserve">-treated animals stained positive for cIgG or cIgM in the extravascular space. Finally, none of the vehicle-treated and none of the </w:t>
      </w:r>
      <w:r w:rsidR="00C64805">
        <w:t>PROJECT 14</w:t>
      </w:r>
      <w:r>
        <w:t>-treated animals stained positive for C3 in either the vascular or the extravascular space.</w:t>
      </w:r>
    </w:p>
    <w:p w:rsidR="00275195" w:rsidRDefault="00432668">
      <w:pPr>
        <w:pStyle w:val="a3"/>
        <w:spacing w:before="114" w:line="261" w:lineRule="auto"/>
        <w:ind w:right="1690"/>
      </w:pPr>
      <w:r>
        <w:t xml:space="preserve">These data showed that no discernible immune complex deposition occurred in the kidney </w:t>
      </w:r>
      <w:r>
        <w:lastRenderedPageBreak/>
        <w:t xml:space="preserve">vasculature or perivascular space nor was there immune complex deposition in the glomeruli of </w:t>
      </w:r>
      <w:r w:rsidR="00C64805">
        <w:t>PROJECT 14</w:t>
      </w:r>
      <w:r>
        <w:t xml:space="preserve">-treated monkeys. In addition, there was no discernible evidence of immune complex deposition in either the vascular or perivascular space of the other evaluated tissues harvested from vehicle controls or </w:t>
      </w:r>
      <w:r w:rsidR="00C64805">
        <w:t>PROJECT 14</w:t>
      </w:r>
      <w:r>
        <w:t>-treated animals including the monkey with the histopathological finding of perivascular inflammation.</w:t>
      </w:r>
    </w:p>
    <w:p w:rsidR="00275195" w:rsidRDefault="00432668">
      <w:pPr>
        <w:pStyle w:val="2"/>
        <w:numPr>
          <w:ilvl w:val="1"/>
          <w:numId w:val="11"/>
        </w:numPr>
        <w:tabs>
          <w:tab w:val="left" w:pos="1084"/>
          <w:tab w:val="left" w:pos="1085"/>
        </w:tabs>
        <w:spacing w:before="95"/>
        <w:ind w:right="1696"/>
      </w:pPr>
      <w:bookmarkStart w:id="30" w:name="4.4_Integrated_Nonclinical_Overview_and_"/>
      <w:bookmarkStart w:id="31" w:name="_bookmark33"/>
      <w:bookmarkEnd w:id="30"/>
      <w:bookmarkEnd w:id="31"/>
      <w:r>
        <w:t>Integrated Nonclinical Overview and Conclusion: Potential Clinical Relevance</w:t>
      </w:r>
    </w:p>
    <w:p w:rsidR="00275195" w:rsidRDefault="00432668">
      <w:pPr>
        <w:pStyle w:val="3"/>
        <w:numPr>
          <w:ilvl w:val="2"/>
          <w:numId w:val="11"/>
        </w:numPr>
        <w:tabs>
          <w:tab w:val="left" w:pos="1084"/>
          <w:tab w:val="left" w:pos="1085"/>
        </w:tabs>
        <w:spacing w:before="145"/>
      </w:pPr>
      <w:bookmarkStart w:id="32" w:name="4.4.1_Rationale_for_Animal_Selection"/>
      <w:bookmarkStart w:id="33" w:name="_bookmark34"/>
      <w:bookmarkEnd w:id="32"/>
      <w:bookmarkEnd w:id="33"/>
      <w:r>
        <w:t>Rationale for Animal</w:t>
      </w:r>
      <w:r>
        <w:rPr>
          <w:spacing w:val="-4"/>
        </w:rPr>
        <w:t xml:space="preserve"> </w:t>
      </w:r>
      <w:r>
        <w:t>Selection</w:t>
      </w:r>
    </w:p>
    <w:p w:rsidR="00275195" w:rsidRDefault="00724F95">
      <w:pPr>
        <w:pStyle w:val="a3"/>
        <w:spacing w:before="139" w:line="261" w:lineRule="auto"/>
        <w:ind w:right="1624"/>
      </w:pPr>
      <w:r>
        <w:pict>
          <v:rect id="_x0000_s1064" style="position:absolute;left:0;text-align:left;margin-left:554.35pt;margin-top:81.7pt;width:39.8pt;height:14pt;z-index:251640320;mso-position-horizontal-relative:page" filled="f" strokecolor="blue" strokeweight="1pt">
            <w10:wrap anchorx="page"/>
          </v:rect>
        </w:pict>
      </w:r>
      <w:r w:rsidR="00432668">
        <w:t xml:space="preserve">The nonclinical safety profile of </w:t>
      </w:r>
      <w:r w:rsidR="00C64805">
        <w:t>PROJECT 14</w:t>
      </w:r>
      <w:r w:rsidR="00432668">
        <w:t xml:space="preserve"> has been evaluated according to ICH’s Harmonised Tripartite Guideline, Preclinical Safety Evaluation of Biotechnology-derived Pharmaceuticals (S6[R1]) (Jun 2011); and all findings were evaluated for relevance to human risk. </w:t>
      </w:r>
      <w:r w:rsidR="00C64805">
        <w:t>PROJECT 14</w:t>
      </w:r>
      <w:r w:rsidR="00432668">
        <w:t xml:space="preserve"> was demonstrated to bind to the TSLPR of human and cynomolgus monkey, but did not bind to the TSLPR of rodents; accordingly, the cynomolgus monkey was chosen as the toxicology model for this drug and no toxicity studies were conducted in rodents.</w:t>
      </w:r>
    </w:p>
    <w:p w:rsidR="00275195" w:rsidRDefault="00432668">
      <w:pPr>
        <w:pStyle w:val="3"/>
        <w:numPr>
          <w:ilvl w:val="2"/>
          <w:numId w:val="11"/>
        </w:numPr>
        <w:tabs>
          <w:tab w:val="left" w:pos="1084"/>
          <w:tab w:val="left" w:pos="1085"/>
        </w:tabs>
        <w:spacing w:before="120"/>
      </w:pPr>
      <w:bookmarkStart w:id="34" w:name="4.4.2_Exposure_Ratios"/>
      <w:bookmarkStart w:id="35" w:name="_bookmark35"/>
      <w:bookmarkEnd w:id="34"/>
      <w:bookmarkEnd w:id="35"/>
      <w:r>
        <w:t>Exposure</w:t>
      </w:r>
      <w:r>
        <w:rPr>
          <w:spacing w:val="-1"/>
        </w:rPr>
        <w:t xml:space="preserve"> </w:t>
      </w:r>
      <w:r>
        <w:t>Ratios</w:t>
      </w:r>
    </w:p>
    <w:p w:rsidR="00275195" w:rsidRDefault="00432668" w:rsidP="00432668">
      <w:pPr>
        <w:pStyle w:val="a3"/>
        <w:spacing w:before="139" w:line="261" w:lineRule="auto"/>
        <w:ind w:right="1895"/>
      </w:pPr>
      <w:r>
        <w:t xml:space="preserve">Exposure ratios including safety margins were calculated based on a simulated human exposure at a predicted efficacious dose </w:t>
      </w:r>
      <w:hyperlink w:anchor="_bookmark36" w:history="1">
        <w:r>
          <w:t>[Table 1</w:t>
        </w:r>
      </w:hyperlink>
      <w:r>
        <w:t>]. The human systemic exposure was simulated using a linear human pharmacokinetics model assuming monthly dosing and an efficacious plasma concentration of 1 µg/mL.</w:t>
      </w:r>
    </w:p>
    <w:p w:rsidR="00275195" w:rsidRDefault="00432668">
      <w:pPr>
        <w:pStyle w:val="3"/>
        <w:tabs>
          <w:tab w:val="left" w:pos="1651"/>
        </w:tabs>
        <w:spacing w:before="97"/>
        <w:ind w:left="1651" w:right="2271" w:hanging="1419"/>
      </w:pPr>
      <w:bookmarkStart w:id="36" w:name="_bookmark36"/>
      <w:bookmarkEnd w:id="36"/>
      <w:r>
        <w:t>Table</w:t>
      </w:r>
      <w:r>
        <w:rPr>
          <w:spacing w:val="-1"/>
        </w:rPr>
        <w:t xml:space="preserve"> </w:t>
      </w:r>
      <w:r>
        <w:t>1</w:t>
      </w:r>
      <w:r>
        <w:tab/>
        <w:t>Exposure Ratios Based on Animal C</w:t>
      </w:r>
      <w:r>
        <w:rPr>
          <w:vertAlign w:val="subscript"/>
        </w:rPr>
        <w:t>max</w:t>
      </w:r>
      <w:r>
        <w:t>/AUC and Predicted Human C</w:t>
      </w:r>
      <w:r>
        <w:rPr>
          <w:vertAlign w:val="subscript"/>
        </w:rPr>
        <w:t>max</w:t>
      </w:r>
      <w:r>
        <w:t>/AUC of</w:t>
      </w:r>
      <w:r>
        <w:rPr>
          <w:spacing w:val="-3"/>
        </w:rPr>
        <w:t xml:space="preserve"> </w:t>
      </w:r>
      <w:r w:rsidR="00C64805">
        <w:t>PROJECT 14</w:t>
      </w:r>
    </w:p>
    <w:p w:rsidR="00275195" w:rsidRDefault="00275195">
      <w:pPr>
        <w:pStyle w:val="a3"/>
        <w:spacing w:before="6"/>
        <w:ind w:left="0"/>
        <w:rPr>
          <w:b/>
          <w:sz w:val="5"/>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25"/>
        <w:gridCol w:w="1011"/>
        <w:gridCol w:w="812"/>
        <w:gridCol w:w="721"/>
        <w:gridCol w:w="721"/>
        <w:gridCol w:w="719"/>
        <w:gridCol w:w="633"/>
        <w:gridCol w:w="813"/>
        <w:gridCol w:w="815"/>
        <w:gridCol w:w="719"/>
        <w:gridCol w:w="671"/>
      </w:tblGrid>
      <w:tr w:rsidR="00275195">
        <w:trPr>
          <w:trHeight w:val="309"/>
        </w:trPr>
        <w:tc>
          <w:tcPr>
            <w:tcW w:w="1625" w:type="dxa"/>
            <w:vMerge w:val="restart"/>
            <w:tcBorders>
              <w:bottom w:val="single" w:sz="2" w:space="0" w:color="000000"/>
              <w:right w:val="single" w:sz="2" w:space="0" w:color="000000"/>
            </w:tcBorders>
          </w:tcPr>
          <w:p w:rsidR="00275195" w:rsidRDefault="00275195">
            <w:pPr>
              <w:pStyle w:val="TableParagraph"/>
              <w:jc w:val="left"/>
              <w:rPr>
                <w:b/>
              </w:rPr>
            </w:pPr>
          </w:p>
          <w:p w:rsidR="00275195" w:rsidRDefault="00275195">
            <w:pPr>
              <w:pStyle w:val="TableParagraph"/>
              <w:jc w:val="left"/>
              <w:rPr>
                <w:b/>
              </w:rPr>
            </w:pPr>
          </w:p>
          <w:p w:rsidR="00275195" w:rsidRDefault="00432668">
            <w:pPr>
              <w:pStyle w:val="TableParagraph"/>
              <w:spacing w:before="164"/>
              <w:ind w:left="114" w:right="497"/>
              <w:jc w:val="left"/>
              <w:rPr>
                <w:b/>
                <w:sz w:val="20"/>
              </w:rPr>
            </w:pPr>
            <w:r>
              <w:rPr>
                <w:b/>
                <w:sz w:val="20"/>
              </w:rPr>
              <w:t>Study Type (Study No.)</w:t>
            </w:r>
          </w:p>
        </w:tc>
        <w:tc>
          <w:tcPr>
            <w:tcW w:w="1011" w:type="dxa"/>
            <w:vMerge w:val="restart"/>
            <w:tcBorders>
              <w:left w:val="single" w:sz="2" w:space="0" w:color="000000"/>
              <w:bottom w:val="single" w:sz="2" w:space="0" w:color="000000"/>
              <w:right w:val="single" w:sz="2" w:space="0" w:color="000000"/>
            </w:tcBorders>
          </w:tcPr>
          <w:p w:rsidR="00275195" w:rsidRDefault="00275195">
            <w:pPr>
              <w:pStyle w:val="TableParagraph"/>
              <w:jc w:val="left"/>
              <w:rPr>
                <w:b/>
              </w:rPr>
            </w:pPr>
          </w:p>
          <w:p w:rsidR="00275195" w:rsidRDefault="00432668">
            <w:pPr>
              <w:pStyle w:val="TableParagraph"/>
              <w:spacing w:before="186"/>
              <w:ind w:left="153" w:right="142" w:firstLine="1"/>
              <w:rPr>
                <w:b/>
                <w:sz w:val="20"/>
              </w:rPr>
            </w:pPr>
            <w:r>
              <w:rPr>
                <w:b/>
                <w:sz w:val="20"/>
              </w:rPr>
              <w:t xml:space="preserve">Sex/No. of   </w:t>
            </w:r>
            <w:r>
              <w:rPr>
                <w:b/>
                <w:w w:val="95"/>
                <w:sz w:val="20"/>
              </w:rPr>
              <w:t>Animals</w:t>
            </w:r>
          </w:p>
        </w:tc>
        <w:tc>
          <w:tcPr>
            <w:tcW w:w="812" w:type="dxa"/>
            <w:vMerge w:val="restart"/>
            <w:tcBorders>
              <w:left w:val="single" w:sz="2" w:space="0" w:color="000000"/>
              <w:bottom w:val="single" w:sz="2" w:space="0" w:color="000000"/>
              <w:right w:val="single" w:sz="2" w:space="0" w:color="000000"/>
            </w:tcBorders>
          </w:tcPr>
          <w:p w:rsidR="00275195" w:rsidRDefault="00275195">
            <w:pPr>
              <w:pStyle w:val="TableParagraph"/>
              <w:jc w:val="left"/>
              <w:rPr>
                <w:b/>
              </w:rPr>
            </w:pPr>
          </w:p>
          <w:p w:rsidR="00275195" w:rsidRDefault="00275195">
            <w:pPr>
              <w:pStyle w:val="TableParagraph"/>
              <w:jc w:val="left"/>
              <w:rPr>
                <w:b/>
              </w:rPr>
            </w:pPr>
          </w:p>
          <w:p w:rsidR="00275195" w:rsidRDefault="00432668">
            <w:pPr>
              <w:pStyle w:val="TableParagraph"/>
              <w:spacing w:before="164"/>
              <w:ind w:left="75" w:firstLine="76"/>
              <w:jc w:val="left"/>
              <w:rPr>
                <w:b/>
                <w:sz w:val="20"/>
              </w:rPr>
            </w:pPr>
            <w:r>
              <w:rPr>
                <w:b/>
                <w:sz w:val="20"/>
              </w:rPr>
              <w:t xml:space="preserve">Dose† </w:t>
            </w:r>
            <w:r>
              <w:rPr>
                <w:b/>
                <w:w w:val="95"/>
                <w:sz w:val="20"/>
              </w:rPr>
              <w:t>(mg/kg)</w:t>
            </w:r>
          </w:p>
        </w:tc>
        <w:tc>
          <w:tcPr>
            <w:tcW w:w="2794" w:type="dxa"/>
            <w:gridSpan w:val="4"/>
            <w:tcBorders>
              <w:left w:val="single" w:sz="2" w:space="0" w:color="000000"/>
              <w:bottom w:val="single" w:sz="2" w:space="0" w:color="000000"/>
              <w:right w:val="single" w:sz="2" w:space="0" w:color="000000"/>
            </w:tcBorders>
          </w:tcPr>
          <w:p w:rsidR="00275195" w:rsidRDefault="00432668">
            <w:pPr>
              <w:pStyle w:val="TableParagraph"/>
              <w:spacing w:before="38"/>
              <w:ind w:left="826"/>
              <w:jc w:val="left"/>
              <w:rPr>
                <w:b/>
                <w:sz w:val="20"/>
              </w:rPr>
            </w:pPr>
            <w:r>
              <w:rPr>
                <w:b/>
                <w:sz w:val="20"/>
              </w:rPr>
              <w:t>C</w:t>
            </w:r>
            <w:r>
              <w:rPr>
                <w:b/>
                <w:sz w:val="20"/>
                <w:vertAlign w:val="subscript"/>
              </w:rPr>
              <w:t>max</w:t>
            </w:r>
            <w:r>
              <w:rPr>
                <w:b/>
                <w:sz w:val="20"/>
              </w:rPr>
              <w:t xml:space="preserve"> (µg/mL)</w:t>
            </w:r>
          </w:p>
        </w:tc>
        <w:tc>
          <w:tcPr>
            <w:tcW w:w="3018" w:type="dxa"/>
            <w:gridSpan w:val="4"/>
            <w:tcBorders>
              <w:left w:val="single" w:sz="2" w:space="0" w:color="000000"/>
              <w:bottom w:val="single" w:sz="2" w:space="0" w:color="000000"/>
            </w:tcBorders>
          </w:tcPr>
          <w:p w:rsidR="00275195" w:rsidRDefault="00432668">
            <w:pPr>
              <w:pStyle w:val="TableParagraph"/>
              <w:spacing w:before="38"/>
              <w:ind w:left="739"/>
              <w:jc w:val="left"/>
              <w:rPr>
                <w:b/>
                <w:sz w:val="20"/>
              </w:rPr>
            </w:pPr>
            <w:r>
              <w:rPr>
                <w:b/>
                <w:sz w:val="20"/>
              </w:rPr>
              <w:t>AUC</w:t>
            </w:r>
            <w:r>
              <w:rPr>
                <w:b/>
                <w:sz w:val="20"/>
                <w:vertAlign w:val="subscript"/>
              </w:rPr>
              <w:t>168</w:t>
            </w:r>
            <w:r>
              <w:rPr>
                <w:b/>
                <w:sz w:val="20"/>
              </w:rPr>
              <w:t xml:space="preserve"> (µg</w:t>
            </w:r>
            <w:r>
              <w:rPr>
                <w:b/>
                <w:sz w:val="20"/>
                <w:vertAlign w:val="superscript"/>
              </w:rPr>
              <w:t>.</w:t>
            </w:r>
            <w:r>
              <w:rPr>
                <w:b/>
                <w:sz w:val="20"/>
              </w:rPr>
              <w:t>h/mL)</w:t>
            </w:r>
          </w:p>
        </w:tc>
      </w:tr>
      <w:tr w:rsidR="00275195">
        <w:trPr>
          <w:trHeight w:val="539"/>
        </w:trPr>
        <w:tc>
          <w:tcPr>
            <w:tcW w:w="1625" w:type="dxa"/>
            <w:vMerge/>
            <w:tcBorders>
              <w:top w:val="nil"/>
              <w:bottom w:val="single" w:sz="2" w:space="0" w:color="000000"/>
              <w:right w:val="single" w:sz="2" w:space="0" w:color="000000"/>
            </w:tcBorders>
          </w:tcPr>
          <w:p w:rsidR="00275195" w:rsidRDefault="00275195">
            <w:pPr>
              <w:rPr>
                <w:sz w:val="2"/>
                <w:szCs w:val="2"/>
              </w:rPr>
            </w:pPr>
          </w:p>
        </w:tc>
        <w:tc>
          <w:tcPr>
            <w:tcW w:w="1011" w:type="dxa"/>
            <w:vMerge/>
            <w:tcBorders>
              <w:top w:val="nil"/>
              <w:left w:val="single" w:sz="2" w:space="0" w:color="000000"/>
              <w:bottom w:val="single" w:sz="2" w:space="0" w:color="000000"/>
              <w:right w:val="single" w:sz="2" w:space="0" w:color="000000"/>
            </w:tcBorders>
          </w:tcPr>
          <w:p w:rsidR="00275195" w:rsidRDefault="00275195">
            <w:pPr>
              <w:rPr>
                <w:sz w:val="2"/>
                <w:szCs w:val="2"/>
              </w:rPr>
            </w:pPr>
          </w:p>
        </w:tc>
        <w:tc>
          <w:tcPr>
            <w:tcW w:w="812" w:type="dxa"/>
            <w:vMerge/>
            <w:tcBorders>
              <w:top w:val="nil"/>
              <w:left w:val="single" w:sz="2" w:space="0" w:color="000000"/>
              <w:bottom w:val="single" w:sz="2" w:space="0" w:color="000000"/>
              <w:right w:val="single" w:sz="2" w:space="0" w:color="000000"/>
            </w:tcBorders>
          </w:tcPr>
          <w:p w:rsidR="00275195" w:rsidRDefault="00275195">
            <w:pPr>
              <w:rPr>
                <w:sz w:val="2"/>
                <w:szCs w:val="2"/>
              </w:rPr>
            </w:pPr>
          </w:p>
        </w:tc>
        <w:tc>
          <w:tcPr>
            <w:tcW w:w="721" w:type="dxa"/>
            <w:vMerge w:val="restart"/>
            <w:tcBorders>
              <w:top w:val="single" w:sz="2" w:space="0" w:color="000000"/>
              <w:left w:val="single" w:sz="2" w:space="0" w:color="000000"/>
              <w:bottom w:val="single" w:sz="2" w:space="0" w:color="000000"/>
              <w:right w:val="single" w:sz="2" w:space="0" w:color="000000"/>
            </w:tcBorders>
          </w:tcPr>
          <w:p w:rsidR="00275195" w:rsidRDefault="00275195">
            <w:pPr>
              <w:pStyle w:val="TableParagraph"/>
              <w:spacing w:before="10"/>
              <w:jc w:val="left"/>
              <w:rPr>
                <w:b/>
                <w:sz w:val="30"/>
              </w:rPr>
            </w:pPr>
          </w:p>
          <w:p w:rsidR="00275195" w:rsidRDefault="00432668">
            <w:pPr>
              <w:pStyle w:val="TableParagraph"/>
              <w:ind w:left="156" w:right="128"/>
              <w:jc w:val="left"/>
              <w:rPr>
                <w:b/>
                <w:sz w:val="20"/>
              </w:rPr>
            </w:pPr>
            <w:r>
              <w:rPr>
                <w:b/>
                <w:sz w:val="20"/>
              </w:rPr>
              <w:t>First Dose</w:t>
            </w:r>
          </w:p>
        </w:tc>
        <w:tc>
          <w:tcPr>
            <w:tcW w:w="721" w:type="dxa"/>
            <w:vMerge w:val="restart"/>
            <w:tcBorders>
              <w:top w:val="single" w:sz="2" w:space="0" w:color="000000"/>
              <w:left w:val="single" w:sz="2" w:space="0" w:color="000000"/>
              <w:bottom w:val="single" w:sz="2" w:space="0" w:color="000000"/>
              <w:right w:val="single" w:sz="2" w:space="0" w:color="000000"/>
            </w:tcBorders>
          </w:tcPr>
          <w:p w:rsidR="00275195" w:rsidRDefault="00275195">
            <w:pPr>
              <w:pStyle w:val="TableParagraph"/>
              <w:spacing w:before="10"/>
              <w:jc w:val="left"/>
              <w:rPr>
                <w:b/>
                <w:sz w:val="30"/>
              </w:rPr>
            </w:pPr>
          </w:p>
          <w:p w:rsidR="00275195" w:rsidRDefault="00432668">
            <w:pPr>
              <w:pStyle w:val="TableParagraph"/>
              <w:ind w:left="155" w:right="129" w:firstLine="16"/>
              <w:jc w:val="left"/>
              <w:rPr>
                <w:b/>
                <w:sz w:val="20"/>
              </w:rPr>
            </w:pPr>
            <w:r>
              <w:rPr>
                <w:b/>
                <w:sz w:val="20"/>
              </w:rPr>
              <w:t>Last Dose</w:t>
            </w:r>
          </w:p>
        </w:tc>
        <w:tc>
          <w:tcPr>
            <w:tcW w:w="1352" w:type="dxa"/>
            <w:gridSpan w:val="2"/>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8"/>
              <w:ind w:left="351" w:hanging="82"/>
              <w:jc w:val="left"/>
              <w:rPr>
                <w:b/>
                <w:sz w:val="20"/>
              </w:rPr>
            </w:pPr>
            <w:r>
              <w:rPr>
                <w:b/>
                <w:w w:val="95"/>
                <w:sz w:val="20"/>
              </w:rPr>
              <w:t xml:space="preserve">Exposure </w:t>
            </w:r>
            <w:r>
              <w:rPr>
                <w:b/>
                <w:sz w:val="20"/>
              </w:rPr>
              <w:t>Ratios‡</w:t>
            </w:r>
          </w:p>
        </w:tc>
        <w:tc>
          <w:tcPr>
            <w:tcW w:w="813" w:type="dxa"/>
            <w:vMerge w:val="restart"/>
            <w:tcBorders>
              <w:top w:val="single" w:sz="2" w:space="0" w:color="000000"/>
              <w:left w:val="single" w:sz="2" w:space="0" w:color="000000"/>
              <w:bottom w:val="single" w:sz="2" w:space="0" w:color="000000"/>
              <w:right w:val="single" w:sz="2" w:space="0" w:color="000000"/>
            </w:tcBorders>
          </w:tcPr>
          <w:p w:rsidR="00275195" w:rsidRDefault="00275195">
            <w:pPr>
              <w:pStyle w:val="TableParagraph"/>
              <w:spacing w:before="10"/>
              <w:jc w:val="left"/>
              <w:rPr>
                <w:b/>
                <w:sz w:val="30"/>
              </w:rPr>
            </w:pPr>
          </w:p>
          <w:p w:rsidR="00275195" w:rsidRDefault="00432668">
            <w:pPr>
              <w:pStyle w:val="TableParagraph"/>
              <w:ind w:left="199" w:right="177"/>
              <w:jc w:val="left"/>
              <w:rPr>
                <w:b/>
                <w:sz w:val="20"/>
              </w:rPr>
            </w:pPr>
            <w:r>
              <w:rPr>
                <w:b/>
                <w:sz w:val="20"/>
              </w:rPr>
              <w:t>First Dose</w:t>
            </w:r>
          </w:p>
        </w:tc>
        <w:tc>
          <w:tcPr>
            <w:tcW w:w="815" w:type="dxa"/>
            <w:vMerge w:val="restart"/>
            <w:tcBorders>
              <w:top w:val="single" w:sz="2" w:space="0" w:color="000000"/>
              <w:left w:val="single" w:sz="2" w:space="0" w:color="000000"/>
              <w:bottom w:val="single" w:sz="2" w:space="0" w:color="000000"/>
              <w:right w:val="single" w:sz="2" w:space="0" w:color="000000"/>
            </w:tcBorders>
          </w:tcPr>
          <w:p w:rsidR="00275195" w:rsidRDefault="00275195">
            <w:pPr>
              <w:pStyle w:val="TableParagraph"/>
              <w:spacing w:before="10"/>
              <w:jc w:val="left"/>
              <w:rPr>
                <w:b/>
                <w:sz w:val="30"/>
              </w:rPr>
            </w:pPr>
          </w:p>
          <w:p w:rsidR="00275195" w:rsidRDefault="00432668">
            <w:pPr>
              <w:pStyle w:val="TableParagraph"/>
              <w:ind w:left="197" w:right="181" w:firstLine="16"/>
              <w:jc w:val="left"/>
              <w:rPr>
                <w:b/>
                <w:sz w:val="20"/>
              </w:rPr>
            </w:pPr>
            <w:r>
              <w:rPr>
                <w:b/>
                <w:sz w:val="20"/>
              </w:rPr>
              <w:t>Last Dose</w:t>
            </w:r>
          </w:p>
        </w:tc>
        <w:tc>
          <w:tcPr>
            <w:tcW w:w="1390" w:type="dxa"/>
            <w:gridSpan w:val="2"/>
            <w:tcBorders>
              <w:top w:val="single" w:sz="2" w:space="0" w:color="000000"/>
              <w:left w:val="single" w:sz="2" w:space="0" w:color="000000"/>
              <w:bottom w:val="single" w:sz="2" w:space="0" w:color="000000"/>
            </w:tcBorders>
          </w:tcPr>
          <w:p w:rsidR="00275195" w:rsidRDefault="00432668">
            <w:pPr>
              <w:pStyle w:val="TableParagraph"/>
              <w:spacing w:before="38"/>
              <w:ind w:left="361" w:right="269" w:hanging="82"/>
              <w:jc w:val="left"/>
              <w:rPr>
                <w:b/>
                <w:sz w:val="20"/>
              </w:rPr>
            </w:pPr>
            <w:r>
              <w:rPr>
                <w:b/>
                <w:sz w:val="20"/>
              </w:rPr>
              <w:t>Exposure</w:t>
            </w:r>
            <w:r>
              <w:rPr>
                <w:b/>
                <w:w w:val="99"/>
                <w:sz w:val="20"/>
              </w:rPr>
              <w:t xml:space="preserve"> </w:t>
            </w:r>
            <w:r>
              <w:rPr>
                <w:b/>
                <w:sz w:val="20"/>
              </w:rPr>
              <w:t>Ratios‡</w:t>
            </w:r>
          </w:p>
        </w:tc>
      </w:tr>
      <w:tr w:rsidR="00275195">
        <w:trPr>
          <w:trHeight w:val="311"/>
        </w:trPr>
        <w:tc>
          <w:tcPr>
            <w:tcW w:w="1625" w:type="dxa"/>
            <w:vMerge/>
            <w:tcBorders>
              <w:top w:val="nil"/>
              <w:bottom w:val="single" w:sz="2" w:space="0" w:color="000000"/>
              <w:right w:val="single" w:sz="2" w:space="0" w:color="000000"/>
            </w:tcBorders>
          </w:tcPr>
          <w:p w:rsidR="00275195" w:rsidRDefault="00275195">
            <w:pPr>
              <w:rPr>
                <w:sz w:val="2"/>
                <w:szCs w:val="2"/>
              </w:rPr>
            </w:pPr>
          </w:p>
        </w:tc>
        <w:tc>
          <w:tcPr>
            <w:tcW w:w="1011" w:type="dxa"/>
            <w:vMerge/>
            <w:tcBorders>
              <w:top w:val="nil"/>
              <w:left w:val="single" w:sz="2" w:space="0" w:color="000000"/>
              <w:bottom w:val="single" w:sz="2" w:space="0" w:color="000000"/>
              <w:right w:val="single" w:sz="2" w:space="0" w:color="000000"/>
            </w:tcBorders>
          </w:tcPr>
          <w:p w:rsidR="00275195" w:rsidRDefault="00275195">
            <w:pPr>
              <w:rPr>
                <w:sz w:val="2"/>
                <w:szCs w:val="2"/>
              </w:rPr>
            </w:pPr>
          </w:p>
        </w:tc>
        <w:tc>
          <w:tcPr>
            <w:tcW w:w="812" w:type="dxa"/>
            <w:vMerge/>
            <w:tcBorders>
              <w:top w:val="nil"/>
              <w:left w:val="single" w:sz="2" w:space="0" w:color="000000"/>
              <w:bottom w:val="single" w:sz="2" w:space="0" w:color="000000"/>
              <w:right w:val="single" w:sz="2" w:space="0" w:color="000000"/>
            </w:tcBorders>
          </w:tcPr>
          <w:p w:rsidR="00275195" w:rsidRDefault="00275195">
            <w:pPr>
              <w:rPr>
                <w:sz w:val="2"/>
                <w:szCs w:val="2"/>
              </w:rPr>
            </w:pPr>
          </w:p>
        </w:tc>
        <w:tc>
          <w:tcPr>
            <w:tcW w:w="721" w:type="dxa"/>
            <w:vMerge/>
            <w:tcBorders>
              <w:top w:val="nil"/>
              <w:left w:val="single" w:sz="2" w:space="0" w:color="000000"/>
              <w:bottom w:val="single" w:sz="2" w:space="0" w:color="000000"/>
              <w:right w:val="single" w:sz="2" w:space="0" w:color="000000"/>
            </w:tcBorders>
          </w:tcPr>
          <w:p w:rsidR="00275195" w:rsidRDefault="00275195">
            <w:pPr>
              <w:rPr>
                <w:sz w:val="2"/>
                <w:szCs w:val="2"/>
              </w:rPr>
            </w:pPr>
          </w:p>
        </w:tc>
        <w:tc>
          <w:tcPr>
            <w:tcW w:w="721" w:type="dxa"/>
            <w:vMerge/>
            <w:tcBorders>
              <w:top w:val="nil"/>
              <w:left w:val="single" w:sz="2" w:space="0" w:color="000000"/>
              <w:bottom w:val="single" w:sz="2" w:space="0" w:color="000000"/>
              <w:right w:val="single" w:sz="2" w:space="0" w:color="000000"/>
            </w:tcBorders>
          </w:tcPr>
          <w:p w:rsidR="00275195" w:rsidRDefault="00275195">
            <w:pPr>
              <w:rPr>
                <w:sz w:val="2"/>
                <w:szCs w:val="2"/>
              </w:rPr>
            </w:pP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8"/>
              <w:ind w:left="131" w:right="131"/>
              <w:rPr>
                <w:b/>
                <w:sz w:val="20"/>
              </w:rPr>
            </w:pPr>
            <w:r>
              <w:rPr>
                <w:b/>
                <w:sz w:val="20"/>
              </w:rPr>
              <w:t>First</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8"/>
              <w:ind w:left="105" w:right="104"/>
              <w:rPr>
                <w:b/>
                <w:sz w:val="20"/>
              </w:rPr>
            </w:pPr>
            <w:r>
              <w:rPr>
                <w:b/>
                <w:sz w:val="20"/>
              </w:rPr>
              <w:t>Last</w:t>
            </w:r>
          </w:p>
        </w:tc>
        <w:tc>
          <w:tcPr>
            <w:tcW w:w="813" w:type="dxa"/>
            <w:vMerge/>
            <w:tcBorders>
              <w:top w:val="nil"/>
              <w:left w:val="single" w:sz="2" w:space="0" w:color="000000"/>
              <w:bottom w:val="single" w:sz="2" w:space="0" w:color="000000"/>
              <w:right w:val="single" w:sz="2" w:space="0" w:color="000000"/>
            </w:tcBorders>
          </w:tcPr>
          <w:p w:rsidR="00275195" w:rsidRDefault="00275195">
            <w:pPr>
              <w:rPr>
                <w:sz w:val="2"/>
                <w:szCs w:val="2"/>
              </w:rPr>
            </w:pPr>
          </w:p>
        </w:tc>
        <w:tc>
          <w:tcPr>
            <w:tcW w:w="815" w:type="dxa"/>
            <w:vMerge/>
            <w:tcBorders>
              <w:top w:val="nil"/>
              <w:left w:val="single" w:sz="2" w:space="0" w:color="000000"/>
              <w:bottom w:val="single" w:sz="2" w:space="0" w:color="000000"/>
              <w:right w:val="single" w:sz="2" w:space="0" w:color="000000"/>
            </w:tcBorders>
          </w:tcPr>
          <w:p w:rsidR="00275195" w:rsidRDefault="00275195">
            <w:pPr>
              <w:rPr>
                <w:sz w:val="2"/>
                <w:szCs w:val="2"/>
              </w:rPr>
            </w:pP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8"/>
              <w:ind w:right="156"/>
              <w:jc w:val="right"/>
              <w:rPr>
                <w:b/>
                <w:sz w:val="20"/>
              </w:rPr>
            </w:pPr>
            <w:r>
              <w:rPr>
                <w:b/>
                <w:w w:val="95"/>
                <w:sz w:val="20"/>
              </w:rPr>
              <w:t>First</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38"/>
              <w:ind w:left="117" w:right="125"/>
              <w:rPr>
                <w:b/>
                <w:sz w:val="20"/>
              </w:rPr>
            </w:pPr>
            <w:r>
              <w:rPr>
                <w:b/>
                <w:sz w:val="20"/>
              </w:rPr>
              <w:t>Last</w:t>
            </w:r>
          </w:p>
        </w:tc>
      </w:tr>
      <w:tr w:rsidR="00275195">
        <w:trPr>
          <w:trHeight w:val="285"/>
        </w:trPr>
        <w:tc>
          <w:tcPr>
            <w:tcW w:w="1625" w:type="dxa"/>
            <w:vMerge w:val="restart"/>
            <w:tcBorders>
              <w:top w:val="single" w:sz="2" w:space="0" w:color="000000"/>
              <w:bottom w:val="single" w:sz="2" w:space="0" w:color="000000"/>
              <w:right w:val="single" w:sz="2" w:space="0" w:color="000000"/>
            </w:tcBorders>
          </w:tcPr>
          <w:p w:rsidR="00275195" w:rsidRDefault="00275195">
            <w:pPr>
              <w:pStyle w:val="TableParagraph"/>
              <w:jc w:val="left"/>
              <w:rPr>
                <w:b/>
                <w:sz w:val="20"/>
              </w:rPr>
            </w:pPr>
          </w:p>
          <w:p w:rsidR="00275195" w:rsidRDefault="00432668">
            <w:pPr>
              <w:pStyle w:val="TableParagraph"/>
              <w:spacing w:before="1"/>
              <w:ind w:left="114" w:right="497"/>
              <w:jc w:val="left"/>
              <w:rPr>
                <w:sz w:val="20"/>
              </w:rPr>
            </w:pPr>
            <w:r>
              <w:rPr>
                <w:sz w:val="20"/>
              </w:rPr>
              <w:t>Monkey/ single, sc</w:t>
            </w:r>
          </w:p>
          <w:p w:rsidR="00275195" w:rsidRDefault="00432668">
            <w:pPr>
              <w:pStyle w:val="TableParagraph"/>
              <w:spacing w:line="228" w:lineRule="exact"/>
              <w:ind w:left="114"/>
              <w:jc w:val="left"/>
              <w:rPr>
                <w:sz w:val="20"/>
              </w:rPr>
            </w:pPr>
            <w:r>
              <w:rPr>
                <w:sz w:val="20"/>
              </w:rPr>
              <w:t>(</w:t>
            </w:r>
            <w:r w:rsidR="00C64805">
              <w:rPr>
                <w:sz w:val="20"/>
              </w:rPr>
              <w:t>Project 14</w:t>
            </w:r>
            <w:r>
              <w:rPr>
                <w:sz w:val="20"/>
              </w:rPr>
              <w:t>-TX-0002)</w:t>
            </w: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359"/>
              <w:jc w:val="left"/>
              <w:rPr>
                <w:sz w:val="18"/>
              </w:rPr>
            </w:pPr>
            <w:r>
              <w:rPr>
                <w:sz w:val="18"/>
              </w:rPr>
              <w:t>M/2</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54" w:right="242"/>
              <w:rPr>
                <w:sz w:val="18"/>
              </w:rPr>
            </w:pPr>
            <w:r>
              <w:rPr>
                <w:sz w:val="18"/>
              </w:rPr>
              <w:t>10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26"/>
              <w:jc w:val="left"/>
              <w:rPr>
                <w:sz w:val="18"/>
              </w:rPr>
            </w:pPr>
            <w:r>
              <w:rPr>
                <w:sz w:val="18"/>
              </w:rPr>
              <w:t>152</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32"/>
              <w:jc w:val="left"/>
              <w:rPr>
                <w:sz w:val="18"/>
              </w:rPr>
            </w:pPr>
            <w:r>
              <w:rPr>
                <w:sz w:val="18"/>
              </w:rPr>
              <w:t>NA</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31" w:right="126"/>
              <w:rPr>
                <w:sz w:val="18"/>
              </w:rPr>
            </w:pPr>
            <w:r>
              <w:rPr>
                <w:sz w:val="18"/>
              </w:rPr>
              <w:t>5.9</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04" w:right="104"/>
              <w:rPr>
                <w:sz w:val="18"/>
              </w:rPr>
            </w:pPr>
            <w:r>
              <w:rPr>
                <w:sz w:val="18"/>
              </w:rPr>
              <w:t>NA</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3" w:right="113"/>
              <w:rPr>
                <w:sz w:val="18"/>
              </w:rPr>
            </w:pPr>
            <w:r>
              <w:rPr>
                <w:sz w:val="18"/>
              </w:rPr>
              <w:t>20300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1" w:right="115"/>
              <w:rPr>
                <w:sz w:val="18"/>
              </w:rPr>
            </w:pPr>
            <w:r>
              <w:rPr>
                <w:sz w:val="18"/>
              </w:rPr>
              <w:t>NA</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right="268"/>
              <w:jc w:val="right"/>
              <w:rPr>
                <w:sz w:val="18"/>
              </w:rPr>
            </w:pPr>
            <w:r>
              <w:rPr>
                <w:sz w:val="18"/>
              </w:rPr>
              <w:t>22</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33"/>
              <w:ind w:left="117" w:right="122"/>
              <w:rPr>
                <w:sz w:val="18"/>
              </w:rPr>
            </w:pPr>
            <w:r>
              <w:rPr>
                <w:sz w:val="18"/>
              </w:rPr>
              <w:t>NA</w:t>
            </w:r>
          </w:p>
        </w:tc>
      </w:tr>
      <w:tr w:rsidR="00275195">
        <w:trPr>
          <w:trHeight w:val="287"/>
        </w:trPr>
        <w:tc>
          <w:tcPr>
            <w:tcW w:w="1625" w:type="dxa"/>
            <w:vMerge/>
            <w:tcBorders>
              <w:top w:val="nil"/>
              <w:bottom w:val="single" w:sz="2" w:space="0" w:color="000000"/>
              <w:right w:val="single" w:sz="2" w:space="0" w:color="000000"/>
            </w:tcBorders>
          </w:tcPr>
          <w:p w:rsidR="00275195" w:rsidRDefault="00275195">
            <w:pPr>
              <w:rPr>
                <w:sz w:val="2"/>
                <w:szCs w:val="2"/>
              </w:rPr>
            </w:pP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388"/>
              <w:jc w:val="left"/>
              <w:rPr>
                <w:sz w:val="18"/>
              </w:rPr>
            </w:pPr>
            <w:r>
              <w:rPr>
                <w:sz w:val="18"/>
              </w:rPr>
              <w:t>F/2</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54" w:right="242"/>
              <w:rPr>
                <w:sz w:val="18"/>
              </w:rPr>
            </w:pPr>
            <w:r>
              <w:rPr>
                <w:sz w:val="18"/>
              </w:rPr>
              <w:t>10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26"/>
              <w:jc w:val="left"/>
              <w:rPr>
                <w:sz w:val="18"/>
              </w:rPr>
            </w:pPr>
            <w:r>
              <w:rPr>
                <w:sz w:val="18"/>
              </w:rPr>
              <w:t>112</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32"/>
              <w:jc w:val="left"/>
              <w:rPr>
                <w:sz w:val="18"/>
              </w:rPr>
            </w:pPr>
            <w:r>
              <w:rPr>
                <w:sz w:val="18"/>
              </w:rPr>
              <w:t>NA</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31" w:right="126"/>
              <w:rPr>
                <w:sz w:val="18"/>
              </w:rPr>
            </w:pPr>
            <w:r>
              <w:rPr>
                <w:sz w:val="18"/>
              </w:rPr>
              <w:t>4.3</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04" w:right="104"/>
              <w:rPr>
                <w:sz w:val="18"/>
              </w:rPr>
            </w:pPr>
            <w:r>
              <w:rPr>
                <w:sz w:val="18"/>
              </w:rPr>
              <w:t>NA</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3" w:right="113"/>
              <w:rPr>
                <w:sz w:val="18"/>
              </w:rPr>
            </w:pPr>
            <w:r>
              <w:rPr>
                <w:sz w:val="18"/>
              </w:rPr>
              <w:t>15800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1" w:right="115"/>
              <w:rPr>
                <w:sz w:val="18"/>
              </w:rPr>
            </w:pPr>
            <w:r>
              <w:rPr>
                <w:sz w:val="18"/>
              </w:rPr>
              <w:t>NA</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right="268"/>
              <w:jc w:val="right"/>
              <w:rPr>
                <w:sz w:val="18"/>
              </w:rPr>
            </w:pPr>
            <w:r>
              <w:rPr>
                <w:sz w:val="18"/>
              </w:rPr>
              <w:t>17</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33"/>
              <w:ind w:left="117" w:right="122"/>
              <w:rPr>
                <w:sz w:val="18"/>
              </w:rPr>
            </w:pPr>
            <w:r>
              <w:rPr>
                <w:sz w:val="18"/>
              </w:rPr>
              <w:t>NA</w:t>
            </w:r>
          </w:p>
        </w:tc>
      </w:tr>
      <w:tr w:rsidR="00275195">
        <w:trPr>
          <w:trHeight w:val="287"/>
        </w:trPr>
        <w:tc>
          <w:tcPr>
            <w:tcW w:w="1625" w:type="dxa"/>
            <w:vMerge/>
            <w:tcBorders>
              <w:top w:val="nil"/>
              <w:bottom w:val="single" w:sz="2" w:space="0" w:color="000000"/>
              <w:right w:val="single" w:sz="2" w:space="0" w:color="000000"/>
            </w:tcBorders>
          </w:tcPr>
          <w:p w:rsidR="00275195" w:rsidRDefault="00275195">
            <w:pPr>
              <w:rPr>
                <w:sz w:val="2"/>
                <w:szCs w:val="2"/>
              </w:rPr>
            </w:pP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359"/>
              <w:jc w:val="left"/>
              <w:rPr>
                <w:sz w:val="18"/>
              </w:rPr>
            </w:pPr>
            <w:r>
              <w:rPr>
                <w:sz w:val="18"/>
              </w:rPr>
              <w:t>M/2</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54" w:right="242"/>
              <w:rPr>
                <w:sz w:val="18"/>
              </w:rPr>
            </w:pPr>
            <w:r>
              <w:rPr>
                <w:sz w:val="18"/>
              </w:rPr>
              <w:t>50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26"/>
              <w:jc w:val="left"/>
              <w:rPr>
                <w:sz w:val="18"/>
              </w:rPr>
            </w:pPr>
            <w:r>
              <w:rPr>
                <w:sz w:val="18"/>
              </w:rPr>
              <w:t>741</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32"/>
              <w:jc w:val="left"/>
              <w:rPr>
                <w:sz w:val="18"/>
              </w:rPr>
            </w:pPr>
            <w:r>
              <w:rPr>
                <w:sz w:val="18"/>
              </w:rPr>
              <w:t>NA</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31" w:right="128"/>
              <w:rPr>
                <w:sz w:val="18"/>
              </w:rPr>
            </w:pPr>
            <w:r>
              <w:rPr>
                <w:sz w:val="18"/>
              </w:rPr>
              <w:t>29</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04" w:right="104"/>
              <w:rPr>
                <w:sz w:val="18"/>
              </w:rPr>
            </w:pPr>
            <w:r>
              <w:rPr>
                <w:sz w:val="18"/>
              </w:rPr>
              <w:t>NA</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3" w:right="113"/>
              <w:rPr>
                <w:sz w:val="18"/>
              </w:rPr>
            </w:pPr>
            <w:r>
              <w:rPr>
                <w:sz w:val="18"/>
              </w:rPr>
              <w:t>97500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1" w:right="115"/>
              <w:rPr>
                <w:sz w:val="18"/>
              </w:rPr>
            </w:pPr>
            <w:r>
              <w:rPr>
                <w:sz w:val="18"/>
              </w:rPr>
              <w:t>NA</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right="222"/>
              <w:jc w:val="right"/>
              <w:rPr>
                <w:sz w:val="18"/>
              </w:rPr>
            </w:pPr>
            <w:r>
              <w:rPr>
                <w:sz w:val="18"/>
              </w:rPr>
              <w:t>105</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33"/>
              <w:ind w:left="117" w:right="122"/>
              <w:rPr>
                <w:sz w:val="18"/>
              </w:rPr>
            </w:pPr>
            <w:r>
              <w:rPr>
                <w:sz w:val="18"/>
              </w:rPr>
              <w:t>NA</w:t>
            </w:r>
          </w:p>
        </w:tc>
      </w:tr>
      <w:tr w:rsidR="00275195">
        <w:trPr>
          <w:trHeight w:val="285"/>
        </w:trPr>
        <w:tc>
          <w:tcPr>
            <w:tcW w:w="1625" w:type="dxa"/>
            <w:vMerge/>
            <w:tcBorders>
              <w:top w:val="nil"/>
              <w:bottom w:val="single" w:sz="2" w:space="0" w:color="000000"/>
              <w:right w:val="single" w:sz="2" w:space="0" w:color="000000"/>
            </w:tcBorders>
          </w:tcPr>
          <w:p w:rsidR="00275195" w:rsidRDefault="00275195">
            <w:pPr>
              <w:rPr>
                <w:sz w:val="2"/>
                <w:szCs w:val="2"/>
              </w:rPr>
            </w:pP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388"/>
              <w:jc w:val="left"/>
              <w:rPr>
                <w:sz w:val="18"/>
              </w:rPr>
            </w:pPr>
            <w:r>
              <w:rPr>
                <w:sz w:val="18"/>
              </w:rPr>
              <w:t>F/2</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54" w:right="242"/>
              <w:rPr>
                <w:sz w:val="18"/>
              </w:rPr>
            </w:pPr>
            <w:r>
              <w:rPr>
                <w:sz w:val="18"/>
              </w:rPr>
              <w:t>50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26"/>
              <w:jc w:val="left"/>
              <w:rPr>
                <w:sz w:val="18"/>
              </w:rPr>
            </w:pPr>
            <w:r>
              <w:rPr>
                <w:sz w:val="18"/>
              </w:rPr>
              <w:t>767</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32"/>
              <w:jc w:val="left"/>
              <w:rPr>
                <w:sz w:val="18"/>
              </w:rPr>
            </w:pPr>
            <w:r>
              <w:rPr>
                <w:sz w:val="18"/>
              </w:rPr>
              <w:t>NA</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31" w:right="128"/>
              <w:rPr>
                <w:sz w:val="18"/>
              </w:rPr>
            </w:pPr>
            <w:r>
              <w:rPr>
                <w:sz w:val="18"/>
              </w:rPr>
              <w:t>30</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04" w:right="104"/>
              <w:rPr>
                <w:sz w:val="18"/>
              </w:rPr>
            </w:pPr>
            <w:r>
              <w:rPr>
                <w:sz w:val="18"/>
              </w:rPr>
              <w:t>NA</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3" w:right="113"/>
              <w:rPr>
                <w:sz w:val="18"/>
              </w:rPr>
            </w:pPr>
            <w:r>
              <w:rPr>
                <w:sz w:val="18"/>
              </w:rPr>
              <w:t>95800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1" w:right="115"/>
              <w:rPr>
                <w:sz w:val="18"/>
              </w:rPr>
            </w:pPr>
            <w:r>
              <w:rPr>
                <w:sz w:val="18"/>
              </w:rPr>
              <w:t>NA</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right="222"/>
              <w:jc w:val="right"/>
              <w:rPr>
                <w:sz w:val="18"/>
              </w:rPr>
            </w:pPr>
            <w:r>
              <w:rPr>
                <w:sz w:val="18"/>
              </w:rPr>
              <w:t>103</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33"/>
              <w:ind w:left="117" w:right="122"/>
              <w:rPr>
                <w:sz w:val="18"/>
              </w:rPr>
            </w:pPr>
            <w:r>
              <w:rPr>
                <w:sz w:val="18"/>
              </w:rPr>
              <w:t>NA</w:t>
            </w:r>
          </w:p>
        </w:tc>
      </w:tr>
      <w:tr w:rsidR="00275195">
        <w:trPr>
          <w:trHeight w:val="287"/>
        </w:trPr>
        <w:tc>
          <w:tcPr>
            <w:tcW w:w="1625" w:type="dxa"/>
            <w:vMerge w:val="restart"/>
            <w:tcBorders>
              <w:top w:val="single" w:sz="2" w:space="0" w:color="000000"/>
              <w:bottom w:val="single" w:sz="2" w:space="0" w:color="000000"/>
              <w:right w:val="single" w:sz="2" w:space="0" w:color="000000"/>
            </w:tcBorders>
          </w:tcPr>
          <w:p w:rsidR="00275195" w:rsidRDefault="00275195">
            <w:pPr>
              <w:pStyle w:val="TableParagraph"/>
              <w:jc w:val="left"/>
              <w:rPr>
                <w:b/>
              </w:rPr>
            </w:pPr>
          </w:p>
          <w:p w:rsidR="00275195" w:rsidRDefault="00275195">
            <w:pPr>
              <w:pStyle w:val="TableParagraph"/>
              <w:spacing w:before="9"/>
              <w:jc w:val="left"/>
              <w:rPr>
                <w:b/>
                <w:sz w:val="21"/>
              </w:rPr>
            </w:pPr>
          </w:p>
          <w:p w:rsidR="00275195" w:rsidRDefault="00432668">
            <w:pPr>
              <w:pStyle w:val="TableParagraph"/>
              <w:spacing w:before="1"/>
              <w:ind w:left="114" w:right="654"/>
              <w:jc w:val="left"/>
              <w:rPr>
                <w:sz w:val="20"/>
              </w:rPr>
            </w:pPr>
            <w:r>
              <w:rPr>
                <w:sz w:val="20"/>
              </w:rPr>
              <w:t>Monkey/ 4-week, iv</w:t>
            </w:r>
          </w:p>
          <w:p w:rsidR="00275195" w:rsidRDefault="00432668">
            <w:pPr>
              <w:pStyle w:val="TableParagraph"/>
              <w:spacing w:before="39"/>
              <w:ind w:left="114"/>
              <w:jc w:val="left"/>
              <w:rPr>
                <w:sz w:val="20"/>
              </w:rPr>
            </w:pPr>
            <w:r>
              <w:rPr>
                <w:sz w:val="20"/>
              </w:rPr>
              <w:t>(</w:t>
            </w:r>
            <w:r w:rsidR="00C64805">
              <w:rPr>
                <w:sz w:val="20"/>
              </w:rPr>
              <w:t>Project 14</w:t>
            </w:r>
            <w:r>
              <w:rPr>
                <w:sz w:val="20"/>
              </w:rPr>
              <w:t>-TX-0001)</w:t>
            </w: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359"/>
              <w:jc w:val="left"/>
              <w:rPr>
                <w:sz w:val="18"/>
              </w:rPr>
            </w:pPr>
            <w:r>
              <w:rPr>
                <w:sz w:val="18"/>
              </w:rPr>
              <w:t>M/4</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0"/>
              <w:rPr>
                <w:sz w:val="18"/>
              </w:rPr>
            </w:pPr>
            <w:r>
              <w:rPr>
                <w:sz w:val="18"/>
              </w:rPr>
              <w:t>3</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04"/>
              <w:jc w:val="left"/>
              <w:rPr>
                <w:sz w:val="18"/>
              </w:rPr>
            </w:pPr>
            <w:r>
              <w:rPr>
                <w:sz w:val="18"/>
              </w:rPr>
              <w:t>89.0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03"/>
              <w:jc w:val="left"/>
              <w:rPr>
                <w:sz w:val="18"/>
              </w:rPr>
            </w:pPr>
            <w:r>
              <w:rPr>
                <w:sz w:val="18"/>
              </w:rPr>
              <w:t>66.7</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31" w:right="126"/>
              <w:rPr>
                <w:sz w:val="18"/>
              </w:rPr>
            </w:pPr>
            <w:r>
              <w:rPr>
                <w:sz w:val="18"/>
              </w:rPr>
              <w:t>3.4</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05" w:right="103"/>
              <w:rPr>
                <w:sz w:val="18"/>
              </w:rPr>
            </w:pPr>
            <w:r>
              <w:rPr>
                <w:sz w:val="18"/>
              </w:rPr>
              <w:t>2.6</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3" w:right="113"/>
              <w:rPr>
                <w:sz w:val="18"/>
              </w:rPr>
            </w:pPr>
            <w:r>
              <w:rPr>
                <w:sz w:val="18"/>
              </w:rPr>
              <w:t>7740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4" w:right="115"/>
              <w:rPr>
                <w:sz w:val="18"/>
              </w:rPr>
            </w:pPr>
            <w:r>
              <w:rPr>
                <w:sz w:val="18"/>
              </w:rPr>
              <w:t>843</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right="244"/>
              <w:jc w:val="right"/>
              <w:rPr>
                <w:sz w:val="18"/>
              </w:rPr>
            </w:pPr>
            <w:r>
              <w:rPr>
                <w:sz w:val="18"/>
              </w:rPr>
              <w:t>8.3</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33"/>
              <w:ind w:left="117" w:right="120"/>
              <w:rPr>
                <w:sz w:val="18"/>
              </w:rPr>
            </w:pPr>
            <w:r>
              <w:rPr>
                <w:sz w:val="18"/>
              </w:rPr>
              <w:t>0.9</w:t>
            </w:r>
          </w:p>
        </w:tc>
      </w:tr>
      <w:tr w:rsidR="00275195">
        <w:trPr>
          <w:trHeight w:val="287"/>
        </w:trPr>
        <w:tc>
          <w:tcPr>
            <w:tcW w:w="1625" w:type="dxa"/>
            <w:vMerge/>
            <w:tcBorders>
              <w:top w:val="nil"/>
              <w:bottom w:val="single" w:sz="2" w:space="0" w:color="000000"/>
              <w:right w:val="single" w:sz="2" w:space="0" w:color="000000"/>
            </w:tcBorders>
          </w:tcPr>
          <w:p w:rsidR="00275195" w:rsidRDefault="00275195">
            <w:pPr>
              <w:rPr>
                <w:sz w:val="2"/>
                <w:szCs w:val="2"/>
              </w:rPr>
            </w:pP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388"/>
              <w:jc w:val="left"/>
              <w:rPr>
                <w:sz w:val="18"/>
              </w:rPr>
            </w:pPr>
            <w:r>
              <w:rPr>
                <w:sz w:val="18"/>
              </w:rPr>
              <w:t>F/4</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0"/>
              <w:rPr>
                <w:sz w:val="18"/>
              </w:rPr>
            </w:pPr>
            <w:r>
              <w:rPr>
                <w:sz w:val="18"/>
              </w:rPr>
              <w:t>3</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04"/>
              <w:jc w:val="left"/>
              <w:rPr>
                <w:sz w:val="18"/>
              </w:rPr>
            </w:pPr>
            <w:r>
              <w:rPr>
                <w:sz w:val="18"/>
              </w:rPr>
              <w:t>76.3</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03"/>
              <w:jc w:val="left"/>
              <w:rPr>
                <w:sz w:val="18"/>
              </w:rPr>
            </w:pPr>
            <w:r>
              <w:rPr>
                <w:sz w:val="18"/>
              </w:rPr>
              <w:t>35.6</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31" w:right="126"/>
              <w:rPr>
                <w:sz w:val="18"/>
              </w:rPr>
            </w:pPr>
            <w:r>
              <w:rPr>
                <w:sz w:val="18"/>
              </w:rPr>
              <w:t>3.0</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05" w:right="103"/>
              <w:rPr>
                <w:sz w:val="18"/>
              </w:rPr>
            </w:pPr>
            <w:r>
              <w:rPr>
                <w:sz w:val="18"/>
              </w:rPr>
              <w:t>1.4</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3" w:right="113"/>
              <w:rPr>
                <w:sz w:val="18"/>
              </w:rPr>
            </w:pPr>
            <w:r>
              <w:rPr>
                <w:sz w:val="18"/>
              </w:rPr>
              <w:t>7230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4" w:right="115"/>
              <w:rPr>
                <w:sz w:val="18"/>
              </w:rPr>
            </w:pPr>
            <w:r>
              <w:rPr>
                <w:sz w:val="18"/>
              </w:rPr>
              <w:t>289</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right="244"/>
              <w:jc w:val="right"/>
              <w:rPr>
                <w:sz w:val="18"/>
              </w:rPr>
            </w:pPr>
            <w:r>
              <w:rPr>
                <w:sz w:val="18"/>
              </w:rPr>
              <w:t>7.8</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33"/>
              <w:ind w:left="117" w:right="120"/>
              <w:rPr>
                <w:sz w:val="18"/>
              </w:rPr>
            </w:pPr>
            <w:r>
              <w:rPr>
                <w:sz w:val="18"/>
              </w:rPr>
              <w:t>0.3</w:t>
            </w:r>
          </w:p>
        </w:tc>
      </w:tr>
      <w:tr w:rsidR="00275195">
        <w:trPr>
          <w:trHeight w:val="285"/>
        </w:trPr>
        <w:tc>
          <w:tcPr>
            <w:tcW w:w="1625" w:type="dxa"/>
            <w:vMerge/>
            <w:tcBorders>
              <w:top w:val="nil"/>
              <w:bottom w:val="single" w:sz="2" w:space="0" w:color="000000"/>
              <w:right w:val="single" w:sz="2" w:space="0" w:color="000000"/>
            </w:tcBorders>
          </w:tcPr>
          <w:p w:rsidR="00275195" w:rsidRDefault="00275195">
            <w:pPr>
              <w:rPr>
                <w:sz w:val="2"/>
                <w:szCs w:val="2"/>
              </w:rPr>
            </w:pP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359"/>
              <w:jc w:val="left"/>
              <w:rPr>
                <w:sz w:val="18"/>
              </w:rPr>
            </w:pPr>
            <w:r>
              <w:rPr>
                <w:sz w:val="18"/>
              </w:rPr>
              <w:t>M/4</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54" w:right="242"/>
              <w:rPr>
                <w:sz w:val="18"/>
              </w:rPr>
            </w:pPr>
            <w:r>
              <w:rPr>
                <w:sz w:val="18"/>
                <w:u w:val="single"/>
              </w:rPr>
              <w:t>10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26"/>
              <w:jc w:val="left"/>
              <w:rPr>
                <w:sz w:val="18"/>
              </w:rPr>
            </w:pPr>
            <w:r>
              <w:rPr>
                <w:sz w:val="18"/>
              </w:rPr>
              <w:t>392</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25"/>
              <w:jc w:val="left"/>
              <w:rPr>
                <w:sz w:val="18"/>
              </w:rPr>
            </w:pPr>
            <w:r>
              <w:rPr>
                <w:sz w:val="18"/>
              </w:rPr>
              <w:t>457</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31" w:right="128"/>
              <w:rPr>
                <w:sz w:val="18"/>
              </w:rPr>
            </w:pPr>
            <w:r>
              <w:rPr>
                <w:sz w:val="18"/>
              </w:rPr>
              <w:t>15</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05" w:right="100"/>
              <w:rPr>
                <w:sz w:val="18"/>
              </w:rPr>
            </w:pPr>
            <w:r>
              <w:rPr>
                <w:sz w:val="18"/>
              </w:rPr>
              <w:t>18</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3" w:right="113"/>
              <w:rPr>
                <w:sz w:val="18"/>
              </w:rPr>
            </w:pPr>
            <w:r>
              <w:rPr>
                <w:sz w:val="18"/>
              </w:rPr>
              <w:t>26700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3" w:right="115"/>
              <w:rPr>
                <w:sz w:val="18"/>
              </w:rPr>
            </w:pPr>
            <w:r>
              <w:rPr>
                <w:sz w:val="18"/>
              </w:rPr>
              <w:t>32200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right="268"/>
              <w:jc w:val="right"/>
              <w:rPr>
                <w:sz w:val="18"/>
              </w:rPr>
            </w:pPr>
            <w:r>
              <w:rPr>
                <w:sz w:val="18"/>
              </w:rPr>
              <w:t>29</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33"/>
              <w:ind w:left="117" w:right="122"/>
              <w:rPr>
                <w:sz w:val="18"/>
              </w:rPr>
            </w:pPr>
            <w:r>
              <w:rPr>
                <w:sz w:val="18"/>
              </w:rPr>
              <w:t>35</w:t>
            </w:r>
          </w:p>
        </w:tc>
      </w:tr>
      <w:tr w:rsidR="00275195">
        <w:trPr>
          <w:trHeight w:val="287"/>
        </w:trPr>
        <w:tc>
          <w:tcPr>
            <w:tcW w:w="1625" w:type="dxa"/>
            <w:vMerge/>
            <w:tcBorders>
              <w:top w:val="nil"/>
              <w:bottom w:val="single" w:sz="2" w:space="0" w:color="000000"/>
              <w:right w:val="single" w:sz="2" w:space="0" w:color="000000"/>
            </w:tcBorders>
          </w:tcPr>
          <w:p w:rsidR="00275195" w:rsidRDefault="00275195">
            <w:pPr>
              <w:rPr>
                <w:sz w:val="2"/>
                <w:szCs w:val="2"/>
              </w:rPr>
            </w:pP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388"/>
              <w:jc w:val="left"/>
              <w:rPr>
                <w:sz w:val="18"/>
              </w:rPr>
            </w:pPr>
            <w:r>
              <w:rPr>
                <w:sz w:val="18"/>
              </w:rPr>
              <w:t>F/4</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54" w:right="242"/>
              <w:rPr>
                <w:sz w:val="18"/>
              </w:rPr>
            </w:pPr>
            <w:r>
              <w:rPr>
                <w:sz w:val="18"/>
              </w:rPr>
              <w:t>10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26"/>
              <w:jc w:val="left"/>
              <w:rPr>
                <w:sz w:val="18"/>
              </w:rPr>
            </w:pPr>
            <w:r>
              <w:rPr>
                <w:sz w:val="18"/>
              </w:rPr>
              <w:t>269</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25"/>
              <w:jc w:val="left"/>
              <w:rPr>
                <w:sz w:val="18"/>
              </w:rPr>
            </w:pPr>
            <w:r>
              <w:rPr>
                <w:sz w:val="18"/>
              </w:rPr>
              <w:t>340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31" w:right="128"/>
              <w:rPr>
                <w:sz w:val="18"/>
              </w:rPr>
            </w:pPr>
            <w:r>
              <w:rPr>
                <w:sz w:val="18"/>
              </w:rPr>
              <w:t>10</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05" w:right="100"/>
              <w:rPr>
                <w:sz w:val="18"/>
              </w:rPr>
            </w:pPr>
            <w:r>
              <w:rPr>
                <w:sz w:val="18"/>
              </w:rPr>
              <w:t>13</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3" w:right="113"/>
              <w:rPr>
                <w:sz w:val="18"/>
              </w:rPr>
            </w:pPr>
            <w:r>
              <w:rPr>
                <w:sz w:val="18"/>
              </w:rPr>
              <w:t>22400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3" w:right="115"/>
              <w:rPr>
                <w:sz w:val="18"/>
              </w:rPr>
            </w:pPr>
            <w:r>
              <w:rPr>
                <w:sz w:val="18"/>
              </w:rPr>
              <w:t>21800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right="268"/>
              <w:jc w:val="right"/>
              <w:rPr>
                <w:sz w:val="18"/>
              </w:rPr>
            </w:pPr>
            <w:r>
              <w:rPr>
                <w:sz w:val="18"/>
              </w:rPr>
              <w:t>24</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33"/>
              <w:ind w:left="117" w:right="122"/>
              <w:rPr>
                <w:sz w:val="18"/>
              </w:rPr>
            </w:pPr>
            <w:r>
              <w:rPr>
                <w:sz w:val="18"/>
              </w:rPr>
              <w:t>24</w:t>
            </w:r>
          </w:p>
        </w:tc>
      </w:tr>
      <w:tr w:rsidR="00275195">
        <w:trPr>
          <w:trHeight w:val="287"/>
        </w:trPr>
        <w:tc>
          <w:tcPr>
            <w:tcW w:w="1625" w:type="dxa"/>
            <w:vMerge/>
            <w:tcBorders>
              <w:top w:val="nil"/>
              <w:bottom w:val="single" w:sz="2" w:space="0" w:color="000000"/>
              <w:right w:val="single" w:sz="2" w:space="0" w:color="000000"/>
            </w:tcBorders>
          </w:tcPr>
          <w:p w:rsidR="00275195" w:rsidRDefault="00275195">
            <w:pPr>
              <w:rPr>
                <w:sz w:val="2"/>
                <w:szCs w:val="2"/>
              </w:rPr>
            </w:pP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359"/>
              <w:jc w:val="left"/>
              <w:rPr>
                <w:sz w:val="18"/>
              </w:rPr>
            </w:pPr>
            <w:r>
              <w:rPr>
                <w:sz w:val="18"/>
              </w:rPr>
              <w:t>M/7</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54" w:right="242"/>
              <w:rPr>
                <w:sz w:val="18"/>
              </w:rPr>
            </w:pPr>
            <w:r>
              <w:rPr>
                <w:sz w:val="18"/>
              </w:rPr>
              <w:t>100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80"/>
              <w:jc w:val="left"/>
              <w:rPr>
                <w:sz w:val="18"/>
              </w:rPr>
            </w:pPr>
            <w:r>
              <w:rPr>
                <w:sz w:val="18"/>
              </w:rPr>
              <w:t>3510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82"/>
              <w:jc w:val="left"/>
              <w:rPr>
                <w:sz w:val="18"/>
              </w:rPr>
            </w:pPr>
            <w:r>
              <w:rPr>
                <w:sz w:val="18"/>
              </w:rPr>
              <w:t>5710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31" w:right="128"/>
              <w:rPr>
                <w:sz w:val="18"/>
              </w:rPr>
            </w:pPr>
            <w:r>
              <w:rPr>
                <w:sz w:val="18"/>
              </w:rPr>
              <w:t>136</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05" w:right="100"/>
              <w:rPr>
                <w:sz w:val="18"/>
              </w:rPr>
            </w:pPr>
            <w:r>
              <w:rPr>
                <w:sz w:val="18"/>
              </w:rPr>
              <w:t>221</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5" w:right="113"/>
              <w:rPr>
                <w:sz w:val="18"/>
              </w:rPr>
            </w:pPr>
            <w:r>
              <w:rPr>
                <w:sz w:val="18"/>
              </w:rPr>
              <w:t>239000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5" w:right="115"/>
              <w:rPr>
                <w:sz w:val="18"/>
              </w:rPr>
            </w:pPr>
            <w:r>
              <w:rPr>
                <w:sz w:val="18"/>
              </w:rPr>
              <w:t>527000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right="222"/>
              <w:jc w:val="right"/>
              <w:rPr>
                <w:sz w:val="18"/>
              </w:rPr>
            </w:pPr>
            <w:r>
              <w:rPr>
                <w:sz w:val="18"/>
              </w:rPr>
              <w:t>258</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33"/>
              <w:ind w:left="117" w:right="122"/>
              <w:rPr>
                <w:sz w:val="18"/>
              </w:rPr>
            </w:pPr>
            <w:r>
              <w:rPr>
                <w:sz w:val="18"/>
              </w:rPr>
              <w:t>568</w:t>
            </w:r>
          </w:p>
        </w:tc>
      </w:tr>
      <w:tr w:rsidR="00275195">
        <w:trPr>
          <w:trHeight w:val="285"/>
        </w:trPr>
        <w:tc>
          <w:tcPr>
            <w:tcW w:w="1625" w:type="dxa"/>
            <w:vMerge/>
            <w:tcBorders>
              <w:top w:val="nil"/>
              <w:bottom w:val="single" w:sz="2" w:space="0" w:color="000000"/>
              <w:right w:val="single" w:sz="2" w:space="0" w:color="000000"/>
            </w:tcBorders>
          </w:tcPr>
          <w:p w:rsidR="00275195" w:rsidRDefault="00275195">
            <w:pPr>
              <w:rPr>
                <w:sz w:val="2"/>
                <w:szCs w:val="2"/>
              </w:rPr>
            </w:pP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342"/>
              <w:jc w:val="left"/>
              <w:rPr>
                <w:sz w:val="18"/>
              </w:rPr>
            </w:pPr>
            <w:r>
              <w:rPr>
                <w:sz w:val="18"/>
              </w:rPr>
              <w:t>F/7§</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54" w:right="242"/>
              <w:rPr>
                <w:sz w:val="18"/>
              </w:rPr>
            </w:pPr>
            <w:r>
              <w:rPr>
                <w:sz w:val="18"/>
                <w:u w:val="single"/>
              </w:rPr>
              <w:t>100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80"/>
              <w:jc w:val="left"/>
              <w:rPr>
                <w:sz w:val="18"/>
              </w:rPr>
            </w:pPr>
            <w:r>
              <w:rPr>
                <w:sz w:val="18"/>
              </w:rPr>
              <w:t>2880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82"/>
              <w:jc w:val="left"/>
              <w:rPr>
                <w:sz w:val="18"/>
              </w:rPr>
            </w:pPr>
            <w:r>
              <w:rPr>
                <w:sz w:val="18"/>
              </w:rPr>
              <w:t>5550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31" w:right="128"/>
              <w:rPr>
                <w:sz w:val="18"/>
              </w:rPr>
            </w:pPr>
            <w:r>
              <w:rPr>
                <w:sz w:val="18"/>
              </w:rPr>
              <w:t>112</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05" w:right="100"/>
              <w:rPr>
                <w:sz w:val="18"/>
              </w:rPr>
            </w:pPr>
            <w:r>
              <w:rPr>
                <w:sz w:val="18"/>
              </w:rPr>
              <w:t>215</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5" w:right="113"/>
              <w:rPr>
                <w:sz w:val="18"/>
              </w:rPr>
            </w:pPr>
            <w:r>
              <w:rPr>
                <w:sz w:val="18"/>
              </w:rPr>
              <w:t>249000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5" w:right="115"/>
              <w:rPr>
                <w:sz w:val="18"/>
              </w:rPr>
            </w:pPr>
            <w:r>
              <w:rPr>
                <w:sz w:val="18"/>
              </w:rPr>
              <w:t>581000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right="222"/>
              <w:jc w:val="right"/>
              <w:rPr>
                <w:sz w:val="18"/>
              </w:rPr>
            </w:pPr>
            <w:r>
              <w:rPr>
                <w:sz w:val="18"/>
              </w:rPr>
              <w:t>269</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33"/>
              <w:ind w:left="117" w:right="122"/>
              <w:rPr>
                <w:sz w:val="18"/>
              </w:rPr>
            </w:pPr>
            <w:r>
              <w:rPr>
                <w:sz w:val="18"/>
              </w:rPr>
              <w:t>627</w:t>
            </w:r>
          </w:p>
        </w:tc>
      </w:tr>
      <w:tr w:rsidR="00275195">
        <w:trPr>
          <w:trHeight w:val="282"/>
        </w:trPr>
        <w:tc>
          <w:tcPr>
            <w:tcW w:w="1625" w:type="dxa"/>
            <w:vMerge w:val="restart"/>
            <w:tcBorders>
              <w:top w:val="single" w:sz="2" w:space="0" w:color="000000"/>
              <w:right w:val="single" w:sz="2" w:space="0" w:color="000000"/>
            </w:tcBorders>
          </w:tcPr>
          <w:p w:rsidR="00275195" w:rsidRDefault="00275195">
            <w:pPr>
              <w:pStyle w:val="TableParagraph"/>
              <w:jc w:val="left"/>
              <w:rPr>
                <w:b/>
              </w:rPr>
            </w:pPr>
          </w:p>
          <w:p w:rsidR="00275195" w:rsidRDefault="00275195">
            <w:pPr>
              <w:pStyle w:val="TableParagraph"/>
              <w:spacing w:before="7"/>
              <w:jc w:val="left"/>
              <w:rPr>
                <w:b/>
                <w:sz w:val="21"/>
              </w:rPr>
            </w:pPr>
          </w:p>
          <w:p w:rsidR="00275195" w:rsidRDefault="00432668">
            <w:pPr>
              <w:pStyle w:val="TableParagraph"/>
              <w:ind w:left="114" w:right="555"/>
              <w:jc w:val="left"/>
              <w:rPr>
                <w:sz w:val="20"/>
              </w:rPr>
            </w:pPr>
            <w:r>
              <w:rPr>
                <w:sz w:val="20"/>
              </w:rPr>
              <w:t>Monkey/ 13-week, iv</w:t>
            </w:r>
          </w:p>
          <w:p w:rsidR="00275195" w:rsidRDefault="00432668">
            <w:pPr>
              <w:pStyle w:val="TableParagraph"/>
              <w:spacing w:before="39"/>
              <w:ind w:left="114"/>
              <w:jc w:val="left"/>
              <w:rPr>
                <w:sz w:val="20"/>
              </w:rPr>
            </w:pPr>
            <w:r>
              <w:rPr>
                <w:sz w:val="20"/>
              </w:rPr>
              <w:t>(</w:t>
            </w:r>
            <w:r w:rsidR="00C64805">
              <w:rPr>
                <w:sz w:val="20"/>
              </w:rPr>
              <w:t>Project 14</w:t>
            </w:r>
            <w:r>
              <w:rPr>
                <w:sz w:val="20"/>
              </w:rPr>
              <w:t>-TX-0004)</w:t>
            </w: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359"/>
              <w:jc w:val="left"/>
              <w:rPr>
                <w:sz w:val="18"/>
              </w:rPr>
            </w:pPr>
            <w:r>
              <w:rPr>
                <w:sz w:val="18"/>
              </w:rPr>
              <w:t>M/4</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54" w:right="242"/>
              <w:rPr>
                <w:sz w:val="18"/>
              </w:rPr>
            </w:pPr>
            <w:r>
              <w:rPr>
                <w:sz w:val="18"/>
              </w:rPr>
              <w:t>25</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226"/>
              <w:jc w:val="left"/>
              <w:rPr>
                <w:sz w:val="18"/>
              </w:rPr>
            </w:pPr>
            <w:r>
              <w:rPr>
                <w:sz w:val="18"/>
              </w:rPr>
              <w:t>686</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82"/>
              <w:jc w:val="left"/>
              <w:rPr>
                <w:sz w:val="18"/>
              </w:rPr>
            </w:pPr>
            <w:r>
              <w:rPr>
                <w:sz w:val="18"/>
              </w:rPr>
              <w:t>1900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97" w:right="131"/>
              <w:rPr>
                <w:sz w:val="18"/>
              </w:rPr>
            </w:pPr>
            <w:r>
              <w:rPr>
                <w:sz w:val="18"/>
              </w:rPr>
              <w:t>27</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68" w:right="104"/>
              <w:rPr>
                <w:sz w:val="18"/>
              </w:rPr>
            </w:pPr>
            <w:r>
              <w:rPr>
                <w:sz w:val="18"/>
              </w:rPr>
              <w:t>74</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3" w:right="113"/>
              <w:rPr>
                <w:sz w:val="18"/>
              </w:rPr>
            </w:pPr>
            <w:r>
              <w:rPr>
                <w:sz w:val="18"/>
              </w:rPr>
              <w:t>48800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left="115" w:right="115"/>
              <w:rPr>
                <w:sz w:val="18"/>
              </w:rPr>
            </w:pPr>
            <w:r>
              <w:rPr>
                <w:sz w:val="18"/>
              </w:rPr>
              <w:t>198000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3"/>
              <w:ind w:right="268"/>
              <w:jc w:val="right"/>
              <w:rPr>
                <w:sz w:val="18"/>
              </w:rPr>
            </w:pPr>
            <w:r>
              <w:rPr>
                <w:sz w:val="18"/>
              </w:rPr>
              <w:t>53</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33"/>
              <w:ind w:left="117" w:right="122"/>
              <w:rPr>
                <w:sz w:val="18"/>
              </w:rPr>
            </w:pPr>
            <w:r>
              <w:rPr>
                <w:sz w:val="18"/>
              </w:rPr>
              <w:t>214</w:t>
            </w:r>
          </w:p>
        </w:tc>
      </w:tr>
      <w:tr w:rsidR="00275195">
        <w:trPr>
          <w:trHeight w:val="277"/>
        </w:trPr>
        <w:tc>
          <w:tcPr>
            <w:tcW w:w="1625" w:type="dxa"/>
            <w:vMerge/>
            <w:tcBorders>
              <w:top w:val="nil"/>
              <w:right w:val="single" w:sz="2" w:space="0" w:color="000000"/>
            </w:tcBorders>
          </w:tcPr>
          <w:p w:rsidR="00275195" w:rsidRDefault="00275195">
            <w:pPr>
              <w:rPr>
                <w:sz w:val="2"/>
                <w:szCs w:val="2"/>
              </w:rPr>
            </w:pP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388"/>
              <w:jc w:val="left"/>
              <w:rPr>
                <w:sz w:val="18"/>
              </w:rPr>
            </w:pPr>
            <w:r>
              <w:rPr>
                <w:sz w:val="18"/>
              </w:rPr>
              <w:t>F/4</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254" w:right="242"/>
              <w:rPr>
                <w:sz w:val="18"/>
              </w:rPr>
            </w:pPr>
            <w:r>
              <w:rPr>
                <w:sz w:val="18"/>
              </w:rPr>
              <w:t>25</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226"/>
              <w:jc w:val="left"/>
              <w:rPr>
                <w:sz w:val="18"/>
              </w:rPr>
            </w:pPr>
            <w:r>
              <w:rPr>
                <w:sz w:val="18"/>
              </w:rPr>
              <w:t>670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82"/>
              <w:jc w:val="left"/>
              <w:rPr>
                <w:sz w:val="18"/>
              </w:rPr>
            </w:pPr>
            <w:r>
              <w:rPr>
                <w:sz w:val="18"/>
              </w:rPr>
              <w:t>1030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73" w:right="131"/>
              <w:rPr>
                <w:sz w:val="18"/>
              </w:rPr>
            </w:pPr>
            <w:r>
              <w:rPr>
                <w:sz w:val="18"/>
              </w:rPr>
              <w:t>26</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49" w:right="104"/>
              <w:rPr>
                <w:sz w:val="18"/>
              </w:rPr>
            </w:pPr>
            <w:r>
              <w:rPr>
                <w:sz w:val="18"/>
              </w:rPr>
              <w:t>40</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13" w:right="113"/>
              <w:rPr>
                <w:sz w:val="18"/>
              </w:rPr>
            </w:pPr>
            <w:r>
              <w:rPr>
                <w:sz w:val="18"/>
              </w:rPr>
              <w:t>44900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13" w:right="115"/>
              <w:rPr>
                <w:sz w:val="18"/>
              </w:rPr>
            </w:pPr>
            <w:r>
              <w:rPr>
                <w:sz w:val="18"/>
              </w:rPr>
              <w:t>88000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right="268"/>
              <w:jc w:val="right"/>
              <w:rPr>
                <w:sz w:val="18"/>
              </w:rPr>
            </w:pPr>
            <w:r>
              <w:rPr>
                <w:sz w:val="18"/>
              </w:rPr>
              <w:t>48</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28"/>
              <w:ind w:left="117" w:right="122"/>
              <w:rPr>
                <w:sz w:val="18"/>
              </w:rPr>
            </w:pPr>
            <w:r>
              <w:rPr>
                <w:sz w:val="18"/>
              </w:rPr>
              <w:t>95</w:t>
            </w:r>
          </w:p>
        </w:tc>
      </w:tr>
      <w:tr w:rsidR="00275195">
        <w:trPr>
          <w:trHeight w:val="275"/>
        </w:trPr>
        <w:tc>
          <w:tcPr>
            <w:tcW w:w="1625" w:type="dxa"/>
            <w:vMerge/>
            <w:tcBorders>
              <w:top w:val="nil"/>
              <w:right w:val="single" w:sz="2" w:space="0" w:color="000000"/>
            </w:tcBorders>
          </w:tcPr>
          <w:p w:rsidR="00275195" w:rsidRDefault="00275195">
            <w:pPr>
              <w:rPr>
                <w:sz w:val="2"/>
                <w:szCs w:val="2"/>
              </w:rPr>
            </w:pP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359"/>
              <w:jc w:val="left"/>
              <w:rPr>
                <w:sz w:val="18"/>
              </w:rPr>
            </w:pPr>
            <w:r>
              <w:rPr>
                <w:sz w:val="18"/>
              </w:rPr>
              <w:t>M/4</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254" w:right="242"/>
              <w:rPr>
                <w:sz w:val="18"/>
              </w:rPr>
            </w:pPr>
            <w:r>
              <w:rPr>
                <w:sz w:val="18"/>
                <w:u w:val="single"/>
              </w:rPr>
              <w:t>50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80"/>
              <w:jc w:val="left"/>
              <w:rPr>
                <w:sz w:val="18"/>
              </w:rPr>
            </w:pPr>
            <w:r>
              <w:rPr>
                <w:sz w:val="18"/>
              </w:rPr>
              <w:t>1570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82"/>
              <w:jc w:val="left"/>
              <w:rPr>
                <w:sz w:val="18"/>
              </w:rPr>
            </w:pPr>
            <w:r>
              <w:rPr>
                <w:sz w:val="18"/>
              </w:rPr>
              <w:t>4010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97" w:right="131"/>
              <w:rPr>
                <w:sz w:val="18"/>
              </w:rPr>
            </w:pPr>
            <w:r>
              <w:rPr>
                <w:sz w:val="18"/>
              </w:rPr>
              <w:t>61</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68" w:right="104"/>
              <w:rPr>
                <w:sz w:val="18"/>
              </w:rPr>
            </w:pPr>
            <w:r>
              <w:rPr>
                <w:sz w:val="18"/>
              </w:rPr>
              <w:t>155</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15" w:right="113"/>
              <w:rPr>
                <w:sz w:val="18"/>
              </w:rPr>
            </w:pPr>
            <w:r>
              <w:rPr>
                <w:sz w:val="18"/>
              </w:rPr>
              <w:t>109000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15" w:right="115"/>
              <w:rPr>
                <w:sz w:val="18"/>
              </w:rPr>
            </w:pPr>
            <w:r>
              <w:rPr>
                <w:sz w:val="18"/>
              </w:rPr>
              <w:t>437000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right="222"/>
              <w:jc w:val="right"/>
              <w:rPr>
                <w:sz w:val="18"/>
              </w:rPr>
            </w:pPr>
            <w:r>
              <w:rPr>
                <w:sz w:val="18"/>
              </w:rPr>
              <w:t>118</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28"/>
              <w:ind w:left="117" w:right="122"/>
              <w:rPr>
                <w:sz w:val="18"/>
              </w:rPr>
            </w:pPr>
            <w:r>
              <w:rPr>
                <w:sz w:val="18"/>
              </w:rPr>
              <w:t>471</w:t>
            </w:r>
          </w:p>
        </w:tc>
      </w:tr>
      <w:tr w:rsidR="00275195">
        <w:trPr>
          <w:trHeight w:val="277"/>
        </w:trPr>
        <w:tc>
          <w:tcPr>
            <w:tcW w:w="1625" w:type="dxa"/>
            <w:vMerge/>
            <w:tcBorders>
              <w:top w:val="nil"/>
              <w:right w:val="single" w:sz="2" w:space="0" w:color="000000"/>
            </w:tcBorders>
          </w:tcPr>
          <w:p w:rsidR="00275195" w:rsidRDefault="00275195">
            <w:pPr>
              <w:rPr>
                <w:sz w:val="2"/>
                <w:szCs w:val="2"/>
              </w:rPr>
            </w:pP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388"/>
              <w:jc w:val="left"/>
              <w:rPr>
                <w:sz w:val="18"/>
              </w:rPr>
            </w:pPr>
            <w:r>
              <w:rPr>
                <w:sz w:val="18"/>
              </w:rPr>
              <w:t>F/4</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254" w:right="242"/>
              <w:rPr>
                <w:sz w:val="18"/>
              </w:rPr>
            </w:pPr>
            <w:r>
              <w:rPr>
                <w:sz w:val="18"/>
                <w:u w:val="single"/>
              </w:rPr>
              <w:t>50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80"/>
              <w:jc w:val="left"/>
              <w:rPr>
                <w:sz w:val="18"/>
              </w:rPr>
            </w:pPr>
            <w:r>
              <w:rPr>
                <w:sz w:val="18"/>
              </w:rPr>
              <w:t>1450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82"/>
              <w:jc w:val="left"/>
              <w:rPr>
                <w:sz w:val="18"/>
              </w:rPr>
            </w:pPr>
            <w:r>
              <w:rPr>
                <w:sz w:val="18"/>
              </w:rPr>
              <w:t>3180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97" w:right="131"/>
              <w:rPr>
                <w:sz w:val="18"/>
              </w:rPr>
            </w:pPr>
            <w:r>
              <w:rPr>
                <w:sz w:val="18"/>
              </w:rPr>
              <w:t>56</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68" w:right="104"/>
              <w:rPr>
                <w:sz w:val="18"/>
              </w:rPr>
            </w:pPr>
            <w:r>
              <w:rPr>
                <w:sz w:val="18"/>
              </w:rPr>
              <w:t>123</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13" w:right="113"/>
              <w:rPr>
                <w:sz w:val="18"/>
              </w:rPr>
            </w:pPr>
            <w:r>
              <w:rPr>
                <w:sz w:val="18"/>
              </w:rPr>
              <w:t>97300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15" w:right="115"/>
              <w:rPr>
                <w:sz w:val="18"/>
              </w:rPr>
            </w:pPr>
            <w:r>
              <w:rPr>
                <w:sz w:val="18"/>
              </w:rPr>
              <w:t>326000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right="222"/>
              <w:jc w:val="right"/>
              <w:rPr>
                <w:sz w:val="18"/>
              </w:rPr>
            </w:pPr>
            <w:r>
              <w:rPr>
                <w:sz w:val="18"/>
              </w:rPr>
              <w:t>105</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28"/>
              <w:ind w:left="117" w:right="122"/>
              <w:rPr>
                <w:sz w:val="18"/>
              </w:rPr>
            </w:pPr>
            <w:r>
              <w:rPr>
                <w:sz w:val="18"/>
              </w:rPr>
              <w:t>352</w:t>
            </w:r>
          </w:p>
        </w:tc>
      </w:tr>
      <w:tr w:rsidR="00275195">
        <w:trPr>
          <w:trHeight w:val="277"/>
        </w:trPr>
        <w:tc>
          <w:tcPr>
            <w:tcW w:w="1625" w:type="dxa"/>
            <w:vMerge/>
            <w:tcBorders>
              <w:top w:val="nil"/>
              <w:right w:val="single" w:sz="2" w:space="0" w:color="000000"/>
            </w:tcBorders>
          </w:tcPr>
          <w:p w:rsidR="00275195" w:rsidRDefault="00275195">
            <w:pPr>
              <w:rPr>
                <w:sz w:val="2"/>
                <w:szCs w:val="2"/>
              </w:rPr>
            </w:pPr>
          </w:p>
        </w:tc>
        <w:tc>
          <w:tcPr>
            <w:tcW w:w="101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359"/>
              <w:jc w:val="left"/>
              <w:rPr>
                <w:sz w:val="18"/>
              </w:rPr>
            </w:pPr>
            <w:r>
              <w:rPr>
                <w:sz w:val="18"/>
              </w:rPr>
              <w:t>M/7</w:t>
            </w:r>
          </w:p>
        </w:tc>
        <w:tc>
          <w:tcPr>
            <w:tcW w:w="812"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254" w:right="242"/>
              <w:rPr>
                <w:sz w:val="18"/>
              </w:rPr>
            </w:pPr>
            <w:r>
              <w:rPr>
                <w:sz w:val="18"/>
              </w:rPr>
              <w:t>100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80"/>
              <w:jc w:val="left"/>
              <w:rPr>
                <w:sz w:val="18"/>
              </w:rPr>
            </w:pPr>
            <w:r>
              <w:rPr>
                <w:sz w:val="18"/>
              </w:rPr>
              <w:t>4200</w:t>
            </w:r>
          </w:p>
        </w:tc>
        <w:tc>
          <w:tcPr>
            <w:tcW w:w="721"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82"/>
              <w:jc w:val="left"/>
              <w:rPr>
                <w:sz w:val="18"/>
              </w:rPr>
            </w:pPr>
            <w:r>
              <w:rPr>
                <w:sz w:val="18"/>
              </w:rPr>
              <w:t>8300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97" w:right="131"/>
              <w:rPr>
                <w:sz w:val="18"/>
              </w:rPr>
            </w:pPr>
            <w:r>
              <w:rPr>
                <w:sz w:val="18"/>
              </w:rPr>
              <w:t>163</w:t>
            </w:r>
          </w:p>
        </w:tc>
        <w:tc>
          <w:tcPr>
            <w:tcW w:w="63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68" w:right="104"/>
              <w:rPr>
                <w:sz w:val="18"/>
              </w:rPr>
            </w:pPr>
            <w:r>
              <w:rPr>
                <w:sz w:val="18"/>
              </w:rPr>
              <w:t>322</w:t>
            </w:r>
          </w:p>
        </w:tc>
        <w:tc>
          <w:tcPr>
            <w:tcW w:w="813"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15" w:right="113"/>
              <w:rPr>
                <w:sz w:val="18"/>
              </w:rPr>
            </w:pPr>
            <w:r>
              <w:rPr>
                <w:sz w:val="18"/>
              </w:rPr>
              <w:t>370000</w:t>
            </w:r>
          </w:p>
        </w:tc>
        <w:tc>
          <w:tcPr>
            <w:tcW w:w="815"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left="115" w:right="115"/>
              <w:rPr>
                <w:sz w:val="18"/>
              </w:rPr>
            </w:pPr>
            <w:r>
              <w:rPr>
                <w:sz w:val="18"/>
              </w:rPr>
              <w:t>815000</w:t>
            </w:r>
          </w:p>
        </w:tc>
        <w:tc>
          <w:tcPr>
            <w:tcW w:w="719"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28"/>
              <w:ind w:right="222"/>
              <w:jc w:val="right"/>
              <w:rPr>
                <w:sz w:val="18"/>
              </w:rPr>
            </w:pPr>
            <w:r>
              <w:rPr>
                <w:sz w:val="18"/>
              </w:rPr>
              <w:t>399</w:t>
            </w:r>
          </w:p>
        </w:tc>
        <w:tc>
          <w:tcPr>
            <w:tcW w:w="671" w:type="dxa"/>
            <w:tcBorders>
              <w:top w:val="single" w:sz="2" w:space="0" w:color="000000"/>
              <w:left w:val="single" w:sz="2" w:space="0" w:color="000000"/>
              <w:bottom w:val="single" w:sz="2" w:space="0" w:color="000000"/>
            </w:tcBorders>
          </w:tcPr>
          <w:p w:rsidR="00275195" w:rsidRDefault="00432668">
            <w:pPr>
              <w:pStyle w:val="TableParagraph"/>
              <w:spacing w:before="28"/>
              <w:ind w:left="117" w:right="122"/>
              <w:rPr>
                <w:sz w:val="18"/>
              </w:rPr>
            </w:pPr>
            <w:r>
              <w:rPr>
                <w:sz w:val="18"/>
              </w:rPr>
              <w:t>879</w:t>
            </w:r>
          </w:p>
        </w:tc>
      </w:tr>
      <w:tr w:rsidR="00275195">
        <w:trPr>
          <w:trHeight w:val="280"/>
        </w:trPr>
        <w:tc>
          <w:tcPr>
            <w:tcW w:w="1625" w:type="dxa"/>
            <w:vMerge/>
            <w:tcBorders>
              <w:top w:val="nil"/>
              <w:right w:val="single" w:sz="2" w:space="0" w:color="000000"/>
            </w:tcBorders>
          </w:tcPr>
          <w:p w:rsidR="00275195" w:rsidRDefault="00275195">
            <w:pPr>
              <w:rPr>
                <w:sz w:val="2"/>
                <w:szCs w:val="2"/>
              </w:rPr>
            </w:pPr>
          </w:p>
        </w:tc>
        <w:tc>
          <w:tcPr>
            <w:tcW w:w="1011" w:type="dxa"/>
            <w:tcBorders>
              <w:top w:val="single" w:sz="2" w:space="0" w:color="000000"/>
              <w:left w:val="single" w:sz="2" w:space="0" w:color="000000"/>
              <w:right w:val="single" w:sz="2" w:space="0" w:color="000000"/>
            </w:tcBorders>
          </w:tcPr>
          <w:p w:rsidR="00275195" w:rsidRDefault="00432668">
            <w:pPr>
              <w:pStyle w:val="TableParagraph"/>
              <w:spacing w:before="28"/>
              <w:ind w:left="388"/>
              <w:jc w:val="left"/>
              <w:rPr>
                <w:sz w:val="18"/>
              </w:rPr>
            </w:pPr>
            <w:r>
              <w:rPr>
                <w:sz w:val="18"/>
              </w:rPr>
              <w:t>F/7</w:t>
            </w:r>
          </w:p>
        </w:tc>
        <w:tc>
          <w:tcPr>
            <w:tcW w:w="812" w:type="dxa"/>
            <w:tcBorders>
              <w:top w:val="single" w:sz="2" w:space="0" w:color="000000"/>
              <w:left w:val="single" w:sz="2" w:space="0" w:color="000000"/>
              <w:right w:val="single" w:sz="2" w:space="0" w:color="000000"/>
            </w:tcBorders>
          </w:tcPr>
          <w:p w:rsidR="00275195" w:rsidRDefault="00432668">
            <w:pPr>
              <w:pStyle w:val="TableParagraph"/>
              <w:spacing w:before="28"/>
              <w:ind w:left="254" w:right="242"/>
              <w:rPr>
                <w:sz w:val="18"/>
              </w:rPr>
            </w:pPr>
            <w:r>
              <w:rPr>
                <w:sz w:val="18"/>
              </w:rPr>
              <w:t>100</w:t>
            </w:r>
          </w:p>
        </w:tc>
        <w:tc>
          <w:tcPr>
            <w:tcW w:w="721" w:type="dxa"/>
            <w:tcBorders>
              <w:top w:val="single" w:sz="2" w:space="0" w:color="000000"/>
              <w:left w:val="single" w:sz="2" w:space="0" w:color="000000"/>
              <w:right w:val="single" w:sz="2" w:space="0" w:color="000000"/>
            </w:tcBorders>
          </w:tcPr>
          <w:p w:rsidR="00275195" w:rsidRDefault="00432668">
            <w:pPr>
              <w:pStyle w:val="TableParagraph"/>
              <w:spacing w:before="28"/>
              <w:ind w:left="180"/>
              <w:jc w:val="left"/>
              <w:rPr>
                <w:sz w:val="18"/>
              </w:rPr>
            </w:pPr>
            <w:r>
              <w:rPr>
                <w:sz w:val="18"/>
              </w:rPr>
              <w:t>3460</w:t>
            </w:r>
          </w:p>
        </w:tc>
        <w:tc>
          <w:tcPr>
            <w:tcW w:w="721" w:type="dxa"/>
            <w:tcBorders>
              <w:top w:val="single" w:sz="2" w:space="0" w:color="000000"/>
              <w:left w:val="single" w:sz="2" w:space="0" w:color="000000"/>
              <w:right w:val="single" w:sz="2" w:space="0" w:color="000000"/>
            </w:tcBorders>
          </w:tcPr>
          <w:p w:rsidR="00275195" w:rsidRDefault="00432668">
            <w:pPr>
              <w:pStyle w:val="TableParagraph"/>
              <w:spacing w:before="28"/>
              <w:ind w:left="182"/>
              <w:jc w:val="left"/>
              <w:rPr>
                <w:sz w:val="18"/>
              </w:rPr>
            </w:pPr>
            <w:r>
              <w:rPr>
                <w:sz w:val="18"/>
              </w:rPr>
              <w:t>5840</w:t>
            </w:r>
          </w:p>
        </w:tc>
        <w:tc>
          <w:tcPr>
            <w:tcW w:w="719" w:type="dxa"/>
            <w:tcBorders>
              <w:top w:val="single" w:sz="2" w:space="0" w:color="000000"/>
              <w:left w:val="single" w:sz="2" w:space="0" w:color="000000"/>
              <w:right w:val="single" w:sz="2" w:space="0" w:color="000000"/>
            </w:tcBorders>
          </w:tcPr>
          <w:p w:rsidR="00275195" w:rsidRDefault="00432668">
            <w:pPr>
              <w:pStyle w:val="TableParagraph"/>
              <w:spacing w:before="28"/>
              <w:ind w:left="97" w:right="131"/>
              <w:rPr>
                <w:sz w:val="18"/>
              </w:rPr>
            </w:pPr>
            <w:r>
              <w:rPr>
                <w:sz w:val="18"/>
              </w:rPr>
              <w:t>134</w:t>
            </w:r>
          </w:p>
        </w:tc>
        <w:tc>
          <w:tcPr>
            <w:tcW w:w="633" w:type="dxa"/>
            <w:tcBorders>
              <w:top w:val="single" w:sz="2" w:space="0" w:color="000000"/>
              <w:left w:val="single" w:sz="2" w:space="0" w:color="000000"/>
              <w:right w:val="single" w:sz="2" w:space="0" w:color="000000"/>
            </w:tcBorders>
          </w:tcPr>
          <w:p w:rsidR="00275195" w:rsidRDefault="00432668">
            <w:pPr>
              <w:pStyle w:val="TableParagraph"/>
              <w:spacing w:before="28"/>
              <w:ind w:left="68" w:right="104"/>
              <w:rPr>
                <w:sz w:val="18"/>
              </w:rPr>
            </w:pPr>
            <w:r>
              <w:rPr>
                <w:sz w:val="18"/>
              </w:rPr>
              <w:t>226</w:t>
            </w:r>
          </w:p>
        </w:tc>
        <w:tc>
          <w:tcPr>
            <w:tcW w:w="813" w:type="dxa"/>
            <w:tcBorders>
              <w:top w:val="single" w:sz="2" w:space="0" w:color="000000"/>
              <w:left w:val="single" w:sz="2" w:space="0" w:color="000000"/>
              <w:right w:val="single" w:sz="2" w:space="0" w:color="000000"/>
            </w:tcBorders>
          </w:tcPr>
          <w:p w:rsidR="00275195" w:rsidRDefault="00432668">
            <w:pPr>
              <w:pStyle w:val="TableParagraph"/>
              <w:spacing w:before="28"/>
              <w:ind w:left="115" w:right="113"/>
              <w:rPr>
                <w:sz w:val="18"/>
              </w:rPr>
            </w:pPr>
            <w:r>
              <w:rPr>
                <w:sz w:val="18"/>
              </w:rPr>
              <w:t>314000</w:t>
            </w:r>
          </w:p>
        </w:tc>
        <w:tc>
          <w:tcPr>
            <w:tcW w:w="815" w:type="dxa"/>
            <w:tcBorders>
              <w:top w:val="single" w:sz="2" w:space="0" w:color="000000"/>
              <w:left w:val="single" w:sz="2" w:space="0" w:color="000000"/>
              <w:right w:val="single" w:sz="2" w:space="0" w:color="000000"/>
            </w:tcBorders>
          </w:tcPr>
          <w:p w:rsidR="00275195" w:rsidRDefault="00432668">
            <w:pPr>
              <w:pStyle w:val="TableParagraph"/>
              <w:spacing w:before="28"/>
              <w:ind w:left="115" w:right="115"/>
              <w:rPr>
                <w:sz w:val="18"/>
              </w:rPr>
            </w:pPr>
            <w:r>
              <w:rPr>
                <w:sz w:val="18"/>
              </w:rPr>
              <w:t>640000</w:t>
            </w:r>
          </w:p>
        </w:tc>
        <w:tc>
          <w:tcPr>
            <w:tcW w:w="719" w:type="dxa"/>
            <w:tcBorders>
              <w:top w:val="single" w:sz="2" w:space="0" w:color="000000"/>
              <w:left w:val="single" w:sz="2" w:space="0" w:color="000000"/>
              <w:right w:val="single" w:sz="2" w:space="0" w:color="000000"/>
            </w:tcBorders>
          </w:tcPr>
          <w:p w:rsidR="00275195" w:rsidRDefault="00432668">
            <w:pPr>
              <w:pStyle w:val="TableParagraph"/>
              <w:spacing w:before="28"/>
              <w:ind w:right="222"/>
              <w:jc w:val="right"/>
              <w:rPr>
                <w:sz w:val="18"/>
              </w:rPr>
            </w:pPr>
            <w:r>
              <w:rPr>
                <w:sz w:val="18"/>
              </w:rPr>
              <w:t>339</w:t>
            </w:r>
          </w:p>
        </w:tc>
        <w:tc>
          <w:tcPr>
            <w:tcW w:w="671" w:type="dxa"/>
            <w:tcBorders>
              <w:top w:val="single" w:sz="2" w:space="0" w:color="000000"/>
              <w:left w:val="single" w:sz="2" w:space="0" w:color="000000"/>
            </w:tcBorders>
          </w:tcPr>
          <w:p w:rsidR="00275195" w:rsidRDefault="00432668">
            <w:pPr>
              <w:pStyle w:val="TableParagraph"/>
              <w:spacing w:before="28"/>
              <w:ind w:left="117" w:right="122"/>
              <w:rPr>
                <w:sz w:val="18"/>
              </w:rPr>
            </w:pPr>
            <w:r>
              <w:rPr>
                <w:sz w:val="18"/>
              </w:rPr>
              <w:t>690</w:t>
            </w:r>
          </w:p>
        </w:tc>
      </w:tr>
    </w:tbl>
    <w:p w:rsidR="00275195" w:rsidRDefault="00432668">
      <w:pPr>
        <w:spacing w:before="53"/>
        <w:ind w:left="232"/>
        <w:rPr>
          <w:sz w:val="20"/>
        </w:rPr>
      </w:pPr>
      <w:r>
        <w:rPr>
          <w:sz w:val="20"/>
        </w:rPr>
        <w:t>NA: not applicable; NOAEL: no-observed-adverse-effect level</w:t>
      </w:r>
    </w:p>
    <w:p w:rsidR="00275195" w:rsidRDefault="00432668">
      <w:pPr>
        <w:spacing w:before="61"/>
        <w:ind w:left="232"/>
        <w:rPr>
          <w:sz w:val="20"/>
        </w:rPr>
      </w:pPr>
      <w:r>
        <w:rPr>
          <w:sz w:val="20"/>
        </w:rPr>
        <w:lastRenderedPageBreak/>
        <w:t>† The underlined dose represents the NOAEL.</w:t>
      </w:r>
    </w:p>
    <w:p w:rsidR="00275195" w:rsidRDefault="00432668">
      <w:pPr>
        <w:spacing w:before="60"/>
        <w:ind w:left="232" w:right="1687"/>
        <w:rPr>
          <w:sz w:val="20"/>
        </w:rPr>
      </w:pPr>
      <w:r>
        <w:rPr>
          <w:sz w:val="20"/>
        </w:rPr>
        <w:t>‡ The exposure ratios were calculated as (AUC</w:t>
      </w:r>
      <w:r>
        <w:rPr>
          <w:sz w:val="20"/>
          <w:vertAlign w:val="subscript"/>
        </w:rPr>
        <w:t>168</w:t>
      </w:r>
      <w:r>
        <w:rPr>
          <w:sz w:val="20"/>
        </w:rPr>
        <w:t xml:space="preserve"> x 4 [or C</w:t>
      </w:r>
      <w:r>
        <w:rPr>
          <w:sz w:val="20"/>
          <w:vertAlign w:val="subscript"/>
        </w:rPr>
        <w:t>max</w:t>
      </w:r>
      <w:r>
        <w:rPr>
          <w:sz w:val="20"/>
        </w:rPr>
        <w:t>]) / (estimated human systemic exposure level at the efficacious dose).  The estimated human systemic exposure level of C</w:t>
      </w:r>
      <w:r>
        <w:rPr>
          <w:sz w:val="20"/>
          <w:vertAlign w:val="subscript"/>
        </w:rPr>
        <w:t>max</w:t>
      </w:r>
      <w:r>
        <w:rPr>
          <w:sz w:val="20"/>
        </w:rPr>
        <w:t xml:space="preserve"> or AUC</w:t>
      </w:r>
      <w:r>
        <w:rPr>
          <w:sz w:val="20"/>
          <w:vertAlign w:val="subscript"/>
        </w:rPr>
        <w:t>inf</w:t>
      </w:r>
      <w:r>
        <w:rPr>
          <w:sz w:val="20"/>
        </w:rPr>
        <w:t xml:space="preserve"> was 25.8 µg/mL or 3709 µg·h/mL, respectively, at the estimated efficacious dose of 70 mg, which would be needed to maintain</w:t>
      </w:r>
      <w:r>
        <w:rPr>
          <w:spacing w:val="-28"/>
          <w:sz w:val="20"/>
        </w:rPr>
        <w:t xml:space="preserve"> </w:t>
      </w:r>
      <w:r>
        <w:rPr>
          <w:sz w:val="20"/>
        </w:rPr>
        <w:t>the target trough concentration of 1 µg/mL for 28 days [Report</w:t>
      </w:r>
      <w:r>
        <w:rPr>
          <w:spacing w:val="-4"/>
          <w:sz w:val="20"/>
        </w:rPr>
        <w:t xml:space="preserve"> </w:t>
      </w:r>
      <w:r w:rsidR="00C64805">
        <w:rPr>
          <w:sz w:val="20"/>
        </w:rPr>
        <w:t>Project 14</w:t>
      </w:r>
      <w:r>
        <w:rPr>
          <w:sz w:val="20"/>
        </w:rPr>
        <w:t>-ME-9001].</w:t>
      </w:r>
    </w:p>
    <w:p w:rsidR="00275195" w:rsidRDefault="00432668">
      <w:pPr>
        <w:spacing w:before="59"/>
        <w:ind w:left="232"/>
        <w:rPr>
          <w:sz w:val="20"/>
        </w:rPr>
      </w:pPr>
      <w:r>
        <w:rPr>
          <w:sz w:val="20"/>
        </w:rPr>
        <w:t>§ 6 animals on day 22</w:t>
      </w:r>
    </w:p>
    <w:p w:rsidR="00275195" w:rsidRDefault="00432668">
      <w:pPr>
        <w:pStyle w:val="3"/>
        <w:numPr>
          <w:ilvl w:val="2"/>
          <w:numId w:val="11"/>
        </w:numPr>
        <w:tabs>
          <w:tab w:val="left" w:pos="1084"/>
          <w:tab w:val="left" w:pos="1085"/>
        </w:tabs>
        <w:spacing w:before="151"/>
      </w:pPr>
      <w:bookmarkStart w:id="37" w:name="4.4.3_Mortality"/>
      <w:bookmarkStart w:id="38" w:name="_bookmark37"/>
      <w:bookmarkEnd w:id="37"/>
      <w:bookmarkEnd w:id="38"/>
      <w:r>
        <w:t>Mortality</w:t>
      </w:r>
    </w:p>
    <w:p w:rsidR="00275195" w:rsidRDefault="00432668" w:rsidP="00432668">
      <w:pPr>
        <w:pStyle w:val="a3"/>
        <w:spacing w:before="139" w:line="261" w:lineRule="auto"/>
        <w:ind w:right="1703"/>
      </w:pPr>
      <w:r>
        <w:t>There were no drug-related deaths in the nonclinical studies. In the 4-week repeat-dose toxicity study, 1 female monkey at the 100 mg/kg dose level was found dead 5 days after the third dose, and the cause of death was determined as foreign body (vomit) occlusion of the airway. This female showed no abnormalities in clinical signs, body weight or food consumption. On the morning of day 20 (5 days after the third dosing), vomitus was found. At necropsy, the lungs or trachea/bronchus had dark red focus or retention of white foamy fluid, high lung weight and a foreign body in the bronchus lumen. Histologically, the lungs showed inflammatory cell infiltration in the alveoli, congestion and edema. These pathological findings are frequently observed in the lungs following aspiration of foreign objects (vomit) [Araos et al, 2015; Marik, 2001; Raidoo et al, 1990]. No mortality was observed in the 13-week repeat-dose toxicity study. It was indicated at the study site that vomitus occasionally occurs in untreated monkeys. This point coupled with the fact that it occurred well after the peak serum concentration and that there were no indications that the animal was in distress as late as 1 day before it was found dead leads to the conclusion that the death was accidental and unrelated to the test article.</w:t>
      </w:r>
    </w:p>
    <w:p w:rsidR="00275195" w:rsidRDefault="00432668">
      <w:pPr>
        <w:pStyle w:val="3"/>
        <w:numPr>
          <w:ilvl w:val="2"/>
          <w:numId w:val="11"/>
        </w:numPr>
        <w:tabs>
          <w:tab w:val="left" w:pos="1084"/>
          <w:tab w:val="left" w:pos="1085"/>
        </w:tabs>
        <w:spacing w:before="122"/>
      </w:pPr>
      <w:bookmarkStart w:id="39" w:name="4.4.4_Target_Organs_of_Toxicity"/>
      <w:bookmarkStart w:id="40" w:name="_bookmark38"/>
      <w:bookmarkEnd w:id="39"/>
      <w:bookmarkEnd w:id="40"/>
      <w:r>
        <w:t>Target Organs of Toxicity</w:t>
      </w:r>
    </w:p>
    <w:p w:rsidR="00275195" w:rsidRDefault="00432668">
      <w:pPr>
        <w:pStyle w:val="a3"/>
        <w:spacing w:before="139" w:line="261" w:lineRule="auto"/>
        <w:ind w:right="1805"/>
      </w:pPr>
      <w:r>
        <w:t>The primary target organ toxicities identified in the toxicity studies were effects on renal/urinary system (occult blood in the urine) and an immunological (immune) response (perivascular inflammatory cell infiltration in multiple organs as well as inflammatory cell infiltration in the alveoli and bronchioles associated with changes in blood chemistry including high globulin and γ-globulin ratio). Although these findings were observed in the 4-week repeat-dose toxicity study, they were not confirmed in the 13-week repeat-dose toxicity study in cynomolgus monkeys.</w:t>
      </w:r>
    </w:p>
    <w:p w:rsidR="00275195" w:rsidRPr="00576120" w:rsidRDefault="00432668">
      <w:pPr>
        <w:pStyle w:val="3"/>
        <w:spacing w:before="119"/>
        <w:ind w:left="232" w:firstLine="0"/>
        <w:rPr>
          <w:highlight w:val="magenta"/>
        </w:rPr>
      </w:pPr>
      <w:r w:rsidRPr="00576120">
        <w:rPr>
          <w:highlight w:val="magenta"/>
        </w:rPr>
        <w:t>Effects on Renal/Urinary System</w:t>
      </w:r>
    </w:p>
    <w:p w:rsidR="00275195" w:rsidRDefault="00432668">
      <w:pPr>
        <w:pStyle w:val="a3"/>
        <w:spacing w:before="139" w:line="261" w:lineRule="auto"/>
        <w:ind w:right="1634"/>
      </w:pPr>
      <w:r w:rsidRPr="00576120">
        <w:rPr>
          <w:highlight w:val="magenta"/>
        </w:rPr>
        <w:t>In the 4-week repeat-dose toxicity study, occult blood (grade 1 - 3) was observed in urine samples from 3 male cynomolgus monkeys at the 100 mg/kg dose level. This finding was reversible by the end of a 4-week recovery period.</w:t>
      </w:r>
      <w:r>
        <w:t xml:space="preserve"> The mechanism has not been identified; however, these findings were not associated with blood chemistry changes indicative of renal injury or with histopathological changes in either the kidneys or urinary bladder. In addition, the occult blood in the urine occurred at systemic exposures that are estimated to be at least 258-fold higher than the human systemic exposure at the clinically efficacious dose. </w:t>
      </w:r>
      <w:r w:rsidRPr="00576120">
        <w:rPr>
          <w:highlight w:val="magenta"/>
        </w:rPr>
        <w:t>This finding was not reproducible in the 13-week repeat-dose toxicity study</w:t>
      </w:r>
      <w:r>
        <w:t xml:space="preserve"> even though the same dose of </w:t>
      </w:r>
      <w:r w:rsidR="00C64805">
        <w:t>PROJECT 14</w:t>
      </w:r>
      <w:r>
        <w:t xml:space="preserve"> was administered. Based on the lack of reproducibility of the finding at the same dose level with longer treatment times, coupled to the fact that this finding is readily monitorable in clinics, it was concluded that risk for hematuria in humans at dose levels of </w:t>
      </w:r>
      <w:r w:rsidR="00C64805">
        <w:t>PROJECT 14</w:t>
      </w:r>
      <w:r>
        <w:t xml:space="preserve"> to be administered in the clinic was minimal.</w:t>
      </w:r>
    </w:p>
    <w:p w:rsidR="00275195" w:rsidRPr="00576120" w:rsidRDefault="00432668">
      <w:pPr>
        <w:pStyle w:val="3"/>
        <w:spacing w:before="115"/>
        <w:ind w:left="232" w:firstLine="0"/>
        <w:rPr>
          <w:highlight w:val="magenta"/>
        </w:rPr>
      </w:pPr>
      <w:r w:rsidRPr="00576120">
        <w:rPr>
          <w:highlight w:val="magenta"/>
        </w:rPr>
        <w:lastRenderedPageBreak/>
        <w:t>Immunological (Immune) Response</w:t>
      </w:r>
    </w:p>
    <w:p w:rsidR="00275195" w:rsidRDefault="00432668">
      <w:pPr>
        <w:pStyle w:val="a3"/>
        <w:spacing w:before="140" w:line="261" w:lineRule="auto"/>
        <w:ind w:right="1547"/>
      </w:pPr>
      <w:r w:rsidRPr="00576120">
        <w:rPr>
          <w:highlight w:val="magenta"/>
        </w:rPr>
        <w:t>In the 4-week repeat-dose toxicity study, 1 male cynomolgus monkey at the highest dose tested</w:t>
      </w:r>
      <w:r>
        <w:t xml:space="preserve"> (100 mg/kg, at least 258-fold the systemic exposure at the projected clinically efficacious human dose) </w:t>
      </w:r>
      <w:r w:rsidRPr="00576120">
        <w:rPr>
          <w:highlight w:val="magenta"/>
        </w:rPr>
        <w:t>showed very slight to moderate perivascular inflammatory cell infiltration in the heart, submandibular glands, esophagus, stomach, duodenum, ileum, cecum, rectum, urinary bladder, sciatic nerve, femoral skeletal muscle, lungs and pancreas and moderate inflammatory cell infiltration in the alveoli and bronchioles. These histological findings were associated with blood chemistry changes such as low plasma albumin concentration, low percent albumin and low albumin/globulin ratio in addition to high percentages of globulin and γ-globulin.</w:t>
      </w:r>
      <w:r>
        <w:t xml:space="preserve"> These data suggest a generalized, low-grade inflammatory response may have occurred in this animal [Frazier et al, 2015].  The mechanism of these changes has not been identified; however, it was speculated that it</w:t>
      </w:r>
      <w:r>
        <w:rPr>
          <w:spacing w:val="-10"/>
        </w:rPr>
        <w:t xml:space="preserve"> </w:t>
      </w:r>
      <w:r>
        <w:t>may</w:t>
      </w:r>
    </w:p>
    <w:p w:rsidR="00275195" w:rsidRDefault="00432668" w:rsidP="00432668">
      <w:pPr>
        <w:pStyle w:val="a3"/>
        <w:spacing w:line="261" w:lineRule="auto"/>
        <w:ind w:right="1670"/>
      </w:pPr>
      <w:r>
        <w:t xml:space="preserve">be associated with the immunogenic response to this drug in monkeys. The risk of a severe immunogenic response clinically appears unlikely since the finding was not reproducible with increased duration of treatment (absent in the 13-week repeat-dose toxicity study) and it is expected that the human mAb may be less immunogenic in humans. Furthermore, incubating </w:t>
      </w:r>
      <w:r w:rsidR="00C64805">
        <w:t>PROJECT 14</w:t>
      </w:r>
      <w:r>
        <w:t xml:space="preserve"> with human blood did not induce proinflammatory cytokine release suggesting a low risk for a cytokine storm-type reaction clinically. Finally, these histological findings and changes in blood chemistry were noted only at the highest dose tested</w:t>
      </w:r>
    </w:p>
    <w:p w:rsidR="00275195" w:rsidRDefault="00432668">
      <w:pPr>
        <w:pStyle w:val="a3"/>
        <w:spacing w:line="261" w:lineRule="auto"/>
        <w:ind w:right="1683"/>
      </w:pPr>
      <w:r>
        <w:t xml:space="preserve">(100 mg/kg; at least 258-fold the systemic exposure at the projected clinically efficacious human dose), which provides a safety margin for these findings of at least 24-fold. Based on these findings, it is concluded that the risk of a generalized immunology (immune) response to </w:t>
      </w:r>
      <w:r w:rsidR="00C64805">
        <w:t>PROJECT 14</w:t>
      </w:r>
      <w:r>
        <w:t xml:space="preserve"> is low.</w:t>
      </w:r>
    </w:p>
    <w:p w:rsidR="00275195" w:rsidRDefault="00432668">
      <w:pPr>
        <w:pStyle w:val="3"/>
        <w:numPr>
          <w:ilvl w:val="2"/>
          <w:numId w:val="11"/>
        </w:numPr>
        <w:tabs>
          <w:tab w:val="left" w:pos="1084"/>
          <w:tab w:val="left" w:pos="1085"/>
        </w:tabs>
        <w:spacing w:before="119"/>
      </w:pPr>
      <w:bookmarkStart w:id="41" w:name="4.4.5_Conclusions"/>
      <w:bookmarkStart w:id="42" w:name="_bookmark39"/>
      <w:bookmarkEnd w:id="41"/>
      <w:bookmarkEnd w:id="42"/>
      <w:r>
        <w:t>Conclusions</w:t>
      </w:r>
    </w:p>
    <w:p w:rsidR="00275195" w:rsidRDefault="00432668">
      <w:pPr>
        <w:pStyle w:val="a3"/>
        <w:spacing w:before="139" w:line="261" w:lineRule="auto"/>
        <w:ind w:right="1624"/>
      </w:pPr>
      <w:r>
        <w:t>Based on the currently available safety data, it was concluded that there are no observations or findings that preclude further clinical development of this mAb. Anti-</w:t>
      </w:r>
      <w:r w:rsidR="00C64805">
        <w:t>PROJECT 14</w:t>
      </w:r>
      <w:r>
        <w:t xml:space="preserve"> antibody formation was observed in the animal studies [</w:t>
      </w:r>
      <w:hyperlink w:anchor="_bookmark40" w:history="1">
        <w:r>
          <w:t>Table 2</w:t>
        </w:r>
      </w:hyperlink>
      <w:r>
        <w:t>] suggesting that monitoring for possible immunogenic side effects as well as anti-</w:t>
      </w:r>
      <w:r w:rsidR="00C64805">
        <w:t>PROJECT 14</w:t>
      </w:r>
      <w:r>
        <w:t xml:space="preserve"> antibody formation in the clinical studies should be considered.</w:t>
      </w:r>
    </w:p>
    <w:p w:rsidR="00275195" w:rsidRDefault="00432668">
      <w:pPr>
        <w:pStyle w:val="3"/>
        <w:tabs>
          <w:tab w:val="left" w:pos="1651"/>
        </w:tabs>
        <w:spacing w:before="94"/>
        <w:ind w:left="232" w:firstLine="0"/>
      </w:pPr>
      <w:bookmarkStart w:id="43" w:name="_bookmark40"/>
      <w:bookmarkEnd w:id="43"/>
      <w:r>
        <w:t>Table</w:t>
      </w:r>
      <w:r>
        <w:rPr>
          <w:spacing w:val="-1"/>
        </w:rPr>
        <w:t xml:space="preserve"> </w:t>
      </w:r>
      <w:r>
        <w:t>2</w:t>
      </w:r>
      <w:r>
        <w:tab/>
        <w:t>Potential Safety Concern of</w:t>
      </w:r>
      <w:r>
        <w:rPr>
          <w:spacing w:val="-3"/>
        </w:rPr>
        <w:t xml:space="preserve"> </w:t>
      </w:r>
      <w:r w:rsidR="00C64805">
        <w:t>PROJECT 14</w:t>
      </w:r>
    </w:p>
    <w:p w:rsidR="00275195" w:rsidRDefault="00275195">
      <w:pPr>
        <w:pStyle w:val="a3"/>
        <w:spacing w:before="6"/>
        <w:ind w:left="0"/>
        <w:rPr>
          <w:b/>
          <w:sz w:val="5"/>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62"/>
        <w:gridCol w:w="6224"/>
        <w:gridCol w:w="1563"/>
      </w:tblGrid>
      <w:tr w:rsidR="00275195">
        <w:trPr>
          <w:trHeight w:val="539"/>
        </w:trPr>
        <w:tc>
          <w:tcPr>
            <w:tcW w:w="1462" w:type="dxa"/>
            <w:tcBorders>
              <w:bottom w:val="single" w:sz="2" w:space="0" w:color="000000"/>
              <w:right w:val="single" w:sz="2" w:space="0" w:color="000000"/>
            </w:tcBorders>
          </w:tcPr>
          <w:p w:rsidR="00275195" w:rsidRDefault="00432668">
            <w:pPr>
              <w:pStyle w:val="TableParagraph"/>
              <w:spacing w:before="38"/>
              <w:ind w:left="114" w:right="390"/>
              <w:jc w:val="left"/>
              <w:rPr>
                <w:b/>
                <w:sz w:val="20"/>
              </w:rPr>
            </w:pPr>
            <w:r>
              <w:rPr>
                <w:b/>
                <w:sz w:val="20"/>
              </w:rPr>
              <w:t>Key Safety Targets</w:t>
            </w:r>
          </w:p>
        </w:tc>
        <w:tc>
          <w:tcPr>
            <w:tcW w:w="6224" w:type="dxa"/>
            <w:tcBorders>
              <w:left w:val="single" w:sz="2" w:space="0" w:color="000000"/>
              <w:bottom w:val="single" w:sz="2" w:space="0" w:color="000000"/>
              <w:right w:val="single" w:sz="2" w:space="0" w:color="000000"/>
            </w:tcBorders>
          </w:tcPr>
          <w:p w:rsidR="00275195" w:rsidRDefault="00432668">
            <w:pPr>
              <w:pStyle w:val="TableParagraph"/>
              <w:spacing w:before="38"/>
              <w:ind w:left="117"/>
              <w:jc w:val="left"/>
              <w:rPr>
                <w:b/>
                <w:sz w:val="20"/>
              </w:rPr>
            </w:pPr>
            <w:r>
              <w:rPr>
                <w:b/>
                <w:sz w:val="20"/>
              </w:rPr>
              <w:t>Key Observations</w:t>
            </w:r>
          </w:p>
        </w:tc>
        <w:tc>
          <w:tcPr>
            <w:tcW w:w="1563" w:type="dxa"/>
            <w:tcBorders>
              <w:left w:val="single" w:sz="2" w:space="0" w:color="000000"/>
              <w:bottom w:val="single" w:sz="2" w:space="0" w:color="000000"/>
            </w:tcBorders>
          </w:tcPr>
          <w:p w:rsidR="00275195" w:rsidRDefault="00432668">
            <w:pPr>
              <w:pStyle w:val="TableParagraph"/>
              <w:spacing w:before="38"/>
              <w:ind w:left="181" w:right="146" w:firstLine="60"/>
              <w:jc w:val="left"/>
              <w:rPr>
                <w:b/>
                <w:sz w:val="20"/>
              </w:rPr>
            </w:pPr>
            <w:r>
              <w:rPr>
                <w:b/>
                <w:sz w:val="20"/>
              </w:rPr>
              <w:t>Relevance to Human Usage</w:t>
            </w:r>
          </w:p>
        </w:tc>
      </w:tr>
      <w:tr w:rsidR="00275195">
        <w:trPr>
          <w:trHeight w:val="2999"/>
        </w:trPr>
        <w:tc>
          <w:tcPr>
            <w:tcW w:w="1462" w:type="dxa"/>
            <w:tcBorders>
              <w:top w:val="single" w:sz="2" w:space="0" w:color="000000"/>
              <w:bottom w:val="single" w:sz="2" w:space="0" w:color="000000"/>
              <w:right w:val="single" w:sz="2" w:space="0" w:color="000000"/>
            </w:tcBorders>
          </w:tcPr>
          <w:p w:rsidR="00275195" w:rsidRDefault="00432668">
            <w:pPr>
              <w:pStyle w:val="TableParagraph"/>
              <w:spacing w:before="34"/>
              <w:ind w:left="114"/>
              <w:jc w:val="left"/>
              <w:rPr>
                <w:sz w:val="20"/>
              </w:rPr>
            </w:pPr>
            <w:r>
              <w:rPr>
                <w:sz w:val="20"/>
              </w:rPr>
              <w:t>Mortality</w:t>
            </w:r>
          </w:p>
        </w:tc>
        <w:tc>
          <w:tcPr>
            <w:tcW w:w="6224"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4"/>
              <w:ind w:left="117" w:right="260"/>
              <w:jc w:val="left"/>
              <w:rPr>
                <w:sz w:val="20"/>
              </w:rPr>
            </w:pPr>
            <w:r>
              <w:rPr>
                <w:b/>
                <w:sz w:val="20"/>
              </w:rPr>
              <w:t xml:space="preserve">100 mg/kg: </w:t>
            </w:r>
            <w:r>
              <w:rPr>
                <w:sz w:val="20"/>
              </w:rPr>
              <w:t>Mortality was observed in the morning 5 days after the third dose in 1 female cynomolgus monkey; however, the cause of death was considered to be aspiration of vomit and not test article related, based on the following findings:</w:t>
            </w:r>
          </w:p>
          <w:p w:rsidR="00275195" w:rsidRDefault="00432668">
            <w:pPr>
              <w:pStyle w:val="TableParagraph"/>
              <w:numPr>
                <w:ilvl w:val="0"/>
                <w:numId w:val="10"/>
              </w:numPr>
              <w:tabs>
                <w:tab w:val="left" w:pos="460"/>
                <w:tab w:val="left" w:pos="461"/>
              </w:tabs>
              <w:spacing w:before="40"/>
              <w:ind w:right="259" w:hanging="343"/>
              <w:jc w:val="left"/>
              <w:rPr>
                <w:sz w:val="20"/>
              </w:rPr>
            </w:pPr>
            <w:r>
              <w:rPr>
                <w:sz w:val="20"/>
              </w:rPr>
              <w:t>No abnormalities in clinical signs, body weight or food</w:t>
            </w:r>
            <w:r>
              <w:rPr>
                <w:spacing w:val="-20"/>
                <w:sz w:val="20"/>
              </w:rPr>
              <w:t xml:space="preserve"> </w:t>
            </w:r>
            <w:r>
              <w:rPr>
                <w:sz w:val="20"/>
              </w:rPr>
              <w:t>consumption up to the day</w:t>
            </w:r>
            <w:r>
              <w:rPr>
                <w:spacing w:val="-1"/>
                <w:sz w:val="20"/>
              </w:rPr>
              <w:t xml:space="preserve"> </w:t>
            </w:r>
            <w:r>
              <w:rPr>
                <w:sz w:val="20"/>
              </w:rPr>
              <w:t>before</w:t>
            </w:r>
          </w:p>
          <w:p w:rsidR="00275195" w:rsidRDefault="00432668">
            <w:pPr>
              <w:pStyle w:val="TableParagraph"/>
              <w:numPr>
                <w:ilvl w:val="0"/>
                <w:numId w:val="10"/>
              </w:numPr>
              <w:tabs>
                <w:tab w:val="left" w:pos="460"/>
                <w:tab w:val="left" w:pos="461"/>
              </w:tabs>
              <w:spacing w:before="39"/>
              <w:ind w:hanging="343"/>
              <w:jc w:val="left"/>
              <w:rPr>
                <w:sz w:val="20"/>
              </w:rPr>
            </w:pPr>
            <w:r>
              <w:rPr>
                <w:sz w:val="20"/>
              </w:rPr>
              <w:t>Vomitus found on the day of</w:t>
            </w:r>
            <w:r>
              <w:rPr>
                <w:spacing w:val="-2"/>
                <w:sz w:val="20"/>
              </w:rPr>
              <w:t xml:space="preserve"> </w:t>
            </w:r>
            <w:r>
              <w:rPr>
                <w:sz w:val="20"/>
              </w:rPr>
              <w:t>death</w:t>
            </w:r>
          </w:p>
          <w:p w:rsidR="00275195" w:rsidRDefault="00432668">
            <w:pPr>
              <w:pStyle w:val="TableParagraph"/>
              <w:numPr>
                <w:ilvl w:val="0"/>
                <w:numId w:val="10"/>
              </w:numPr>
              <w:tabs>
                <w:tab w:val="left" w:pos="460"/>
                <w:tab w:val="left" w:pos="461"/>
              </w:tabs>
              <w:spacing w:before="41"/>
              <w:ind w:right="265" w:hanging="343"/>
              <w:jc w:val="left"/>
              <w:rPr>
                <w:sz w:val="20"/>
              </w:rPr>
            </w:pPr>
            <w:r>
              <w:rPr>
                <w:sz w:val="20"/>
              </w:rPr>
              <w:t>Dark red focus and retention of white foamy fluid in the trachea/bronchus with increased lung weight and foreign body in</w:t>
            </w:r>
            <w:r>
              <w:rPr>
                <w:spacing w:val="-22"/>
                <w:sz w:val="20"/>
              </w:rPr>
              <w:t xml:space="preserve"> </w:t>
            </w:r>
            <w:r>
              <w:rPr>
                <w:sz w:val="20"/>
              </w:rPr>
              <w:t>the bronchus</w:t>
            </w:r>
            <w:r>
              <w:rPr>
                <w:spacing w:val="-1"/>
                <w:sz w:val="20"/>
              </w:rPr>
              <w:t xml:space="preserve"> </w:t>
            </w:r>
            <w:r>
              <w:rPr>
                <w:sz w:val="20"/>
              </w:rPr>
              <w:t>lumen</w:t>
            </w:r>
          </w:p>
          <w:p w:rsidR="00275195" w:rsidRDefault="00432668">
            <w:pPr>
              <w:pStyle w:val="TableParagraph"/>
              <w:numPr>
                <w:ilvl w:val="0"/>
                <w:numId w:val="10"/>
              </w:numPr>
              <w:tabs>
                <w:tab w:val="left" w:pos="460"/>
                <w:tab w:val="left" w:pos="461"/>
              </w:tabs>
              <w:spacing w:before="40"/>
              <w:ind w:right="234" w:hanging="343"/>
              <w:jc w:val="left"/>
              <w:rPr>
                <w:sz w:val="20"/>
              </w:rPr>
            </w:pPr>
            <w:r>
              <w:rPr>
                <w:sz w:val="20"/>
              </w:rPr>
              <w:t>Inflammatory cell infiltration in the alveoli, congestion and edema in the</w:t>
            </w:r>
            <w:r>
              <w:rPr>
                <w:spacing w:val="-1"/>
                <w:sz w:val="20"/>
              </w:rPr>
              <w:t xml:space="preserve"> </w:t>
            </w:r>
            <w:r>
              <w:rPr>
                <w:sz w:val="20"/>
              </w:rPr>
              <w:t>lungs</w:t>
            </w:r>
          </w:p>
        </w:tc>
        <w:tc>
          <w:tcPr>
            <w:tcW w:w="1563" w:type="dxa"/>
            <w:tcBorders>
              <w:top w:val="single" w:sz="2" w:space="0" w:color="000000"/>
              <w:left w:val="single" w:sz="2" w:space="0" w:color="000000"/>
              <w:bottom w:val="single" w:sz="2" w:space="0" w:color="000000"/>
            </w:tcBorders>
          </w:tcPr>
          <w:p w:rsidR="00275195" w:rsidRDefault="00432668">
            <w:pPr>
              <w:pStyle w:val="TableParagraph"/>
              <w:spacing w:before="34"/>
              <w:ind w:left="429" w:right="416"/>
              <w:rPr>
                <w:sz w:val="20"/>
              </w:rPr>
            </w:pPr>
            <w:r>
              <w:rPr>
                <w:sz w:val="20"/>
              </w:rPr>
              <w:t>None</w:t>
            </w:r>
          </w:p>
        </w:tc>
      </w:tr>
      <w:tr w:rsidR="00275195">
        <w:trPr>
          <w:trHeight w:val="539"/>
        </w:trPr>
        <w:tc>
          <w:tcPr>
            <w:tcW w:w="1462" w:type="dxa"/>
            <w:tcBorders>
              <w:top w:val="single" w:sz="2" w:space="0" w:color="000000"/>
              <w:bottom w:val="single" w:sz="2" w:space="0" w:color="000000"/>
              <w:right w:val="single" w:sz="2" w:space="0" w:color="000000"/>
            </w:tcBorders>
          </w:tcPr>
          <w:p w:rsidR="00275195" w:rsidRDefault="00432668">
            <w:pPr>
              <w:pStyle w:val="TableParagraph"/>
              <w:spacing w:before="34"/>
              <w:ind w:left="114"/>
              <w:jc w:val="left"/>
              <w:rPr>
                <w:sz w:val="20"/>
              </w:rPr>
            </w:pPr>
            <w:r>
              <w:rPr>
                <w:w w:val="95"/>
                <w:sz w:val="20"/>
              </w:rPr>
              <w:t xml:space="preserve">Renal/Urinary </w:t>
            </w:r>
            <w:r>
              <w:rPr>
                <w:sz w:val="20"/>
              </w:rPr>
              <w:t>System</w:t>
            </w:r>
          </w:p>
        </w:tc>
        <w:tc>
          <w:tcPr>
            <w:tcW w:w="6224" w:type="dxa"/>
            <w:tcBorders>
              <w:top w:val="single" w:sz="2" w:space="0" w:color="000000"/>
              <w:left w:val="single" w:sz="2" w:space="0" w:color="000000"/>
              <w:bottom w:val="single" w:sz="2" w:space="0" w:color="000000"/>
              <w:right w:val="single" w:sz="2" w:space="0" w:color="000000"/>
            </w:tcBorders>
          </w:tcPr>
          <w:p w:rsidR="00275195" w:rsidRDefault="00432668">
            <w:pPr>
              <w:pStyle w:val="TableParagraph"/>
              <w:spacing w:before="34"/>
              <w:ind w:left="117"/>
              <w:jc w:val="left"/>
              <w:rPr>
                <w:sz w:val="20"/>
              </w:rPr>
            </w:pPr>
            <w:r>
              <w:rPr>
                <w:b/>
                <w:sz w:val="20"/>
              </w:rPr>
              <w:t xml:space="preserve">100 mg/kg: </w:t>
            </w:r>
            <w:r>
              <w:rPr>
                <w:sz w:val="20"/>
              </w:rPr>
              <w:t>Occult blood in the urine in 3 male cynomolgus monkeys</w:t>
            </w:r>
          </w:p>
        </w:tc>
        <w:tc>
          <w:tcPr>
            <w:tcW w:w="1563" w:type="dxa"/>
            <w:tcBorders>
              <w:top w:val="single" w:sz="2" w:space="0" w:color="000000"/>
              <w:left w:val="single" w:sz="2" w:space="0" w:color="000000"/>
              <w:bottom w:val="single" w:sz="2" w:space="0" w:color="000000"/>
            </w:tcBorders>
          </w:tcPr>
          <w:p w:rsidR="00275195" w:rsidRDefault="00432668">
            <w:pPr>
              <w:pStyle w:val="TableParagraph"/>
              <w:spacing w:before="34"/>
              <w:ind w:left="429" w:right="416"/>
              <w:rPr>
                <w:sz w:val="20"/>
              </w:rPr>
            </w:pPr>
            <w:r>
              <w:rPr>
                <w:sz w:val="20"/>
              </w:rPr>
              <w:t>Possible</w:t>
            </w:r>
          </w:p>
        </w:tc>
      </w:tr>
      <w:tr w:rsidR="00275195">
        <w:trPr>
          <w:trHeight w:val="1847"/>
        </w:trPr>
        <w:tc>
          <w:tcPr>
            <w:tcW w:w="1462" w:type="dxa"/>
            <w:tcBorders>
              <w:top w:val="single" w:sz="2" w:space="0" w:color="000000"/>
              <w:right w:val="single" w:sz="2" w:space="0" w:color="000000"/>
            </w:tcBorders>
          </w:tcPr>
          <w:p w:rsidR="00275195" w:rsidRDefault="00432668">
            <w:pPr>
              <w:pStyle w:val="TableParagraph"/>
              <w:spacing w:before="34"/>
              <w:ind w:left="114"/>
              <w:jc w:val="left"/>
              <w:rPr>
                <w:sz w:val="20"/>
              </w:rPr>
            </w:pPr>
            <w:r>
              <w:rPr>
                <w:w w:val="95"/>
                <w:sz w:val="20"/>
              </w:rPr>
              <w:lastRenderedPageBreak/>
              <w:t xml:space="preserve">Immunological </w:t>
            </w:r>
            <w:r>
              <w:rPr>
                <w:sz w:val="20"/>
              </w:rPr>
              <w:t>(Immune) Response</w:t>
            </w:r>
          </w:p>
        </w:tc>
        <w:tc>
          <w:tcPr>
            <w:tcW w:w="6224" w:type="dxa"/>
            <w:tcBorders>
              <w:top w:val="single" w:sz="2" w:space="0" w:color="000000"/>
              <w:left w:val="single" w:sz="2" w:space="0" w:color="000000"/>
              <w:right w:val="single" w:sz="2" w:space="0" w:color="000000"/>
            </w:tcBorders>
          </w:tcPr>
          <w:p w:rsidR="00275195" w:rsidRDefault="00432668">
            <w:pPr>
              <w:pStyle w:val="TableParagraph"/>
              <w:spacing w:before="34"/>
              <w:ind w:left="117"/>
              <w:jc w:val="left"/>
              <w:rPr>
                <w:sz w:val="20"/>
              </w:rPr>
            </w:pPr>
            <w:r>
              <w:rPr>
                <w:b/>
                <w:sz w:val="20"/>
              </w:rPr>
              <w:t xml:space="preserve">100 mg/kg: </w:t>
            </w:r>
            <w:r>
              <w:rPr>
                <w:sz w:val="20"/>
              </w:rPr>
              <w:t>Findings all reported in 1 male cynomolgus monkey</w:t>
            </w:r>
          </w:p>
          <w:p w:rsidR="00275195" w:rsidRDefault="00432668">
            <w:pPr>
              <w:pStyle w:val="TableParagraph"/>
              <w:numPr>
                <w:ilvl w:val="0"/>
                <w:numId w:val="9"/>
              </w:numPr>
              <w:tabs>
                <w:tab w:val="left" w:pos="460"/>
                <w:tab w:val="left" w:pos="461"/>
              </w:tabs>
              <w:spacing w:before="39"/>
              <w:ind w:hanging="343"/>
              <w:jc w:val="left"/>
              <w:rPr>
                <w:sz w:val="20"/>
              </w:rPr>
            </w:pPr>
            <w:r>
              <w:rPr>
                <w:sz w:val="20"/>
              </w:rPr>
              <w:t>High globulin level and γ-globulin</w:t>
            </w:r>
            <w:r>
              <w:rPr>
                <w:spacing w:val="-2"/>
                <w:sz w:val="20"/>
              </w:rPr>
              <w:t xml:space="preserve"> </w:t>
            </w:r>
            <w:r>
              <w:rPr>
                <w:sz w:val="20"/>
              </w:rPr>
              <w:t>ratio</w:t>
            </w:r>
          </w:p>
          <w:p w:rsidR="00275195" w:rsidRDefault="00432668">
            <w:pPr>
              <w:pStyle w:val="TableParagraph"/>
              <w:numPr>
                <w:ilvl w:val="0"/>
                <w:numId w:val="9"/>
              </w:numPr>
              <w:tabs>
                <w:tab w:val="left" w:pos="460"/>
                <w:tab w:val="left" w:pos="461"/>
              </w:tabs>
              <w:spacing w:before="41"/>
              <w:ind w:right="150" w:hanging="343"/>
              <w:jc w:val="left"/>
              <w:rPr>
                <w:sz w:val="20"/>
              </w:rPr>
            </w:pPr>
            <w:r>
              <w:rPr>
                <w:sz w:val="20"/>
              </w:rPr>
              <w:t>Perivascular inflammatory cell infiltration in the heart,</w:t>
            </w:r>
            <w:r>
              <w:rPr>
                <w:spacing w:val="-20"/>
                <w:sz w:val="20"/>
              </w:rPr>
              <w:t xml:space="preserve"> </w:t>
            </w:r>
            <w:r>
              <w:rPr>
                <w:sz w:val="20"/>
              </w:rPr>
              <w:t>submandibular glands, esophagus, stomach, duodenum, ileum, cecum, rectum, urinary bladder, sciatic nerve, femoral skeletal muscle, lungs and pancreas</w:t>
            </w:r>
          </w:p>
          <w:p w:rsidR="00275195" w:rsidRDefault="00432668">
            <w:pPr>
              <w:pStyle w:val="TableParagraph"/>
              <w:numPr>
                <w:ilvl w:val="0"/>
                <w:numId w:val="9"/>
              </w:numPr>
              <w:tabs>
                <w:tab w:val="left" w:pos="461"/>
              </w:tabs>
              <w:spacing w:before="41"/>
              <w:ind w:hanging="343"/>
              <w:jc w:val="left"/>
              <w:rPr>
                <w:sz w:val="24"/>
              </w:rPr>
            </w:pPr>
            <w:r>
              <w:rPr>
                <w:sz w:val="20"/>
              </w:rPr>
              <w:t>Inflammatory cell infiltration in the alveoli and</w:t>
            </w:r>
            <w:r>
              <w:rPr>
                <w:spacing w:val="-5"/>
                <w:sz w:val="20"/>
              </w:rPr>
              <w:t xml:space="preserve"> </w:t>
            </w:r>
            <w:r>
              <w:rPr>
                <w:sz w:val="20"/>
              </w:rPr>
              <w:t>bronchioles</w:t>
            </w:r>
          </w:p>
        </w:tc>
        <w:tc>
          <w:tcPr>
            <w:tcW w:w="1563" w:type="dxa"/>
            <w:tcBorders>
              <w:top w:val="single" w:sz="2" w:space="0" w:color="000000"/>
              <w:left w:val="single" w:sz="2" w:space="0" w:color="000000"/>
            </w:tcBorders>
          </w:tcPr>
          <w:p w:rsidR="00275195" w:rsidRDefault="00432668">
            <w:pPr>
              <w:pStyle w:val="TableParagraph"/>
              <w:spacing w:before="34"/>
              <w:ind w:left="429" w:right="416"/>
              <w:rPr>
                <w:sz w:val="20"/>
              </w:rPr>
            </w:pPr>
            <w:r>
              <w:rPr>
                <w:sz w:val="20"/>
              </w:rPr>
              <w:t>Possible</w:t>
            </w:r>
          </w:p>
        </w:tc>
      </w:tr>
    </w:tbl>
    <w:p w:rsidR="00275195" w:rsidRDefault="00275195">
      <w:pPr>
        <w:rPr>
          <w:sz w:val="20"/>
        </w:rPr>
        <w:sectPr w:rsidR="00275195">
          <w:headerReference w:type="default" r:id="rId7"/>
          <w:pgSz w:w="12240" w:h="15840"/>
          <w:pgMar w:top="1240" w:right="0" w:bottom="940" w:left="1380" w:header="578" w:footer="748" w:gutter="0"/>
          <w:cols w:space="720"/>
        </w:sectPr>
      </w:pPr>
    </w:p>
    <w:p w:rsidR="00275195" w:rsidRDefault="00275195">
      <w:pPr>
        <w:pStyle w:val="a3"/>
        <w:ind w:left="0"/>
        <w:rPr>
          <w:b/>
          <w:sz w:val="20"/>
        </w:rPr>
      </w:pPr>
    </w:p>
    <w:p w:rsidR="00275195" w:rsidRDefault="00432668">
      <w:pPr>
        <w:spacing w:before="232"/>
        <w:ind w:left="232"/>
        <w:rPr>
          <w:b/>
          <w:sz w:val="24"/>
        </w:rPr>
      </w:pPr>
      <w:r>
        <w:rPr>
          <w:b/>
          <w:sz w:val="24"/>
        </w:rPr>
        <w:t>List of References</w:t>
      </w:r>
    </w:p>
    <w:p w:rsidR="00275195" w:rsidRDefault="00432668">
      <w:pPr>
        <w:spacing w:before="115"/>
        <w:ind w:left="799" w:right="1805" w:hanging="567"/>
      </w:pPr>
      <w:r>
        <w:t>Araos JD, Ayala PS, Meneses M, Contreras R, Cutiño A, Montalva RM, et al. Resolution of lung injury after a single event of aspiration: a model of bilateral instillation of whole gastric fluid. Am J Pathol. 2015;185:2698-708.</w:t>
      </w:r>
    </w:p>
    <w:p w:rsidR="00275195" w:rsidRDefault="00275195">
      <w:pPr>
        <w:pStyle w:val="a3"/>
        <w:spacing w:before="9"/>
        <w:ind w:left="0"/>
        <w:rPr>
          <w:sz w:val="20"/>
        </w:rPr>
      </w:pPr>
    </w:p>
    <w:p w:rsidR="00275195" w:rsidRDefault="00432668">
      <w:pPr>
        <w:ind w:left="799" w:right="2446" w:hanging="567"/>
      </w:pPr>
      <w:r>
        <w:t>Frazier KS, Engelhardt JA, Fant P, Guionaud S, Henry SP, Leach MW, et al. Scientific and Regulatory Policy Committee points-to-consider paper*: drug-induced vascular injury associated with nonsmall molecule therapeutics in preclinical development: part I. biotherapeutics. Toxicol Pathol. 2015;43:915-34.</w:t>
      </w:r>
    </w:p>
    <w:p w:rsidR="00275195" w:rsidRDefault="00275195">
      <w:pPr>
        <w:pStyle w:val="a3"/>
        <w:ind w:left="0"/>
        <w:rPr>
          <w:sz w:val="21"/>
        </w:rPr>
      </w:pPr>
    </w:p>
    <w:p w:rsidR="00275195" w:rsidRDefault="00432668">
      <w:pPr>
        <w:ind w:left="799" w:right="2464" w:hanging="567"/>
      </w:pPr>
      <w:r>
        <w:t>Keizer RJ, Huitema AD, Schellens JH, Beijnen JH. Clinical pharmacokinetics of therapeutic monoclonal antibodies. Clin Pharmacokinet. 2010;49:493-507.</w:t>
      </w:r>
    </w:p>
    <w:p w:rsidR="00275195" w:rsidRDefault="00275195">
      <w:pPr>
        <w:pStyle w:val="a3"/>
        <w:spacing w:before="10"/>
        <w:ind w:left="0"/>
        <w:rPr>
          <w:sz w:val="20"/>
        </w:rPr>
      </w:pPr>
    </w:p>
    <w:p w:rsidR="00275195" w:rsidRDefault="00432668">
      <w:pPr>
        <w:ind w:left="232"/>
      </w:pPr>
      <w:r>
        <w:t>Marik PE. Aspiration pneumonitis and aspiration pneumonia. N Engl J Med. 2001;344:665-71.</w:t>
      </w:r>
    </w:p>
    <w:p w:rsidR="00275195" w:rsidRDefault="00275195">
      <w:pPr>
        <w:pStyle w:val="a3"/>
        <w:spacing w:before="9"/>
        <w:ind w:left="0"/>
        <w:rPr>
          <w:sz w:val="20"/>
        </w:rPr>
      </w:pPr>
    </w:p>
    <w:p w:rsidR="00275195" w:rsidRDefault="00432668" w:rsidP="00432668">
      <w:pPr>
        <w:ind w:left="799" w:right="2135" w:hanging="567"/>
        <w:rPr>
          <w:sz w:val="20"/>
        </w:rPr>
      </w:pPr>
      <w:r>
        <w:t>Raidoo DM, Rocke DA, Brock-Utne JG, Marszalek A, Engelbrecht HE. Critical volume for pulmonary acid aspiration: reappraisal in a primate model. Br J Anaesth. 1990;65:248-50.</w:t>
      </w:r>
    </w:p>
    <w:sectPr w:rsidR="00275195" w:rsidSect="00432668">
      <w:headerReference w:type="default" r:id="rId8"/>
      <w:footerReference w:type="default" r:id="rId9"/>
      <w:pgSz w:w="12240" w:h="15840"/>
      <w:pgMar w:top="1240" w:right="0" w:bottom="940" w:left="1380" w:header="578" w:footer="7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1F73" w:rsidRDefault="00421F73">
      <w:r>
        <w:separator/>
      </w:r>
    </w:p>
  </w:endnote>
  <w:endnote w:type="continuationSeparator" w:id="0">
    <w:p w:rsidR="00421F73" w:rsidRDefault="00421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195" w:rsidRDefault="00275195">
    <w:pPr>
      <w:pStyle w:val="a3"/>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1F73" w:rsidRDefault="00421F73">
      <w:r>
        <w:separator/>
      </w:r>
    </w:p>
  </w:footnote>
  <w:footnote w:type="continuationSeparator" w:id="0">
    <w:p w:rsidR="00421F73" w:rsidRDefault="00421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195" w:rsidRDefault="00275195">
    <w:pPr>
      <w:pStyle w:val="a3"/>
      <w:spacing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195" w:rsidRDefault="00275195">
    <w:pPr>
      <w:pStyle w:val="a3"/>
      <w:spacing w:line="14" w:lineRule="auto"/>
      <w:ind w:left="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91197"/>
    <w:multiLevelType w:val="hybridMultilevel"/>
    <w:tmpl w:val="0F3818C2"/>
    <w:lvl w:ilvl="0" w:tplc="29A28DEA">
      <w:numFmt w:val="bullet"/>
      <w:lvlText w:val="●"/>
      <w:lvlJc w:val="left"/>
      <w:pPr>
        <w:ind w:left="460" w:hanging="344"/>
      </w:pPr>
      <w:rPr>
        <w:rFonts w:hint="default"/>
        <w:w w:val="99"/>
      </w:rPr>
    </w:lvl>
    <w:lvl w:ilvl="1" w:tplc="BB10D68C">
      <w:numFmt w:val="bullet"/>
      <w:lvlText w:val="•"/>
      <w:lvlJc w:val="left"/>
      <w:pPr>
        <w:ind w:left="1035" w:hanging="344"/>
      </w:pPr>
      <w:rPr>
        <w:rFonts w:hint="default"/>
      </w:rPr>
    </w:lvl>
    <w:lvl w:ilvl="2" w:tplc="65ECA0F8">
      <w:numFmt w:val="bullet"/>
      <w:lvlText w:val="•"/>
      <w:lvlJc w:val="left"/>
      <w:pPr>
        <w:ind w:left="1611" w:hanging="344"/>
      </w:pPr>
      <w:rPr>
        <w:rFonts w:hint="default"/>
      </w:rPr>
    </w:lvl>
    <w:lvl w:ilvl="3" w:tplc="F7DA1002">
      <w:numFmt w:val="bullet"/>
      <w:lvlText w:val="•"/>
      <w:lvlJc w:val="left"/>
      <w:pPr>
        <w:ind w:left="2187" w:hanging="344"/>
      </w:pPr>
      <w:rPr>
        <w:rFonts w:hint="default"/>
      </w:rPr>
    </w:lvl>
    <w:lvl w:ilvl="4" w:tplc="7C4CEFA0">
      <w:numFmt w:val="bullet"/>
      <w:lvlText w:val="•"/>
      <w:lvlJc w:val="left"/>
      <w:pPr>
        <w:ind w:left="2763" w:hanging="344"/>
      </w:pPr>
      <w:rPr>
        <w:rFonts w:hint="default"/>
      </w:rPr>
    </w:lvl>
    <w:lvl w:ilvl="5" w:tplc="92729896">
      <w:numFmt w:val="bullet"/>
      <w:lvlText w:val="•"/>
      <w:lvlJc w:val="left"/>
      <w:pPr>
        <w:ind w:left="3339" w:hanging="344"/>
      </w:pPr>
      <w:rPr>
        <w:rFonts w:hint="default"/>
      </w:rPr>
    </w:lvl>
    <w:lvl w:ilvl="6" w:tplc="549EC862">
      <w:numFmt w:val="bullet"/>
      <w:lvlText w:val="•"/>
      <w:lvlJc w:val="left"/>
      <w:pPr>
        <w:ind w:left="3915" w:hanging="344"/>
      </w:pPr>
      <w:rPr>
        <w:rFonts w:hint="default"/>
      </w:rPr>
    </w:lvl>
    <w:lvl w:ilvl="7" w:tplc="FE8E373C">
      <w:numFmt w:val="bullet"/>
      <w:lvlText w:val="•"/>
      <w:lvlJc w:val="left"/>
      <w:pPr>
        <w:ind w:left="4491" w:hanging="344"/>
      </w:pPr>
      <w:rPr>
        <w:rFonts w:hint="default"/>
      </w:rPr>
    </w:lvl>
    <w:lvl w:ilvl="8" w:tplc="860E6B06">
      <w:numFmt w:val="bullet"/>
      <w:lvlText w:val="•"/>
      <w:lvlJc w:val="left"/>
      <w:pPr>
        <w:ind w:left="5067" w:hanging="344"/>
      </w:pPr>
      <w:rPr>
        <w:rFonts w:hint="default"/>
      </w:rPr>
    </w:lvl>
  </w:abstractNum>
  <w:abstractNum w:abstractNumId="1" w15:restartNumberingAfterBreak="0">
    <w:nsid w:val="122672DC"/>
    <w:multiLevelType w:val="multilevel"/>
    <w:tmpl w:val="AAFE45E4"/>
    <w:lvl w:ilvl="0">
      <w:start w:val="5"/>
      <w:numFmt w:val="decimal"/>
      <w:lvlText w:val="%1"/>
      <w:lvlJc w:val="left"/>
      <w:pPr>
        <w:ind w:left="1084" w:hanging="852"/>
        <w:jc w:val="left"/>
      </w:pPr>
      <w:rPr>
        <w:rFonts w:hint="default"/>
      </w:rPr>
    </w:lvl>
    <w:lvl w:ilvl="1">
      <w:start w:val="2"/>
      <w:numFmt w:val="decimal"/>
      <w:lvlText w:val="%1.%2"/>
      <w:lvlJc w:val="left"/>
      <w:pPr>
        <w:ind w:left="1084" w:hanging="852"/>
        <w:jc w:val="left"/>
      </w:pPr>
      <w:rPr>
        <w:rFonts w:hint="default"/>
      </w:rPr>
    </w:lvl>
    <w:lvl w:ilvl="2">
      <w:start w:val="1"/>
      <w:numFmt w:val="decimal"/>
      <w:lvlText w:val="%1.%2.%3"/>
      <w:lvlJc w:val="left"/>
      <w:pPr>
        <w:ind w:left="1084"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2" w15:restartNumberingAfterBreak="0">
    <w:nsid w:val="12306CFE"/>
    <w:multiLevelType w:val="multilevel"/>
    <w:tmpl w:val="AF107212"/>
    <w:lvl w:ilvl="0">
      <w:start w:val="4"/>
      <w:numFmt w:val="decimal"/>
      <w:lvlText w:val="%1"/>
      <w:lvlJc w:val="left"/>
      <w:pPr>
        <w:ind w:left="1365" w:hanging="1133"/>
        <w:jc w:val="left"/>
      </w:pPr>
      <w:rPr>
        <w:rFonts w:hint="default"/>
      </w:rPr>
    </w:lvl>
    <w:lvl w:ilvl="1">
      <w:start w:val="1"/>
      <w:numFmt w:val="decimal"/>
      <w:lvlText w:val="%1.%2"/>
      <w:lvlJc w:val="left"/>
      <w:pPr>
        <w:ind w:left="1365" w:hanging="1133"/>
        <w:jc w:val="left"/>
      </w:pPr>
      <w:rPr>
        <w:rFonts w:hint="default"/>
      </w:rPr>
    </w:lvl>
    <w:lvl w:ilvl="2">
      <w:start w:val="1"/>
      <w:numFmt w:val="decimal"/>
      <w:lvlText w:val="%1.%2.%3"/>
      <w:lvlJc w:val="left"/>
      <w:pPr>
        <w:ind w:left="1365" w:hanging="1133"/>
        <w:jc w:val="left"/>
      </w:pPr>
      <w:rPr>
        <w:rFonts w:hint="default"/>
      </w:rPr>
    </w:lvl>
    <w:lvl w:ilvl="3">
      <w:start w:val="1"/>
      <w:numFmt w:val="decimal"/>
      <w:lvlText w:val="%1.%2.%3.%4"/>
      <w:lvlJc w:val="left"/>
      <w:pPr>
        <w:ind w:left="1365" w:hanging="1133"/>
        <w:jc w:val="left"/>
      </w:pPr>
      <w:rPr>
        <w:rFonts w:hint="default"/>
      </w:rPr>
    </w:lvl>
    <w:lvl w:ilvl="4">
      <w:start w:val="4"/>
      <w:numFmt w:val="decimal"/>
      <w:lvlText w:val="%1.%2.%3.%4.%5"/>
      <w:lvlJc w:val="left"/>
      <w:pPr>
        <w:ind w:left="1365" w:hanging="1133"/>
        <w:jc w:val="left"/>
      </w:pPr>
      <w:rPr>
        <w:rFonts w:ascii="Times New Roman" w:eastAsia="Times New Roman" w:hAnsi="Times New Roman" w:cs="Times New Roman" w:hint="default"/>
        <w:b/>
        <w:bCs/>
        <w:spacing w:val="-2"/>
        <w:w w:val="100"/>
        <w:sz w:val="24"/>
        <w:szCs w:val="24"/>
      </w:rPr>
    </w:lvl>
    <w:lvl w:ilvl="5">
      <w:numFmt w:val="bullet"/>
      <w:lvlText w:val="•"/>
      <w:lvlJc w:val="left"/>
      <w:pPr>
        <w:ind w:left="6110" w:hanging="1133"/>
      </w:pPr>
      <w:rPr>
        <w:rFonts w:hint="default"/>
      </w:rPr>
    </w:lvl>
    <w:lvl w:ilvl="6">
      <w:numFmt w:val="bullet"/>
      <w:lvlText w:val="•"/>
      <w:lvlJc w:val="left"/>
      <w:pPr>
        <w:ind w:left="7060" w:hanging="1133"/>
      </w:pPr>
      <w:rPr>
        <w:rFonts w:hint="default"/>
      </w:rPr>
    </w:lvl>
    <w:lvl w:ilvl="7">
      <w:numFmt w:val="bullet"/>
      <w:lvlText w:val="•"/>
      <w:lvlJc w:val="left"/>
      <w:pPr>
        <w:ind w:left="8010" w:hanging="1133"/>
      </w:pPr>
      <w:rPr>
        <w:rFonts w:hint="default"/>
      </w:rPr>
    </w:lvl>
    <w:lvl w:ilvl="8">
      <w:numFmt w:val="bullet"/>
      <w:lvlText w:val="•"/>
      <w:lvlJc w:val="left"/>
      <w:pPr>
        <w:ind w:left="8960" w:hanging="1133"/>
      </w:pPr>
      <w:rPr>
        <w:rFonts w:hint="default"/>
      </w:rPr>
    </w:lvl>
  </w:abstractNum>
  <w:abstractNum w:abstractNumId="3" w15:restartNumberingAfterBreak="0">
    <w:nsid w:val="180A7A44"/>
    <w:multiLevelType w:val="hybridMultilevel"/>
    <w:tmpl w:val="8C7C12FC"/>
    <w:lvl w:ilvl="0" w:tplc="A9AE2896">
      <w:numFmt w:val="bullet"/>
      <w:lvlText w:val="●"/>
      <w:lvlJc w:val="left"/>
      <w:pPr>
        <w:ind w:left="460" w:hanging="344"/>
      </w:pPr>
      <w:rPr>
        <w:rFonts w:ascii="Times New Roman" w:eastAsia="Times New Roman" w:hAnsi="Times New Roman" w:cs="Times New Roman" w:hint="default"/>
        <w:w w:val="99"/>
        <w:sz w:val="20"/>
        <w:szCs w:val="20"/>
      </w:rPr>
    </w:lvl>
    <w:lvl w:ilvl="1" w:tplc="8C5E5C14">
      <w:numFmt w:val="bullet"/>
      <w:lvlText w:val="•"/>
      <w:lvlJc w:val="left"/>
      <w:pPr>
        <w:ind w:left="1035" w:hanging="344"/>
      </w:pPr>
      <w:rPr>
        <w:rFonts w:hint="default"/>
      </w:rPr>
    </w:lvl>
    <w:lvl w:ilvl="2" w:tplc="D8EA2778">
      <w:numFmt w:val="bullet"/>
      <w:lvlText w:val="•"/>
      <w:lvlJc w:val="left"/>
      <w:pPr>
        <w:ind w:left="1611" w:hanging="344"/>
      </w:pPr>
      <w:rPr>
        <w:rFonts w:hint="default"/>
      </w:rPr>
    </w:lvl>
    <w:lvl w:ilvl="3" w:tplc="74BE313C">
      <w:numFmt w:val="bullet"/>
      <w:lvlText w:val="•"/>
      <w:lvlJc w:val="left"/>
      <w:pPr>
        <w:ind w:left="2187" w:hanging="344"/>
      </w:pPr>
      <w:rPr>
        <w:rFonts w:hint="default"/>
      </w:rPr>
    </w:lvl>
    <w:lvl w:ilvl="4" w:tplc="1E38B91C">
      <w:numFmt w:val="bullet"/>
      <w:lvlText w:val="•"/>
      <w:lvlJc w:val="left"/>
      <w:pPr>
        <w:ind w:left="2763" w:hanging="344"/>
      </w:pPr>
      <w:rPr>
        <w:rFonts w:hint="default"/>
      </w:rPr>
    </w:lvl>
    <w:lvl w:ilvl="5" w:tplc="E4703224">
      <w:numFmt w:val="bullet"/>
      <w:lvlText w:val="•"/>
      <w:lvlJc w:val="left"/>
      <w:pPr>
        <w:ind w:left="3339" w:hanging="344"/>
      </w:pPr>
      <w:rPr>
        <w:rFonts w:hint="default"/>
      </w:rPr>
    </w:lvl>
    <w:lvl w:ilvl="6" w:tplc="E20EF47E">
      <w:numFmt w:val="bullet"/>
      <w:lvlText w:val="•"/>
      <w:lvlJc w:val="left"/>
      <w:pPr>
        <w:ind w:left="3915" w:hanging="344"/>
      </w:pPr>
      <w:rPr>
        <w:rFonts w:hint="default"/>
      </w:rPr>
    </w:lvl>
    <w:lvl w:ilvl="7" w:tplc="3E523280">
      <w:numFmt w:val="bullet"/>
      <w:lvlText w:val="•"/>
      <w:lvlJc w:val="left"/>
      <w:pPr>
        <w:ind w:left="4491" w:hanging="344"/>
      </w:pPr>
      <w:rPr>
        <w:rFonts w:hint="default"/>
      </w:rPr>
    </w:lvl>
    <w:lvl w:ilvl="8" w:tplc="C1AC8F02">
      <w:numFmt w:val="bullet"/>
      <w:lvlText w:val="•"/>
      <w:lvlJc w:val="left"/>
      <w:pPr>
        <w:ind w:left="5067" w:hanging="344"/>
      </w:pPr>
      <w:rPr>
        <w:rFonts w:hint="default"/>
      </w:rPr>
    </w:lvl>
  </w:abstractNum>
  <w:abstractNum w:abstractNumId="4" w15:restartNumberingAfterBreak="0">
    <w:nsid w:val="187625B8"/>
    <w:multiLevelType w:val="multilevel"/>
    <w:tmpl w:val="C1020758"/>
    <w:lvl w:ilvl="0">
      <w:start w:val="1"/>
      <w:numFmt w:val="decimal"/>
      <w:lvlText w:val="%1"/>
      <w:lvlJc w:val="left"/>
      <w:pPr>
        <w:ind w:left="1076" w:hanging="850"/>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78"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78"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5406" w:hanging="852"/>
      </w:pPr>
      <w:rPr>
        <w:rFonts w:hint="default"/>
      </w:rPr>
    </w:lvl>
    <w:lvl w:ilvl="4">
      <w:numFmt w:val="bullet"/>
      <w:lvlText w:val="•"/>
      <w:lvlJc w:val="left"/>
      <w:pPr>
        <w:ind w:left="6848" w:hanging="852"/>
      </w:pPr>
      <w:rPr>
        <w:rFonts w:hint="default"/>
      </w:rPr>
    </w:lvl>
    <w:lvl w:ilvl="5">
      <w:numFmt w:val="bullet"/>
      <w:lvlText w:val="•"/>
      <w:lvlJc w:val="left"/>
      <w:pPr>
        <w:ind w:left="8290" w:hanging="852"/>
      </w:pPr>
      <w:rPr>
        <w:rFonts w:hint="default"/>
      </w:rPr>
    </w:lvl>
    <w:lvl w:ilvl="6">
      <w:numFmt w:val="bullet"/>
      <w:lvlText w:val="•"/>
      <w:lvlJc w:val="left"/>
      <w:pPr>
        <w:ind w:left="9732" w:hanging="852"/>
      </w:pPr>
      <w:rPr>
        <w:rFonts w:hint="default"/>
      </w:rPr>
    </w:lvl>
    <w:lvl w:ilvl="7">
      <w:numFmt w:val="bullet"/>
      <w:lvlText w:val="•"/>
      <w:lvlJc w:val="left"/>
      <w:pPr>
        <w:ind w:left="11174" w:hanging="852"/>
      </w:pPr>
      <w:rPr>
        <w:rFonts w:hint="default"/>
      </w:rPr>
    </w:lvl>
    <w:lvl w:ilvl="8">
      <w:numFmt w:val="bullet"/>
      <w:lvlText w:val="•"/>
      <w:lvlJc w:val="left"/>
      <w:pPr>
        <w:ind w:left="12616" w:hanging="852"/>
      </w:pPr>
      <w:rPr>
        <w:rFonts w:hint="default"/>
      </w:rPr>
    </w:lvl>
  </w:abstractNum>
  <w:abstractNum w:abstractNumId="5" w15:restartNumberingAfterBreak="0">
    <w:nsid w:val="22F83656"/>
    <w:multiLevelType w:val="hybridMultilevel"/>
    <w:tmpl w:val="A15484DE"/>
    <w:lvl w:ilvl="0" w:tplc="CD8CF91C">
      <w:start w:val="1"/>
      <w:numFmt w:val="decimal"/>
      <w:lvlText w:val="%1"/>
      <w:lvlJc w:val="left"/>
      <w:pPr>
        <w:ind w:left="1084" w:hanging="852"/>
        <w:jc w:val="left"/>
      </w:pPr>
      <w:rPr>
        <w:rFonts w:ascii="Times New Roman" w:eastAsia="Times New Roman" w:hAnsi="Times New Roman" w:cs="Times New Roman" w:hint="default"/>
        <w:b/>
        <w:bCs/>
        <w:w w:val="100"/>
        <w:sz w:val="28"/>
        <w:szCs w:val="28"/>
      </w:rPr>
    </w:lvl>
    <w:lvl w:ilvl="1" w:tplc="62000EE6">
      <w:numFmt w:val="bullet"/>
      <w:lvlText w:val="•"/>
      <w:lvlJc w:val="left"/>
      <w:pPr>
        <w:ind w:left="1360" w:hanging="852"/>
      </w:pPr>
      <w:rPr>
        <w:rFonts w:hint="default"/>
      </w:rPr>
    </w:lvl>
    <w:lvl w:ilvl="2" w:tplc="CE74AD1C">
      <w:numFmt w:val="bullet"/>
      <w:lvlText w:val="•"/>
      <w:lvlJc w:val="left"/>
      <w:pPr>
        <w:ind w:left="3020" w:hanging="852"/>
      </w:pPr>
      <w:rPr>
        <w:rFonts w:hint="default"/>
      </w:rPr>
    </w:lvl>
    <w:lvl w:ilvl="3" w:tplc="B4304D74">
      <w:numFmt w:val="bullet"/>
      <w:lvlText w:val="•"/>
      <w:lvlJc w:val="left"/>
      <w:pPr>
        <w:ind w:left="4000" w:hanging="852"/>
      </w:pPr>
      <w:rPr>
        <w:rFonts w:hint="default"/>
      </w:rPr>
    </w:lvl>
    <w:lvl w:ilvl="4" w:tplc="AFF24DEA">
      <w:numFmt w:val="bullet"/>
      <w:lvlText w:val="•"/>
      <w:lvlJc w:val="left"/>
      <w:pPr>
        <w:ind w:left="4980" w:hanging="852"/>
      </w:pPr>
      <w:rPr>
        <w:rFonts w:hint="default"/>
      </w:rPr>
    </w:lvl>
    <w:lvl w:ilvl="5" w:tplc="95BE2400">
      <w:numFmt w:val="bullet"/>
      <w:lvlText w:val="•"/>
      <w:lvlJc w:val="left"/>
      <w:pPr>
        <w:ind w:left="5960" w:hanging="852"/>
      </w:pPr>
      <w:rPr>
        <w:rFonts w:hint="default"/>
      </w:rPr>
    </w:lvl>
    <w:lvl w:ilvl="6" w:tplc="943C2A7C">
      <w:numFmt w:val="bullet"/>
      <w:lvlText w:val="•"/>
      <w:lvlJc w:val="left"/>
      <w:pPr>
        <w:ind w:left="6940" w:hanging="852"/>
      </w:pPr>
      <w:rPr>
        <w:rFonts w:hint="default"/>
      </w:rPr>
    </w:lvl>
    <w:lvl w:ilvl="7" w:tplc="63DC527A">
      <w:numFmt w:val="bullet"/>
      <w:lvlText w:val="•"/>
      <w:lvlJc w:val="left"/>
      <w:pPr>
        <w:ind w:left="7920" w:hanging="852"/>
      </w:pPr>
      <w:rPr>
        <w:rFonts w:hint="default"/>
      </w:rPr>
    </w:lvl>
    <w:lvl w:ilvl="8" w:tplc="A0208562">
      <w:numFmt w:val="bullet"/>
      <w:lvlText w:val="•"/>
      <w:lvlJc w:val="left"/>
      <w:pPr>
        <w:ind w:left="8900" w:hanging="852"/>
      </w:pPr>
      <w:rPr>
        <w:rFonts w:hint="default"/>
      </w:rPr>
    </w:lvl>
  </w:abstractNum>
  <w:abstractNum w:abstractNumId="6" w15:restartNumberingAfterBreak="0">
    <w:nsid w:val="29F90162"/>
    <w:multiLevelType w:val="multilevel"/>
    <w:tmpl w:val="FC724DF6"/>
    <w:lvl w:ilvl="0">
      <w:start w:val="4"/>
      <w:numFmt w:val="decimal"/>
      <w:lvlText w:val="%1"/>
      <w:lvlJc w:val="left"/>
      <w:pPr>
        <w:ind w:left="1359" w:hanging="850"/>
        <w:jc w:val="left"/>
      </w:pPr>
      <w:rPr>
        <w:rFonts w:hint="default"/>
      </w:rPr>
    </w:lvl>
    <w:lvl w:ilvl="1">
      <w:start w:val="1"/>
      <w:numFmt w:val="decimal"/>
      <w:lvlText w:val="%1.%2"/>
      <w:lvlJc w:val="left"/>
      <w:pPr>
        <w:ind w:left="1359" w:hanging="850"/>
        <w:jc w:val="left"/>
      </w:pPr>
      <w:rPr>
        <w:rFonts w:ascii="Times New Roman" w:eastAsia="Times New Roman" w:hAnsi="Times New Roman" w:cs="Times New Roman" w:hint="default"/>
        <w:w w:val="100"/>
        <w:sz w:val="22"/>
        <w:szCs w:val="22"/>
      </w:rPr>
    </w:lvl>
    <w:lvl w:ilvl="2">
      <w:numFmt w:val="bullet"/>
      <w:lvlText w:val="•"/>
      <w:lvlJc w:val="left"/>
      <w:pPr>
        <w:ind w:left="4188" w:hanging="850"/>
      </w:pPr>
      <w:rPr>
        <w:rFonts w:hint="default"/>
      </w:rPr>
    </w:lvl>
    <w:lvl w:ilvl="3">
      <w:numFmt w:val="bullet"/>
      <w:lvlText w:val="•"/>
      <w:lvlJc w:val="left"/>
      <w:pPr>
        <w:ind w:left="5602" w:hanging="850"/>
      </w:pPr>
      <w:rPr>
        <w:rFonts w:hint="default"/>
      </w:rPr>
    </w:lvl>
    <w:lvl w:ilvl="4">
      <w:numFmt w:val="bullet"/>
      <w:lvlText w:val="•"/>
      <w:lvlJc w:val="left"/>
      <w:pPr>
        <w:ind w:left="7016" w:hanging="850"/>
      </w:pPr>
      <w:rPr>
        <w:rFonts w:hint="default"/>
      </w:rPr>
    </w:lvl>
    <w:lvl w:ilvl="5">
      <w:numFmt w:val="bullet"/>
      <w:lvlText w:val="•"/>
      <w:lvlJc w:val="left"/>
      <w:pPr>
        <w:ind w:left="8430" w:hanging="850"/>
      </w:pPr>
      <w:rPr>
        <w:rFonts w:hint="default"/>
      </w:rPr>
    </w:lvl>
    <w:lvl w:ilvl="6">
      <w:numFmt w:val="bullet"/>
      <w:lvlText w:val="•"/>
      <w:lvlJc w:val="left"/>
      <w:pPr>
        <w:ind w:left="9844" w:hanging="850"/>
      </w:pPr>
      <w:rPr>
        <w:rFonts w:hint="default"/>
      </w:rPr>
    </w:lvl>
    <w:lvl w:ilvl="7">
      <w:numFmt w:val="bullet"/>
      <w:lvlText w:val="•"/>
      <w:lvlJc w:val="left"/>
      <w:pPr>
        <w:ind w:left="11258" w:hanging="850"/>
      </w:pPr>
      <w:rPr>
        <w:rFonts w:hint="default"/>
      </w:rPr>
    </w:lvl>
    <w:lvl w:ilvl="8">
      <w:numFmt w:val="bullet"/>
      <w:lvlText w:val="•"/>
      <w:lvlJc w:val="left"/>
      <w:pPr>
        <w:ind w:left="12672" w:hanging="850"/>
      </w:pPr>
      <w:rPr>
        <w:rFonts w:hint="default"/>
      </w:rPr>
    </w:lvl>
  </w:abstractNum>
  <w:abstractNum w:abstractNumId="7" w15:restartNumberingAfterBreak="0">
    <w:nsid w:val="2DEA2155"/>
    <w:multiLevelType w:val="multilevel"/>
    <w:tmpl w:val="7ACA0FF4"/>
    <w:lvl w:ilvl="0">
      <w:start w:val="4"/>
      <w:numFmt w:val="decimal"/>
      <w:lvlText w:val="%1"/>
      <w:lvlJc w:val="left"/>
      <w:pPr>
        <w:ind w:left="1084" w:hanging="852"/>
      </w:pPr>
      <w:rPr>
        <w:rFonts w:hint="default"/>
      </w:rPr>
    </w:lvl>
    <w:lvl w:ilvl="1">
      <w:start w:val="3"/>
      <w:numFmt w:val="decimal"/>
      <w:lvlText w:val="%1.%2"/>
      <w:lvlJc w:val="left"/>
      <w:pPr>
        <w:ind w:left="1084" w:hanging="852"/>
      </w:pPr>
      <w:rPr>
        <w:rFonts w:hint="default"/>
      </w:rPr>
    </w:lvl>
    <w:lvl w:ilvl="2">
      <w:start w:val="1"/>
      <w:numFmt w:val="decimal"/>
      <w:lvlText w:val="%1.%2.%3"/>
      <w:lvlJc w:val="left"/>
      <w:pPr>
        <w:ind w:left="1084" w:hanging="852"/>
      </w:pPr>
      <w:rPr>
        <w:rFonts w:ascii="Times New Roman" w:eastAsia="ＭＳ 明朝" w:hAnsi="Times New Roman" w:cs="Times New Roman" w:hint="default"/>
        <w:b/>
        <w:bCs/>
        <w:w w:val="100"/>
        <w:sz w:val="24"/>
        <w:szCs w:val="24"/>
      </w:rPr>
    </w:lvl>
    <w:lvl w:ilvl="3">
      <w:start w:val="1"/>
      <w:numFmt w:val="decimal"/>
      <w:lvlText w:val="%1.%2.%3.%4"/>
      <w:lvlJc w:val="left"/>
      <w:pPr>
        <w:ind w:left="1084" w:hanging="852"/>
      </w:pPr>
      <w:rPr>
        <w:rFonts w:ascii="Times New Roman" w:eastAsia="ＭＳ 明朝" w:hAnsi="Times New Roman" w:cs="Times New Roman" w:hint="default"/>
        <w:b/>
        <w:bCs/>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8" w15:restartNumberingAfterBreak="0">
    <w:nsid w:val="32C60092"/>
    <w:multiLevelType w:val="multilevel"/>
    <w:tmpl w:val="E438DEE8"/>
    <w:lvl w:ilvl="0">
      <w:start w:val="3"/>
      <w:numFmt w:val="decimal"/>
      <w:lvlText w:val="%1"/>
      <w:lvlJc w:val="left"/>
      <w:pPr>
        <w:ind w:left="1359" w:hanging="850"/>
        <w:jc w:val="right"/>
      </w:pPr>
      <w:rPr>
        <w:rFonts w:hint="default"/>
      </w:rPr>
    </w:lvl>
    <w:lvl w:ilvl="1">
      <w:start w:val="2"/>
      <w:numFmt w:val="decimal"/>
      <w:lvlText w:val="%1.%2"/>
      <w:lvlJc w:val="left"/>
      <w:pPr>
        <w:ind w:left="1359"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86" w:hanging="994"/>
        <w:jc w:val="left"/>
      </w:pPr>
      <w:rPr>
        <w:rFonts w:ascii="Times New Roman" w:eastAsia="Times New Roman" w:hAnsi="Times New Roman" w:cs="Times New Roman" w:hint="default"/>
        <w:w w:val="100"/>
        <w:sz w:val="22"/>
        <w:szCs w:val="22"/>
      </w:rPr>
    </w:lvl>
    <w:lvl w:ilvl="3">
      <w:numFmt w:val="bullet"/>
      <w:lvlText w:val="•"/>
      <w:lvlJc w:val="left"/>
      <w:pPr>
        <w:ind w:left="4828" w:hanging="994"/>
      </w:pPr>
      <w:rPr>
        <w:rFonts w:hint="default"/>
      </w:rPr>
    </w:lvl>
    <w:lvl w:ilvl="4">
      <w:numFmt w:val="bullet"/>
      <w:lvlText w:val="•"/>
      <w:lvlJc w:val="left"/>
      <w:pPr>
        <w:ind w:left="6353" w:hanging="994"/>
      </w:pPr>
      <w:rPr>
        <w:rFonts w:hint="default"/>
      </w:rPr>
    </w:lvl>
    <w:lvl w:ilvl="5">
      <w:numFmt w:val="bullet"/>
      <w:lvlText w:val="•"/>
      <w:lvlJc w:val="left"/>
      <w:pPr>
        <w:ind w:left="7877" w:hanging="994"/>
      </w:pPr>
      <w:rPr>
        <w:rFonts w:hint="default"/>
      </w:rPr>
    </w:lvl>
    <w:lvl w:ilvl="6">
      <w:numFmt w:val="bullet"/>
      <w:lvlText w:val="•"/>
      <w:lvlJc w:val="left"/>
      <w:pPr>
        <w:ind w:left="9402" w:hanging="994"/>
      </w:pPr>
      <w:rPr>
        <w:rFonts w:hint="default"/>
      </w:rPr>
    </w:lvl>
    <w:lvl w:ilvl="7">
      <w:numFmt w:val="bullet"/>
      <w:lvlText w:val="•"/>
      <w:lvlJc w:val="left"/>
      <w:pPr>
        <w:ind w:left="10926" w:hanging="994"/>
      </w:pPr>
      <w:rPr>
        <w:rFonts w:hint="default"/>
      </w:rPr>
    </w:lvl>
    <w:lvl w:ilvl="8">
      <w:numFmt w:val="bullet"/>
      <w:lvlText w:val="•"/>
      <w:lvlJc w:val="left"/>
      <w:pPr>
        <w:ind w:left="12451" w:hanging="994"/>
      </w:pPr>
      <w:rPr>
        <w:rFonts w:hint="default"/>
      </w:rPr>
    </w:lvl>
  </w:abstractNum>
  <w:abstractNum w:abstractNumId="9" w15:restartNumberingAfterBreak="0">
    <w:nsid w:val="4323657E"/>
    <w:multiLevelType w:val="multilevel"/>
    <w:tmpl w:val="0B504F4C"/>
    <w:lvl w:ilvl="0">
      <w:start w:val="4"/>
      <w:numFmt w:val="decimal"/>
      <w:lvlText w:val="%1"/>
      <w:lvlJc w:val="left"/>
      <w:pPr>
        <w:ind w:left="1084" w:hanging="852"/>
        <w:jc w:val="left"/>
      </w:pPr>
      <w:rPr>
        <w:rFonts w:hint="default"/>
      </w:rPr>
    </w:lvl>
    <w:lvl w:ilvl="1">
      <w:start w:val="1"/>
      <w:numFmt w:val="decimal"/>
      <w:lvlText w:val="%1.%2"/>
      <w:lvlJc w:val="left"/>
      <w:pPr>
        <w:ind w:left="1084" w:hanging="852"/>
        <w:jc w:val="left"/>
      </w:pPr>
      <w:rPr>
        <w:rFonts w:hint="default"/>
      </w:rPr>
    </w:lvl>
    <w:lvl w:ilvl="2">
      <w:start w:val="2"/>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0" w15:restartNumberingAfterBreak="0">
    <w:nsid w:val="4C094A52"/>
    <w:multiLevelType w:val="multilevel"/>
    <w:tmpl w:val="AD5C0E64"/>
    <w:lvl w:ilvl="0">
      <w:start w:val="6"/>
      <w:numFmt w:val="decimal"/>
      <w:lvlText w:val="%1"/>
      <w:lvlJc w:val="left"/>
      <w:pPr>
        <w:ind w:left="1084"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8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1" w15:restartNumberingAfterBreak="0">
    <w:nsid w:val="53D567F0"/>
    <w:multiLevelType w:val="multilevel"/>
    <w:tmpl w:val="5AB07ED8"/>
    <w:lvl w:ilvl="0">
      <w:start w:val="1"/>
      <w:numFmt w:val="decimal"/>
      <w:lvlText w:val="%1"/>
      <w:lvlJc w:val="left"/>
      <w:pPr>
        <w:ind w:left="938" w:hanging="706"/>
        <w:jc w:val="left"/>
      </w:pPr>
      <w:rPr>
        <w:rFonts w:ascii="Times New Roman" w:eastAsia="Times New Roman" w:hAnsi="Times New Roman" w:cs="Times New Roman" w:hint="default"/>
        <w:b/>
        <w:bCs/>
        <w:w w:val="100"/>
        <w:sz w:val="22"/>
        <w:szCs w:val="22"/>
      </w:rPr>
    </w:lvl>
    <w:lvl w:ilvl="1">
      <w:start w:val="1"/>
      <w:numFmt w:val="decimal"/>
      <w:lvlText w:val="%1.%2"/>
      <w:lvlJc w:val="left"/>
      <w:pPr>
        <w:ind w:left="1365" w:hanging="845"/>
        <w:jc w:val="left"/>
      </w:pPr>
      <w:rPr>
        <w:rFonts w:ascii="Times New Roman" w:eastAsia="Times New Roman" w:hAnsi="Times New Roman" w:cs="Times New Roman" w:hint="default"/>
        <w:w w:val="100"/>
        <w:sz w:val="22"/>
        <w:szCs w:val="22"/>
      </w:rPr>
    </w:lvl>
    <w:lvl w:ilvl="2">
      <w:start w:val="1"/>
      <w:numFmt w:val="decimal"/>
      <w:lvlText w:val="%1.%2.%3"/>
      <w:lvlJc w:val="left"/>
      <w:pPr>
        <w:ind w:left="1792" w:hanging="994"/>
        <w:jc w:val="left"/>
      </w:pPr>
      <w:rPr>
        <w:rFonts w:ascii="Times New Roman" w:eastAsia="Times New Roman" w:hAnsi="Times New Roman" w:cs="Times New Roman" w:hint="default"/>
        <w:w w:val="100"/>
        <w:sz w:val="22"/>
        <w:szCs w:val="22"/>
      </w:rPr>
    </w:lvl>
    <w:lvl w:ilvl="3">
      <w:numFmt w:val="bullet"/>
      <w:lvlText w:val="•"/>
      <w:lvlJc w:val="left"/>
      <w:pPr>
        <w:ind w:left="2932" w:hanging="994"/>
      </w:pPr>
      <w:rPr>
        <w:rFonts w:hint="default"/>
      </w:rPr>
    </w:lvl>
    <w:lvl w:ilvl="4">
      <w:numFmt w:val="bullet"/>
      <w:lvlText w:val="•"/>
      <w:lvlJc w:val="left"/>
      <w:pPr>
        <w:ind w:left="4065" w:hanging="994"/>
      </w:pPr>
      <w:rPr>
        <w:rFonts w:hint="default"/>
      </w:rPr>
    </w:lvl>
    <w:lvl w:ilvl="5">
      <w:numFmt w:val="bullet"/>
      <w:lvlText w:val="•"/>
      <w:lvlJc w:val="left"/>
      <w:pPr>
        <w:ind w:left="5197" w:hanging="994"/>
      </w:pPr>
      <w:rPr>
        <w:rFonts w:hint="default"/>
      </w:rPr>
    </w:lvl>
    <w:lvl w:ilvl="6">
      <w:numFmt w:val="bullet"/>
      <w:lvlText w:val="•"/>
      <w:lvlJc w:val="left"/>
      <w:pPr>
        <w:ind w:left="6330" w:hanging="994"/>
      </w:pPr>
      <w:rPr>
        <w:rFonts w:hint="default"/>
      </w:rPr>
    </w:lvl>
    <w:lvl w:ilvl="7">
      <w:numFmt w:val="bullet"/>
      <w:lvlText w:val="•"/>
      <w:lvlJc w:val="left"/>
      <w:pPr>
        <w:ind w:left="7462" w:hanging="994"/>
      </w:pPr>
      <w:rPr>
        <w:rFonts w:hint="default"/>
      </w:rPr>
    </w:lvl>
    <w:lvl w:ilvl="8">
      <w:numFmt w:val="bullet"/>
      <w:lvlText w:val="•"/>
      <w:lvlJc w:val="left"/>
      <w:pPr>
        <w:ind w:left="8595" w:hanging="994"/>
      </w:pPr>
      <w:rPr>
        <w:rFonts w:hint="default"/>
      </w:rPr>
    </w:lvl>
  </w:abstractNum>
  <w:abstractNum w:abstractNumId="12" w15:restartNumberingAfterBreak="0">
    <w:nsid w:val="54075A88"/>
    <w:multiLevelType w:val="multilevel"/>
    <w:tmpl w:val="88E64C64"/>
    <w:lvl w:ilvl="0">
      <w:start w:val="2"/>
      <w:numFmt w:val="decimal"/>
      <w:lvlText w:val="%1"/>
      <w:lvlJc w:val="left"/>
      <w:pPr>
        <w:ind w:left="1359" w:hanging="850"/>
        <w:jc w:val="right"/>
      </w:pPr>
      <w:rPr>
        <w:rFonts w:hint="default"/>
      </w:rPr>
    </w:lvl>
    <w:lvl w:ilvl="1">
      <w:start w:val="1"/>
      <w:numFmt w:val="decimal"/>
      <w:lvlText w:val="%1.%2"/>
      <w:lvlJc w:val="left"/>
      <w:pPr>
        <w:ind w:left="1359" w:hanging="850"/>
        <w:jc w:val="left"/>
      </w:pPr>
      <w:rPr>
        <w:rFonts w:ascii="Times New Roman" w:eastAsia="Times New Roman" w:hAnsi="Times New Roman" w:cs="Times New Roman" w:hint="default"/>
        <w:w w:val="100"/>
        <w:sz w:val="22"/>
        <w:szCs w:val="22"/>
      </w:rPr>
    </w:lvl>
    <w:lvl w:ilvl="2">
      <w:numFmt w:val="bullet"/>
      <w:lvlText w:val="•"/>
      <w:lvlJc w:val="left"/>
      <w:pPr>
        <w:ind w:left="4188" w:hanging="850"/>
      </w:pPr>
      <w:rPr>
        <w:rFonts w:hint="default"/>
      </w:rPr>
    </w:lvl>
    <w:lvl w:ilvl="3">
      <w:numFmt w:val="bullet"/>
      <w:lvlText w:val="•"/>
      <w:lvlJc w:val="left"/>
      <w:pPr>
        <w:ind w:left="5602" w:hanging="850"/>
      </w:pPr>
      <w:rPr>
        <w:rFonts w:hint="default"/>
      </w:rPr>
    </w:lvl>
    <w:lvl w:ilvl="4">
      <w:numFmt w:val="bullet"/>
      <w:lvlText w:val="•"/>
      <w:lvlJc w:val="left"/>
      <w:pPr>
        <w:ind w:left="7016" w:hanging="850"/>
      </w:pPr>
      <w:rPr>
        <w:rFonts w:hint="default"/>
      </w:rPr>
    </w:lvl>
    <w:lvl w:ilvl="5">
      <w:numFmt w:val="bullet"/>
      <w:lvlText w:val="•"/>
      <w:lvlJc w:val="left"/>
      <w:pPr>
        <w:ind w:left="8430" w:hanging="850"/>
      </w:pPr>
      <w:rPr>
        <w:rFonts w:hint="default"/>
      </w:rPr>
    </w:lvl>
    <w:lvl w:ilvl="6">
      <w:numFmt w:val="bullet"/>
      <w:lvlText w:val="•"/>
      <w:lvlJc w:val="left"/>
      <w:pPr>
        <w:ind w:left="9844" w:hanging="850"/>
      </w:pPr>
      <w:rPr>
        <w:rFonts w:hint="default"/>
      </w:rPr>
    </w:lvl>
    <w:lvl w:ilvl="7">
      <w:numFmt w:val="bullet"/>
      <w:lvlText w:val="•"/>
      <w:lvlJc w:val="left"/>
      <w:pPr>
        <w:ind w:left="11258" w:hanging="850"/>
      </w:pPr>
      <w:rPr>
        <w:rFonts w:hint="default"/>
      </w:rPr>
    </w:lvl>
    <w:lvl w:ilvl="8">
      <w:numFmt w:val="bullet"/>
      <w:lvlText w:val="•"/>
      <w:lvlJc w:val="left"/>
      <w:pPr>
        <w:ind w:left="12672" w:hanging="850"/>
      </w:pPr>
      <w:rPr>
        <w:rFonts w:hint="default"/>
      </w:rPr>
    </w:lvl>
  </w:abstractNum>
  <w:abstractNum w:abstractNumId="13" w15:restartNumberingAfterBreak="0">
    <w:nsid w:val="571F7F81"/>
    <w:multiLevelType w:val="multilevel"/>
    <w:tmpl w:val="0FF8FE8E"/>
    <w:lvl w:ilvl="0">
      <w:start w:val="5"/>
      <w:numFmt w:val="decimal"/>
      <w:lvlText w:val="%1"/>
      <w:lvlJc w:val="left"/>
      <w:pPr>
        <w:ind w:left="1084" w:hanging="852"/>
        <w:jc w:val="left"/>
      </w:pPr>
      <w:rPr>
        <w:rFonts w:hint="default"/>
      </w:rPr>
    </w:lvl>
    <w:lvl w:ilvl="1">
      <w:start w:val="1"/>
      <w:numFmt w:val="decimal"/>
      <w:lvlText w:val="%1.%2"/>
      <w:lvlJc w:val="left"/>
      <w:pPr>
        <w:ind w:left="1084" w:hanging="852"/>
        <w:jc w:val="left"/>
      </w:pPr>
      <w:rPr>
        <w:rFonts w:hint="default"/>
      </w:rPr>
    </w:lvl>
    <w:lvl w:ilvl="2">
      <w:start w:val="3"/>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4" w15:restartNumberingAfterBreak="0">
    <w:nsid w:val="65D033BC"/>
    <w:multiLevelType w:val="multilevel"/>
    <w:tmpl w:val="41526A92"/>
    <w:lvl w:ilvl="0">
      <w:start w:val="4"/>
      <w:numFmt w:val="decimal"/>
      <w:lvlText w:val="%1"/>
      <w:lvlJc w:val="left"/>
      <w:pPr>
        <w:ind w:left="1365" w:hanging="1133"/>
        <w:jc w:val="left"/>
      </w:pPr>
      <w:rPr>
        <w:rFonts w:hint="default"/>
      </w:rPr>
    </w:lvl>
    <w:lvl w:ilvl="1">
      <w:start w:val="1"/>
      <w:numFmt w:val="decimal"/>
      <w:lvlText w:val="%1.%2"/>
      <w:lvlJc w:val="left"/>
      <w:pPr>
        <w:ind w:left="1365" w:hanging="1133"/>
        <w:jc w:val="left"/>
      </w:pPr>
      <w:rPr>
        <w:rFonts w:hint="default"/>
      </w:rPr>
    </w:lvl>
    <w:lvl w:ilvl="2">
      <w:start w:val="1"/>
      <w:numFmt w:val="decimal"/>
      <w:lvlText w:val="%1.%2.%3"/>
      <w:lvlJc w:val="left"/>
      <w:pPr>
        <w:ind w:left="1365" w:hanging="1133"/>
        <w:jc w:val="left"/>
      </w:pPr>
      <w:rPr>
        <w:rFonts w:hint="default"/>
      </w:rPr>
    </w:lvl>
    <w:lvl w:ilvl="3">
      <w:start w:val="1"/>
      <w:numFmt w:val="decimal"/>
      <w:lvlText w:val="%1.%2.%3.%4"/>
      <w:lvlJc w:val="left"/>
      <w:pPr>
        <w:ind w:left="1365" w:hanging="1133"/>
        <w:jc w:val="left"/>
      </w:pPr>
      <w:rPr>
        <w:rFonts w:hint="default"/>
      </w:rPr>
    </w:lvl>
    <w:lvl w:ilvl="4">
      <w:start w:val="2"/>
      <w:numFmt w:val="decimal"/>
      <w:lvlText w:val="%1.%2.%3.%4.%5"/>
      <w:lvlJc w:val="left"/>
      <w:pPr>
        <w:ind w:left="136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6110" w:hanging="1133"/>
      </w:pPr>
      <w:rPr>
        <w:rFonts w:hint="default"/>
      </w:rPr>
    </w:lvl>
    <w:lvl w:ilvl="6">
      <w:numFmt w:val="bullet"/>
      <w:lvlText w:val="•"/>
      <w:lvlJc w:val="left"/>
      <w:pPr>
        <w:ind w:left="7060" w:hanging="1133"/>
      </w:pPr>
      <w:rPr>
        <w:rFonts w:hint="default"/>
      </w:rPr>
    </w:lvl>
    <w:lvl w:ilvl="7">
      <w:numFmt w:val="bullet"/>
      <w:lvlText w:val="•"/>
      <w:lvlJc w:val="left"/>
      <w:pPr>
        <w:ind w:left="8010" w:hanging="1133"/>
      </w:pPr>
      <w:rPr>
        <w:rFonts w:hint="default"/>
      </w:rPr>
    </w:lvl>
    <w:lvl w:ilvl="8">
      <w:numFmt w:val="bullet"/>
      <w:lvlText w:val="•"/>
      <w:lvlJc w:val="left"/>
      <w:pPr>
        <w:ind w:left="8960" w:hanging="1133"/>
      </w:pPr>
      <w:rPr>
        <w:rFonts w:hint="default"/>
      </w:rPr>
    </w:lvl>
  </w:abstractNum>
  <w:abstractNum w:abstractNumId="15" w15:restartNumberingAfterBreak="0">
    <w:nsid w:val="6B6F4197"/>
    <w:multiLevelType w:val="multilevel"/>
    <w:tmpl w:val="F9D065DE"/>
    <w:lvl w:ilvl="0">
      <w:start w:val="4"/>
      <w:numFmt w:val="decimal"/>
      <w:lvlText w:val="%1"/>
      <w:lvlJc w:val="left"/>
      <w:pPr>
        <w:ind w:left="1084" w:hanging="852"/>
        <w:jc w:val="left"/>
      </w:pPr>
      <w:rPr>
        <w:rFonts w:hint="default"/>
      </w:rPr>
    </w:lvl>
    <w:lvl w:ilvl="1">
      <w:start w:val="4"/>
      <w:numFmt w:val="decimal"/>
      <w:lvlText w:val="%1.%2"/>
      <w:lvlJc w:val="left"/>
      <w:pPr>
        <w:ind w:left="108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014" w:hanging="852"/>
      </w:pPr>
      <w:rPr>
        <w:rFonts w:hint="default"/>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6" w15:restartNumberingAfterBreak="0">
    <w:nsid w:val="6CEA2AF2"/>
    <w:multiLevelType w:val="multilevel"/>
    <w:tmpl w:val="55F887B6"/>
    <w:lvl w:ilvl="0">
      <w:start w:val="5"/>
      <w:numFmt w:val="decimal"/>
      <w:lvlText w:val="%1"/>
      <w:lvlJc w:val="left"/>
      <w:pPr>
        <w:ind w:left="1084" w:hanging="852"/>
        <w:jc w:val="left"/>
      </w:pPr>
      <w:rPr>
        <w:rFonts w:hint="default"/>
      </w:rPr>
    </w:lvl>
    <w:lvl w:ilvl="1">
      <w:start w:val="1"/>
      <w:numFmt w:val="decimal"/>
      <w:lvlText w:val="%1.%2"/>
      <w:lvlJc w:val="left"/>
      <w:pPr>
        <w:ind w:left="108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jc w:val="left"/>
      </w:pPr>
      <w:rPr>
        <w:rFonts w:ascii="Times New Roman" w:eastAsia="Times New Roman" w:hAnsi="Times New Roman" w:cs="Times New Roman" w:hint="default"/>
        <w:b/>
        <w:bCs/>
        <w:w w:val="100"/>
        <w:sz w:val="24"/>
        <w:szCs w:val="24"/>
      </w:rPr>
    </w:lvl>
    <w:lvl w:ilvl="4">
      <w:numFmt w:val="bullet"/>
      <w:lvlText w:val="•"/>
      <w:lvlJc w:val="left"/>
      <w:pPr>
        <w:ind w:left="4992" w:hanging="852"/>
      </w:pPr>
      <w:rPr>
        <w:rFonts w:hint="default"/>
      </w:rPr>
    </w:lvl>
    <w:lvl w:ilvl="5">
      <w:numFmt w:val="bullet"/>
      <w:lvlText w:val="•"/>
      <w:lvlJc w:val="left"/>
      <w:pPr>
        <w:ind w:left="5970" w:hanging="852"/>
      </w:pPr>
      <w:rPr>
        <w:rFonts w:hint="default"/>
      </w:rPr>
    </w:lvl>
    <w:lvl w:ilvl="6">
      <w:numFmt w:val="bullet"/>
      <w:lvlText w:val="•"/>
      <w:lvlJc w:val="left"/>
      <w:pPr>
        <w:ind w:left="6948" w:hanging="852"/>
      </w:pPr>
      <w:rPr>
        <w:rFonts w:hint="default"/>
      </w:rPr>
    </w:lvl>
    <w:lvl w:ilvl="7">
      <w:numFmt w:val="bullet"/>
      <w:lvlText w:val="•"/>
      <w:lvlJc w:val="left"/>
      <w:pPr>
        <w:ind w:left="7926" w:hanging="852"/>
      </w:pPr>
      <w:rPr>
        <w:rFonts w:hint="default"/>
      </w:rPr>
    </w:lvl>
    <w:lvl w:ilvl="8">
      <w:numFmt w:val="bullet"/>
      <w:lvlText w:val="•"/>
      <w:lvlJc w:val="left"/>
      <w:pPr>
        <w:ind w:left="8904" w:hanging="852"/>
      </w:pPr>
      <w:rPr>
        <w:rFonts w:hint="default"/>
      </w:rPr>
    </w:lvl>
  </w:abstractNum>
  <w:abstractNum w:abstractNumId="17" w15:restartNumberingAfterBreak="0">
    <w:nsid w:val="6FDB7ECE"/>
    <w:multiLevelType w:val="multilevel"/>
    <w:tmpl w:val="D3C483D0"/>
    <w:lvl w:ilvl="0">
      <w:start w:val="4"/>
      <w:numFmt w:val="decimal"/>
      <w:lvlText w:val="%1"/>
      <w:lvlJc w:val="left"/>
      <w:pPr>
        <w:ind w:left="1084" w:hanging="852"/>
        <w:jc w:val="left"/>
      </w:pPr>
      <w:rPr>
        <w:rFonts w:hint="default"/>
      </w:rPr>
    </w:lvl>
    <w:lvl w:ilvl="1">
      <w:start w:val="1"/>
      <w:numFmt w:val="decimal"/>
      <w:lvlText w:val="%1.%2"/>
      <w:lvlJc w:val="left"/>
      <w:pPr>
        <w:ind w:left="1084" w:hanging="852"/>
        <w:jc w:val="left"/>
      </w:pPr>
      <w:rPr>
        <w:rFonts w:hint="default"/>
      </w:rPr>
    </w:lvl>
    <w:lvl w:ilvl="2">
      <w:start w:val="1"/>
      <w:numFmt w:val="decimal"/>
      <w:lvlText w:val="%1.%2.%3"/>
      <w:lvlJc w:val="left"/>
      <w:pPr>
        <w:ind w:left="1084" w:hanging="852"/>
        <w:jc w:val="left"/>
      </w:pPr>
      <w:rPr>
        <w:rFonts w:hint="default"/>
      </w:rPr>
    </w:lvl>
    <w:lvl w:ilvl="3">
      <w:start w:val="2"/>
      <w:numFmt w:val="decimal"/>
      <w:lvlText w:val="%1.%2.%3.%4"/>
      <w:lvlJc w:val="left"/>
      <w:pPr>
        <w:ind w:left="108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jc w:val="left"/>
      </w:pPr>
      <w:rPr>
        <w:rFonts w:ascii="Times New Roman" w:eastAsia="Times New Roman" w:hAnsi="Times New Roman" w:cs="Times New Roman" w:hint="default"/>
        <w:b/>
        <w:bCs/>
        <w:spacing w:val="-8"/>
        <w:w w:val="100"/>
        <w:sz w:val="24"/>
        <w:szCs w:val="24"/>
      </w:rPr>
    </w:lvl>
    <w:lvl w:ilvl="5">
      <w:numFmt w:val="bullet"/>
      <w:lvlText w:val="•"/>
      <w:lvlJc w:val="left"/>
      <w:pPr>
        <w:ind w:left="5582" w:hanging="1133"/>
      </w:pPr>
      <w:rPr>
        <w:rFonts w:hint="default"/>
      </w:rPr>
    </w:lvl>
    <w:lvl w:ilvl="6">
      <w:numFmt w:val="bullet"/>
      <w:lvlText w:val="•"/>
      <w:lvlJc w:val="left"/>
      <w:pPr>
        <w:ind w:left="6637" w:hanging="1133"/>
      </w:pPr>
      <w:rPr>
        <w:rFonts w:hint="default"/>
      </w:rPr>
    </w:lvl>
    <w:lvl w:ilvl="7">
      <w:numFmt w:val="bullet"/>
      <w:lvlText w:val="•"/>
      <w:lvlJc w:val="left"/>
      <w:pPr>
        <w:ind w:left="7693" w:hanging="1133"/>
      </w:pPr>
      <w:rPr>
        <w:rFonts w:hint="default"/>
      </w:rPr>
    </w:lvl>
    <w:lvl w:ilvl="8">
      <w:numFmt w:val="bullet"/>
      <w:lvlText w:val="•"/>
      <w:lvlJc w:val="left"/>
      <w:pPr>
        <w:ind w:left="8748" w:hanging="1133"/>
      </w:pPr>
      <w:rPr>
        <w:rFonts w:hint="default"/>
      </w:rPr>
    </w:lvl>
  </w:abstractNum>
  <w:num w:numId="1">
    <w:abstractNumId w:val="4"/>
  </w:num>
  <w:num w:numId="2">
    <w:abstractNumId w:val="6"/>
  </w:num>
  <w:num w:numId="3">
    <w:abstractNumId w:val="8"/>
  </w:num>
  <w:num w:numId="4">
    <w:abstractNumId w:val="12"/>
  </w:num>
  <w:num w:numId="5">
    <w:abstractNumId w:val="10"/>
  </w:num>
  <w:num w:numId="6">
    <w:abstractNumId w:val="1"/>
  </w:num>
  <w:num w:numId="7">
    <w:abstractNumId w:val="13"/>
  </w:num>
  <w:num w:numId="8">
    <w:abstractNumId w:val="16"/>
  </w:num>
  <w:num w:numId="9">
    <w:abstractNumId w:val="0"/>
  </w:num>
  <w:num w:numId="10">
    <w:abstractNumId w:val="3"/>
  </w:num>
  <w:num w:numId="11">
    <w:abstractNumId w:val="15"/>
  </w:num>
  <w:num w:numId="12">
    <w:abstractNumId w:val="7"/>
  </w:num>
  <w:num w:numId="13">
    <w:abstractNumId w:val="9"/>
  </w:num>
  <w:num w:numId="14">
    <w:abstractNumId w:val="17"/>
  </w:num>
  <w:num w:numId="15">
    <w:abstractNumId w:val="2"/>
  </w:num>
  <w:num w:numId="16">
    <w:abstractNumId w:val="14"/>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75195"/>
    <w:rsid w:val="00275195"/>
    <w:rsid w:val="00421F73"/>
    <w:rsid w:val="00432668"/>
    <w:rsid w:val="00576120"/>
    <w:rsid w:val="00724F95"/>
    <w:rsid w:val="00C64805"/>
    <w:rsid w:val="00FB3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90FD3285-B911-4FB2-9BE2-398A68C4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108"/>
      <w:jc w:val="center"/>
      <w:outlineLvl w:val="0"/>
    </w:pPr>
    <w:rPr>
      <w:b/>
      <w:bCs/>
      <w:sz w:val="32"/>
      <w:szCs w:val="32"/>
    </w:rPr>
  </w:style>
  <w:style w:type="paragraph" w:styleId="2">
    <w:name w:val="heading 2"/>
    <w:basedOn w:val="a"/>
    <w:uiPriority w:val="9"/>
    <w:unhideWhenUsed/>
    <w:qFormat/>
    <w:pPr>
      <w:spacing w:before="89"/>
      <w:ind w:left="1084" w:hanging="852"/>
      <w:outlineLvl w:val="1"/>
    </w:pPr>
    <w:rPr>
      <w:b/>
      <w:bCs/>
      <w:sz w:val="28"/>
      <w:szCs w:val="28"/>
    </w:rPr>
  </w:style>
  <w:style w:type="paragraph" w:styleId="3">
    <w:name w:val="heading 3"/>
    <w:basedOn w:val="a"/>
    <w:uiPriority w:val="9"/>
    <w:unhideWhenUsed/>
    <w:qFormat/>
    <w:pPr>
      <w:spacing w:before="144"/>
      <w:ind w:left="1084" w:hanging="852"/>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
      <w:ind w:right="1553"/>
      <w:jc w:val="right"/>
    </w:pPr>
    <w:rPr>
      <w:sz w:val="20"/>
      <w:szCs w:val="20"/>
    </w:rPr>
  </w:style>
  <w:style w:type="paragraph" w:styleId="20">
    <w:name w:val="toc 2"/>
    <w:basedOn w:val="a"/>
    <w:uiPriority w:val="1"/>
    <w:qFormat/>
    <w:pPr>
      <w:spacing w:before="167"/>
      <w:ind w:left="938" w:hanging="706"/>
    </w:pPr>
    <w:rPr>
      <w:b/>
      <w:bCs/>
    </w:rPr>
  </w:style>
  <w:style w:type="paragraph" w:styleId="30">
    <w:name w:val="toc 3"/>
    <w:basedOn w:val="a"/>
    <w:uiPriority w:val="1"/>
    <w:qFormat/>
    <w:pPr>
      <w:spacing w:before="107"/>
      <w:ind w:left="1365" w:hanging="845"/>
    </w:pPr>
  </w:style>
  <w:style w:type="paragraph" w:styleId="4">
    <w:name w:val="toc 4"/>
    <w:basedOn w:val="a"/>
    <w:uiPriority w:val="1"/>
    <w:qFormat/>
    <w:pPr>
      <w:spacing w:before="107"/>
      <w:ind w:left="1792" w:hanging="993"/>
    </w:pPr>
  </w:style>
  <w:style w:type="paragraph" w:styleId="a3">
    <w:name w:val="Body Text"/>
    <w:basedOn w:val="a"/>
    <w:uiPriority w:val="1"/>
    <w:qFormat/>
    <w:pPr>
      <w:ind w:left="232"/>
    </w:pPr>
    <w:rPr>
      <w:sz w:val="24"/>
      <w:szCs w:val="24"/>
    </w:rPr>
  </w:style>
  <w:style w:type="paragraph" w:styleId="a4">
    <w:name w:val="List Paragraph"/>
    <w:basedOn w:val="a"/>
    <w:uiPriority w:val="1"/>
    <w:qFormat/>
    <w:pPr>
      <w:spacing w:before="107"/>
      <w:ind w:left="1084" w:hanging="852"/>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432668"/>
    <w:pPr>
      <w:tabs>
        <w:tab w:val="center" w:pos="4252"/>
        <w:tab w:val="right" w:pos="8504"/>
      </w:tabs>
      <w:snapToGrid w:val="0"/>
    </w:pPr>
  </w:style>
  <w:style w:type="character" w:customStyle="1" w:styleId="a6">
    <w:name w:val="ヘッダー (文字)"/>
    <w:basedOn w:val="a0"/>
    <w:link w:val="a5"/>
    <w:uiPriority w:val="99"/>
    <w:rsid w:val="00432668"/>
    <w:rPr>
      <w:rFonts w:ascii="Times New Roman" w:eastAsia="Times New Roman" w:hAnsi="Times New Roman" w:cs="Times New Roman"/>
    </w:rPr>
  </w:style>
  <w:style w:type="paragraph" w:styleId="a7">
    <w:name w:val="footer"/>
    <w:basedOn w:val="a"/>
    <w:link w:val="a8"/>
    <w:uiPriority w:val="99"/>
    <w:unhideWhenUsed/>
    <w:rsid w:val="00432668"/>
    <w:pPr>
      <w:tabs>
        <w:tab w:val="center" w:pos="4252"/>
        <w:tab w:val="right" w:pos="8504"/>
      </w:tabs>
      <w:snapToGrid w:val="0"/>
    </w:pPr>
  </w:style>
  <w:style w:type="character" w:customStyle="1" w:styleId="a8">
    <w:name w:val="フッター (文字)"/>
    <w:basedOn w:val="a0"/>
    <w:link w:val="a7"/>
    <w:uiPriority w:val="99"/>
    <w:rsid w:val="0043266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784D49-591B-4402-BD34-C1A8DD4BB6A1}"/>
</file>

<file path=customXml/itemProps2.xml><?xml version="1.0" encoding="utf-8"?>
<ds:datastoreItem xmlns:ds="http://schemas.openxmlformats.org/officeDocument/2006/customXml" ds:itemID="{587E45D3-572D-4C5F-873A-E757783872A7}"/>
</file>

<file path=customXml/itemProps3.xml><?xml version="1.0" encoding="utf-8"?>
<ds:datastoreItem xmlns:ds="http://schemas.openxmlformats.org/officeDocument/2006/customXml" ds:itemID="{43212E9B-E975-4305-BB96-2BBC9AF2520A}"/>
</file>

<file path=docProps/app.xml><?xml version="1.0" encoding="utf-8"?>
<Properties xmlns="http://schemas.openxmlformats.org/officeDocument/2006/extended-properties" xmlns:vt="http://schemas.openxmlformats.org/officeDocument/2006/docPropsVTypes">
  <Template>Normal</Template>
  <TotalTime>21</TotalTime>
  <Pages>9</Pages>
  <Words>3421</Words>
  <Characters>19502</Characters>
  <Application>Microsoft Office Word</Application>
  <DocSecurity>0</DocSecurity>
  <Lines>162</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2021-06-22T01:30:00Z</dcterms:created>
  <dcterms:modified xsi:type="dcterms:W3CDTF">2021-07-08T09:34:00Z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2018-03-10T00:00:00Z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