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D5E" w:rsidRDefault="007D5BFA">
      <w:pPr>
        <w:pStyle w:val="3"/>
        <w:numPr>
          <w:ilvl w:val="2"/>
          <w:numId w:val="14"/>
        </w:numPr>
        <w:tabs>
          <w:tab w:val="left" w:pos="1084"/>
          <w:tab w:val="left" w:pos="1085"/>
        </w:tabs>
        <w:spacing w:before="148"/>
      </w:pPr>
      <w:bookmarkStart w:id="0" w:name="4.1.3_Safety_Pharmacology"/>
      <w:bookmarkStart w:id="1" w:name="_bookmark40"/>
      <w:bookmarkEnd w:id="0"/>
      <w:bookmarkEnd w:id="1"/>
      <w:r>
        <w:t>Safety</w:t>
      </w:r>
      <w:r>
        <w:rPr>
          <w:spacing w:val="-2"/>
        </w:rPr>
        <w:t xml:space="preserve"> </w:t>
      </w:r>
      <w:r>
        <w:t>Pharmacology</w:t>
      </w:r>
    </w:p>
    <w:p w:rsidR="00042D5E" w:rsidRDefault="00BB321B">
      <w:pPr>
        <w:pStyle w:val="a3"/>
        <w:spacing w:before="140" w:line="261" w:lineRule="auto"/>
        <w:ind w:left="232" w:right="1808"/>
      </w:pPr>
      <w:r>
        <w:t>PROJECT 15</w:t>
      </w:r>
      <w:r w:rsidR="007D5BFA">
        <w:t xml:space="preserve"> is an ADC molecule and, as such, in vitro safety pharmacology assessments were limited to the effects of the metabolite, L-pAF-AGL-0185-30•2NEt</w:t>
      </w:r>
      <w:r w:rsidR="007D5BFA">
        <w:rPr>
          <w:vertAlign w:val="subscript"/>
        </w:rPr>
        <w:t>3</w:t>
      </w:r>
      <w:r w:rsidR="007D5BFA">
        <w:t xml:space="preserve">, on the hERG channel. In vivo safety pharmacology assessments (cardiovascular, central nervous and respiratory systems) of </w:t>
      </w:r>
      <w:r>
        <w:t>PROJECT 15</w:t>
      </w:r>
      <w:r w:rsidR="007D5BFA">
        <w:t xml:space="preserve"> were evaluated as part of the general toxicity studies.</w:t>
      </w:r>
    </w:p>
    <w:p w:rsidR="00042D5E" w:rsidRDefault="007D5BFA">
      <w:pPr>
        <w:pStyle w:val="3"/>
        <w:spacing w:before="121" w:line="261" w:lineRule="auto"/>
        <w:ind w:left="1084" w:right="1895" w:hanging="852"/>
      </w:pPr>
      <w:bookmarkStart w:id="2" w:name="4.1.3.1_Effect_of_L-pAF-AGL-0185-30•2NEt"/>
      <w:bookmarkStart w:id="3" w:name="_bookmark41"/>
      <w:bookmarkEnd w:id="2"/>
      <w:bookmarkEnd w:id="3"/>
      <w:r>
        <w:t>4.1.3.1 Effect of L-pAF-AGL-0185-30•2NEt</w:t>
      </w:r>
      <w:r>
        <w:rPr>
          <w:vertAlign w:val="subscript"/>
        </w:rPr>
        <w:t>3</w:t>
      </w:r>
      <w:r>
        <w:t xml:space="preserve"> on Cloned hERG Potassium Channels Expressed in Human Embryonic Kidney Cells (Study No. 150304.BHF)</w:t>
      </w:r>
    </w:p>
    <w:p w:rsidR="00042D5E" w:rsidRDefault="007D5BFA">
      <w:pPr>
        <w:pStyle w:val="a3"/>
        <w:spacing w:before="114" w:line="261" w:lineRule="auto"/>
        <w:ind w:left="232" w:right="1648"/>
      </w:pPr>
      <w:r>
        <w:t>The objective of this study was to examine the in vitro effects of the metabolite L-pAF-AGL- 0185-30•2NEt</w:t>
      </w:r>
      <w:r>
        <w:rPr>
          <w:vertAlign w:val="subscript"/>
        </w:rPr>
        <w:t>3</w:t>
      </w:r>
      <w:r>
        <w:t xml:space="preserve"> on the hERG channel current (a surrogate for IKr, the rapidly activating delayed rectifier cardiac potassium current) at near-physiological temperature.</w:t>
      </w:r>
    </w:p>
    <w:p w:rsidR="00042D5E" w:rsidRDefault="007D5BFA">
      <w:pPr>
        <w:pStyle w:val="a3"/>
        <w:spacing w:before="117" w:line="261" w:lineRule="auto"/>
        <w:ind w:left="232" w:right="1701"/>
      </w:pPr>
      <w:r>
        <w:t>The metabolite, L-pAF-AGL-0185-30•2NEt</w:t>
      </w:r>
      <w:r>
        <w:rPr>
          <w:vertAlign w:val="subscript"/>
        </w:rPr>
        <w:t>3,</w:t>
      </w:r>
      <w:r>
        <w:t xml:space="preserve"> inhibited hERG current (mean ± SEM; n = 3) by 2.2 ± 0.3% at 1 µM, and 3.4 ± 0.1% at 3 µM, versus 1.4 ± 0.7% in control. hERG inhibition at 3 µM was statistically significant (p &lt; 0.05) when compared to vehicle control values. The half maximal inhibitory concentration (IC</w:t>
      </w:r>
      <w:r>
        <w:rPr>
          <w:vertAlign w:val="subscript"/>
        </w:rPr>
        <w:t>50</w:t>
      </w:r>
      <w:r>
        <w:t>) for the inhibitory effect of L-pAF- AGL-0185-30•2NEt</w:t>
      </w:r>
      <w:r>
        <w:rPr>
          <w:vertAlign w:val="subscript"/>
        </w:rPr>
        <w:t>3</w:t>
      </w:r>
      <w:r>
        <w:t xml:space="preserve"> on hERG potassium current was not calculated but was estimated to be greater than 3 µM (&gt; 18000 x assuming at least a 100000 fold lower concentration for the metabolite compared to the intact ADC, in subjects at the proposed starting dose of</w:t>
      </w:r>
    </w:p>
    <w:p w:rsidR="00042D5E" w:rsidRDefault="007D5BFA">
      <w:pPr>
        <w:pStyle w:val="a3"/>
        <w:spacing w:line="270" w:lineRule="exact"/>
        <w:ind w:left="232"/>
      </w:pPr>
      <w:r>
        <w:t>0.8 mg/kg).</w:t>
      </w:r>
    </w:p>
    <w:p w:rsidR="00042D5E" w:rsidRDefault="007D5BFA">
      <w:pPr>
        <w:pStyle w:val="3"/>
        <w:spacing w:before="149" w:line="261" w:lineRule="auto"/>
        <w:ind w:left="1084" w:right="1922" w:hanging="852"/>
      </w:pPr>
      <w:bookmarkStart w:id="4" w:name="4.1.3.2_A_Multiple_Dose_Toxicity_Study_o"/>
      <w:bookmarkStart w:id="5" w:name="_bookmark42"/>
      <w:bookmarkEnd w:id="4"/>
      <w:bookmarkEnd w:id="5"/>
      <w:r>
        <w:t xml:space="preserve">4.1.3.2 A Multiple Dose Toxicity Study of </w:t>
      </w:r>
      <w:r w:rsidR="00BB321B">
        <w:t>PROJECT 15</w:t>
      </w:r>
      <w:r>
        <w:t xml:space="preserve"> Administered by Intravenous Infusion to Cynomolgus Monkeys with a 6-week Recovery Period (Study No. 20076945)</w:t>
      </w:r>
    </w:p>
    <w:p w:rsidR="00042D5E" w:rsidRDefault="007D5BFA">
      <w:pPr>
        <w:pStyle w:val="a3"/>
        <w:spacing w:before="113" w:line="261" w:lineRule="auto"/>
        <w:ind w:left="232" w:right="1763"/>
      </w:pPr>
      <w:r>
        <w:t xml:space="preserve">Cynomolgus monkeys were administered once weekly </w:t>
      </w:r>
      <w:r w:rsidR="00BB321B">
        <w:t>PROJECT 15</w:t>
      </w:r>
      <w:r>
        <w:t xml:space="preserve"> for 4 weeks, followed by a 6 week recovery period. No abnormal behavior and no changes in blood pressure, electrocardiography (ECG), heart rate, body temperature or respiratory rate were noted following intravenous administration of </w:t>
      </w:r>
      <w:r w:rsidR="00BB321B">
        <w:t>PROJECT 15</w:t>
      </w:r>
      <w:r>
        <w:t xml:space="preserve"> at doses up to 24 mg/kg. These observations indicate that there were no overt effects of </w:t>
      </w:r>
      <w:r w:rsidR="00BB321B">
        <w:t>PROJECT 15</w:t>
      </w:r>
      <w:r>
        <w:t xml:space="preserve"> at 24 mg/kg on the cardiovascular, central nervous or respiratory systems.</w:t>
      </w:r>
    </w:p>
    <w:p w:rsidR="00042D5E" w:rsidRDefault="007D5BFA" w:rsidP="0091574F">
      <w:pPr>
        <w:pStyle w:val="2"/>
        <w:numPr>
          <w:ilvl w:val="1"/>
          <w:numId w:val="10"/>
        </w:numPr>
        <w:tabs>
          <w:tab w:val="left" w:pos="1084"/>
          <w:tab w:val="left" w:pos="1085"/>
        </w:tabs>
        <w:spacing w:before="97"/>
      </w:pPr>
      <w:bookmarkStart w:id="6" w:name="4.3_Toxicology"/>
      <w:bookmarkStart w:id="7" w:name="_bookmark58"/>
      <w:bookmarkStart w:id="8" w:name="_GoBack"/>
      <w:bookmarkEnd w:id="6"/>
      <w:bookmarkEnd w:id="7"/>
      <w:bookmarkEnd w:id="8"/>
      <w:r>
        <w:t>Toxicology</w:t>
      </w:r>
    </w:p>
    <w:p w:rsidR="00042D5E" w:rsidRDefault="007D5BFA">
      <w:pPr>
        <w:pStyle w:val="a3"/>
        <w:spacing w:before="140" w:line="261" w:lineRule="auto"/>
        <w:ind w:left="232" w:right="1879"/>
      </w:pPr>
      <w:r>
        <w:t xml:space="preserve">Multiple studies were conducted to characterize the toxicity of the ADC, </w:t>
      </w:r>
      <w:r w:rsidR="00BB321B">
        <w:t>PROJECT 15</w:t>
      </w:r>
      <w:r>
        <w:t xml:space="preserve"> and its metabolite. The initial toxicity of the metabolite was evaluated in both rat and monkey as single-dose studies, and a study was also conducted to investigate hERG liability. A non- GLP multiple-dose toxicity study was conducted in cynomolgus monkeys to provide early information regarding toxicity and TK of </w:t>
      </w:r>
      <w:r w:rsidR="00BB321B">
        <w:t>PROJECT 15</w:t>
      </w:r>
      <w:r>
        <w:t>. The IND-enabling GLP study was conducted to define the toxicity of the ADC (</w:t>
      </w:r>
      <w:r w:rsidR="00BB321B">
        <w:t>PROJECT 15</w:t>
      </w:r>
      <w:r>
        <w:t>), unconjugated antibody (</w:t>
      </w:r>
      <w:r w:rsidR="00FE45DE">
        <w:t>PROJECT 15</w:t>
      </w:r>
      <w:r>
        <w:t xml:space="preserve">) and the metabolite (pAF-AGL-0185-30). A list of the studies conducted is provided in </w:t>
      </w:r>
      <w:hyperlink w:anchor="_bookmark59" w:history="1">
        <w:r>
          <w:t>Table 12</w:t>
        </w:r>
      </w:hyperlink>
      <w:r>
        <w:t xml:space="preserve"> and summarized below. The cynomolgus monkey was chosen as an appropriate species for toxicology studies based on comparable target sequence to human FLT3, and similar binding affinity to human FTL3. Early pharmacological studies demonstrated that</w:t>
      </w:r>
    </w:p>
    <w:p w:rsidR="00042D5E" w:rsidRDefault="00BB321B">
      <w:pPr>
        <w:pStyle w:val="a3"/>
        <w:spacing w:line="261" w:lineRule="auto"/>
        <w:ind w:left="232" w:right="1548"/>
      </w:pPr>
      <w:r>
        <w:t>PROJECT 15</w:t>
      </w:r>
      <w:r w:rsidR="007D5BFA">
        <w:t xml:space="preserve"> binds to human FLT3 and the antibody, </w:t>
      </w:r>
      <w:r w:rsidR="00FE45DE">
        <w:t>PROJECT 15</w:t>
      </w:r>
      <w:r w:rsidR="007D5BFA">
        <w:t>, cross reacts with the cynomolgus monkey ortholog with similar affinity but does not bind to the rodent ortholog.</w:t>
      </w:r>
    </w:p>
    <w:p w:rsidR="00042D5E" w:rsidRDefault="007D5BFA">
      <w:pPr>
        <w:pStyle w:val="a3"/>
        <w:spacing w:before="110"/>
        <w:ind w:left="232"/>
      </w:pPr>
      <w:r>
        <w:lastRenderedPageBreak/>
        <w:t>Refer to [End-of-Text Table 3.1] and [End-of-Text Table 3.2.1].</w:t>
      </w:r>
    </w:p>
    <w:p w:rsidR="00042D5E" w:rsidRDefault="00042D5E">
      <w:pPr>
        <w:sectPr w:rsidR="00042D5E">
          <w:headerReference w:type="default" r:id="rId7"/>
          <w:pgSz w:w="12240" w:h="15840"/>
          <w:pgMar w:top="1240" w:right="0" w:bottom="940" w:left="1380" w:header="578" w:footer="746" w:gutter="0"/>
          <w:cols w:space="720"/>
        </w:sectPr>
      </w:pPr>
    </w:p>
    <w:p w:rsidR="00042D5E" w:rsidRDefault="00BB321B">
      <w:pPr>
        <w:tabs>
          <w:tab w:val="left" w:pos="13276"/>
        </w:tabs>
        <w:spacing w:before="78" w:line="229" w:lineRule="exact"/>
        <w:ind w:right="233"/>
        <w:jc w:val="right"/>
        <w:rPr>
          <w:sz w:val="20"/>
        </w:rPr>
      </w:pPr>
      <w:r>
        <w:rPr>
          <w:color w:val="323232"/>
          <w:sz w:val="20"/>
        </w:rPr>
        <w:lastRenderedPageBreak/>
        <w:t>PROJECT 15</w:t>
      </w:r>
      <w:r w:rsidR="007D5BFA">
        <w:rPr>
          <w:color w:val="323232"/>
          <w:sz w:val="20"/>
        </w:rPr>
        <w:tab/>
      </w:r>
      <w:r w:rsidR="007D5BFA">
        <w:rPr>
          <w:color w:val="323232"/>
          <w:spacing w:val="-1"/>
          <w:sz w:val="20"/>
        </w:rPr>
        <w:t>CONFIDENTIAL</w:t>
      </w:r>
    </w:p>
    <w:p w:rsidR="00042D5E" w:rsidRDefault="007D5BFA">
      <w:pPr>
        <w:tabs>
          <w:tab w:val="left" w:pos="12849"/>
        </w:tabs>
        <w:spacing w:line="229" w:lineRule="exact"/>
        <w:ind w:right="235"/>
        <w:jc w:val="right"/>
        <w:rPr>
          <w:sz w:val="20"/>
        </w:rPr>
      </w:pPr>
      <w:r>
        <w:rPr>
          <w:color w:val="323232"/>
          <w:sz w:val="20"/>
        </w:rPr>
        <w:t>Acute</w:t>
      </w:r>
      <w:r>
        <w:rPr>
          <w:color w:val="323232"/>
          <w:spacing w:val="-3"/>
          <w:sz w:val="20"/>
        </w:rPr>
        <w:t xml:space="preserve"> </w:t>
      </w:r>
      <w:r>
        <w:rPr>
          <w:color w:val="323232"/>
          <w:sz w:val="20"/>
        </w:rPr>
        <w:t>Myeloid</w:t>
      </w:r>
      <w:r>
        <w:rPr>
          <w:color w:val="323232"/>
          <w:spacing w:val="-2"/>
          <w:sz w:val="20"/>
        </w:rPr>
        <w:t xml:space="preserve"> </w:t>
      </w:r>
      <w:r>
        <w:rPr>
          <w:color w:val="323232"/>
          <w:sz w:val="20"/>
        </w:rPr>
        <w:t>Leukemia</w:t>
      </w:r>
      <w:r>
        <w:rPr>
          <w:color w:val="323232"/>
          <w:sz w:val="20"/>
        </w:rPr>
        <w:tab/>
        <w:t>Investigator’s</w:t>
      </w:r>
      <w:r>
        <w:rPr>
          <w:color w:val="323232"/>
          <w:spacing w:val="-7"/>
          <w:sz w:val="20"/>
        </w:rPr>
        <w:t xml:space="preserve"> </w:t>
      </w:r>
      <w:r>
        <w:rPr>
          <w:color w:val="323232"/>
          <w:sz w:val="20"/>
        </w:rPr>
        <w:t>Brochure</w:t>
      </w:r>
    </w:p>
    <w:p w:rsidR="00042D5E" w:rsidRDefault="007D5BFA">
      <w:pPr>
        <w:ind w:right="231"/>
        <w:jc w:val="right"/>
        <w:rPr>
          <w:sz w:val="20"/>
        </w:rPr>
      </w:pPr>
      <w:r>
        <w:rPr>
          <w:color w:val="323232"/>
          <w:sz w:val="20"/>
        </w:rPr>
        <w:t>Edition</w:t>
      </w:r>
      <w:r>
        <w:rPr>
          <w:color w:val="323232"/>
          <w:spacing w:val="-4"/>
          <w:sz w:val="20"/>
        </w:rPr>
        <w:t xml:space="preserve"> </w:t>
      </w:r>
      <w:r>
        <w:rPr>
          <w:color w:val="323232"/>
          <w:sz w:val="20"/>
        </w:rPr>
        <w:t>3.0</w:t>
      </w:r>
    </w:p>
    <w:p w:rsidR="00042D5E" w:rsidRDefault="00042D5E">
      <w:pPr>
        <w:pStyle w:val="a3"/>
        <w:spacing w:before="6"/>
        <w:rPr>
          <w:sz w:val="21"/>
        </w:rPr>
      </w:pPr>
    </w:p>
    <w:p w:rsidR="00042D5E" w:rsidRDefault="007D5BFA">
      <w:pPr>
        <w:pStyle w:val="3"/>
        <w:tabs>
          <w:tab w:val="left" w:pos="1659"/>
        </w:tabs>
        <w:spacing w:before="90"/>
        <w:ind w:left="241"/>
      </w:pPr>
      <w:bookmarkStart w:id="9" w:name="_bookmark59"/>
      <w:bookmarkEnd w:id="9"/>
      <w:r>
        <w:t>Table</w:t>
      </w:r>
      <w:r>
        <w:rPr>
          <w:spacing w:val="-1"/>
        </w:rPr>
        <w:t xml:space="preserve"> </w:t>
      </w:r>
      <w:r>
        <w:t>12</w:t>
      </w:r>
      <w:r>
        <w:tab/>
        <w:t xml:space="preserve">Toxicology Studies Conducted with </w:t>
      </w:r>
      <w:r w:rsidR="00BB321B">
        <w:t>PROJECT 15</w:t>
      </w:r>
      <w:r>
        <w:t xml:space="preserve"> or the Metabolite</w:t>
      </w:r>
      <w:r>
        <w:rPr>
          <w:spacing w:val="-7"/>
        </w:rPr>
        <w:t xml:space="preserve"> </w:t>
      </w:r>
      <w:r>
        <w:t>pAF-AGL-0185-30</w:t>
      </w:r>
    </w:p>
    <w:p w:rsidR="00042D5E" w:rsidRDefault="00042D5E">
      <w:pPr>
        <w:pStyle w:val="a3"/>
        <w:spacing w:before="6"/>
        <w:rPr>
          <w:b/>
          <w:sz w:val="5"/>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5"/>
        <w:gridCol w:w="1526"/>
        <w:gridCol w:w="1884"/>
        <w:gridCol w:w="1219"/>
        <w:gridCol w:w="1329"/>
        <w:gridCol w:w="1523"/>
        <w:gridCol w:w="1247"/>
        <w:gridCol w:w="1631"/>
      </w:tblGrid>
      <w:tr w:rsidR="00042D5E">
        <w:trPr>
          <w:trHeight w:val="539"/>
        </w:trPr>
        <w:tc>
          <w:tcPr>
            <w:tcW w:w="4615" w:type="dxa"/>
            <w:tcBorders>
              <w:bottom w:val="single" w:sz="2" w:space="0" w:color="000000"/>
              <w:right w:val="single" w:sz="2" w:space="0" w:color="000000"/>
            </w:tcBorders>
          </w:tcPr>
          <w:p w:rsidR="00042D5E" w:rsidRDefault="007D5BFA">
            <w:pPr>
              <w:pStyle w:val="TableParagraph"/>
              <w:spacing w:before="153"/>
              <w:ind w:left="114"/>
              <w:jc w:val="left"/>
              <w:rPr>
                <w:b/>
                <w:sz w:val="20"/>
              </w:rPr>
            </w:pPr>
            <w:r>
              <w:rPr>
                <w:b/>
                <w:sz w:val="20"/>
              </w:rPr>
              <w:t>Type of Study</w:t>
            </w:r>
          </w:p>
        </w:tc>
        <w:tc>
          <w:tcPr>
            <w:tcW w:w="1526" w:type="dxa"/>
            <w:tcBorders>
              <w:left w:val="single" w:sz="2" w:space="0" w:color="000000"/>
              <w:bottom w:val="single" w:sz="2" w:space="0" w:color="000000"/>
              <w:right w:val="single" w:sz="2" w:space="0" w:color="000000"/>
            </w:tcBorders>
          </w:tcPr>
          <w:p w:rsidR="00042D5E" w:rsidRDefault="007D5BFA">
            <w:pPr>
              <w:pStyle w:val="TableParagraph"/>
              <w:spacing w:before="38"/>
              <w:ind w:left="501" w:hanging="231"/>
              <w:jc w:val="left"/>
              <w:rPr>
                <w:b/>
                <w:sz w:val="20"/>
              </w:rPr>
            </w:pPr>
            <w:r>
              <w:rPr>
                <w:b/>
                <w:sz w:val="20"/>
              </w:rPr>
              <w:t>Species and Strain</w:t>
            </w:r>
          </w:p>
        </w:tc>
        <w:tc>
          <w:tcPr>
            <w:tcW w:w="1884" w:type="dxa"/>
            <w:tcBorders>
              <w:left w:val="single" w:sz="2" w:space="0" w:color="000000"/>
              <w:bottom w:val="single" w:sz="2" w:space="0" w:color="000000"/>
              <w:right w:val="single" w:sz="2" w:space="0" w:color="000000"/>
            </w:tcBorders>
          </w:tcPr>
          <w:p w:rsidR="00042D5E" w:rsidRDefault="007D5BFA">
            <w:pPr>
              <w:pStyle w:val="TableParagraph"/>
              <w:spacing w:before="38"/>
              <w:ind w:left="290" w:right="257" w:firstLine="213"/>
              <w:jc w:val="left"/>
              <w:rPr>
                <w:b/>
                <w:sz w:val="20"/>
              </w:rPr>
            </w:pPr>
            <w:r>
              <w:rPr>
                <w:b/>
                <w:sz w:val="20"/>
              </w:rPr>
              <w:t>Method of Administration</w:t>
            </w:r>
          </w:p>
        </w:tc>
        <w:tc>
          <w:tcPr>
            <w:tcW w:w="1219" w:type="dxa"/>
            <w:tcBorders>
              <w:left w:val="single" w:sz="2" w:space="0" w:color="000000"/>
              <w:bottom w:val="single" w:sz="2" w:space="0" w:color="000000"/>
              <w:right w:val="single" w:sz="2" w:space="0" w:color="000000"/>
            </w:tcBorders>
          </w:tcPr>
          <w:p w:rsidR="00042D5E" w:rsidRDefault="007D5BFA">
            <w:pPr>
              <w:pStyle w:val="TableParagraph"/>
              <w:spacing w:before="38"/>
              <w:ind w:left="211" w:right="177" w:firstLine="14"/>
              <w:jc w:val="left"/>
              <w:rPr>
                <w:b/>
                <w:sz w:val="20"/>
              </w:rPr>
            </w:pPr>
            <w:r>
              <w:rPr>
                <w:b/>
                <w:sz w:val="20"/>
              </w:rPr>
              <w:t>Duration of Dosing</w:t>
            </w:r>
          </w:p>
        </w:tc>
        <w:tc>
          <w:tcPr>
            <w:tcW w:w="1329" w:type="dxa"/>
            <w:tcBorders>
              <w:left w:val="single" w:sz="2" w:space="0" w:color="000000"/>
              <w:bottom w:val="single" w:sz="2" w:space="0" w:color="000000"/>
              <w:right w:val="single" w:sz="2" w:space="0" w:color="000000"/>
            </w:tcBorders>
          </w:tcPr>
          <w:p w:rsidR="00042D5E" w:rsidRDefault="007D5BFA">
            <w:pPr>
              <w:pStyle w:val="TableParagraph"/>
              <w:spacing w:before="38"/>
              <w:ind w:left="334" w:right="226" w:firstLine="88"/>
              <w:jc w:val="left"/>
              <w:rPr>
                <w:b/>
                <w:sz w:val="20"/>
              </w:rPr>
            </w:pPr>
            <w:r>
              <w:rPr>
                <w:b/>
                <w:sz w:val="20"/>
              </w:rPr>
              <w:t xml:space="preserve">Doses </w:t>
            </w:r>
            <w:r>
              <w:rPr>
                <w:b/>
                <w:w w:val="95"/>
                <w:sz w:val="20"/>
              </w:rPr>
              <w:t>(mg/kg)</w:t>
            </w:r>
          </w:p>
        </w:tc>
        <w:tc>
          <w:tcPr>
            <w:tcW w:w="1523" w:type="dxa"/>
            <w:tcBorders>
              <w:left w:val="single" w:sz="2" w:space="0" w:color="000000"/>
              <w:bottom w:val="single" w:sz="2" w:space="0" w:color="000000"/>
              <w:right w:val="single" w:sz="2" w:space="0" w:color="000000"/>
            </w:tcBorders>
          </w:tcPr>
          <w:p w:rsidR="00042D5E" w:rsidRDefault="007D5BFA">
            <w:pPr>
              <w:pStyle w:val="TableParagraph"/>
              <w:spacing w:before="38"/>
              <w:ind w:left="236" w:right="216"/>
              <w:rPr>
                <w:b/>
                <w:sz w:val="20"/>
              </w:rPr>
            </w:pPr>
            <w:r>
              <w:rPr>
                <w:b/>
                <w:sz w:val="20"/>
              </w:rPr>
              <w:t>GLP</w:t>
            </w:r>
          </w:p>
          <w:p w:rsidR="00042D5E" w:rsidRDefault="007D5BFA">
            <w:pPr>
              <w:pStyle w:val="TableParagraph"/>
              <w:spacing w:before="1"/>
              <w:ind w:left="236" w:right="219"/>
              <w:rPr>
                <w:b/>
                <w:sz w:val="20"/>
              </w:rPr>
            </w:pPr>
            <w:r>
              <w:rPr>
                <w:b/>
                <w:sz w:val="20"/>
              </w:rPr>
              <w:t>Compliance</w:t>
            </w:r>
          </w:p>
        </w:tc>
        <w:tc>
          <w:tcPr>
            <w:tcW w:w="1247" w:type="dxa"/>
            <w:tcBorders>
              <w:left w:val="single" w:sz="2" w:space="0" w:color="000000"/>
              <w:bottom w:val="single" w:sz="2" w:space="0" w:color="000000"/>
              <w:right w:val="single" w:sz="2" w:space="0" w:color="000000"/>
            </w:tcBorders>
          </w:tcPr>
          <w:p w:rsidR="00042D5E" w:rsidRDefault="007D5BFA">
            <w:pPr>
              <w:pStyle w:val="TableParagraph"/>
              <w:spacing w:before="38"/>
              <w:ind w:left="307" w:right="270" w:firstLine="7"/>
              <w:jc w:val="left"/>
              <w:rPr>
                <w:b/>
                <w:sz w:val="20"/>
              </w:rPr>
            </w:pPr>
            <w:r>
              <w:rPr>
                <w:b/>
                <w:sz w:val="20"/>
              </w:rPr>
              <w:t>Testing Facility</w:t>
            </w:r>
          </w:p>
        </w:tc>
        <w:tc>
          <w:tcPr>
            <w:tcW w:w="1631" w:type="dxa"/>
            <w:tcBorders>
              <w:left w:val="single" w:sz="2" w:space="0" w:color="000000"/>
              <w:bottom w:val="single" w:sz="2" w:space="0" w:color="000000"/>
            </w:tcBorders>
          </w:tcPr>
          <w:p w:rsidR="00042D5E" w:rsidRDefault="007D5BFA">
            <w:pPr>
              <w:pStyle w:val="TableParagraph"/>
              <w:spacing w:before="153"/>
              <w:ind w:left="245" w:right="224"/>
              <w:rPr>
                <w:b/>
                <w:sz w:val="20"/>
              </w:rPr>
            </w:pPr>
            <w:r>
              <w:rPr>
                <w:b/>
                <w:sz w:val="20"/>
              </w:rPr>
              <w:t>Study No.</w:t>
            </w:r>
          </w:p>
        </w:tc>
      </w:tr>
      <w:tr w:rsidR="00042D5E">
        <w:trPr>
          <w:trHeight w:val="309"/>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8"/>
              <w:ind w:left="114"/>
              <w:jc w:val="left"/>
              <w:rPr>
                <w:b/>
                <w:sz w:val="20"/>
              </w:rPr>
            </w:pPr>
            <w:r>
              <w:rPr>
                <w:b/>
                <w:sz w:val="20"/>
              </w:rPr>
              <w:t>Repeat-Dose Toxicity</w:t>
            </w:r>
          </w:p>
        </w:tc>
        <w:tc>
          <w:tcPr>
            <w:tcW w:w="1526"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884"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1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32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523"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47"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631" w:type="dxa"/>
            <w:tcBorders>
              <w:top w:val="single" w:sz="2" w:space="0" w:color="000000"/>
              <w:left w:val="single" w:sz="2" w:space="0" w:color="000000"/>
              <w:bottom w:val="single" w:sz="2" w:space="0" w:color="000000"/>
            </w:tcBorders>
          </w:tcPr>
          <w:p w:rsidR="00042D5E" w:rsidRDefault="00042D5E">
            <w:pPr>
              <w:pStyle w:val="TableParagraph"/>
              <w:jc w:val="left"/>
              <w:rPr>
                <w:sz w:val="20"/>
              </w:rPr>
            </w:pPr>
          </w:p>
        </w:tc>
      </w:tr>
      <w:tr w:rsidR="00042D5E">
        <w:trPr>
          <w:trHeight w:val="1000"/>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4"/>
              <w:ind w:left="114" w:right="754"/>
              <w:jc w:val="left"/>
              <w:rPr>
                <w:sz w:val="20"/>
              </w:rPr>
            </w:pPr>
            <w:r>
              <w:rPr>
                <w:sz w:val="20"/>
              </w:rPr>
              <w:t xml:space="preserve">4-Week Toxicity Study of </w:t>
            </w:r>
            <w:r w:rsidR="00FE45DE">
              <w:rPr>
                <w:sz w:val="20"/>
              </w:rPr>
              <w:t>PROJECT 15</w:t>
            </w:r>
            <w:r>
              <w:rPr>
                <w:sz w:val="20"/>
              </w:rPr>
              <w:t xml:space="preserve">-mcMMAF, </w:t>
            </w:r>
            <w:r w:rsidR="00BB321B">
              <w:rPr>
                <w:sz w:val="20"/>
              </w:rPr>
              <w:t>PROJECT 15</w:t>
            </w:r>
            <w:r>
              <w:rPr>
                <w:sz w:val="20"/>
              </w:rPr>
              <w:t xml:space="preserve">, and </w:t>
            </w:r>
            <w:r w:rsidR="00FE45DE">
              <w:rPr>
                <w:sz w:val="20"/>
              </w:rPr>
              <w:t>Project 15</w:t>
            </w:r>
            <w:r>
              <w:rPr>
                <w:sz w:val="20"/>
              </w:rPr>
              <w:t>AF-AGL-0140-19 in</w:t>
            </w:r>
          </w:p>
          <w:p w:rsidR="00042D5E" w:rsidRDefault="007D5BFA">
            <w:pPr>
              <w:pStyle w:val="TableParagraph"/>
              <w:spacing w:before="1"/>
              <w:ind w:left="114" w:right="610"/>
              <w:jc w:val="left"/>
              <w:rPr>
                <w:sz w:val="20"/>
              </w:rPr>
            </w:pPr>
            <w:r>
              <w:rPr>
                <w:sz w:val="20"/>
              </w:rPr>
              <w:t>Cynomolgus Monkeys with a 6-Week Recovery Period</w:t>
            </w:r>
          </w:p>
        </w:tc>
        <w:tc>
          <w:tcPr>
            <w:tcW w:w="1526"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1"/>
              <w:jc w:val="left"/>
              <w:rPr>
                <w:b/>
              </w:rPr>
            </w:pPr>
          </w:p>
          <w:p w:rsidR="00042D5E" w:rsidRDefault="007D5BFA">
            <w:pPr>
              <w:pStyle w:val="TableParagraph"/>
              <w:ind w:left="396" w:hanging="140"/>
              <w:jc w:val="left"/>
              <w:rPr>
                <w:sz w:val="20"/>
              </w:rPr>
            </w:pPr>
            <w:r>
              <w:rPr>
                <w:w w:val="95"/>
                <w:sz w:val="20"/>
              </w:rPr>
              <w:t xml:space="preserve">Cynomolgus </w:t>
            </w:r>
            <w:r>
              <w:rPr>
                <w:sz w:val="20"/>
              </w:rPr>
              <w:t>Monkeys</w:t>
            </w:r>
          </w:p>
        </w:tc>
        <w:tc>
          <w:tcPr>
            <w:tcW w:w="1884"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1"/>
              <w:jc w:val="left"/>
              <w:rPr>
                <w:b/>
              </w:rPr>
            </w:pPr>
          </w:p>
          <w:p w:rsidR="00042D5E" w:rsidRDefault="007D5BFA">
            <w:pPr>
              <w:pStyle w:val="TableParagraph"/>
              <w:ind w:left="101" w:right="88"/>
              <w:rPr>
                <w:sz w:val="20"/>
              </w:rPr>
            </w:pPr>
            <w:r>
              <w:rPr>
                <w:sz w:val="20"/>
              </w:rPr>
              <w:t>Intravenous infusion</w:t>
            </w:r>
          </w:p>
          <w:p w:rsidR="00042D5E" w:rsidRDefault="007D5BFA">
            <w:pPr>
              <w:pStyle w:val="TableParagraph"/>
              <w:spacing w:before="1"/>
              <w:ind w:left="98" w:right="88"/>
              <w:rPr>
                <w:sz w:val="20"/>
              </w:rPr>
            </w:pPr>
            <w:r>
              <w:rPr>
                <w:sz w:val="20"/>
              </w:rPr>
              <w:t>– 30 min</w:t>
            </w:r>
          </w:p>
        </w:tc>
        <w:tc>
          <w:tcPr>
            <w:tcW w:w="121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26"/>
              <w:ind w:left="268" w:right="256"/>
              <w:rPr>
                <w:sz w:val="20"/>
              </w:rPr>
            </w:pPr>
            <w:r>
              <w:rPr>
                <w:sz w:val="20"/>
              </w:rPr>
              <w:t>4 weeks</w:t>
            </w:r>
          </w:p>
        </w:tc>
        <w:tc>
          <w:tcPr>
            <w:tcW w:w="132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1"/>
              <w:jc w:val="left"/>
              <w:rPr>
                <w:b/>
              </w:rPr>
            </w:pPr>
          </w:p>
          <w:p w:rsidR="00042D5E" w:rsidRDefault="00BB321B">
            <w:pPr>
              <w:pStyle w:val="TableParagraph"/>
              <w:ind w:left="267" w:right="226" w:hanging="12"/>
              <w:jc w:val="left"/>
              <w:rPr>
                <w:sz w:val="20"/>
              </w:rPr>
            </w:pPr>
            <w:r>
              <w:rPr>
                <w:sz w:val="20"/>
              </w:rPr>
              <w:t>PROJECT 15</w:t>
            </w:r>
            <w:r w:rsidR="007D5BFA">
              <w:rPr>
                <w:sz w:val="20"/>
              </w:rPr>
              <w:t>: 12, 18, 24</w:t>
            </w:r>
          </w:p>
        </w:tc>
        <w:tc>
          <w:tcPr>
            <w:tcW w:w="1523"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26"/>
              <w:ind w:left="646"/>
              <w:jc w:val="left"/>
              <w:rPr>
                <w:sz w:val="20"/>
              </w:rPr>
            </w:pPr>
            <w:r>
              <w:rPr>
                <w:sz w:val="20"/>
              </w:rPr>
              <w:t>No</w:t>
            </w:r>
          </w:p>
        </w:tc>
        <w:tc>
          <w:tcPr>
            <w:tcW w:w="1247"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26"/>
              <w:ind w:left="139"/>
              <w:jc w:val="left"/>
              <w:rPr>
                <w:sz w:val="20"/>
              </w:rPr>
            </w:pPr>
            <w:r>
              <w:rPr>
                <w:sz w:val="20"/>
              </w:rPr>
              <w:t>SNBL-USA</w:t>
            </w:r>
          </w:p>
        </w:tc>
        <w:tc>
          <w:tcPr>
            <w:tcW w:w="1631" w:type="dxa"/>
            <w:tcBorders>
              <w:top w:val="single" w:sz="2" w:space="0" w:color="000000"/>
              <w:left w:val="single" w:sz="2" w:space="0" w:color="000000"/>
              <w:bottom w:val="single" w:sz="2" w:space="0" w:color="000000"/>
            </w:tcBorders>
          </w:tcPr>
          <w:p w:rsidR="00042D5E" w:rsidRDefault="00042D5E">
            <w:pPr>
              <w:pStyle w:val="TableParagraph"/>
              <w:jc w:val="left"/>
              <w:rPr>
                <w:b/>
              </w:rPr>
            </w:pPr>
          </w:p>
          <w:p w:rsidR="00042D5E" w:rsidRDefault="007D5BFA">
            <w:pPr>
              <w:pStyle w:val="TableParagraph"/>
              <w:spacing w:before="126"/>
              <w:ind w:left="245" w:right="224"/>
              <w:rPr>
                <w:sz w:val="20"/>
              </w:rPr>
            </w:pPr>
            <w:r>
              <w:rPr>
                <w:sz w:val="20"/>
              </w:rPr>
              <w:t>SNBL.321.02</w:t>
            </w:r>
          </w:p>
        </w:tc>
      </w:tr>
      <w:tr w:rsidR="00042D5E">
        <w:trPr>
          <w:trHeight w:val="770"/>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4"/>
              <w:ind w:left="114" w:right="143"/>
              <w:jc w:val="left"/>
              <w:rPr>
                <w:sz w:val="20"/>
              </w:rPr>
            </w:pPr>
            <w:r>
              <w:rPr>
                <w:sz w:val="20"/>
              </w:rPr>
              <w:t xml:space="preserve">A Multiple Dose Toxicity Study of </w:t>
            </w:r>
            <w:r w:rsidR="00BB321B">
              <w:rPr>
                <w:sz w:val="20"/>
              </w:rPr>
              <w:t>PROJECT 15</w:t>
            </w:r>
            <w:r>
              <w:rPr>
                <w:sz w:val="20"/>
              </w:rPr>
              <w:t xml:space="preserve"> Administered by Intravenous Infusion to Cynomolgus Monkeys with a 6-Week Recovery Period</w:t>
            </w:r>
          </w:p>
        </w:tc>
        <w:tc>
          <w:tcPr>
            <w:tcW w:w="1526"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left="434" w:hanging="178"/>
              <w:jc w:val="left"/>
              <w:rPr>
                <w:sz w:val="20"/>
              </w:rPr>
            </w:pPr>
            <w:r>
              <w:rPr>
                <w:w w:val="95"/>
                <w:sz w:val="20"/>
              </w:rPr>
              <w:t xml:space="preserve">Cynomolgus </w:t>
            </w:r>
            <w:r>
              <w:rPr>
                <w:sz w:val="20"/>
              </w:rPr>
              <w:t>Monkey</w:t>
            </w:r>
          </w:p>
        </w:tc>
        <w:tc>
          <w:tcPr>
            <w:tcW w:w="188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left="101" w:right="88"/>
              <w:rPr>
                <w:sz w:val="20"/>
              </w:rPr>
            </w:pPr>
            <w:r>
              <w:rPr>
                <w:sz w:val="20"/>
              </w:rPr>
              <w:t>Intravenous infusion</w:t>
            </w:r>
          </w:p>
          <w:p w:rsidR="00042D5E" w:rsidRDefault="007D5BFA">
            <w:pPr>
              <w:pStyle w:val="TableParagraph"/>
              <w:ind w:left="98" w:right="88"/>
              <w:rPr>
                <w:sz w:val="20"/>
              </w:rPr>
            </w:pPr>
            <w:r>
              <w:rPr>
                <w:sz w:val="20"/>
              </w:rPr>
              <w:t>– 30 min</w:t>
            </w:r>
          </w:p>
        </w:tc>
        <w:tc>
          <w:tcPr>
            <w:tcW w:w="121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1"/>
              <w:jc w:val="left"/>
              <w:rPr>
                <w:b/>
              </w:rPr>
            </w:pPr>
          </w:p>
          <w:p w:rsidR="00042D5E" w:rsidRDefault="007D5BFA">
            <w:pPr>
              <w:pStyle w:val="TableParagraph"/>
              <w:ind w:left="268" w:right="256"/>
              <w:rPr>
                <w:sz w:val="20"/>
              </w:rPr>
            </w:pPr>
            <w:r>
              <w:rPr>
                <w:sz w:val="20"/>
              </w:rPr>
              <w:t>4 weeks</w:t>
            </w:r>
          </w:p>
        </w:tc>
        <w:tc>
          <w:tcPr>
            <w:tcW w:w="132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1"/>
              <w:jc w:val="left"/>
              <w:rPr>
                <w:b/>
              </w:rPr>
            </w:pPr>
          </w:p>
          <w:p w:rsidR="00042D5E" w:rsidRDefault="007D5BFA">
            <w:pPr>
              <w:pStyle w:val="TableParagraph"/>
              <w:ind w:left="97" w:right="86"/>
              <w:rPr>
                <w:sz w:val="20"/>
              </w:rPr>
            </w:pPr>
            <w:r>
              <w:rPr>
                <w:sz w:val="20"/>
              </w:rPr>
              <w:t>12, 18, 24</w:t>
            </w:r>
          </w:p>
        </w:tc>
        <w:tc>
          <w:tcPr>
            <w:tcW w:w="1523"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1"/>
              <w:jc w:val="left"/>
              <w:rPr>
                <w:b/>
              </w:rPr>
            </w:pPr>
          </w:p>
          <w:p w:rsidR="00042D5E" w:rsidRDefault="007D5BFA">
            <w:pPr>
              <w:pStyle w:val="TableParagraph"/>
              <w:ind w:left="613"/>
              <w:jc w:val="left"/>
              <w:rPr>
                <w:sz w:val="20"/>
              </w:rPr>
            </w:pPr>
            <w:r>
              <w:rPr>
                <w:sz w:val="20"/>
              </w:rPr>
              <w:t>Yes</w:t>
            </w:r>
          </w:p>
        </w:tc>
        <w:tc>
          <w:tcPr>
            <w:tcW w:w="124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left="400"/>
              <w:jc w:val="left"/>
              <w:rPr>
                <w:sz w:val="20"/>
              </w:rPr>
            </w:pPr>
            <w:r>
              <w:rPr>
                <w:sz w:val="20"/>
              </w:rPr>
              <w:t>CRL-</w:t>
            </w:r>
          </w:p>
          <w:p w:rsidR="00042D5E" w:rsidRDefault="007D5BFA">
            <w:pPr>
              <w:pStyle w:val="TableParagraph"/>
              <w:ind w:left="323"/>
              <w:jc w:val="left"/>
              <w:rPr>
                <w:sz w:val="20"/>
              </w:rPr>
            </w:pPr>
            <w:r>
              <w:rPr>
                <w:sz w:val="20"/>
              </w:rPr>
              <w:t>Nevada</w:t>
            </w:r>
          </w:p>
        </w:tc>
        <w:tc>
          <w:tcPr>
            <w:tcW w:w="1631" w:type="dxa"/>
            <w:tcBorders>
              <w:top w:val="single" w:sz="2" w:space="0" w:color="000000"/>
              <w:left w:val="single" w:sz="2" w:space="0" w:color="000000"/>
              <w:bottom w:val="single" w:sz="2" w:space="0" w:color="000000"/>
            </w:tcBorders>
          </w:tcPr>
          <w:p w:rsidR="00042D5E" w:rsidRDefault="00042D5E">
            <w:pPr>
              <w:pStyle w:val="TableParagraph"/>
              <w:spacing w:before="11"/>
              <w:jc w:val="left"/>
              <w:rPr>
                <w:b/>
              </w:rPr>
            </w:pPr>
          </w:p>
          <w:p w:rsidR="00042D5E" w:rsidRDefault="007D5BFA">
            <w:pPr>
              <w:pStyle w:val="TableParagraph"/>
              <w:ind w:left="245" w:right="224"/>
              <w:rPr>
                <w:sz w:val="20"/>
              </w:rPr>
            </w:pPr>
            <w:r>
              <w:rPr>
                <w:sz w:val="20"/>
              </w:rPr>
              <w:t>20076945</w:t>
            </w:r>
          </w:p>
        </w:tc>
      </w:tr>
      <w:tr w:rsidR="00042D5E">
        <w:trPr>
          <w:trHeight w:val="309"/>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8"/>
              <w:ind w:left="114"/>
              <w:jc w:val="left"/>
              <w:rPr>
                <w:b/>
                <w:sz w:val="20"/>
              </w:rPr>
            </w:pPr>
            <w:r>
              <w:rPr>
                <w:b/>
                <w:sz w:val="20"/>
              </w:rPr>
              <w:t>Other Toxicology</w:t>
            </w:r>
          </w:p>
        </w:tc>
        <w:tc>
          <w:tcPr>
            <w:tcW w:w="1526"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884"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1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32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523"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47"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631" w:type="dxa"/>
            <w:tcBorders>
              <w:top w:val="single" w:sz="2" w:space="0" w:color="000000"/>
              <w:left w:val="single" w:sz="2" w:space="0" w:color="000000"/>
              <w:bottom w:val="single" w:sz="2" w:space="0" w:color="000000"/>
            </w:tcBorders>
          </w:tcPr>
          <w:p w:rsidR="00042D5E" w:rsidRDefault="00042D5E">
            <w:pPr>
              <w:pStyle w:val="TableParagraph"/>
              <w:jc w:val="left"/>
              <w:rPr>
                <w:sz w:val="20"/>
              </w:rPr>
            </w:pPr>
          </w:p>
        </w:tc>
      </w:tr>
      <w:tr w:rsidR="00042D5E">
        <w:trPr>
          <w:trHeight w:val="309"/>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8"/>
              <w:ind w:left="114"/>
              <w:jc w:val="left"/>
              <w:rPr>
                <w:b/>
                <w:sz w:val="20"/>
              </w:rPr>
            </w:pPr>
            <w:r>
              <w:rPr>
                <w:b/>
                <w:sz w:val="20"/>
              </w:rPr>
              <w:t>Studies on Metabolites</w:t>
            </w:r>
          </w:p>
        </w:tc>
        <w:tc>
          <w:tcPr>
            <w:tcW w:w="1526"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884"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1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32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523"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47"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631" w:type="dxa"/>
            <w:tcBorders>
              <w:top w:val="single" w:sz="2" w:space="0" w:color="000000"/>
              <w:left w:val="single" w:sz="2" w:space="0" w:color="000000"/>
              <w:bottom w:val="single" w:sz="2" w:space="0" w:color="000000"/>
            </w:tcBorders>
          </w:tcPr>
          <w:p w:rsidR="00042D5E" w:rsidRDefault="00042D5E">
            <w:pPr>
              <w:pStyle w:val="TableParagraph"/>
              <w:jc w:val="left"/>
              <w:rPr>
                <w:sz w:val="20"/>
              </w:rPr>
            </w:pPr>
          </w:p>
        </w:tc>
      </w:tr>
      <w:tr w:rsidR="00042D5E">
        <w:trPr>
          <w:trHeight w:val="811"/>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6"/>
              <w:ind w:left="114" w:right="704"/>
              <w:jc w:val="left"/>
              <w:rPr>
                <w:sz w:val="20"/>
              </w:rPr>
            </w:pPr>
            <w:r>
              <w:rPr>
                <w:sz w:val="20"/>
              </w:rPr>
              <w:t>A Single Dose Study of pAF-AGL-0185-30 by Intravenous Injection in</w:t>
            </w:r>
          </w:p>
          <w:p w:rsidR="00042D5E" w:rsidRDefault="007D5BFA">
            <w:pPr>
              <w:pStyle w:val="TableParagraph"/>
              <w:spacing w:before="39"/>
              <w:ind w:left="114"/>
              <w:jc w:val="left"/>
              <w:rPr>
                <w:sz w:val="20"/>
              </w:rPr>
            </w:pPr>
            <w:r>
              <w:rPr>
                <w:sz w:val="20"/>
              </w:rPr>
              <w:t>Sprague Dawley Rats</w:t>
            </w:r>
          </w:p>
        </w:tc>
        <w:tc>
          <w:tcPr>
            <w:tcW w:w="1526"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70"/>
              <w:ind w:left="254" w:right="219" w:firstLine="187"/>
              <w:jc w:val="left"/>
              <w:rPr>
                <w:sz w:val="20"/>
              </w:rPr>
            </w:pPr>
            <w:r>
              <w:rPr>
                <w:sz w:val="20"/>
              </w:rPr>
              <w:t>Sprague Dawley Rats</w:t>
            </w:r>
          </w:p>
        </w:tc>
        <w:tc>
          <w:tcPr>
            <w:tcW w:w="188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70"/>
              <w:ind w:left="730" w:right="225" w:hanging="468"/>
              <w:jc w:val="left"/>
              <w:rPr>
                <w:sz w:val="20"/>
              </w:rPr>
            </w:pPr>
            <w:r>
              <w:rPr>
                <w:sz w:val="20"/>
              </w:rPr>
              <w:t>Intravenous slow bolus</w:t>
            </w:r>
          </w:p>
        </w:tc>
        <w:tc>
          <w:tcPr>
            <w:tcW w:w="121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0"/>
              <w:jc w:val="left"/>
              <w:rPr>
                <w:b/>
                <w:sz w:val="24"/>
              </w:rPr>
            </w:pPr>
          </w:p>
          <w:p w:rsidR="00042D5E" w:rsidRDefault="007D5BFA">
            <w:pPr>
              <w:pStyle w:val="TableParagraph"/>
              <w:ind w:left="268" w:right="253"/>
              <w:rPr>
                <w:sz w:val="20"/>
              </w:rPr>
            </w:pPr>
            <w:r>
              <w:rPr>
                <w:sz w:val="20"/>
              </w:rPr>
              <w:t>1 week</w:t>
            </w:r>
          </w:p>
        </w:tc>
        <w:tc>
          <w:tcPr>
            <w:tcW w:w="132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0"/>
              <w:jc w:val="left"/>
              <w:rPr>
                <w:b/>
                <w:sz w:val="24"/>
              </w:rPr>
            </w:pPr>
          </w:p>
          <w:p w:rsidR="00042D5E" w:rsidRDefault="007D5BFA">
            <w:pPr>
              <w:pStyle w:val="TableParagraph"/>
              <w:ind w:left="97" w:right="84"/>
              <w:rPr>
                <w:sz w:val="20"/>
              </w:rPr>
            </w:pPr>
            <w:r>
              <w:rPr>
                <w:sz w:val="20"/>
              </w:rPr>
              <w:t>0.5, 1.0, 1.5</w:t>
            </w:r>
          </w:p>
        </w:tc>
        <w:tc>
          <w:tcPr>
            <w:tcW w:w="1523"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spacing w:before="10"/>
              <w:jc w:val="left"/>
              <w:rPr>
                <w:b/>
                <w:sz w:val="24"/>
              </w:rPr>
            </w:pPr>
          </w:p>
          <w:p w:rsidR="00042D5E" w:rsidRDefault="007D5BFA">
            <w:pPr>
              <w:pStyle w:val="TableParagraph"/>
              <w:ind w:left="613"/>
              <w:jc w:val="left"/>
              <w:rPr>
                <w:sz w:val="20"/>
              </w:rPr>
            </w:pPr>
            <w:r>
              <w:rPr>
                <w:sz w:val="20"/>
              </w:rPr>
              <w:t>Yes</w:t>
            </w:r>
          </w:p>
        </w:tc>
        <w:tc>
          <w:tcPr>
            <w:tcW w:w="124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70" w:line="229" w:lineRule="exact"/>
              <w:ind w:left="400"/>
              <w:jc w:val="left"/>
              <w:rPr>
                <w:sz w:val="20"/>
              </w:rPr>
            </w:pPr>
            <w:r>
              <w:rPr>
                <w:sz w:val="20"/>
              </w:rPr>
              <w:t>CRL-</w:t>
            </w:r>
          </w:p>
          <w:p w:rsidR="00042D5E" w:rsidRDefault="007D5BFA">
            <w:pPr>
              <w:pStyle w:val="TableParagraph"/>
              <w:spacing w:line="229" w:lineRule="exact"/>
              <w:ind w:left="323"/>
              <w:jc w:val="left"/>
              <w:rPr>
                <w:sz w:val="20"/>
              </w:rPr>
            </w:pPr>
            <w:r>
              <w:rPr>
                <w:sz w:val="20"/>
              </w:rPr>
              <w:t>Nevada</w:t>
            </w:r>
          </w:p>
        </w:tc>
        <w:tc>
          <w:tcPr>
            <w:tcW w:w="1631" w:type="dxa"/>
            <w:tcBorders>
              <w:top w:val="single" w:sz="2" w:space="0" w:color="000000"/>
              <w:left w:val="single" w:sz="2" w:space="0" w:color="000000"/>
              <w:bottom w:val="single" w:sz="2" w:space="0" w:color="000000"/>
            </w:tcBorders>
          </w:tcPr>
          <w:p w:rsidR="00042D5E" w:rsidRDefault="00042D5E">
            <w:pPr>
              <w:pStyle w:val="TableParagraph"/>
              <w:spacing w:before="10"/>
              <w:jc w:val="left"/>
              <w:rPr>
                <w:b/>
                <w:sz w:val="24"/>
              </w:rPr>
            </w:pPr>
          </w:p>
          <w:p w:rsidR="00042D5E" w:rsidRDefault="007D5BFA">
            <w:pPr>
              <w:pStyle w:val="TableParagraph"/>
              <w:ind w:left="245" w:right="224"/>
              <w:rPr>
                <w:sz w:val="20"/>
              </w:rPr>
            </w:pPr>
            <w:r>
              <w:rPr>
                <w:sz w:val="20"/>
              </w:rPr>
              <w:t>20074683</w:t>
            </w:r>
          </w:p>
        </w:tc>
      </w:tr>
      <w:tr w:rsidR="00042D5E">
        <w:trPr>
          <w:trHeight w:val="539"/>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4"/>
              <w:ind w:left="114" w:right="176"/>
              <w:jc w:val="left"/>
              <w:rPr>
                <w:sz w:val="20"/>
              </w:rPr>
            </w:pPr>
            <w:r>
              <w:rPr>
                <w:sz w:val="20"/>
              </w:rPr>
              <w:t>A Single Dose Study of pAF-AGL-0185-30 by Intravenous Bolus Injection in Cynomolgus Monkeys</w:t>
            </w:r>
          </w:p>
        </w:tc>
        <w:tc>
          <w:tcPr>
            <w:tcW w:w="1526"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ind w:left="434" w:hanging="178"/>
              <w:jc w:val="left"/>
              <w:rPr>
                <w:sz w:val="20"/>
              </w:rPr>
            </w:pPr>
            <w:r>
              <w:rPr>
                <w:w w:val="95"/>
                <w:sz w:val="20"/>
              </w:rPr>
              <w:t xml:space="preserve">Cynomolgus </w:t>
            </w:r>
            <w:r>
              <w:rPr>
                <w:sz w:val="20"/>
              </w:rPr>
              <w:t>Monkey</w:t>
            </w:r>
          </w:p>
        </w:tc>
        <w:tc>
          <w:tcPr>
            <w:tcW w:w="188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ind w:left="730" w:right="225" w:hanging="468"/>
              <w:jc w:val="left"/>
              <w:rPr>
                <w:sz w:val="20"/>
              </w:rPr>
            </w:pPr>
            <w:r>
              <w:rPr>
                <w:sz w:val="20"/>
              </w:rPr>
              <w:t>Intravenous slow bolus</w:t>
            </w:r>
          </w:p>
        </w:tc>
        <w:tc>
          <w:tcPr>
            <w:tcW w:w="1219"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left="268" w:right="253"/>
              <w:rPr>
                <w:sz w:val="20"/>
              </w:rPr>
            </w:pPr>
            <w:r>
              <w:rPr>
                <w:sz w:val="20"/>
              </w:rPr>
              <w:t>1 week</w:t>
            </w:r>
          </w:p>
        </w:tc>
        <w:tc>
          <w:tcPr>
            <w:tcW w:w="1329"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ind w:left="97" w:right="86"/>
              <w:rPr>
                <w:sz w:val="20"/>
              </w:rPr>
            </w:pPr>
            <w:r>
              <w:rPr>
                <w:sz w:val="20"/>
              </w:rPr>
              <w:t>0.083, 0.167,</w:t>
            </w:r>
          </w:p>
          <w:p w:rsidR="00042D5E" w:rsidRDefault="007D5BFA">
            <w:pPr>
              <w:pStyle w:val="TableParagraph"/>
              <w:ind w:left="97" w:right="83"/>
              <w:rPr>
                <w:sz w:val="20"/>
              </w:rPr>
            </w:pPr>
            <w:r>
              <w:rPr>
                <w:sz w:val="20"/>
              </w:rPr>
              <w:t>0.334</w:t>
            </w:r>
          </w:p>
        </w:tc>
        <w:tc>
          <w:tcPr>
            <w:tcW w:w="1523"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left="613"/>
              <w:jc w:val="left"/>
              <w:rPr>
                <w:sz w:val="20"/>
              </w:rPr>
            </w:pPr>
            <w:r>
              <w:rPr>
                <w:sz w:val="20"/>
              </w:rPr>
              <w:t>Yes</w:t>
            </w:r>
          </w:p>
        </w:tc>
        <w:tc>
          <w:tcPr>
            <w:tcW w:w="124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ind w:left="400"/>
              <w:jc w:val="left"/>
              <w:rPr>
                <w:sz w:val="20"/>
              </w:rPr>
            </w:pPr>
            <w:r>
              <w:rPr>
                <w:sz w:val="20"/>
              </w:rPr>
              <w:t>CRL-</w:t>
            </w:r>
          </w:p>
          <w:p w:rsidR="00042D5E" w:rsidRDefault="007D5BFA">
            <w:pPr>
              <w:pStyle w:val="TableParagraph"/>
              <w:ind w:left="323"/>
              <w:jc w:val="left"/>
              <w:rPr>
                <w:sz w:val="20"/>
              </w:rPr>
            </w:pPr>
            <w:r>
              <w:rPr>
                <w:sz w:val="20"/>
              </w:rPr>
              <w:t>Nevada</w:t>
            </w:r>
          </w:p>
        </w:tc>
        <w:tc>
          <w:tcPr>
            <w:tcW w:w="1631" w:type="dxa"/>
            <w:tcBorders>
              <w:top w:val="single" w:sz="2" w:space="0" w:color="000000"/>
              <w:left w:val="single" w:sz="2" w:space="0" w:color="000000"/>
              <w:bottom w:val="single" w:sz="2" w:space="0" w:color="000000"/>
            </w:tcBorders>
          </w:tcPr>
          <w:p w:rsidR="00042D5E" w:rsidRDefault="007D5BFA">
            <w:pPr>
              <w:pStyle w:val="TableParagraph"/>
              <w:spacing w:before="149"/>
              <w:ind w:left="245" w:right="224"/>
              <w:rPr>
                <w:sz w:val="20"/>
              </w:rPr>
            </w:pPr>
            <w:r>
              <w:rPr>
                <w:sz w:val="20"/>
              </w:rPr>
              <w:t>20074684</w:t>
            </w:r>
          </w:p>
        </w:tc>
      </w:tr>
      <w:tr w:rsidR="00042D5E">
        <w:trPr>
          <w:trHeight w:val="309"/>
        </w:trPr>
        <w:tc>
          <w:tcPr>
            <w:tcW w:w="4615" w:type="dxa"/>
            <w:tcBorders>
              <w:top w:val="single" w:sz="2" w:space="0" w:color="000000"/>
              <w:bottom w:val="single" w:sz="2" w:space="0" w:color="000000"/>
              <w:right w:val="single" w:sz="2" w:space="0" w:color="000000"/>
            </w:tcBorders>
          </w:tcPr>
          <w:p w:rsidR="00042D5E" w:rsidRDefault="007D5BFA">
            <w:pPr>
              <w:pStyle w:val="TableParagraph"/>
              <w:spacing w:before="38"/>
              <w:ind w:left="114"/>
              <w:jc w:val="left"/>
              <w:rPr>
                <w:b/>
                <w:sz w:val="20"/>
              </w:rPr>
            </w:pPr>
            <w:r>
              <w:rPr>
                <w:b/>
                <w:sz w:val="20"/>
              </w:rPr>
              <w:t>Other</w:t>
            </w:r>
          </w:p>
        </w:tc>
        <w:tc>
          <w:tcPr>
            <w:tcW w:w="1526"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884"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1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329"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523"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247" w:type="dxa"/>
            <w:tcBorders>
              <w:top w:val="single" w:sz="2" w:space="0" w:color="000000"/>
              <w:left w:val="single" w:sz="2" w:space="0" w:color="000000"/>
              <w:bottom w:val="single" w:sz="2" w:space="0" w:color="000000"/>
              <w:right w:val="single" w:sz="2" w:space="0" w:color="000000"/>
            </w:tcBorders>
          </w:tcPr>
          <w:p w:rsidR="00042D5E" w:rsidRDefault="00042D5E">
            <w:pPr>
              <w:pStyle w:val="TableParagraph"/>
              <w:jc w:val="left"/>
              <w:rPr>
                <w:sz w:val="20"/>
              </w:rPr>
            </w:pPr>
          </w:p>
        </w:tc>
        <w:tc>
          <w:tcPr>
            <w:tcW w:w="1631" w:type="dxa"/>
            <w:tcBorders>
              <w:top w:val="single" w:sz="2" w:space="0" w:color="000000"/>
              <w:left w:val="single" w:sz="2" w:space="0" w:color="000000"/>
              <w:bottom w:val="single" w:sz="2" w:space="0" w:color="000000"/>
            </w:tcBorders>
          </w:tcPr>
          <w:p w:rsidR="00042D5E" w:rsidRDefault="00042D5E">
            <w:pPr>
              <w:pStyle w:val="TableParagraph"/>
              <w:jc w:val="left"/>
              <w:rPr>
                <w:sz w:val="20"/>
              </w:rPr>
            </w:pPr>
          </w:p>
        </w:tc>
      </w:tr>
      <w:tr w:rsidR="00042D5E">
        <w:trPr>
          <w:trHeight w:val="1000"/>
        </w:trPr>
        <w:tc>
          <w:tcPr>
            <w:tcW w:w="4615" w:type="dxa"/>
            <w:tcBorders>
              <w:top w:val="single" w:sz="2" w:space="0" w:color="000000"/>
              <w:right w:val="single" w:sz="2" w:space="0" w:color="000000"/>
            </w:tcBorders>
          </w:tcPr>
          <w:p w:rsidR="00042D5E" w:rsidRDefault="007D5BFA">
            <w:pPr>
              <w:pStyle w:val="TableParagraph"/>
              <w:spacing w:before="149"/>
              <w:ind w:left="114" w:right="660"/>
              <w:jc w:val="left"/>
              <w:rPr>
                <w:sz w:val="20"/>
              </w:rPr>
            </w:pPr>
            <w:r>
              <w:rPr>
                <w:sz w:val="20"/>
              </w:rPr>
              <w:t xml:space="preserve">Assessment of the Potential Cross Reactivity of </w:t>
            </w:r>
            <w:r w:rsidR="00BB321B">
              <w:rPr>
                <w:sz w:val="20"/>
              </w:rPr>
              <w:t>PROJECT 15</w:t>
            </w:r>
            <w:r>
              <w:rPr>
                <w:sz w:val="20"/>
              </w:rPr>
              <w:t xml:space="preserve"> with a Selected Panel of Human and Cynomolgus Monkey Tissues</w:t>
            </w:r>
          </w:p>
        </w:tc>
        <w:tc>
          <w:tcPr>
            <w:tcW w:w="1526" w:type="dxa"/>
            <w:tcBorders>
              <w:top w:val="single" w:sz="2" w:space="0" w:color="000000"/>
              <w:left w:val="single" w:sz="2" w:space="0" w:color="000000"/>
              <w:right w:val="single" w:sz="2" w:space="0" w:color="000000"/>
            </w:tcBorders>
          </w:tcPr>
          <w:p w:rsidR="00042D5E" w:rsidRDefault="007D5BFA">
            <w:pPr>
              <w:pStyle w:val="TableParagraph"/>
              <w:spacing w:before="34"/>
              <w:ind w:left="242" w:right="227" w:firstLine="1"/>
              <w:rPr>
                <w:sz w:val="20"/>
              </w:rPr>
            </w:pPr>
            <w:r>
              <w:rPr>
                <w:sz w:val="20"/>
              </w:rPr>
              <w:t>Normal cynomolgus monkey and human tissue</w:t>
            </w:r>
          </w:p>
        </w:tc>
        <w:tc>
          <w:tcPr>
            <w:tcW w:w="1884" w:type="dxa"/>
            <w:tcBorders>
              <w:top w:val="single" w:sz="2" w:space="0" w:color="000000"/>
              <w:left w:val="single" w:sz="2" w:space="0" w:color="000000"/>
              <w:right w:val="single" w:sz="2" w:space="0" w:color="000000"/>
            </w:tcBorders>
          </w:tcPr>
          <w:p w:rsidR="00042D5E" w:rsidRDefault="00042D5E">
            <w:pPr>
              <w:pStyle w:val="TableParagraph"/>
              <w:spacing w:before="11"/>
              <w:jc w:val="left"/>
              <w:rPr>
                <w:b/>
              </w:rPr>
            </w:pPr>
          </w:p>
          <w:p w:rsidR="00042D5E" w:rsidRDefault="007D5BFA">
            <w:pPr>
              <w:pStyle w:val="TableParagraph"/>
              <w:ind w:left="439" w:right="252" w:hanging="154"/>
              <w:jc w:val="left"/>
              <w:rPr>
                <w:sz w:val="20"/>
              </w:rPr>
            </w:pPr>
            <w:r>
              <w:rPr>
                <w:sz w:val="20"/>
              </w:rPr>
              <w:t>Tissue titration - frozen tissue</w:t>
            </w:r>
          </w:p>
        </w:tc>
        <w:tc>
          <w:tcPr>
            <w:tcW w:w="1219" w:type="dxa"/>
            <w:tcBorders>
              <w:top w:val="single" w:sz="2" w:space="0" w:color="000000"/>
              <w:left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26"/>
              <w:ind w:left="268" w:right="253"/>
              <w:rPr>
                <w:sz w:val="20"/>
              </w:rPr>
            </w:pPr>
            <w:r>
              <w:rPr>
                <w:sz w:val="20"/>
              </w:rPr>
              <w:t>NA</w:t>
            </w:r>
          </w:p>
        </w:tc>
        <w:tc>
          <w:tcPr>
            <w:tcW w:w="1329" w:type="dxa"/>
            <w:tcBorders>
              <w:top w:val="single" w:sz="2" w:space="0" w:color="000000"/>
              <w:left w:val="single" w:sz="2" w:space="0" w:color="000000"/>
              <w:right w:val="single" w:sz="2" w:space="0" w:color="000000"/>
            </w:tcBorders>
          </w:tcPr>
          <w:p w:rsidR="00042D5E" w:rsidRDefault="007D5BFA">
            <w:pPr>
              <w:pStyle w:val="TableParagraph"/>
              <w:spacing w:before="149"/>
              <w:ind w:left="95" w:right="86"/>
              <w:rPr>
                <w:sz w:val="20"/>
              </w:rPr>
            </w:pPr>
            <w:r>
              <w:rPr>
                <w:sz w:val="20"/>
              </w:rPr>
              <w:t>0, 0.125,</w:t>
            </w:r>
          </w:p>
          <w:p w:rsidR="00042D5E" w:rsidRDefault="007D5BFA">
            <w:pPr>
              <w:pStyle w:val="TableParagraph"/>
              <w:ind w:left="97" w:right="86"/>
              <w:rPr>
                <w:sz w:val="20"/>
              </w:rPr>
            </w:pPr>
            <w:r>
              <w:rPr>
                <w:sz w:val="20"/>
              </w:rPr>
              <w:t>0.625, 0.3125</w:t>
            </w:r>
          </w:p>
          <w:p w:rsidR="00042D5E" w:rsidRDefault="007D5BFA">
            <w:pPr>
              <w:pStyle w:val="TableParagraph"/>
              <w:spacing w:before="1"/>
              <w:ind w:left="92" w:right="86"/>
              <w:rPr>
                <w:sz w:val="20"/>
              </w:rPr>
            </w:pPr>
            <w:r>
              <w:rPr>
                <w:sz w:val="20"/>
              </w:rPr>
              <w:t>µg/mL</w:t>
            </w:r>
          </w:p>
        </w:tc>
        <w:tc>
          <w:tcPr>
            <w:tcW w:w="1523" w:type="dxa"/>
            <w:tcBorders>
              <w:top w:val="single" w:sz="2" w:space="0" w:color="000000"/>
              <w:left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26"/>
              <w:ind w:left="613"/>
              <w:jc w:val="left"/>
              <w:rPr>
                <w:sz w:val="20"/>
              </w:rPr>
            </w:pPr>
            <w:r>
              <w:rPr>
                <w:sz w:val="20"/>
              </w:rPr>
              <w:t>Yes</w:t>
            </w:r>
          </w:p>
        </w:tc>
        <w:tc>
          <w:tcPr>
            <w:tcW w:w="1247" w:type="dxa"/>
            <w:tcBorders>
              <w:top w:val="single" w:sz="2" w:space="0" w:color="000000"/>
              <w:left w:val="single" w:sz="2" w:space="0" w:color="000000"/>
              <w:right w:val="single" w:sz="2" w:space="0" w:color="000000"/>
            </w:tcBorders>
          </w:tcPr>
          <w:p w:rsidR="00042D5E" w:rsidRDefault="00042D5E">
            <w:pPr>
              <w:pStyle w:val="TableParagraph"/>
              <w:spacing w:before="11"/>
              <w:jc w:val="left"/>
              <w:rPr>
                <w:b/>
              </w:rPr>
            </w:pPr>
          </w:p>
          <w:p w:rsidR="00042D5E" w:rsidRDefault="007D5BFA">
            <w:pPr>
              <w:pStyle w:val="TableParagraph"/>
              <w:ind w:left="230" w:right="192" w:firstLine="16"/>
              <w:jc w:val="left"/>
              <w:rPr>
                <w:sz w:val="20"/>
              </w:rPr>
            </w:pPr>
            <w:r>
              <w:rPr>
                <w:sz w:val="20"/>
              </w:rPr>
              <w:t>Covance- Harrogate</w:t>
            </w:r>
          </w:p>
        </w:tc>
        <w:tc>
          <w:tcPr>
            <w:tcW w:w="1631" w:type="dxa"/>
            <w:tcBorders>
              <w:top w:val="single" w:sz="2" w:space="0" w:color="000000"/>
              <w:left w:val="single" w:sz="2" w:space="0" w:color="000000"/>
            </w:tcBorders>
          </w:tcPr>
          <w:p w:rsidR="00042D5E" w:rsidRDefault="00042D5E">
            <w:pPr>
              <w:pStyle w:val="TableParagraph"/>
              <w:jc w:val="left"/>
              <w:rPr>
                <w:b/>
              </w:rPr>
            </w:pPr>
          </w:p>
          <w:p w:rsidR="00042D5E" w:rsidRDefault="007D5BFA">
            <w:pPr>
              <w:pStyle w:val="TableParagraph"/>
              <w:spacing w:before="126"/>
              <w:ind w:left="245" w:right="221"/>
              <w:rPr>
                <w:sz w:val="20"/>
              </w:rPr>
            </w:pPr>
            <w:r>
              <w:rPr>
                <w:sz w:val="20"/>
              </w:rPr>
              <w:t>8324806</w:t>
            </w:r>
          </w:p>
        </w:tc>
      </w:tr>
    </w:tbl>
    <w:p w:rsidR="00042D5E" w:rsidRDefault="007D5BFA">
      <w:pPr>
        <w:spacing w:before="53"/>
        <w:ind w:left="241" w:right="878"/>
        <w:rPr>
          <w:sz w:val="20"/>
        </w:rPr>
      </w:pPr>
      <w:r>
        <w:rPr>
          <w:sz w:val="20"/>
        </w:rPr>
        <w:t>CRL: Charles River Laboratories; mcMMAF: maleimidocaproyl-monomethylauristatin F;NA: not applicable; pAF: para-acetyl phenylalanine; SNBL: Shin Nippon Biomedical Laboratories</w:t>
      </w:r>
    </w:p>
    <w:p w:rsidR="00042D5E" w:rsidRDefault="00042D5E">
      <w:pPr>
        <w:pStyle w:val="a3"/>
        <w:rPr>
          <w:sz w:val="20"/>
        </w:rPr>
      </w:pPr>
    </w:p>
    <w:p w:rsidR="00042D5E" w:rsidRDefault="00042D5E">
      <w:pPr>
        <w:pStyle w:val="a3"/>
        <w:rPr>
          <w:sz w:val="20"/>
        </w:rPr>
      </w:pPr>
    </w:p>
    <w:p w:rsidR="00042D5E" w:rsidRDefault="00042D5E">
      <w:pPr>
        <w:pStyle w:val="a3"/>
        <w:rPr>
          <w:sz w:val="20"/>
        </w:rPr>
      </w:pPr>
    </w:p>
    <w:p w:rsidR="00042D5E" w:rsidRDefault="00042D5E">
      <w:pPr>
        <w:pStyle w:val="a3"/>
        <w:rPr>
          <w:sz w:val="20"/>
        </w:rPr>
      </w:pPr>
    </w:p>
    <w:p w:rsidR="00042D5E" w:rsidRDefault="00042D5E">
      <w:pPr>
        <w:pStyle w:val="a3"/>
        <w:rPr>
          <w:sz w:val="20"/>
        </w:rPr>
      </w:pPr>
    </w:p>
    <w:p w:rsidR="00042D5E" w:rsidRDefault="00042D5E">
      <w:pPr>
        <w:pStyle w:val="a3"/>
        <w:rPr>
          <w:sz w:val="20"/>
        </w:rPr>
      </w:pPr>
    </w:p>
    <w:p w:rsidR="00042D5E" w:rsidRDefault="00042D5E">
      <w:pPr>
        <w:pStyle w:val="a3"/>
        <w:rPr>
          <w:sz w:val="20"/>
        </w:rPr>
      </w:pPr>
    </w:p>
    <w:p w:rsidR="00042D5E" w:rsidRDefault="00042D5E">
      <w:pPr>
        <w:pStyle w:val="a3"/>
        <w:rPr>
          <w:sz w:val="20"/>
        </w:rPr>
      </w:pPr>
    </w:p>
    <w:p w:rsidR="00042D5E" w:rsidRDefault="00042D5E">
      <w:pPr>
        <w:pStyle w:val="a3"/>
        <w:spacing w:before="1"/>
        <w:rPr>
          <w:sz w:val="26"/>
        </w:rPr>
      </w:pPr>
    </w:p>
    <w:p w:rsidR="00042D5E" w:rsidRDefault="007D5BFA">
      <w:pPr>
        <w:tabs>
          <w:tab w:val="left" w:pos="7290"/>
          <w:tab w:val="left" w:pos="13878"/>
        </w:tabs>
        <w:spacing w:before="91"/>
        <w:ind w:left="241"/>
        <w:rPr>
          <w:sz w:val="20"/>
        </w:rPr>
      </w:pPr>
      <w:r>
        <w:rPr>
          <w:color w:val="323232"/>
          <w:sz w:val="20"/>
        </w:rPr>
        <w:t>Apr</w:t>
      </w:r>
      <w:r>
        <w:rPr>
          <w:color w:val="323232"/>
          <w:spacing w:val="-1"/>
          <w:sz w:val="20"/>
        </w:rPr>
        <w:t xml:space="preserve"> </w:t>
      </w:r>
      <w:r>
        <w:rPr>
          <w:color w:val="323232"/>
          <w:sz w:val="20"/>
        </w:rPr>
        <w:t>2019</w:t>
      </w:r>
      <w:r>
        <w:rPr>
          <w:color w:val="323232"/>
          <w:sz w:val="20"/>
        </w:rPr>
        <w:tab/>
        <w:t>Astellas</w:t>
      </w:r>
      <w:r>
        <w:rPr>
          <w:color w:val="323232"/>
          <w:sz w:val="20"/>
        </w:rPr>
        <w:tab/>
        <w:t>Page 45 of 83</w:t>
      </w:r>
    </w:p>
    <w:p w:rsidR="00042D5E" w:rsidRDefault="00042D5E">
      <w:pPr>
        <w:rPr>
          <w:sz w:val="20"/>
        </w:rPr>
        <w:sectPr w:rsidR="00042D5E">
          <w:headerReference w:type="default" r:id="rId8"/>
          <w:footerReference w:type="default" r:id="rId9"/>
          <w:pgSz w:w="15840" w:h="12240" w:orient="landscape"/>
          <w:pgMar w:top="880" w:right="300" w:bottom="280" w:left="320" w:header="0" w:footer="0" w:gutter="0"/>
          <w:cols w:space="720"/>
        </w:sectPr>
      </w:pPr>
    </w:p>
    <w:p w:rsidR="00042D5E" w:rsidRDefault="0091574F">
      <w:pPr>
        <w:pStyle w:val="a3"/>
        <w:rPr>
          <w:sz w:val="20"/>
        </w:rPr>
      </w:pPr>
      <w:r>
        <w:lastRenderedPageBreak/>
        <w:pict>
          <v:shape id="_x0000_s1052" style="position:absolute;margin-left:248.8pt;margin-top:389.05pt;width:45.85pt;height:13.4pt;z-index:-251606016;mso-position-horizontal-relative:page;mso-position-vertical-relative:page" coordorigin="4976,7781" coordsize="917,268" o:spt="100" adj="0,,0" path="m9943,268r916,l10859,m9943,r,268e" filled="f" strokecolor="blue" strokeweight="1pt">
            <v:stroke joinstyle="round"/>
            <v:formulas/>
            <v:path arrowok="t" o:connecttype="segments"/>
            <w10:wrap anchorx="page" anchory="page"/>
          </v:shape>
        </w:pict>
      </w:r>
    </w:p>
    <w:p w:rsidR="00042D5E" w:rsidRDefault="007D5BFA">
      <w:pPr>
        <w:pStyle w:val="3"/>
        <w:numPr>
          <w:ilvl w:val="2"/>
          <w:numId w:val="9"/>
        </w:numPr>
        <w:tabs>
          <w:tab w:val="left" w:pos="1084"/>
          <w:tab w:val="left" w:pos="1085"/>
        </w:tabs>
        <w:spacing w:before="232"/>
      </w:pPr>
      <w:bookmarkStart w:id="10" w:name="4.3.1_Single-dose_Toxicity"/>
      <w:bookmarkStart w:id="11" w:name="_bookmark60"/>
      <w:bookmarkEnd w:id="10"/>
      <w:bookmarkEnd w:id="11"/>
      <w:r>
        <w:t>Single-dose</w:t>
      </w:r>
      <w:r>
        <w:rPr>
          <w:spacing w:val="-2"/>
        </w:rPr>
        <w:t xml:space="preserve"> </w:t>
      </w:r>
      <w:r>
        <w:t>Toxicity</w:t>
      </w:r>
    </w:p>
    <w:p w:rsidR="00042D5E" w:rsidRDefault="007D5BFA">
      <w:pPr>
        <w:pStyle w:val="a3"/>
        <w:spacing w:before="139" w:line="261" w:lineRule="auto"/>
        <w:ind w:left="232" w:right="337"/>
      </w:pPr>
      <w:r>
        <w:t xml:space="preserve">No single dose studies have been conducted with the ADC or unconjugated antibody, </w:t>
      </w:r>
      <w:r w:rsidR="00FE45DE">
        <w:t>PROJECT 15</w:t>
      </w:r>
      <w:r>
        <w:t xml:space="preserve">. See Section </w:t>
      </w:r>
      <w:hyperlink w:anchor="_bookmark70" w:history="1">
        <w:r>
          <w:t>4.3.7</w:t>
        </w:r>
      </w:hyperlink>
      <w:r>
        <w:t xml:space="preserve"> below for single dose studies of the primary metabolite in rats and monkeys.</w:t>
      </w:r>
    </w:p>
    <w:p w:rsidR="00042D5E" w:rsidRDefault="007D5BFA">
      <w:pPr>
        <w:pStyle w:val="3"/>
        <w:numPr>
          <w:ilvl w:val="2"/>
          <w:numId w:val="9"/>
        </w:numPr>
        <w:tabs>
          <w:tab w:val="left" w:pos="1084"/>
          <w:tab w:val="left" w:pos="1085"/>
        </w:tabs>
        <w:spacing w:before="123"/>
      </w:pPr>
      <w:bookmarkStart w:id="12" w:name="4.3.2_Repeat-dose_Toxicity"/>
      <w:bookmarkStart w:id="13" w:name="_bookmark61"/>
      <w:bookmarkEnd w:id="12"/>
      <w:bookmarkEnd w:id="13"/>
      <w:r>
        <w:t>Repeat-dose</w:t>
      </w:r>
      <w:r>
        <w:rPr>
          <w:spacing w:val="-2"/>
        </w:rPr>
        <w:t xml:space="preserve"> </w:t>
      </w:r>
      <w:r>
        <w:t>Toxicity</w:t>
      </w:r>
    </w:p>
    <w:p w:rsidR="00042D5E" w:rsidRPr="00FE45DE" w:rsidRDefault="007D5BFA">
      <w:pPr>
        <w:pStyle w:val="a4"/>
        <w:numPr>
          <w:ilvl w:val="3"/>
          <w:numId w:val="9"/>
        </w:numPr>
        <w:tabs>
          <w:tab w:val="left" w:pos="1085"/>
        </w:tabs>
        <w:spacing w:before="144" w:line="261" w:lineRule="auto"/>
        <w:ind w:right="288"/>
        <w:rPr>
          <w:b/>
          <w:sz w:val="24"/>
          <w:highlight w:val="cyan"/>
        </w:rPr>
      </w:pPr>
      <w:bookmarkStart w:id="14" w:name="4.3.2.1_4-Week_Toxicity_Study_of_AGS62-m"/>
      <w:bookmarkStart w:id="15" w:name="_bookmark62"/>
      <w:bookmarkEnd w:id="14"/>
      <w:bookmarkEnd w:id="15"/>
      <w:r w:rsidRPr="00FE45DE">
        <w:rPr>
          <w:b/>
          <w:sz w:val="24"/>
          <w:highlight w:val="cyan"/>
        </w:rPr>
        <w:t xml:space="preserve">4-Week Toxicity Study of </w:t>
      </w:r>
      <w:r w:rsidR="00FE45DE" w:rsidRPr="00FE45DE">
        <w:rPr>
          <w:b/>
          <w:sz w:val="24"/>
          <w:highlight w:val="cyan"/>
        </w:rPr>
        <w:t>PROJECT 15</w:t>
      </w:r>
      <w:r w:rsidRPr="00FE45DE">
        <w:rPr>
          <w:b/>
          <w:sz w:val="24"/>
          <w:highlight w:val="cyan"/>
        </w:rPr>
        <w:t xml:space="preserve">-mcMMAF, </w:t>
      </w:r>
      <w:r w:rsidR="00BB321B" w:rsidRPr="00FE45DE">
        <w:rPr>
          <w:b/>
          <w:sz w:val="24"/>
          <w:highlight w:val="cyan"/>
        </w:rPr>
        <w:t>PROJECT 15</w:t>
      </w:r>
      <w:r w:rsidRPr="00FE45DE">
        <w:rPr>
          <w:b/>
          <w:sz w:val="24"/>
          <w:highlight w:val="cyan"/>
        </w:rPr>
        <w:t>, and</w:t>
      </w:r>
      <w:r w:rsidRPr="00FE45DE">
        <w:rPr>
          <w:b/>
          <w:spacing w:val="-29"/>
          <w:sz w:val="24"/>
          <w:highlight w:val="cyan"/>
        </w:rPr>
        <w:t xml:space="preserve"> </w:t>
      </w:r>
      <w:r w:rsidR="00FE45DE" w:rsidRPr="00FE45DE">
        <w:rPr>
          <w:b/>
          <w:sz w:val="24"/>
          <w:highlight w:val="cyan"/>
        </w:rPr>
        <w:t>Project 15</w:t>
      </w:r>
      <w:r w:rsidRPr="00FE45DE">
        <w:rPr>
          <w:b/>
          <w:sz w:val="24"/>
          <w:highlight w:val="cyan"/>
        </w:rPr>
        <w:t>AF-AGL- 0140-19 in Cynomolgus Monkeys with a 6-Week Recovery</w:t>
      </w:r>
      <w:r w:rsidRPr="00FE45DE">
        <w:rPr>
          <w:b/>
          <w:spacing w:val="-7"/>
          <w:sz w:val="24"/>
          <w:highlight w:val="cyan"/>
        </w:rPr>
        <w:t xml:space="preserve"> </w:t>
      </w:r>
      <w:r w:rsidRPr="00FE45DE">
        <w:rPr>
          <w:b/>
          <w:sz w:val="24"/>
          <w:highlight w:val="cyan"/>
        </w:rPr>
        <w:t>Period</w:t>
      </w:r>
    </w:p>
    <w:p w:rsidR="00042D5E" w:rsidRPr="00FE45DE" w:rsidRDefault="007D5BFA">
      <w:pPr>
        <w:spacing w:line="274" w:lineRule="exact"/>
        <w:ind w:left="1084"/>
        <w:rPr>
          <w:b/>
          <w:sz w:val="24"/>
          <w:highlight w:val="cyan"/>
        </w:rPr>
      </w:pPr>
      <w:r w:rsidRPr="00FE45DE">
        <w:rPr>
          <w:b/>
          <w:sz w:val="24"/>
          <w:highlight w:val="cyan"/>
        </w:rPr>
        <w:t>(Non-GLP Study)</w:t>
      </w:r>
    </w:p>
    <w:p w:rsidR="00042D5E" w:rsidRPr="00FE45DE" w:rsidRDefault="007D5BFA">
      <w:pPr>
        <w:pStyle w:val="a4"/>
        <w:numPr>
          <w:ilvl w:val="4"/>
          <w:numId w:val="9"/>
        </w:numPr>
        <w:tabs>
          <w:tab w:val="left" w:pos="1365"/>
          <w:tab w:val="left" w:pos="1366"/>
        </w:tabs>
        <w:spacing w:before="144"/>
        <w:rPr>
          <w:b/>
          <w:sz w:val="24"/>
          <w:highlight w:val="cyan"/>
        </w:rPr>
      </w:pPr>
      <w:bookmarkStart w:id="16" w:name="4.3.2.1.1_Objective"/>
      <w:bookmarkEnd w:id="16"/>
      <w:r w:rsidRPr="00FE45DE">
        <w:rPr>
          <w:b/>
          <w:sz w:val="24"/>
          <w:highlight w:val="cyan"/>
        </w:rPr>
        <w:t>Objective</w:t>
      </w:r>
    </w:p>
    <w:p w:rsidR="00042D5E" w:rsidRPr="00FE45DE" w:rsidRDefault="007D5BFA">
      <w:pPr>
        <w:pStyle w:val="a3"/>
        <w:spacing w:before="139" w:line="261" w:lineRule="auto"/>
        <w:ind w:left="232" w:right="337"/>
        <w:rPr>
          <w:highlight w:val="cyan"/>
        </w:rPr>
      </w:pPr>
      <w:r w:rsidRPr="00FE45DE">
        <w:rPr>
          <w:highlight w:val="cyan"/>
        </w:rPr>
        <w:t xml:space="preserve">The objective of this study was to compare the toxicity of </w:t>
      </w:r>
      <w:r w:rsidR="00BB321B" w:rsidRPr="00FE45DE">
        <w:rPr>
          <w:highlight w:val="cyan"/>
        </w:rPr>
        <w:t>PROJECT 15</w:t>
      </w:r>
      <w:r w:rsidRPr="00FE45DE">
        <w:rPr>
          <w:highlight w:val="cyan"/>
        </w:rPr>
        <w:t xml:space="preserve"> to another </w:t>
      </w:r>
      <w:r w:rsidR="00FE45DE" w:rsidRPr="00FE45DE">
        <w:rPr>
          <w:highlight w:val="cyan"/>
        </w:rPr>
        <w:t>PROJECT 15</w:t>
      </w:r>
      <w:r w:rsidRPr="00FE45DE">
        <w:rPr>
          <w:highlight w:val="cyan"/>
        </w:rPr>
        <w:t xml:space="preserve"> ADC using monomethyl auristatin F (MMAF) as the payload with a DAR of 4 in cynomolgus monkeys. The toxicity of </w:t>
      </w:r>
      <w:r w:rsidR="00BB321B" w:rsidRPr="00FE45DE">
        <w:rPr>
          <w:highlight w:val="cyan"/>
        </w:rPr>
        <w:t>PROJECT 15</w:t>
      </w:r>
      <w:r w:rsidRPr="00FE45DE">
        <w:rPr>
          <w:highlight w:val="cyan"/>
        </w:rPr>
        <w:t xml:space="preserve"> was also compared to that of another ADC containing a different payload, AGL-0149-19, linked to </w:t>
      </w:r>
      <w:r w:rsidR="00FE45DE" w:rsidRPr="00FE45DE">
        <w:rPr>
          <w:highlight w:val="cyan"/>
        </w:rPr>
        <w:t>PROJECT 15</w:t>
      </w:r>
      <w:r w:rsidRPr="00FE45DE">
        <w:rPr>
          <w:highlight w:val="cyan"/>
        </w:rPr>
        <w:t xml:space="preserve">. The ADC was administered intravenously once weekly for 4 consecutive weeks followed by a 6-week recovery period to assess reversibility of effects. For the purposes of this document, the summary of findings below focuses on </w:t>
      </w:r>
      <w:r w:rsidR="00BB321B" w:rsidRPr="00FE45DE">
        <w:rPr>
          <w:highlight w:val="cyan"/>
        </w:rPr>
        <w:t>PROJECT 15</w:t>
      </w:r>
      <w:r w:rsidRPr="00FE45DE">
        <w:rPr>
          <w:highlight w:val="cyan"/>
        </w:rPr>
        <w:t xml:space="preserve"> only.</w:t>
      </w:r>
    </w:p>
    <w:p w:rsidR="00042D5E" w:rsidRPr="00FE45DE" w:rsidRDefault="007D5BFA">
      <w:pPr>
        <w:pStyle w:val="3"/>
        <w:numPr>
          <w:ilvl w:val="4"/>
          <w:numId w:val="9"/>
        </w:numPr>
        <w:tabs>
          <w:tab w:val="left" w:pos="1365"/>
          <w:tab w:val="left" w:pos="1366"/>
        </w:tabs>
        <w:spacing w:before="119"/>
        <w:rPr>
          <w:highlight w:val="cyan"/>
        </w:rPr>
      </w:pPr>
      <w:bookmarkStart w:id="17" w:name="4.3.2.1.2_Method"/>
      <w:bookmarkEnd w:id="17"/>
      <w:r w:rsidRPr="00FE45DE">
        <w:rPr>
          <w:highlight w:val="cyan"/>
        </w:rPr>
        <w:t>Method</w:t>
      </w:r>
    </w:p>
    <w:p w:rsidR="00042D5E" w:rsidRPr="00FE45DE" w:rsidRDefault="007D5BFA">
      <w:pPr>
        <w:pStyle w:val="a3"/>
        <w:spacing w:before="139"/>
        <w:ind w:left="232"/>
        <w:rPr>
          <w:highlight w:val="cyan"/>
        </w:rPr>
      </w:pPr>
      <w:r w:rsidRPr="00FE45DE">
        <w:rPr>
          <w:highlight w:val="cyan"/>
        </w:rPr>
        <w:t xml:space="preserve">The study design is summarized in </w:t>
      </w:r>
      <w:hyperlink w:anchor="_bookmark63" w:history="1">
        <w:r w:rsidRPr="00FE45DE">
          <w:rPr>
            <w:highlight w:val="cyan"/>
          </w:rPr>
          <w:t>Table 13</w:t>
        </w:r>
      </w:hyperlink>
      <w:r w:rsidRPr="00FE45DE">
        <w:rPr>
          <w:highlight w:val="cyan"/>
        </w:rPr>
        <w:t xml:space="preserve"> below.</w:t>
      </w:r>
    </w:p>
    <w:p w:rsidR="00042D5E" w:rsidRPr="00FE45DE" w:rsidRDefault="007D5BFA">
      <w:pPr>
        <w:pStyle w:val="3"/>
        <w:tabs>
          <w:tab w:val="left" w:pos="1651"/>
        </w:tabs>
        <w:spacing w:before="123"/>
        <w:rPr>
          <w:highlight w:val="cyan"/>
        </w:rPr>
      </w:pPr>
      <w:bookmarkStart w:id="18" w:name="_bookmark63"/>
      <w:bookmarkEnd w:id="18"/>
      <w:r w:rsidRPr="00FE45DE">
        <w:rPr>
          <w:highlight w:val="cyan"/>
        </w:rPr>
        <w:t>Table</w:t>
      </w:r>
      <w:r w:rsidRPr="00FE45DE">
        <w:rPr>
          <w:spacing w:val="-1"/>
          <w:highlight w:val="cyan"/>
        </w:rPr>
        <w:t xml:space="preserve"> </w:t>
      </w:r>
      <w:r w:rsidRPr="00FE45DE">
        <w:rPr>
          <w:highlight w:val="cyan"/>
        </w:rPr>
        <w:t>13</w:t>
      </w:r>
      <w:r w:rsidRPr="00FE45DE">
        <w:rPr>
          <w:highlight w:val="cyan"/>
        </w:rPr>
        <w:tab/>
        <w:t>Experimental Design of Non-GLP</w:t>
      </w:r>
      <w:r w:rsidRPr="00FE45DE">
        <w:rPr>
          <w:spacing w:val="-3"/>
          <w:highlight w:val="cyan"/>
        </w:rPr>
        <w:t xml:space="preserve"> </w:t>
      </w:r>
      <w:r w:rsidRPr="00FE45DE">
        <w:rPr>
          <w:highlight w:val="cyan"/>
        </w:rPr>
        <w:t>Study</w:t>
      </w:r>
    </w:p>
    <w:p w:rsidR="00042D5E" w:rsidRPr="00FE45DE" w:rsidRDefault="00042D5E">
      <w:pPr>
        <w:pStyle w:val="a3"/>
        <w:spacing w:before="5"/>
        <w:rPr>
          <w:b/>
          <w:sz w:val="5"/>
          <w:highlight w:val="cyan"/>
        </w:rPr>
      </w:pPr>
    </w:p>
    <w:tbl>
      <w:tblPr>
        <w:tblStyle w:val="TableNormal"/>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2"/>
        <w:gridCol w:w="2004"/>
        <w:gridCol w:w="1332"/>
        <w:gridCol w:w="1531"/>
        <w:gridCol w:w="1687"/>
        <w:gridCol w:w="1514"/>
      </w:tblGrid>
      <w:tr w:rsidR="00042D5E" w:rsidRPr="00FE45DE">
        <w:trPr>
          <w:trHeight w:val="370"/>
        </w:trPr>
        <w:tc>
          <w:tcPr>
            <w:tcW w:w="1092" w:type="dxa"/>
            <w:vMerge w:val="restart"/>
            <w:tcBorders>
              <w:bottom w:val="single" w:sz="24" w:space="0" w:color="C6D9F0"/>
            </w:tcBorders>
          </w:tcPr>
          <w:p w:rsidR="00042D5E" w:rsidRPr="00FE45DE" w:rsidRDefault="00042D5E">
            <w:pPr>
              <w:pStyle w:val="TableParagraph"/>
              <w:jc w:val="left"/>
              <w:rPr>
                <w:b/>
                <w:highlight w:val="cyan"/>
              </w:rPr>
            </w:pPr>
          </w:p>
          <w:p w:rsidR="00042D5E" w:rsidRPr="00FE45DE" w:rsidRDefault="00042D5E">
            <w:pPr>
              <w:pStyle w:val="TableParagraph"/>
              <w:jc w:val="left"/>
              <w:rPr>
                <w:b/>
                <w:highlight w:val="cyan"/>
              </w:rPr>
            </w:pPr>
          </w:p>
          <w:p w:rsidR="00042D5E" w:rsidRPr="00FE45DE" w:rsidRDefault="00042D5E">
            <w:pPr>
              <w:pStyle w:val="TableParagraph"/>
              <w:spacing w:before="4"/>
              <w:jc w:val="left"/>
              <w:rPr>
                <w:b/>
                <w:sz w:val="18"/>
                <w:highlight w:val="cyan"/>
              </w:rPr>
            </w:pPr>
          </w:p>
          <w:p w:rsidR="00042D5E" w:rsidRPr="00FE45DE" w:rsidRDefault="007D5BFA">
            <w:pPr>
              <w:pStyle w:val="TableParagraph"/>
              <w:spacing w:before="1"/>
              <w:ind w:left="261"/>
              <w:jc w:val="left"/>
              <w:rPr>
                <w:b/>
                <w:sz w:val="20"/>
                <w:highlight w:val="cyan"/>
              </w:rPr>
            </w:pPr>
            <w:r w:rsidRPr="00FE45DE">
              <w:rPr>
                <w:b/>
                <w:sz w:val="20"/>
                <w:highlight w:val="cyan"/>
              </w:rPr>
              <w:t>Group</w:t>
            </w:r>
          </w:p>
        </w:tc>
        <w:tc>
          <w:tcPr>
            <w:tcW w:w="2004" w:type="dxa"/>
            <w:vMerge w:val="restart"/>
            <w:tcBorders>
              <w:bottom w:val="single" w:sz="24" w:space="0" w:color="C6D9F0"/>
            </w:tcBorders>
          </w:tcPr>
          <w:p w:rsidR="00042D5E" w:rsidRPr="00FE45DE" w:rsidRDefault="00042D5E">
            <w:pPr>
              <w:pStyle w:val="TableParagraph"/>
              <w:jc w:val="left"/>
              <w:rPr>
                <w:b/>
                <w:highlight w:val="cyan"/>
              </w:rPr>
            </w:pPr>
          </w:p>
          <w:p w:rsidR="00042D5E" w:rsidRPr="00FE45DE" w:rsidRDefault="00042D5E">
            <w:pPr>
              <w:pStyle w:val="TableParagraph"/>
              <w:jc w:val="left"/>
              <w:rPr>
                <w:b/>
                <w:highlight w:val="cyan"/>
              </w:rPr>
            </w:pPr>
          </w:p>
          <w:p w:rsidR="00042D5E" w:rsidRPr="00FE45DE" w:rsidRDefault="00042D5E">
            <w:pPr>
              <w:pStyle w:val="TableParagraph"/>
              <w:spacing w:before="4"/>
              <w:jc w:val="left"/>
              <w:rPr>
                <w:b/>
                <w:sz w:val="18"/>
                <w:highlight w:val="cyan"/>
              </w:rPr>
            </w:pPr>
          </w:p>
          <w:p w:rsidR="00042D5E" w:rsidRPr="00FE45DE" w:rsidRDefault="007D5BFA">
            <w:pPr>
              <w:pStyle w:val="TableParagraph"/>
              <w:spacing w:before="1"/>
              <w:ind w:left="499"/>
              <w:jc w:val="left"/>
              <w:rPr>
                <w:b/>
                <w:sz w:val="20"/>
                <w:highlight w:val="cyan"/>
              </w:rPr>
            </w:pPr>
            <w:r w:rsidRPr="00FE45DE">
              <w:rPr>
                <w:b/>
                <w:sz w:val="20"/>
                <w:highlight w:val="cyan"/>
              </w:rPr>
              <w:t>Test Article</w:t>
            </w:r>
          </w:p>
        </w:tc>
        <w:tc>
          <w:tcPr>
            <w:tcW w:w="1332" w:type="dxa"/>
            <w:vMerge w:val="restart"/>
            <w:tcBorders>
              <w:bottom w:val="single" w:sz="24" w:space="0" w:color="C6D9F0"/>
            </w:tcBorders>
          </w:tcPr>
          <w:p w:rsidR="00042D5E" w:rsidRPr="00FE45DE" w:rsidRDefault="00042D5E">
            <w:pPr>
              <w:pStyle w:val="TableParagraph"/>
              <w:jc w:val="left"/>
              <w:rPr>
                <w:b/>
                <w:highlight w:val="cyan"/>
              </w:rPr>
            </w:pPr>
          </w:p>
          <w:p w:rsidR="00042D5E" w:rsidRPr="00FE45DE" w:rsidRDefault="00042D5E">
            <w:pPr>
              <w:pStyle w:val="TableParagraph"/>
              <w:spacing w:before="4"/>
              <w:jc w:val="left"/>
              <w:rPr>
                <w:b/>
                <w:sz w:val="20"/>
                <w:highlight w:val="cyan"/>
              </w:rPr>
            </w:pPr>
          </w:p>
          <w:p w:rsidR="00042D5E" w:rsidRPr="00FE45DE" w:rsidRDefault="007D5BFA">
            <w:pPr>
              <w:pStyle w:val="TableParagraph"/>
              <w:ind w:left="328" w:right="176" w:hanging="130"/>
              <w:jc w:val="left"/>
              <w:rPr>
                <w:b/>
                <w:sz w:val="20"/>
                <w:highlight w:val="cyan"/>
              </w:rPr>
            </w:pPr>
            <w:r w:rsidRPr="00FE45DE">
              <w:rPr>
                <w:b/>
                <w:sz w:val="20"/>
                <w:highlight w:val="cyan"/>
              </w:rPr>
              <w:t>Dose Level (mg/kg)</w:t>
            </w:r>
          </w:p>
        </w:tc>
        <w:tc>
          <w:tcPr>
            <w:tcW w:w="1531" w:type="dxa"/>
            <w:vMerge w:val="restart"/>
            <w:tcBorders>
              <w:bottom w:val="single" w:sz="24" w:space="0" w:color="C6D9F0"/>
            </w:tcBorders>
          </w:tcPr>
          <w:p w:rsidR="00042D5E" w:rsidRPr="00FE45DE" w:rsidRDefault="00042D5E">
            <w:pPr>
              <w:pStyle w:val="TableParagraph"/>
              <w:spacing w:before="4"/>
              <w:jc w:val="left"/>
              <w:rPr>
                <w:b/>
                <w:highlight w:val="cyan"/>
              </w:rPr>
            </w:pPr>
          </w:p>
          <w:p w:rsidR="00042D5E" w:rsidRPr="00FE45DE" w:rsidRDefault="007D5BFA">
            <w:pPr>
              <w:pStyle w:val="TableParagraph"/>
              <w:ind w:left="143" w:right="132" w:hanging="1"/>
              <w:rPr>
                <w:b/>
                <w:sz w:val="20"/>
                <w:highlight w:val="cyan"/>
              </w:rPr>
            </w:pPr>
            <w:r w:rsidRPr="00FE45DE">
              <w:rPr>
                <w:b/>
                <w:sz w:val="20"/>
                <w:highlight w:val="cyan"/>
              </w:rPr>
              <w:t>Number of Animals (Male/Female)</w:t>
            </w:r>
          </w:p>
        </w:tc>
        <w:tc>
          <w:tcPr>
            <w:tcW w:w="3201" w:type="dxa"/>
            <w:gridSpan w:val="2"/>
          </w:tcPr>
          <w:p w:rsidR="00042D5E" w:rsidRPr="00FE45DE" w:rsidRDefault="007D5BFA">
            <w:pPr>
              <w:pStyle w:val="TableParagraph"/>
              <w:spacing w:before="82"/>
              <w:ind w:left="552"/>
              <w:jc w:val="left"/>
              <w:rPr>
                <w:b/>
                <w:sz w:val="20"/>
                <w:highlight w:val="cyan"/>
              </w:rPr>
            </w:pPr>
            <w:r w:rsidRPr="00FE45DE">
              <w:rPr>
                <w:b/>
                <w:sz w:val="20"/>
                <w:highlight w:val="cyan"/>
              </w:rPr>
              <w:t>Necropsy (Male/Female)</w:t>
            </w:r>
          </w:p>
        </w:tc>
      </w:tr>
      <w:tr w:rsidR="00042D5E" w:rsidRPr="00FE45DE">
        <w:trPr>
          <w:trHeight w:val="554"/>
        </w:trPr>
        <w:tc>
          <w:tcPr>
            <w:tcW w:w="1092" w:type="dxa"/>
            <w:vMerge/>
            <w:tcBorders>
              <w:top w:val="nil"/>
              <w:bottom w:val="single" w:sz="24" w:space="0" w:color="C6D9F0"/>
            </w:tcBorders>
          </w:tcPr>
          <w:p w:rsidR="00042D5E" w:rsidRPr="00FE45DE" w:rsidRDefault="00042D5E">
            <w:pPr>
              <w:rPr>
                <w:sz w:val="2"/>
                <w:szCs w:val="2"/>
                <w:highlight w:val="cyan"/>
              </w:rPr>
            </w:pPr>
          </w:p>
        </w:tc>
        <w:tc>
          <w:tcPr>
            <w:tcW w:w="2004" w:type="dxa"/>
            <w:vMerge/>
            <w:tcBorders>
              <w:top w:val="nil"/>
              <w:bottom w:val="single" w:sz="24" w:space="0" w:color="C6D9F0"/>
            </w:tcBorders>
          </w:tcPr>
          <w:p w:rsidR="00042D5E" w:rsidRPr="00FE45DE" w:rsidRDefault="00042D5E">
            <w:pPr>
              <w:rPr>
                <w:sz w:val="2"/>
                <w:szCs w:val="2"/>
                <w:highlight w:val="cyan"/>
              </w:rPr>
            </w:pPr>
          </w:p>
        </w:tc>
        <w:tc>
          <w:tcPr>
            <w:tcW w:w="1332" w:type="dxa"/>
            <w:vMerge/>
            <w:tcBorders>
              <w:top w:val="nil"/>
              <w:bottom w:val="single" w:sz="24" w:space="0" w:color="C6D9F0"/>
            </w:tcBorders>
          </w:tcPr>
          <w:p w:rsidR="00042D5E" w:rsidRPr="00FE45DE" w:rsidRDefault="00042D5E">
            <w:pPr>
              <w:rPr>
                <w:sz w:val="2"/>
                <w:szCs w:val="2"/>
                <w:highlight w:val="cyan"/>
              </w:rPr>
            </w:pPr>
          </w:p>
        </w:tc>
        <w:tc>
          <w:tcPr>
            <w:tcW w:w="1531" w:type="dxa"/>
            <w:vMerge/>
            <w:tcBorders>
              <w:top w:val="nil"/>
              <w:bottom w:val="single" w:sz="24" w:space="0" w:color="C6D9F0"/>
            </w:tcBorders>
          </w:tcPr>
          <w:p w:rsidR="00042D5E" w:rsidRPr="00FE45DE" w:rsidRDefault="00042D5E">
            <w:pPr>
              <w:rPr>
                <w:sz w:val="2"/>
                <w:szCs w:val="2"/>
                <w:highlight w:val="cyan"/>
              </w:rPr>
            </w:pPr>
          </w:p>
        </w:tc>
        <w:tc>
          <w:tcPr>
            <w:tcW w:w="1687" w:type="dxa"/>
          </w:tcPr>
          <w:p w:rsidR="00042D5E" w:rsidRPr="00FE45DE" w:rsidRDefault="007D5BFA">
            <w:pPr>
              <w:pStyle w:val="TableParagraph"/>
              <w:spacing w:before="57"/>
              <w:ind w:left="494" w:right="118" w:hanging="53"/>
              <w:jc w:val="left"/>
              <w:rPr>
                <w:b/>
                <w:sz w:val="20"/>
                <w:highlight w:val="cyan"/>
              </w:rPr>
            </w:pPr>
            <w:r w:rsidRPr="00FE45DE">
              <w:rPr>
                <w:b/>
                <w:w w:val="95"/>
                <w:sz w:val="20"/>
                <w:highlight w:val="cyan"/>
              </w:rPr>
              <w:t xml:space="preserve">Terminal </w:t>
            </w:r>
            <w:r w:rsidRPr="00FE45DE">
              <w:rPr>
                <w:b/>
                <w:sz w:val="20"/>
                <w:highlight w:val="cyan"/>
              </w:rPr>
              <w:t>(day 29)</w:t>
            </w:r>
          </w:p>
        </w:tc>
        <w:tc>
          <w:tcPr>
            <w:tcW w:w="1514" w:type="dxa"/>
          </w:tcPr>
          <w:p w:rsidR="00042D5E" w:rsidRPr="00FE45DE" w:rsidRDefault="007D5BFA">
            <w:pPr>
              <w:pStyle w:val="TableParagraph"/>
              <w:spacing w:before="57"/>
              <w:ind w:left="410" w:right="327" w:hanging="53"/>
              <w:jc w:val="left"/>
              <w:rPr>
                <w:b/>
                <w:sz w:val="20"/>
                <w:highlight w:val="cyan"/>
              </w:rPr>
            </w:pPr>
            <w:r w:rsidRPr="00FE45DE">
              <w:rPr>
                <w:b/>
                <w:sz w:val="20"/>
                <w:highlight w:val="cyan"/>
              </w:rPr>
              <w:t>Recovery (day 70)</w:t>
            </w:r>
          </w:p>
        </w:tc>
      </w:tr>
      <w:tr w:rsidR="00042D5E" w:rsidRPr="00FE45DE">
        <w:trPr>
          <w:trHeight w:val="392"/>
        </w:trPr>
        <w:tc>
          <w:tcPr>
            <w:tcW w:w="1092" w:type="dxa"/>
            <w:tcBorders>
              <w:top w:val="single" w:sz="24" w:space="0" w:color="C6D9F0"/>
            </w:tcBorders>
          </w:tcPr>
          <w:p w:rsidR="00042D5E" w:rsidRPr="00FE45DE" w:rsidRDefault="007D5BFA">
            <w:pPr>
              <w:pStyle w:val="TableParagraph"/>
              <w:spacing w:before="73"/>
              <w:ind w:left="6"/>
              <w:rPr>
                <w:sz w:val="20"/>
                <w:highlight w:val="cyan"/>
              </w:rPr>
            </w:pPr>
            <w:r w:rsidRPr="00FE45DE">
              <w:rPr>
                <w:w w:val="99"/>
                <w:sz w:val="20"/>
                <w:highlight w:val="cyan"/>
              </w:rPr>
              <w:t>1</w:t>
            </w:r>
          </w:p>
        </w:tc>
        <w:tc>
          <w:tcPr>
            <w:tcW w:w="2004" w:type="dxa"/>
            <w:tcBorders>
              <w:top w:val="single" w:sz="24" w:space="0" w:color="C6D9F0"/>
            </w:tcBorders>
          </w:tcPr>
          <w:p w:rsidR="00042D5E" w:rsidRPr="00FE45DE" w:rsidRDefault="007D5BFA">
            <w:pPr>
              <w:pStyle w:val="TableParagraph"/>
              <w:spacing w:before="73"/>
              <w:ind w:left="371" w:right="365"/>
              <w:rPr>
                <w:sz w:val="20"/>
                <w:highlight w:val="cyan"/>
              </w:rPr>
            </w:pPr>
            <w:r w:rsidRPr="00FE45DE">
              <w:rPr>
                <w:sz w:val="20"/>
                <w:highlight w:val="cyan"/>
              </w:rPr>
              <w:t>Control Article</w:t>
            </w:r>
          </w:p>
        </w:tc>
        <w:tc>
          <w:tcPr>
            <w:tcW w:w="1332" w:type="dxa"/>
            <w:tcBorders>
              <w:top w:val="single" w:sz="24" w:space="0" w:color="C6D9F0"/>
            </w:tcBorders>
          </w:tcPr>
          <w:p w:rsidR="00042D5E" w:rsidRPr="00FE45DE" w:rsidRDefault="007D5BFA">
            <w:pPr>
              <w:pStyle w:val="TableParagraph"/>
              <w:spacing w:before="73"/>
              <w:ind w:left="1"/>
              <w:rPr>
                <w:sz w:val="20"/>
                <w:highlight w:val="cyan"/>
              </w:rPr>
            </w:pPr>
            <w:r w:rsidRPr="00FE45DE">
              <w:rPr>
                <w:w w:val="99"/>
                <w:sz w:val="20"/>
                <w:highlight w:val="cyan"/>
              </w:rPr>
              <w:t>0</w:t>
            </w:r>
          </w:p>
        </w:tc>
        <w:tc>
          <w:tcPr>
            <w:tcW w:w="1531" w:type="dxa"/>
            <w:tcBorders>
              <w:top w:val="single" w:sz="24" w:space="0" w:color="C6D9F0"/>
            </w:tcBorders>
          </w:tcPr>
          <w:p w:rsidR="00042D5E" w:rsidRPr="00FE45DE" w:rsidRDefault="007D5BFA">
            <w:pPr>
              <w:pStyle w:val="TableParagraph"/>
              <w:spacing w:before="73"/>
              <w:ind w:left="618" w:right="607"/>
              <w:rPr>
                <w:sz w:val="20"/>
                <w:highlight w:val="cyan"/>
              </w:rPr>
            </w:pPr>
            <w:r w:rsidRPr="00FE45DE">
              <w:rPr>
                <w:sz w:val="20"/>
                <w:highlight w:val="cyan"/>
              </w:rPr>
              <w:t>2/2</w:t>
            </w:r>
          </w:p>
        </w:tc>
        <w:tc>
          <w:tcPr>
            <w:tcW w:w="1687" w:type="dxa"/>
          </w:tcPr>
          <w:p w:rsidR="00042D5E" w:rsidRPr="00FE45DE" w:rsidRDefault="007D5BFA">
            <w:pPr>
              <w:pStyle w:val="TableParagraph"/>
              <w:spacing w:before="73"/>
              <w:ind w:left="692" w:right="688"/>
              <w:rPr>
                <w:sz w:val="20"/>
                <w:highlight w:val="cyan"/>
              </w:rPr>
            </w:pPr>
            <w:r w:rsidRPr="00FE45DE">
              <w:rPr>
                <w:sz w:val="20"/>
                <w:highlight w:val="cyan"/>
              </w:rPr>
              <w:t>1/1</w:t>
            </w:r>
          </w:p>
        </w:tc>
        <w:tc>
          <w:tcPr>
            <w:tcW w:w="1514" w:type="dxa"/>
          </w:tcPr>
          <w:p w:rsidR="00042D5E" w:rsidRPr="00FE45DE" w:rsidRDefault="007D5BFA">
            <w:pPr>
              <w:pStyle w:val="TableParagraph"/>
              <w:spacing w:before="73"/>
              <w:ind w:left="609" w:right="599"/>
              <w:rPr>
                <w:sz w:val="20"/>
                <w:highlight w:val="cyan"/>
              </w:rPr>
            </w:pPr>
            <w:r w:rsidRPr="00FE45DE">
              <w:rPr>
                <w:sz w:val="20"/>
                <w:highlight w:val="cyan"/>
              </w:rPr>
              <w:t>1/1</w:t>
            </w:r>
          </w:p>
        </w:tc>
      </w:tr>
      <w:tr w:rsidR="00042D5E" w:rsidRPr="00FE45DE">
        <w:trPr>
          <w:trHeight w:val="395"/>
        </w:trPr>
        <w:tc>
          <w:tcPr>
            <w:tcW w:w="1092" w:type="dxa"/>
          </w:tcPr>
          <w:p w:rsidR="00042D5E" w:rsidRPr="00FE45DE" w:rsidRDefault="007D5BFA">
            <w:pPr>
              <w:pStyle w:val="TableParagraph"/>
              <w:spacing w:before="77"/>
              <w:ind w:left="6"/>
              <w:rPr>
                <w:sz w:val="20"/>
                <w:highlight w:val="cyan"/>
              </w:rPr>
            </w:pPr>
            <w:r w:rsidRPr="00FE45DE">
              <w:rPr>
                <w:w w:val="99"/>
                <w:sz w:val="20"/>
                <w:highlight w:val="cyan"/>
              </w:rPr>
              <w:t>3</w:t>
            </w:r>
          </w:p>
        </w:tc>
        <w:tc>
          <w:tcPr>
            <w:tcW w:w="2004" w:type="dxa"/>
          </w:tcPr>
          <w:p w:rsidR="00042D5E" w:rsidRPr="00FE45DE" w:rsidRDefault="00BB321B">
            <w:pPr>
              <w:pStyle w:val="TableParagraph"/>
              <w:spacing w:before="77"/>
              <w:ind w:left="371" w:right="363"/>
              <w:rPr>
                <w:sz w:val="20"/>
                <w:highlight w:val="cyan"/>
              </w:rPr>
            </w:pPr>
            <w:r w:rsidRPr="00FE45DE">
              <w:rPr>
                <w:sz w:val="20"/>
                <w:highlight w:val="cyan"/>
              </w:rPr>
              <w:t>PROJECT 15</w:t>
            </w:r>
          </w:p>
        </w:tc>
        <w:tc>
          <w:tcPr>
            <w:tcW w:w="1332" w:type="dxa"/>
          </w:tcPr>
          <w:p w:rsidR="00042D5E" w:rsidRPr="00FE45DE" w:rsidRDefault="007D5BFA">
            <w:pPr>
              <w:pStyle w:val="TableParagraph"/>
              <w:spacing w:before="77"/>
              <w:ind w:left="544" w:right="537"/>
              <w:rPr>
                <w:sz w:val="20"/>
                <w:highlight w:val="cyan"/>
              </w:rPr>
            </w:pPr>
            <w:r w:rsidRPr="00FE45DE">
              <w:rPr>
                <w:sz w:val="20"/>
                <w:highlight w:val="cyan"/>
              </w:rPr>
              <w:t>12</w:t>
            </w:r>
          </w:p>
        </w:tc>
        <w:tc>
          <w:tcPr>
            <w:tcW w:w="1531" w:type="dxa"/>
          </w:tcPr>
          <w:p w:rsidR="00042D5E" w:rsidRPr="00FE45DE" w:rsidRDefault="007D5BFA">
            <w:pPr>
              <w:pStyle w:val="TableParagraph"/>
              <w:spacing w:before="77"/>
              <w:ind w:left="618" w:right="607"/>
              <w:rPr>
                <w:sz w:val="20"/>
                <w:highlight w:val="cyan"/>
              </w:rPr>
            </w:pPr>
            <w:r w:rsidRPr="00FE45DE">
              <w:rPr>
                <w:sz w:val="20"/>
                <w:highlight w:val="cyan"/>
              </w:rPr>
              <w:t>1/1</w:t>
            </w:r>
          </w:p>
        </w:tc>
        <w:tc>
          <w:tcPr>
            <w:tcW w:w="1687" w:type="dxa"/>
          </w:tcPr>
          <w:p w:rsidR="00042D5E" w:rsidRPr="00FE45DE" w:rsidRDefault="007D5BFA">
            <w:pPr>
              <w:pStyle w:val="TableParagraph"/>
              <w:spacing w:before="77"/>
              <w:ind w:left="692" w:right="688"/>
              <w:rPr>
                <w:sz w:val="20"/>
                <w:highlight w:val="cyan"/>
              </w:rPr>
            </w:pPr>
            <w:r w:rsidRPr="00FE45DE">
              <w:rPr>
                <w:sz w:val="20"/>
                <w:highlight w:val="cyan"/>
              </w:rPr>
              <w:t>1/1</w:t>
            </w:r>
          </w:p>
        </w:tc>
        <w:tc>
          <w:tcPr>
            <w:tcW w:w="1514" w:type="dxa"/>
          </w:tcPr>
          <w:p w:rsidR="00042D5E" w:rsidRPr="00FE45DE" w:rsidRDefault="007D5BFA">
            <w:pPr>
              <w:pStyle w:val="TableParagraph"/>
              <w:spacing w:before="77"/>
              <w:ind w:left="609" w:right="599"/>
              <w:rPr>
                <w:sz w:val="20"/>
                <w:highlight w:val="cyan"/>
              </w:rPr>
            </w:pPr>
            <w:r w:rsidRPr="00FE45DE">
              <w:rPr>
                <w:sz w:val="20"/>
                <w:highlight w:val="cyan"/>
              </w:rPr>
              <w:t>0/0</w:t>
            </w:r>
          </w:p>
        </w:tc>
      </w:tr>
      <w:tr w:rsidR="00042D5E" w:rsidRPr="00FE45DE">
        <w:trPr>
          <w:trHeight w:val="398"/>
        </w:trPr>
        <w:tc>
          <w:tcPr>
            <w:tcW w:w="1092" w:type="dxa"/>
          </w:tcPr>
          <w:p w:rsidR="00042D5E" w:rsidRPr="00FE45DE" w:rsidRDefault="007D5BFA">
            <w:pPr>
              <w:pStyle w:val="TableParagraph"/>
              <w:spacing w:before="77"/>
              <w:ind w:left="6"/>
              <w:rPr>
                <w:sz w:val="20"/>
                <w:highlight w:val="cyan"/>
              </w:rPr>
            </w:pPr>
            <w:r w:rsidRPr="00FE45DE">
              <w:rPr>
                <w:w w:val="99"/>
                <w:sz w:val="20"/>
                <w:highlight w:val="cyan"/>
              </w:rPr>
              <w:t>4</w:t>
            </w:r>
          </w:p>
        </w:tc>
        <w:tc>
          <w:tcPr>
            <w:tcW w:w="2004" w:type="dxa"/>
          </w:tcPr>
          <w:p w:rsidR="00042D5E" w:rsidRPr="00FE45DE" w:rsidRDefault="00BB321B">
            <w:pPr>
              <w:pStyle w:val="TableParagraph"/>
              <w:spacing w:before="77"/>
              <w:ind w:left="371" w:right="363"/>
              <w:rPr>
                <w:sz w:val="20"/>
                <w:highlight w:val="cyan"/>
              </w:rPr>
            </w:pPr>
            <w:r w:rsidRPr="00FE45DE">
              <w:rPr>
                <w:sz w:val="20"/>
                <w:highlight w:val="cyan"/>
              </w:rPr>
              <w:t>PROJECT 15</w:t>
            </w:r>
          </w:p>
        </w:tc>
        <w:tc>
          <w:tcPr>
            <w:tcW w:w="1332" w:type="dxa"/>
          </w:tcPr>
          <w:p w:rsidR="00042D5E" w:rsidRPr="00FE45DE" w:rsidRDefault="007D5BFA">
            <w:pPr>
              <w:pStyle w:val="TableParagraph"/>
              <w:spacing w:before="77"/>
              <w:ind w:left="544" w:right="537"/>
              <w:rPr>
                <w:sz w:val="20"/>
                <w:highlight w:val="cyan"/>
              </w:rPr>
            </w:pPr>
            <w:r w:rsidRPr="00FE45DE">
              <w:rPr>
                <w:sz w:val="20"/>
                <w:highlight w:val="cyan"/>
              </w:rPr>
              <w:t>18</w:t>
            </w:r>
          </w:p>
        </w:tc>
        <w:tc>
          <w:tcPr>
            <w:tcW w:w="1531" w:type="dxa"/>
          </w:tcPr>
          <w:p w:rsidR="00042D5E" w:rsidRPr="00FE45DE" w:rsidRDefault="007D5BFA">
            <w:pPr>
              <w:pStyle w:val="TableParagraph"/>
              <w:spacing w:before="77"/>
              <w:ind w:left="618" w:right="607"/>
              <w:rPr>
                <w:sz w:val="20"/>
                <w:highlight w:val="cyan"/>
              </w:rPr>
            </w:pPr>
            <w:r w:rsidRPr="00FE45DE">
              <w:rPr>
                <w:sz w:val="20"/>
                <w:highlight w:val="cyan"/>
              </w:rPr>
              <w:t>1/1</w:t>
            </w:r>
          </w:p>
        </w:tc>
        <w:tc>
          <w:tcPr>
            <w:tcW w:w="1687" w:type="dxa"/>
          </w:tcPr>
          <w:p w:rsidR="00042D5E" w:rsidRPr="00FE45DE" w:rsidRDefault="007D5BFA">
            <w:pPr>
              <w:pStyle w:val="TableParagraph"/>
              <w:spacing w:before="77"/>
              <w:ind w:left="692" w:right="688"/>
              <w:rPr>
                <w:sz w:val="20"/>
                <w:highlight w:val="cyan"/>
              </w:rPr>
            </w:pPr>
            <w:r w:rsidRPr="00FE45DE">
              <w:rPr>
                <w:sz w:val="20"/>
                <w:highlight w:val="cyan"/>
              </w:rPr>
              <w:t>1/1</w:t>
            </w:r>
          </w:p>
        </w:tc>
        <w:tc>
          <w:tcPr>
            <w:tcW w:w="1514" w:type="dxa"/>
          </w:tcPr>
          <w:p w:rsidR="00042D5E" w:rsidRPr="00FE45DE" w:rsidRDefault="007D5BFA">
            <w:pPr>
              <w:pStyle w:val="TableParagraph"/>
              <w:spacing w:before="77"/>
              <w:ind w:left="609" w:right="599"/>
              <w:rPr>
                <w:sz w:val="20"/>
                <w:highlight w:val="cyan"/>
              </w:rPr>
            </w:pPr>
            <w:r w:rsidRPr="00FE45DE">
              <w:rPr>
                <w:sz w:val="20"/>
                <w:highlight w:val="cyan"/>
              </w:rPr>
              <w:t>0/0</w:t>
            </w:r>
          </w:p>
        </w:tc>
      </w:tr>
      <w:tr w:rsidR="00042D5E" w:rsidRPr="00FE45DE">
        <w:trPr>
          <w:trHeight w:val="395"/>
        </w:trPr>
        <w:tc>
          <w:tcPr>
            <w:tcW w:w="1092" w:type="dxa"/>
          </w:tcPr>
          <w:p w:rsidR="00042D5E" w:rsidRPr="00FE45DE" w:rsidRDefault="007D5BFA">
            <w:pPr>
              <w:pStyle w:val="TableParagraph"/>
              <w:spacing w:before="77"/>
              <w:ind w:left="6"/>
              <w:rPr>
                <w:sz w:val="20"/>
                <w:highlight w:val="cyan"/>
              </w:rPr>
            </w:pPr>
            <w:r w:rsidRPr="00FE45DE">
              <w:rPr>
                <w:w w:val="99"/>
                <w:sz w:val="20"/>
                <w:highlight w:val="cyan"/>
              </w:rPr>
              <w:t>5</w:t>
            </w:r>
          </w:p>
        </w:tc>
        <w:tc>
          <w:tcPr>
            <w:tcW w:w="2004" w:type="dxa"/>
          </w:tcPr>
          <w:p w:rsidR="00042D5E" w:rsidRPr="00FE45DE" w:rsidRDefault="00BB321B">
            <w:pPr>
              <w:pStyle w:val="TableParagraph"/>
              <w:spacing w:before="77"/>
              <w:ind w:left="371" w:right="363"/>
              <w:rPr>
                <w:sz w:val="20"/>
                <w:highlight w:val="cyan"/>
              </w:rPr>
            </w:pPr>
            <w:r w:rsidRPr="00FE45DE">
              <w:rPr>
                <w:sz w:val="20"/>
                <w:highlight w:val="cyan"/>
              </w:rPr>
              <w:t>PROJECT 15</w:t>
            </w:r>
          </w:p>
        </w:tc>
        <w:tc>
          <w:tcPr>
            <w:tcW w:w="1332" w:type="dxa"/>
          </w:tcPr>
          <w:p w:rsidR="00042D5E" w:rsidRPr="00FE45DE" w:rsidRDefault="007D5BFA">
            <w:pPr>
              <w:pStyle w:val="TableParagraph"/>
              <w:spacing w:before="77"/>
              <w:ind w:left="544" w:right="537"/>
              <w:rPr>
                <w:sz w:val="20"/>
                <w:highlight w:val="cyan"/>
              </w:rPr>
            </w:pPr>
            <w:r w:rsidRPr="00FE45DE">
              <w:rPr>
                <w:sz w:val="20"/>
                <w:highlight w:val="cyan"/>
              </w:rPr>
              <w:t>24</w:t>
            </w:r>
          </w:p>
        </w:tc>
        <w:tc>
          <w:tcPr>
            <w:tcW w:w="1531" w:type="dxa"/>
          </w:tcPr>
          <w:p w:rsidR="00042D5E" w:rsidRPr="00FE45DE" w:rsidRDefault="007D5BFA">
            <w:pPr>
              <w:pStyle w:val="TableParagraph"/>
              <w:spacing w:before="77"/>
              <w:ind w:left="618" w:right="607"/>
              <w:rPr>
                <w:sz w:val="20"/>
                <w:highlight w:val="cyan"/>
              </w:rPr>
            </w:pPr>
            <w:r w:rsidRPr="00FE45DE">
              <w:rPr>
                <w:sz w:val="20"/>
                <w:highlight w:val="cyan"/>
              </w:rPr>
              <w:t>2/2</w:t>
            </w:r>
          </w:p>
        </w:tc>
        <w:tc>
          <w:tcPr>
            <w:tcW w:w="1687" w:type="dxa"/>
          </w:tcPr>
          <w:p w:rsidR="00042D5E" w:rsidRPr="00FE45DE" w:rsidRDefault="007D5BFA">
            <w:pPr>
              <w:pStyle w:val="TableParagraph"/>
              <w:spacing w:before="77"/>
              <w:ind w:left="692" w:right="688"/>
              <w:rPr>
                <w:sz w:val="20"/>
                <w:highlight w:val="cyan"/>
              </w:rPr>
            </w:pPr>
            <w:r w:rsidRPr="00FE45DE">
              <w:rPr>
                <w:sz w:val="20"/>
                <w:highlight w:val="cyan"/>
              </w:rPr>
              <w:t>1/1</w:t>
            </w:r>
          </w:p>
        </w:tc>
        <w:tc>
          <w:tcPr>
            <w:tcW w:w="1514" w:type="dxa"/>
          </w:tcPr>
          <w:p w:rsidR="00042D5E" w:rsidRPr="00FE45DE" w:rsidRDefault="007D5BFA">
            <w:pPr>
              <w:pStyle w:val="TableParagraph"/>
              <w:spacing w:before="77"/>
              <w:ind w:left="609" w:right="599"/>
              <w:rPr>
                <w:sz w:val="20"/>
                <w:highlight w:val="cyan"/>
              </w:rPr>
            </w:pPr>
            <w:r w:rsidRPr="00FE45DE">
              <w:rPr>
                <w:sz w:val="20"/>
                <w:highlight w:val="cyan"/>
              </w:rPr>
              <w:t>1/1</w:t>
            </w:r>
          </w:p>
        </w:tc>
      </w:tr>
    </w:tbl>
    <w:p w:rsidR="00042D5E" w:rsidRPr="00FE45DE" w:rsidRDefault="007D5BFA">
      <w:pPr>
        <w:pStyle w:val="a3"/>
        <w:spacing w:before="139" w:line="261" w:lineRule="auto"/>
        <w:ind w:left="232" w:right="252"/>
        <w:rPr>
          <w:highlight w:val="cyan"/>
        </w:rPr>
      </w:pPr>
      <w:r w:rsidRPr="00FE45DE">
        <w:rPr>
          <w:highlight w:val="cyan"/>
        </w:rPr>
        <w:t>Study assessments included: twice daily clinical observations; daily food consumption; body weight (twice in acclimation, once weekly throughout the study, and once on the day of necropsy); electrocardiography (once during acclimation and on day 23); ophthalmology (once during acclimation and on days 9 and 23); urinalysis and coagulation (once during acclimation and on days 26 and 70); hematology and serum chemistry (once during acclimation and on days 4, 11, 25, and 70). Blood was also drawn at regular intervals for TK analysis.</w:t>
      </w:r>
    </w:p>
    <w:p w:rsidR="00042D5E" w:rsidRPr="00FE45DE" w:rsidRDefault="007D5BFA">
      <w:pPr>
        <w:pStyle w:val="a3"/>
        <w:spacing w:before="114" w:line="261" w:lineRule="auto"/>
        <w:ind w:left="232" w:right="337"/>
        <w:rPr>
          <w:highlight w:val="cyan"/>
        </w:rPr>
      </w:pPr>
      <w:r w:rsidRPr="00FE45DE">
        <w:rPr>
          <w:highlight w:val="cyan"/>
        </w:rPr>
        <w:t>At necropsy gross observations were recorded, organ weights and specific tissues were collected. Histopathological analysis was conducted on sections of collected tissues stained with hematoxylin and eosin.</w:t>
      </w:r>
    </w:p>
    <w:p w:rsidR="00042D5E" w:rsidRPr="00FE45DE" w:rsidRDefault="00042D5E">
      <w:pPr>
        <w:spacing w:line="261" w:lineRule="auto"/>
        <w:rPr>
          <w:highlight w:val="cyan"/>
        </w:rPr>
        <w:sectPr w:rsidR="00042D5E" w:rsidRPr="00FE45DE">
          <w:headerReference w:type="default" r:id="rId10"/>
          <w:footerReference w:type="default" r:id="rId11"/>
          <w:pgSz w:w="12240" w:h="15840"/>
          <w:pgMar w:top="1240" w:right="1360" w:bottom="940" w:left="1380" w:header="578" w:footer="746" w:gutter="0"/>
          <w:pgNumType w:start="46"/>
          <w:cols w:space="720"/>
        </w:sectPr>
      </w:pPr>
    </w:p>
    <w:p w:rsidR="00042D5E" w:rsidRPr="00FE45DE" w:rsidRDefault="00042D5E">
      <w:pPr>
        <w:pStyle w:val="a3"/>
        <w:rPr>
          <w:sz w:val="20"/>
          <w:highlight w:val="cyan"/>
        </w:rPr>
      </w:pPr>
    </w:p>
    <w:p w:rsidR="00042D5E" w:rsidRPr="00FE45DE" w:rsidRDefault="007D5BFA">
      <w:pPr>
        <w:pStyle w:val="3"/>
        <w:numPr>
          <w:ilvl w:val="4"/>
          <w:numId w:val="9"/>
        </w:numPr>
        <w:tabs>
          <w:tab w:val="left" w:pos="1365"/>
          <w:tab w:val="left" w:pos="1366"/>
        </w:tabs>
        <w:spacing w:before="232"/>
        <w:rPr>
          <w:highlight w:val="cyan"/>
        </w:rPr>
      </w:pPr>
      <w:bookmarkStart w:id="19" w:name="4.3.2.1.3_Results"/>
      <w:bookmarkEnd w:id="19"/>
      <w:r w:rsidRPr="00FE45DE">
        <w:rPr>
          <w:highlight w:val="cyan"/>
        </w:rPr>
        <w:t>Results</w:t>
      </w:r>
    </w:p>
    <w:p w:rsidR="00042D5E" w:rsidRPr="00FE45DE" w:rsidRDefault="007D5BFA">
      <w:pPr>
        <w:pStyle w:val="a3"/>
        <w:spacing w:before="139" w:line="261" w:lineRule="auto"/>
        <w:ind w:left="232" w:right="350"/>
        <w:rPr>
          <w:highlight w:val="cyan"/>
        </w:rPr>
      </w:pPr>
      <w:r w:rsidRPr="00FE45DE">
        <w:rPr>
          <w:highlight w:val="cyan"/>
        </w:rPr>
        <w:t xml:space="preserve">Intravenous administration of </w:t>
      </w:r>
      <w:r w:rsidR="00BB321B" w:rsidRPr="00FE45DE">
        <w:rPr>
          <w:highlight w:val="cyan"/>
        </w:rPr>
        <w:t>PROJECT 15</w:t>
      </w:r>
      <w:r w:rsidRPr="00FE45DE">
        <w:rPr>
          <w:highlight w:val="cyan"/>
        </w:rPr>
        <w:t xml:space="preserve"> (12, 18, 24 mg/kg) to cynomolgus monkeys once every week for four consecutive weeks was well tolerated. No mortalities occurred and no test article-related changes were observed in urinalysis, coagulation, electrocardiography, ophthalmology, and organ weight assessments. Test article-related postural changes (hunched) were noted in </w:t>
      </w:r>
      <w:r w:rsidR="00BB321B" w:rsidRPr="00FE45DE">
        <w:rPr>
          <w:highlight w:val="cyan"/>
        </w:rPr>
        <w:t>PROJECT 15</w:t>
      </w:r>
      <w:r w:rsidRPr="00FE45DE">
        <w:rPr>
          <w:highlight w:val="cyan"/>
        </w:rPr>
        <w:t xml:space="preserve">, 24 mg/kg group, and reductions in food consumption associated with minimal decreases in body weight were observed. Test article-related changes in hematology included decreased red cell mass (red blood cell [RBC], hemoglobin, and/or hematocrit) in one </w:t>
      </w:r>
      <w:r w:rsidR="00BB321B" w:rsidRPr="00FE45DE">
        <w:rPr>
          <w:highlight w:val="cyan"/>
        </w:rPr>
        <w:t>PROJECT 15</w:t>
      </w:r>
      <w:r w:rsidRPr="00FE45DE">
        <w:rPr>
          <w:highlight w:val="cyan"/>
        </w:rPr>
        <w:t xml:space="preserve">- 24 mg/kg treated male on days 25 and 70, accompanied by increased red blood cell distribution width on day 70. Monocytes were mildly increased in one </w:t>
      </w:r>
      <w:r w:rsidR="00BB321B" w:rsidRPr="00FE45DE">
        <w:rPr>
          <w:highlight w:val="cyan"/>
        </w:rPr>
        <w:t>PROJECT 15</w:t>
      </w:r>
      <w:r w:rsidRPr="00FE45DE">
        <w:rPr>
          <w:highlight w:val="cyan"/>
        </w:rPr>
        <w:t xml:space="preserve">- 24 mg/kg male on day 70. Test article related changes in serum chemistry data included minimally decreased albumin and the A:G ratio in the 24 mg/kg </w:t>
      </w:r>
      <w:r w:rsidR="00BB321B" w:rsidRPr="00FE45DE">
        <w:rPr>
          <w:highlight w:val="cyan"/>
        </w:rPr>
        <w:t>PROJECT 15</w:t>
      </w:r>
      <w:r w:rsidRPr="00FE45DE">
        <w:rPr>
          <w:highlight w:val="cyan"/>
        </w:rPr>
        <w:t xml:space="preserve"> group on days 25 and 70. Globulin was minimally increased in one male (</w:t>
      </w:r>
      <w:r w:rsidR="00BB321B" w:rsidRPr="00FE45DE">
        <w:rPr>
          <w:highlight w:val="cyan"/>
        </w:rPr>
        <w:t>PROJECT 15</w:t>
      </w:r>
      <w:r w:rsidRPr="00FE45DE">
        <w:rPr>
          <w:highlight w:val="cyan"/>
        </w:rPr>
        <w:t>-</w:t>
      </w:r>
    </w:p>
    <w:p w:rsidR="00042D5E" w:rsidRPr="00FE45DE" w:rsidRDefault="007D5BFA">
      <w:pPr>
        <w:pStyle w:val="a3"/>
        <w:spacing w:line="261" w:lineRule="auto"/>
        <w:ind w:left="232" w:right="331"/>
        <w:rPr>
          <w:highlight w:val="cyan"/>
        </w:rPr>
      </w:pPr>
      <w:r w:rsidRPr="00FE45DE">
        <w:rPr>
          <w:highlight w:val="cyan"/>
        </w:rPr>
        <w:t>18 mg/kg) on day 25, one male (</w:t>
      </w:r>
      <w:r w:rsidR="00BB321B" w:rsidRPr="00FE45DE">
        <w:rPr>
          <w:highlight w:val="cyan"/>
        </w:rPr>
        <w:t>PROJECT 15</w:t>
      </w:r>
      <w:r w:rsidRPr="00FE45DE">
        <w:rPr>
          <w:highlight w:val="cyan"/>
        </w:rPr>
        <w:t xml:space="preserve">; - 24 mg/kg) on days 25 and 70. AST, ALT, and CK were minimally to moderately increased in multiple animals across all test article-treated groups. Increased ALT and AST may be related to hepatic changes noted on histopathology but also may be due to muscle damage (consistent with the increased CK); these increases tended to be highest in the animals treated with </w:t>
      </w:r>
      <w:r w:rsidR="00BB321B" w:rsidRPr="00FE45DE">
        <w:rPr>
          <w:highlight w:val="cyan"/>
        </w:rPr>
        <w:t>PROJECT 15</w:t>
      </w:r>
      <w:r w:rsidRPr="00FE45DE">
        <w:rPr>
          <w:highlight w:val="cyan"/>
        </w:rPr>
        <w:t xml:space="preserve"> at 24 mg/kg.</w:t>
      </w:r>
    </w:p>
    <w:p w:rsidR="00042D5E" w:rsidRPr="00FE45DE" w:rsidRDefault="007D5BFA">
      <w:pPr>
        <w:pStyle w:val="a3"/>
        <w:spacing w:before="107" w:line="261" w:lineRule="auto"/>
        <w:ind w:left="232" w:right="420"/>
        <w:rPr>
          <w:highlight w:val="cyan"/>
        </w:rPr>
      </w:pPr>
      <w:r w:rsidRPr="00FE45DE">
        <w:rPr>
          <w:highlight w:val="cyan"/>
        </w:rPr>
        <w:t>Peak serum concentrations were generally attained instantaneously upon completion of intravenous injection for each of the three test articles. The area under the serum concentration curve (AUC</w:t>
      </w:r>
      <w:r w:rsidRPr="00FE45DE">
        <w:rPr>
          <w:highlight w:val="cyan"/>
          <w:vertAlign w:val="subscript"/>
        </w:rPr>
        <w:t>τ</w:t>
      </w:r>
      <w:r w:rsidRPr="00FE45DE">
        <w:rPr>
          <w:highlight w:val="cyan"/>
        </w:rPr>
        <w:t>) and C</w:t>
      </w:r>
      <w:r w:rsidRPr="00FE45DE">
        <w:rPr>
          <w:highlight w:val="cyan"/>
          <w:vertAlign w:val="subscript"/>
        </w:rPr>
        <w:t>max</w:t>
      </w:r>
      <w:r w:rsidRPr="00FE45DE">
        <w:rPr>
          <w:highlight w:val="cyan"/>
        </w:rPr>
        <w:t xml:space="preserve"> for both ADC and TAb for </w:t>
      </w:r>
      <w:r w:rsidR="00BB321B" w:rsidRPr="00FE45DE">
        <w:rPr>
          <w:highlight w:val="cyan"/>
        </w:rPr>
        <w:t>PROJECT 15</w:t>
      </w:r>
      <w:r w:rsidRPr="00FE45DE">
        <w:rPr>
          <w:highlight w:val="cyan"/>
        </w:rPr>
        <w:t xml:space="preserve"> showed dose- dependent increases, approximately proportional to dose. The exposure of </w:t>
      </w:r>
      <w:r w:rsidR="00BB321B" w:rsidRPr="00FE45DE">
        <w:rPr>
          <w:highlight w:val="cyan"/>
        </w:rPr>
        <w:t>PROJECT 15</w:t>
      </w:r>
      <w:r w:rsidRPr="00FE45DE">
        <w:rPr>
          <w:highlight w:val="cyan"/>
        </w:rPr>
        <w:t xml:space="preserve"> determined using TAb concentrations was similar to the corresponding ADC profiles, indicating negligible deconjugation of the ADC. Serum concentrations of pAF-AGL-0185- 30 (the metabolite released from </w:t>
      </w:r>
      <w:r w:rsidR="00BB321B" w:rsidRPr="00FE45DE">
        <w:rPr>
          <w:highlight w:val="cyan"/>
        </w:rPr>
        <w:t>PROJECT 15</w:t>
      </w:r>
      <w:r w:rsidRPr="00FE45DE">
        <w:rPr>
          <w:highlight w:val="cyan"/>
        </w:rPr>
        <w:t>) increased gradually after dosing, reached a maximum by 6 to 168 h postdose, and were &gt; 900000-fold lower than ADC (</w:t>
      </w:r>
      <w:r w:rsidR="00BB321B" w:rsidRPr="00FE45DE">
        <w:rPr>
          <w:highlight w:val="cyan"/>
        </w:rPr>
        <w:t>PROJECT 15</w:t>
      </w:r>
      <w:r w:rsidRPr="00FE45DE">
        <w:rPr>
          <w:highlight w:val="cyan"/>
        </w:rPr>
        <w:t>) and TAb (</w:t>
      </w:r>
      <w:r w:rsidR="00FE45DE" w:rsidRPr="00FE45DE">
        <w:rPr>
          <w:highlight w:val="cyan"/>
        </w:rPr>
        <w:t>PROJECT 15</w:t>
      </w:r>
      <w:r w:rsidRPr="00FE45DE">
        <w:rPr>
          <w:highlight w:val="cyan"/>
        </w:rPr>
        <w:t>) concentrations.</w:t>
      </w:r>
    </w:p>
    <w:p w:rsidR="00042D5E" w:rsidRDefault="007D5BFA">
      <w:pPr>
        <w:pStyle w:val="a3"/>
        <w:spacing w:before="112" w:line="261" w:lineRule="auto"/>
        <w:ind w:left="232" w:right="252"/>
      </w:pPr>
      <w:r w:rsidRPr="00FE45DE">
        <w:rPr>
          <w:highlight w:val="cyan"/>
        </w:rPr>
        <w:t xml:space="preserve">At termination, both animals at the 24 mg/kg dose exhibited mild to moderate and reversible decreased cellularity of the splenic white pulp. Following the 6-week recovery period the male but not female recovery animal had moderate multifocal mesangio-proliferative glomerulopathy, mild thickening of Bowman’s capsule, mild tubular basophilia, tubular casts and mixed inflammatory cell infiltrates. In addition, the male recovery animal at 24 mg/kg had mild multifocal centrilobular hypertrophy and sinusoidal ectasia in the liver. Based on the minimal to moderate decrease and reversible changes in hematology parameters including RBC mass, monocytes and increased ALT, AST, CK and the microscopic kidney and liver changes noted at 24 mg/kg, the no observable adverse effect level (NOAEL) for </w:t>
      </w:r>
      <w:r w:rsidR="00BB321B" w:rsidRPr="00FE45DE">
        <w:rPr>
          <w:highlight w:val="cyan"/>
        </w:rPr>
        <w:t>PROJECT 15</w:t>
      </w:r>
      <w:r w:rsidRPr="00FE45DE">
        <w:rPr>
          <w:highlight w:val="cyan"/>
        </w:rPr>
        <w:t xml:space="preserve"> was considered to be 18 mg/kg. The results of this study provided guidance for dose levels to be used in the repeat-dose GLP monkey study described</w:t>
      </w:r>
      <w:r w:rsidRPr="00FE45DE">
        <w:rPr>
          <w:spacing w:val="-12"/>
          <w:highlight w:val="cyan"/>
        </w:rPr>
        <w:t xml:space="preserve"> </w:t>
      </w:r>
      <w:r w:rsidRPr="00FE45DE">
        <w:rPr>
          <w:highlight w:val="cyan"/>
        </w:rPr>
        <w:t>below.</w:t>
      </w:r>
    </w:p>
    <w:p w:rsidR="00042D5E" w:rsidRDefault="00042D5E">
      <w:pPr>
        <w:spacing w:line="261" w:lineRule="auto"/>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3"/>
        <w:numPr>
          <w:ilvl w:val="3"/>
          <w:numId w:val="8"/>
        </w:numPr>
        <w:tabs>
          <w:tab w:val="left" w:pos="1085"/>
        </w:tabs>
        <w:spacing w:before="232" w:line="261" w:lineRule="auto"/>
        <w:ind w:right="293"/>
      </w:pPr>
      <w:bookmarkStart w:id="20" w:name="4.3.2.2_A_Multiple_Dose_Toxicity_Study_o"/>
      <w:bookmarkStart w:id="21" w:name="_bookmark64"/>
      <w:bookmarkEnd w:id="20"/>
      <w:bookmarkEnd w:id="21"/>
      <w:r>
        <w:t xml:space="preserve">A Multiple Dose Toxicity Study of </w:t>
      </w:r>
      <w:r w:rsidR="00BB321B">
        <w:t>PROJECT 15</w:t>
      </w:r>
      <w:r>
        <w:t xml:space="preserve"> Administered by Intravenous Infusion to Cynomolgus Monkeys with a 6-Week Recovery Period (GLP</w:t>
      </w:r>
      <w:r>
        <w:rPr>
          <w:spacing w:val="-27"/>
        </w:rPr>
        <w:t xml:space="preserve"> </w:t>
      </w:r>
      <w:r>
        <w:t>Study)</w:t>
      </w:r>
    </w:p>
    <w:p w:rsidR="00042D5E" w:rsidRDefault="007D5BFA">
      <w:pPr>
        <w:pStyle w:val="a4"/>
        <w:numPr>
          <w:ilvl w:val="4"/>
          <w:numId w:val="8"/>
        </w:numPr>
        <w:tabs>
          <w:tab w:val="left" w:pos="1365"/>
          <w:tab w:val="left" w:pos="1366"/>
        </w:tabs>
        <w:spacing w:before="119"/>
        <w:rPr>
          <w:b/>
          <w:sz w:val="24"/>
        </w:rPr>
      </w:pPr>
      <w:bookmarkStart w:id="22" w:name="4.3.2.2.1_Objectives"/>
      <w:bookmarkEnd w:id="22"/>
      <w:r>
        <w:rPr>
          <w:b/>
          <w:sz w:val="24"/>
        </w:rPr>
        <w:t>Objectives</w:t>
      </w:r>
    </w:p>
    <w:p w:rsidR="00042D5E" w:rsidRDefault="007D5BFA">
      <w:pPr>
        <w:pStyle w:val="a3"/>
        <w:spacing w:before="139" w:line="261" w:lineRule="auto"/>
        <w:ind w:left="232" w:right="260"/>
      </w:pPr>
      <w:r>
        <w:t xml:space="preserve">The objectives of this study were to determine the potential toxicity and TK profiles of </w:t>
      </w:r>
      <w:r w:rsidR="00BB321B">
        <w:t>PROJECT 15</w:t>
      </w:r>
      <w:r>
        <w:t xml:space="preserve"> when administered once weekly for a total of 4 doses by a 30-min intravenous infusion to cynomolgus monkeys, and to evaluate recovery from any effects over a test article free period of 6 weeks. To aid in determination of the ADC toxicity, the unconjugated antibody (</w:t>
      </w:r>
      <w:r w:rsidR="00FE45DE">
        <w:t>PROJECT 15</w:t>
      </w:r>
      <w:r>
        <w:t>) was dosed at the equivalent high dose of the ADC and the metabolite (pAF-AGL-0185-30) was administered at the molar equivalent of the high dose group.</w:t>
      </w:r>
    </w:p>
    <w:p w:rsidR="00042D5E" w:rsidRDefault="007D5BFA">
      <w:pPr>
        <w:pStyle w:val="3"/>
        <w:numPr>
          <w:ilvl w:val="4"/>
          <w:numId w:val="8"/>
        </w:numPr>
        <w:tabs>
          <w:tab w:val="left" w:pos="1365"/>
          <w:tab w:val="left" w:pos="1366"/>
        </w:tabs>
        <w:spacing w:before="120"/>
      </w:pPr>
      <w:bookmarkStart w:id="23" w:name="4.3.2.2.2_Method"/>
      <w:bookmarkEnd w:id="23"/>
      <w:r>
        <w:t>Method</w:t>
      </w:r>
    </w:p>
    <w:p w:rsidR="00042D5E" w:rsidRDefault="007D5BFA">
      <w:pPr>
        <w:pStyle w:val="a3"/>
        <w:spacing w:before="139"/>
        <w:ind w:left="232"/>
      </w:pPr>
      <w:r>
        <w:t xml:space="preserve">The study design is summarized in </w:t>
      </w:r>
      <w:hyperlink w:anchor="_bookmark65" w:history="1">
        <w:r>
          <w:t>Table 14</w:t>
        </w:r>
      </w:hyperlink>
      <w:r>
        <w:t>.</w:t>
      </w:r>
    </w:p>
    <w:p w:rsidR="00042D5E" w:rsidRDefault="007D5BFA">
      <w:pPr>
        <w:pStyle w:val="3"/>
        <w:tabs>
          <w:tab w:val="left" w:pos="1651"/>
        </w:tabs>
        <w:spacing w:before="122"/>
      </w:pPr>
      <w:bookmarkStart w:id="24" w:name="_bookmark65"/>
      <w:bookmarkEnd w:id="24"/>
      <w:r>
        <w:t>Table</w:t>
      </w:r>
      <w:r>
        <w:rPr>
          <w:spacing w:val="-1"/>
        </w:rPr>
        <w:t xml:space="preserve"> </w:t>
      </w:r>
      <w:r>
        <w:t>14</w:t>
      </w:r>
      <w:r>
        <w:tab/>
        <w:t>Experimental Design of GLP</w:t>
      </w:r>
      <w:r>
        <w:rPr>
          <w:spacing w:val="-1"/>
        </w:rPr>
        <w:t xml:space="preserve"> </w:t>
      </w:r>
      <w:r>
        <w:t>Study</w:t>
      </w:r>
    </w:p>
    <w:p w:rsidR="00042D5E" w:rsidRDefault="00042D5E">
      <w:pPr>
        <w:pStyle w:val="a3"/>
        <w:spacing w:before="6"/>
        <w:rPr>
          <w:b/>
          <w:sz w:val="5"/>
        </w:rPr>
      </w:pPr>
    </w:p>
    <w:tbl>
      <w:tblPr>
        <w:tblStyle w:val="TableNormal"/>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8"/>
        <w:gridCol w:w="1088"/>
        <w:gridCol w:w="1335"/>
        <w:gridCol w:w="1016"/>
        <w:gridCol w:w="1522"/>
        <w:gridCol w:w="824"/>
        <w:gridCol w:w="910"/>
        <w:gridCol w:w="783"/>
        <w:gridCol w:w="910"/>
      </w:tblGrid>
      <w:tr w:rsidR="00042D5E">
        <w:trPr>
          <w:trHeight w:val="309"/>
        </w:trPr>
        <w:tc>
          <w:tcPr>
            <w:tcW w:w="778" w:type="dxa"/>
            <w:vMerge w:val="restart"/>
          </w:tcPr>
          <w:p w:rsidR="00042D5E" w:rsidRDefault="00042D5E">
            <w:pPr>
              <w:pStyle w:val="TableParagraph"/>
              <w:jc w:val="left"/>
              <w:rPr>
                <w:b/>
              </w:rPr>
            </w:pPr>
          </w:p>
          <w:p w:rsidR="00042D5E" w:rsidRDefault="007D5BFA">
            <w:pPr>
              <w:pStyle w:val="TableParagraph"/>
              <w:spacing w:before="196"/>
              <w:ind w:left="239" w:hanging="135"/>
              <w:jc w:val="left"/>
              <w:rPr>
                <w:b/>
                <w:sz w:val="20"/>
              </w:rPr>
            </w:pPr>
            <w:r>
              <w:rPr>
                <w:b/>
                <w:w w:val="95"/>
                <w:sz w:val="20"/>
              </w:rPr>
              <w:t xml:space="preserve">Group </w:t>
            </w:r>
            <w:r>
              <w:rPr>
                <w:b/>
                <w:sz w:val="20"/>
              </w:rPr>
              <w:t>No.</w:t>
            </w:r>
          </w:p>
        </w:tc>
        <w:tc>
          <w:tcPr>
            <w:tcW w:w="1088" w:type="dxa"/>
            <w:vMerge w:val="restart"/>
          </w:tcPr>
          <w:p w:rsidR="00042D5E" w:rsidRDefault="00042D5E">
            <w:pPr>
              <w:pStyle w:val="TableParagraph"/>
              <w:jc w:val="left"/>
              <w:rPr>
                <w:b/>
              </w:rPr>
            </w:pPr>
          </w:p>
          <w:p w:rsidR="00042D5E" w:rsidRDefault="007D5BFA">
            <w:pPr>
              <w:pStyle w:val="TableParagraph"/>
              <w:spacing w:before="196"/>
              <w:ind w:left="169" w:right="144" w:firstLine="189"/>
              <w:jc w:val="left"/>
              <w:rPr>
                <w:b/>
                <w:sz w:val="20"/>
              </w:rPr>
            </w:pPr>
            <w:r>
              <w:rPr>
                <w:b/>
                <w:sz w:val="20"/>
              </w:rPr>
              <w:t>Test Material</w:t>
            </w:r>
          </w:p>
        </w:tc>
        <w:tc>
          <w:tcPr>
            <w:tcW w:w="1335" w:type="dxa"/>
            <w:vMerge w:val="restart"/>
          </w:tcPr>
          <w:p w:rsidR="00042D5E" w:rsidRDefault="00042D5E">
            <w:pPr>
              <w:pStyle w:val="TableParagraph"/>
              <w:jc w:val="left"/>
              <w:rPr>
                <w:b/>
              </w:rPr>
            </w:pPr>
          </w:p>
          <w:p w:rsidR="00042D5E" w:rsidRDefault="007D5BFA">
            <w:pPr>
              <w:pStyle w:val="TableParagraph"/>
              <w:spacing w:before="196"/>
              <w:ind w:left="113" w:firstLine="86"/>
              <w:jc w:val="left"/>
              <w:rPr>
                <w:b/>
                <w:sz w:val="20"/>
              </w:rPr>
            </w:pPr>
            <w:r>
              <w:rPr>
                <w:b/>
                <w:sz w:val="20"/>
              </w:rPr>
              <w:t xml:space="preserve">Dose Level </w:t>
            </w:r>
            <w:r>
              <w:rPr>
                <w:b/>
                <w:w w:val="95"/>
                <w:sz w:val="20"/>
              </w:rPr>
              <w:t>(mg/kg/dose)</w:t>
            </w:r>
          </w:p>
        </w:tc>
        <w:tc>
          <w:tcPr>
            <w:tcW w:w="1016" w:type="dxa"/>
            <w:vMerge w:val="restart"/>
          </w:tcPr>
          <w:p w:rsidR="00042D5E" w:rsidRDefault="00042D5E">
            <w:pPr>
              <w:pStyle w:val="TableParagraph"/>
              <w:jc w:val="left"/>
              <w:rPr>
                <w:b/>
                <w:sz w:val="19"/>
              </w:rPr>
            </w:pPr>
          </w:p>
          <w:p w:rsidR="00042D5E" w:rsidRDefault="007D5BFA">
            <w:pPr>
              <w:pStyle w:val="TableParagraph"/>
              <w:ind w:left="154" w:firstLine="144"/>
              <w:jc w:val="left"/>
              <w:rPr>
                <w:b/>
                <w:sz w:val="20"/>
              </w:rPr>
            </w:pPr>
            <w:r>
              <w:rPr>
                <w:b/>
                <w:sz w:val="20"/>
              </w:rPr>
              <w:t xml:space="preserve">Dose Volume </w:t>
            </w:r>
            <w:r>
              <w:rPr>
                <w:b/>
                <w:w w:val="95"/>
                <w:sz w:val="20"/>
              </w:rPr>
              <w:t>(mL/kg)</w:t>
            </w:r>
          </w:p>
        </w:tc>
        <w:tc>
          <w:tcPr>
            <w:tcW w:w="1522" w:type="dxa"/>
            <w:vMerge w:val="restart"/>
          </w:tcPr>
          <w:p w:rsidR="00042D5E" w:rsidRDefault="00042D5E">
            <w:pPr>
              <w:pStyle w:val="TableParagraph"/>
              <w:jc w:val="left"/>
              <w:rPr>
                <w:b/>
                <w:sz w:val="19"/>
              </w:rPr>
            </w:pPr>
          </w:p>
          <w:p w:rsidR="00042D5E" w:rsidRDefault="007D5BFA">
            <w:pPr>
              <w:pStyle w:val="TableParagraph"/>
              <w:ind w:left="141" w:right="136" w:hanging="2"/>
              <w:rPr>
                <w:b/>
                <w:sz w:val="20"/>
              </w:rPr>
            </w:pPr>
            <w:r>
              <w:rPr>
                <w:b/>
                <w:sz w:val="20"/>
              </w:rPr>
              <w:t xml:space="preserve">Dose </w:t>
            </w:r>
            <w:r>
              <w:rPr>
                <w:b/>
                <w:w w:val="95"/>
                <w:sz w:val="20"/>
              </w:rPr>
              <w:t xml:space="preserve">Concentration </w:t>
            </w:r>
            <w:r>
              <w:rPr>
                <w:b/>
                <w:sz w:val="20"/>
              </w:rPr>
              <w:t>(mg/mL)</w:t>
            </w:r>
          </w:p>
        </w:tc>
        <w:tc>
          <w:tcPr>
            <w:tcW w:w="3427" w:type="dxa"/>
            <w:gridSpan w:val="4"/>
          </w:tcPr>
          <w:p w:rsidR="00042D5E" w:rsidRDefault="007D5BFA">
            <w:pPr>
              <w:pStyle w:val="TableParagraph"/>
              <w:spacing w:before="38"/>
              <w:ind w:left="1038"/>
              <w:jc w:val="left"/>
              <w:rPr>
                <w:b/>
                <w:sz w:val="20"/>
              </w:rPr>
            </w:pPr>
            <w:r>
              <w:rPr>
                <w:b/>
                <w:sz w:val="20"/>
              </w:rPr>
              <w:t>No. of Animals</w:t>
            </w:r>
            <w:r>
              <w:rPr>
                <w:b/>
                <w:sz w:val="20"/>
                <w:vertAlign w:val="superscript"/>
              </w:rPr>
              <w:t>a</w:t>
            </w:r>
          </w:p>
        </w:tc>
      </w:tr>
      <w:tr w:rsidR="00042D5E">
        <w:trPr>
          <w:trHeight w:val="311"/>
        </w:trPr>
        <w:tc>
          <w:tcPr>
            <w:tcW w:w="778" w:type="dxa"/>
            <w:vMerge/>
            <w:tcBorders>
              <w:top w:val="nil"/>
            </w:tcBorders>
          </w:tcPr>
          <w:p w:rsidR="00042D5E" w:rsidRDefault="00042D5E">
            <w:pPr>
              <w:rPr>
                <w:sz w:val="2"/>
                <w:szCs w:val="2"/>
              </w:rPr>
            </w:pPr>
          </w:p>
        </w:tc>
        <w:tc>
          <w:tcPr>
            <w:tcW w:w="1088" w:type="dxa"/>
            <w:vMerge/>
            <w:tcBorders>
              <w:top w:val="nil"/>
            </w:tcBorders>
          </w:tcPr>
          <w:p w:rsidR="00042D5E" w:rsidRDefault="00042D5E">
            <w:pPr>
              <w:rPr>
                <w:sz w:val="2"/>
                <w:szCs w:val="2"/>
              </w:rPr>
            </w:pPr>
          </w:p>
        </w:tc>
        <w:tc>
          <w:tcPr>
            <w:tcW w:w="1335" w:type="dxa"/>
            <w:vMerge/>
            <w:tcBorders>
              <w:top w:val="nil"/>
            </w:tcBorders>
          </w:tcPr>
          <w:p w:rsidR="00042D5E" w:rsidRDefault="00042D5E">
            <w:pPr>
              <w:rPr>
                <w:sz w:val="2"/>
                <w:szCs w:val="2"/>
              </w:rPr>
            </w:pPr>
          </w:p>
        </w:tc>
        <w:tc>
          <w:tcPr>
            <w:tcW w:w="1016" w:type="dxa"/>
            <w:vMerge/>
            <w:tcBorders>
              <w:top w:val="nil"/>
            </w:tcBorders>
          </w:tcPr>
          <w:p w:rsidR="00042D5E" w:rsidRDefault="00042D5E">
            <w:pPr>
              <w:rPr>
                <w:sz w:val="2"/>
                <w:szCs w:val="2"/>
              </w:rPr>
            </w:pPr>
          </w:p>
        </w:tc>
        <w:tc>
          <w:tcPr>
            <w:tcW w:w="1522" w:type="dxa"/>
            <w:vMerge/>
            <w:tcBorders>
              <w:top w:val="nil"/>
            </w:tcBorders>
          </w:tcPr>
          <w:p w:rsidR="00042D5E" w:rsidRDefault="00042D5E">
            <w:pPr>
              <w:rPr>
                <w:sz w:val="2"/>
                <w:szCs w:val="2"/>
              </w:rPr>
            </w:pPr>
          </w:p>
        </w:tc>
        <w:tc>
          <w:tcPr>
            <w:tcW w:w="1734" w:type="dxa"/>
            <w:gridSpan w:val="2"/>
          </w:tcPr>
          <w:p w:rsidR="00042D5E" w:rsidRDefault="007D5BFA">
            <w:pPr>
              <w:pStyle w:val="TableParagraph"/>
              <w:spacing w:before="38"/>
              <w:ind w:left="359"/>
              <w:jc w:val="left"/>
              <w:rPr>
                <w:b/>
                <w:sz w:val="20"/>
              </w:rPr>
            </w:pPr>
            <w:r>
              <w:rPr>
                <w:b/>
                <w:sz w:val="20"/>
              </w:rPr>
              <w:t>Main Study</w:t>
            </w:r>
          </w:p>
        </w:tc>
        <w:tc>
          <w:tcPr>
            <w:tcW w:w="1693" w:type="dxa"/>
            <w:gridSpan w:val="2"/>
          </w:tcPr>
          <w:p w:rsidR="00042D5E" w:rsidRDefault="007D5BFA">
            <w:pPr>
              <w:pStyle w:val="TableParagraph"/>
              <w:spacing w:before="38"/>
              <w:ind w:left="166"/>
              <w:jc w:val="left"/>
              <w:rPr>
                <w:b/>
                <w:sz w:val="20"/>
              </w:rPr>
            </w:pPr>
            <w:r>
              <w:rPr>
                <w:b/>
                <w:sz w:val="20"/>
              </w:rPr>
              <w:t>Recovery Study</w:t>
            </w:r>
          </w:p>
        </w:tc>
      </w:tr>
      <w:tr w:rsidR="00042D5E">
        <w:trPr>
          <w:trHeight w:val="309"/>
        </w:trPr>
        <w:tc>
          <w:tcPr>
            <w:tcW w:w="778" w:type="dxa"/>
            <w:vMerge/>
            <w:tcBorders>
              <w:top w:val="nil"/>
            </w:tcBorders>
          </w:tcPr>
          <w:p w:rsidR="00042D5E" w:rsidRDefault="00042D5E">
            <w:pPr>
              <w:rPr>
                <w:sz w:val="2"/>
                <w:szCs w:val="2"/>
              </w:rPr>
            </w:pPr>
          </w:p>
        </w:tc>
        <w:tc>
          <w:tcPr>
            <w:tcW w:w="1088" w:type="dxa"/>
            <w:vMerge/>
            <w:tcBorders>
              <w:top w:val="nil"/>
            </w:tcBorders>
          </w:tcPr>
          <w:p w:rsidR="00042D5E" w:rsidRDefault="00042D5E">
            <w:pPr>
              <w:rPr>
                <w:sz w:val="2"/>
                <w:szCs w:val="2"/>
              </w:rPr>
            </w:pPr>
          </w:p>
        </w:tc>
        <w:tc>
          <w:tcPr>
            <w:tcW w:w="1335" w:type="dxa"/>
            <w:vMerge/>
            <w:tcBorders>
              <w:top w:val="nil"/>
            </w:tcBorders>
          </w:tcPr>
          <w:p w:rsidR="00042D5E" w:rsidRDefault="00042D5E">
            <w:pPr>
              <w:rPr>
                <w:sz w:val="2"/>
                <w:szCs w:val="2"/>
              </w:rPr>
            </w:pPr>
          </w:p>
        </w:tc>
        <w:tc>
          <w:tcPr>
            <w:tcW w:w="1016" w:type="dxa"/>
            <w:vMerge/>
            <w:tcBorders>
              <w:top w:val="nil"/>
            </w:tcBorders>
          </w:tcPr>
          <w:p w:rsidR="00042D5E" w:rsidRDefault="00042D5E">
            <w:pPr>
              <w:rPr>
                <w:sz w:val="2"/>
                <w:szCs w:val="2"/>
              </w:rPr>
            </w:pPr>
          </w:p>
        </w:tc>
        <w:tc>
          <w:tcPr>
            <w:tcW w:w="1522" w:type="dxa"/>
            <w:vMerge/>
            <w:tcBorders>
              <w:top w:val="nil"/>
            </w:tcBorders>
          </w:tcPr>
          <w:p w:rsidR="00042D5E" w:rsidRDefault="00042D5E">
            <w:pPr>
              <w:rPr>
                <w:sz w:val="2"/>
                <w:szCs w:val="2"/>
              </w:rPr>
            </w:pPr>
          </w:p>
        </w:tc>
        <w:tc>
          <w:tcPr>
            <w:tcW w:w="824" w:type="dxa"/>
          </w:tcPr>
          <w:p w:rsidR="00042D5E" w:rsidRDefault="007D5BFA">
            <w:pPr>
              <w:pStyle w:val="TableParagraph"/>
              <w:spacing w:before="38"/>
              <w:ind w:left="133" w:right="129"/>
              <w:rPr>
                <w:b/>
                <w:sz w:val="20"/>
              </w:rPr>
            </w:pPr>
            <w:r>
              <w:rPr>
                <w:b/>
                <w:sz w:val="20"/>
              </w:rPr>
              <w:t>Males</w:t>
            </w:r>
          </w:p>
        </w:tc>
        <w:tc>
          <w:tcPr>
            <w:tcW w:w="910" w:type="dxa"/>
          </w:tcPr>
          <w:p w:rsidR="00042D5E" w:rsidRDefault="007D5BFA">
            <w:pPr>
              <w:pStyle w:val="TableParagraph"/>
              <w:spacing w:before="38"/>
              <w:ind w:left="79" w:right="80"/>
              <w:rPr>
                <w:b/>
                <w:sz w:val="20"/>
              </w:rPr>
            </w:pPr>
            <w:r>
              <w:rPr>
                <w:b/>
                <w:sz w:val="20"/>
              </w:rPr>
              <w:t>Females</w:t>
            </w:r>
          </w:p>
        </w:tc>
        <w:tc>
          <w:tcPr>
            <w:tcW w:w="783" w:type="dxa"/>
          </w:tcPr>
          <w:p w:rsidR="00042D5E" w:rsidRDefault="007D5BFA">
            <w:pPr>
              <w:pStyle w:val="TableParagraph"/>
              <w:spacing w:before="38"/>
              <w:ind w:left="111" w:right="111"/>
              <w:rPr>
                <w:b/>
                <w:sz w:val="20"/>
              </w:rPr>
            </w:pPr>
            <w:r>
              <w:rPr>
                <w:b/>
                <w:sz w:val="20"/>
              </w:rPr>
              <w:t>Males</w:t>
            </w:r>
          </w:p>
        </w:tc>
        <w:tc>
          <w:tcPr>
            <w:tcW w:w="910" w:type="dxa"/>
          </w:tcPr>
          <w:p w:rsidR="00042D5E" w:rsidRDefault="007D5BFA">
            <w:pPr>
              <w:pStyle w:val="TableParagraph"/>
              <w:spacing w:before="38"/>
              <w:ind w:left="79" w:right="80"/>
              <w:rPr>
                <w:b/>
                <w:sz w:val="20"/>
              </w:rPr>
            </w:pPr>
            <w:r>
              <w:rPr>
                <w:b/>
                <w:sz w:val="20"/>
              </w:rPr>
              <w:t>Females</w:t>
            </w:r>
          </w:p>
        </w:tc>
      </w:tr>
      <w:tr w:rsidR="00042D5E">
        <w:trPr>
          <w:trHeight w:val="309"/>
        </w:trPr>
        <w:tc>
          <w:tcPr>
            <w:tcW w:w="778" w:type="dxa"/>
          </w:tcPr>
          <w:p w:rsidR="00042D5E" w:rsidRDefault="007D5BFA">
            <w:pPr>
              <w:pStyle w:val="TableParagraph"/>
              <w:spacing w:before="34"/>
              <w:ind w:left="8"/>
              <w:rPr>
                <w:sz w:val="20"/>
              </w:rPr>
            </w:pPr>
            <w:r>
              <w:rPr>
                <w:w w:val="99"/>
                <w:sz w:val="20"/>
              </w:rPr>
              <w:t>1</w:t>
            </w:r>
          </w:p>
        </w:tc>
        <w:tc>
          <w:tcPr>
            <w:tcW w:w="1088" w:type="dxa"/>
          </w:tcPr>
          <w:p w:rsidR="00042D5E" w:rsidRDefault="007D5BFA">
            <w:pPr>
              <w:pStyle w:val="TableParagraph"/>
              <w:spacing w:before="34"/>
              <w:ind w:left="232"/>
              <w:jc w:val="left"/>
              <w:rPr>
                <w:sz w:val="20"/>
              </w:rPr>
            </w:pPr>
            <w:r>
              <w:rPr>
                <w:sz w:val="20"/>
              </w:rPr>
              <w:t>Vehicle</w:t>
            </w:r>
          </w:p>
        </w:tc>
        <w:tc>
          <w:tcPr>
            <w:tcW w:w="1335" w:type="dxa"/>
          </w:tcPr>
          <w:p w:rsidR="00042D5E" w:rsidRDefault="007D5BFA">
            <w:pPr>
              <w:pStyle w:val="TableParagraph"/>
              <w:spacing w:before="34"/>
              <w:rPr>
                <w:sz w:val="20"/>
              </w:rPr>
            </w:pPr>
            <w:r>
              <w:rPr>
                <w:w w:val="99"/>
                <w:sz w:val="20"/>
              </w:rPr>
              <w:t>0</w:t>
            </w:r>
          </w:p>
        </w:tc>
        <w:tc>
          <w:tcPr>
            <w:tcW w:w="1016" w:type="dxa"/>
          </w:tcPr>
          <w:p w:rsidR="00042D5E" w:rsidRDefault="007D5BFA">
            <w:pPr>
              <w:pStyle w:val="TableParagraph"/>
              <w:spacing w:before="34"/>
              <w:ind w:left="1"/>
              <w:rPr>
                <w:sz w:val="20"/>
              </w:rPr>
            </w:pPr>
            <w:r>
              <w:rPr>
                <w:w w:val="99"/>
                <w:sz w:val="20"/>
              </w:rPr>
              <w:t>5</w:t>
            </w:r>
          </w:p>
        </w:tc>
        <w:tc>
          <w:tcPr>
            <w:tcW w:w="1522" w:type="dxa"/>
          </w:tcPr>
          <w:p w:rsidR="00042D5E" w:rsidRDefault="007D5BFA">
            <w:pPr>
              <w:pStyle w:val="TableParagraph"/>
              <w:spacing w:before="34"/>
              <w:ind w:left="2"/>
              <w:rPr>
                <w:sz w:val="20"/>
              </w:rPr>
            </w:pPr>
            <w:r>
              <w:rPr>
                <w:w w:val="99"/>
                <w:sz w:val="20"/>
              </w:rPr>
              <w:t>0</w:t>
            </w:r>
          </w:p>
        </w:tc>
        <w:tc>
          <w:tcPr>
            <w:tcW w:w="824" w:type="dxa"/>
          </w:tcPr>
          <w:p w:rsidR="00042D5E" w:rsidRDefault="007D5BFA">
            <w:pPr>
              <w:pStyle w:val="TableParagraph"/>
              <w:spacing w:before="34"/>
              <w:rPr>
                <w:sz w:val="20"/>
              </w:rPr>
            </w:pPr>
            <w:r>
              <w:rPr>
                <w:w w:val="99"/>
                <w:sz w:val="20"/>
              </w:rPr>
              <w:t>3</w:t>
            </w:r>
          </w:p>
        </w:tc>
        <w:tc>
          <w:tcPr>
            <w:tcW w:w="910" w:type="dxa"/>
          </w:tcPr>
          <w:p w:rsidR="00042D5E" w:rsidRDefault="007D5BFA">
            <w:pPr>
              <w:pStyle w:val="TableParagraph"/>
              <w:spacing w:before="34"/>
              <w:ind w:right="1"/>
              <w:rPr>
                <w:sz w:val="20"/>
              </w:rPr>
            </w:pPr>
            <w:r>
              <w:rPr>
                <w:w w:val="99"/>
                <w:sz w:val="20"/>
              </w:rPr>
              <w:t>3</w:t>
            </w:r>
          </w:p>
        </w:tc>
        <w:tc>
          <w:tcPr>
            <w:tcW w:w="783" w:type="dxa"/>
          </w:tcPr>
          <w:p w:rsidR="00042D5E" w:rsidRDefault="007D5BFA">
            <w:pPr>
              <w:pStyle w:val="TableParagraph"/>
              <w:spacing w:before="34"/>
              <w:rPr>
                <w:sz w:val="20"/>
              </w:rPr>
            </w:pPr>
            <w:r>
              <w:rPr>
                <w:w w:val="99"/>
                <w:sz w:val="20"/>
              </w:rPr>
              <w:t>2</w:t>
            </w:r>
          </w:p>
        </w:tc>
        <w:tc>
          <w:tcPr>
            <w:tcW w:w="910" w:type="dxa"/>
          </w:tcPr>
          <w:p w:rsidR="00042D5E" w:rsidRDefault="007D5BFA">
            <w:pPr>
              <w:pStyle w:val="TableParagraph"/>
              <w:spacing w:before="34"/>
              <w:ind w:right="3"/>
              <w:rPr>
                <w:sz w:val="20"/>
              </w:rPr>
            </w:pPr>
            <w:r>
              <w:rPr>
                <w:w w:val="99"/>
                <w:sz w:val="20"/>
              </w:rPr>
              <w:t>2</w:t>
            </w:r>
          </w:p>
        </w:tc>
      </w:tr>
      <w:tr w:rsidR="00042D5E">
        <w:trPr>
          <w:trHeight w:val="311"/>
        </w:trPr>
        <w:tc>
          <w:tcPr>
            <w:tcW w:w="778" w:type="dxa"/>
          </w:tcPr>
          <w:p w:rsidR="00042D5E" w:rsidRDefault="007D5BFA">
            <w:pPr>
              <w:pStyle w:val="TableParagraph"/>
              <w:spacing w:before="34"/>
              <w:ind w:left="8"/>
              <w:rPr>
                <w:sz w:val="20"/>
              </w:rPr>
            </w:pPr>
            <w:r>
              <w:rPr>
                <w:w w:val="99"/>
                <w:sz w:val="20"/>
              </w:rPr>
              <w:t>2</w:t>
            </w:r>
          </w:p>
        </w:tc>
        <w:tc>
          <w:tcPr>
            <w:tcW w:w="1088" w:type="dxa"/>
            <w:vMerge w:val="restart"/>
          </w:tcPr>
          <w:p w:rsidR="00042D5E" w:rsidRDefault="00042D5E">
            <w:pPr>
              <w:pStyle w:val="TableParagraph"/>
              <w:spacing w:before="10"/>
              <w:jc w:val="left"/>
              <w:rPr>
                <w:b/>
                <w:sz w:val="30"/>
              </w:rPr>
            </w:pPr>
          </w:p>
          <w:p w:rsidR="00042D5E" w:rsidRDefault="00BB321B">
            <w:pPr>
              <w:pStyle w:val="TableParagraph"/>
              <w:ind w:left="157"/>
              <w:jc w:val="left"/>
              <w:rPr>
                <w:sz w:val="20"/>
              </w:rPr>
            </w:pPr>
            <w:r>
              <w:rPr>
                <w:sz w:val="20"/>
              </w:rPr>
              <w:t>PROJECT 15</w:t>
            </w:r>
          </w:p>
        </w:tc>
        <w:tc>
          <w:tcPr>
            <w:tcW w:w="1335" w:type="dxa"/>
          </w:tcPr>
          <w:p w:rsidR="00042D5E" w:rsidRDefault="007D5BFA">
            <w:pPr>
              <w:pStyle w:val="TableParagraph"/>
              <w:spacing w:before="34"/>
              <w:ind w:left="416" w:right="415"/>
              <w:rPr>
                <w:sz w:val="20"/>
              </w:rPr>
            </w:pPr>
            <w:r>
              <w:rPr>
                <w:sz w:val="20"/>
              </w:rPr>
              <w:t>12</w:t>
            </w:r>
          </w:p>
        </w:tc>
        <w:tc>
          <w:tcPr>
            <w:tcW w:w="1016" w:type="dxa"/>
          </w:tcPr>
          <w:p w:rsidR="00042D5E" w:rsidRDefault="007D5BFA">
            <w:pPr>
              <w:pStyle w:val="TableParagraph"/>
              <w:spacing w:before="34"/>
              <w:ind w:left="1"/>
              <w:rPr>
                <w:sz w:val="20"/>
              </w:rPr>
            </w:pPr>
            <w:r>
              <w:rPr>
                <w:w w:val="99"/>
                <w:sz w:val="20"/>
              </w:rPr>
              <w:t>5</w:t>
            </w:r>
          </w:p>
        </w:tc>
        <w:tc>
          <w:tcPr>
            <w:tcW w:w="1522" w:type="dxa"/>
          </w:tcPr>
          <w:p w:rsidR="00042D5E" w:rsidRDefault="007D5BFA">
            <w:pPr>
              <w:pStyle w:val="TableParagraph"/>
              <w:spacing w:before="34"/>
              <w:ind w:left="614" w:right="608"/>
              <w:rPr>
                <w:sz w:val="20"/>
              </w:rPr>
            </w:pPr>
            <w:r>
              <w:rPr>
                <w:sz w:val="20"/>
              </w:rPr>
              <w:t>2.4</w:t>
            </w:r>
          </w:p>
        </w:tc>
        <w:tc>
          <w:tcPr>
            <w:tcW w:w="824" w:type="dxa"/>
          </w:tcPr>
          <w:p w:rsidR="00042D5E" w:rsidRDefault="007D5BFA">
            <w:pPr>
              <w:pStyle w:val="TableParagraph"/>
              <w:spacing w:before="34"/>
              <w:rPr>
                <w:sz w:val="20"/>
              </w:rPr>
            </w:pPr>
            <w:r>
              <w:rPr>
                <w:w w:val="99"/>
                <w:sz w:val="20"/>
              </w:rPr>
              <w:t>3</w:t>
            </w:r>
          </w:p>
        </w:tc>
        <w:tc>
          <w:tcPr>
            <w:tcW w:w="910" w:type="dxa"/>
          </w:tcPr>
          <w:p w:rsidR="00042D5E" w:rsidRDefault="007D5BFA">
            <w:pPr>
              <w:pStyle w:val="TableParagraph"/>
              <w:spacing w:before="34"/>
              <w:ind w:right="1"/>
              <w:rPr>
                <w:sz w:val="20"/>
              </w:rPr>
            </w:pPr>
            <w:r>
              <w:rPr>
                <w:w w:val="99"/>
                <w:sz w:val="20"/>
              </w:rPr>
              <w:t>3</w:t>
            </w:r>
          </w:p>
        </w:tc>
        <w:tc>
          <w:tcPr>
            <w:tcW w:w="783" w:type="dxa"/>
          </w:tcPr>
          <w:p w:rsidR="00042D5E" w:rsidRDefault="007D5BFA">
            <w:pPr>
              <w:pStyle w:val="TableParagraph"/>
              <w:spacing w:before="34"/>
              <w:rPr>
                <w:sz w:val="20"/>
              </w:rPr>
            </w:pPr>
            <w:r>
              <w:rPr>
                <w:w w:val="99"/>
                <w:sz w:val="20"/>
              </w:rPr>
              <w:t>2</w:t>
            </w:r>
          </w:p>
        </w:tc>
        <w:tc>
          <w:tcPr>
            <w:tcW w:w="910" w:type="dxa"/>
          </w:tcPr>
          <w:p w:rsidR="00042D5E" w:rsidRDefault="007D5BFA">
            <w:pPr>
              <w:pStyle w:val="TableParagraph"/>
              <w:spacing w:before="34"/>
              <w:ind w:right="3"/>
              <w:rPr>
                <w:sz w:val="20"/>
              </w:rPr>
            </w:pPr>
            <w:r>
              <w:rPr>
                <w:w w:val="99"/>
                <w:sz w:val="20"/>
              </w:rPr>
              <w:t>2</w:t>
            </w:r>
          </w:p>
        </w:tc>
      </w:tr>
      <w:tr w:rsidR="00042D5E">
        <w:trPr>
          <w:trHeight w:val="309"/>
        </w:trPr>
        <w:tc>
          <w:tcPr>
            <w:tcW w:w="778" w:type="dxa"/>
          </w:tcPr>
          <w:p w:rsidR="00042D5E" w:rsidRDefault="007D5BFA">
            <w:pPr>
              <w:pStyle w:val="TableParagraph"/>
              <w:spacing w:before="34"/>
              <w:ind w:left="8"/>
              <w:rPr>
                <w:sz w:val="20"/>
              </w:rPr>
            </w:pPr>
            <w:r>
              <w:rPr>
                <w:w w:val="99"/>
                <w:sz w:val="20"/>
              </w:rPr>
              <w:t>3</w:t>
            </w:r>
          </w:p>
        </w:tc>
        <w:tc>
          <w:tcPr>
            <w:tcW w:w="1088" w:type="dxa"/>
            <w:vMerge/>
            <w:tcBorders>
              <w:top w:val="nil"/>
            </w:tcBorders>
          </w:tcPr>
          <w:p w:rsidR="00042D5E" w:rsidRDefault="00042D5E">
            <w:pPr>
              <w:rPr>
                <w:sz w:val="2"/>
                <w:szCs w:val="2"/>
              </w:rPr>
            </w:pPr>
          </w:p>
        </w:tc>
        <w:tc>
          <w:tcPr>
            <w:tcW w:w="1335" w:type="dxa"/>
          </w:tcPr>
          <w:p w:rsidR="00042D5E" w:rsidRDefault="007D5BFA">
            <w:pPr>
              <w:pStyle w:val="TableParagraph"/>
              <w:spacing w:before="34"/>
              <w:ind w:left="416" w:right="415"/>
              <w:rPr>
                <w:sz w:val="20"/>
              </w:rPr>
            </w:pPr>
            <w:r>
              <w:rPr>
                <w:sz w:val="20"/>
              </w:rPr>
              <w:t>18</w:t>
            </w:r>
          </w:p>
        </w:tc>
        <w:tc>
          <w:tcPr>
            <w:tcW w:w="1016" w:type="dxa"/>
          </w:tcPr>
          <w:p w:rsidR="00042D5E" w:rsidRDefault="007D5BFA">
            <w:pPr>
              <w:pStyle w:val="TableParagraph"/>
              <w:spacing w:before="34"/>
              <w:ind w:left="1"/>
              <w:rPr>
                <w:sz w:val="20"/>
              </w:rPr>
            </w:pPr>
            <w:r>
              <w:rPr>
                <w:w w:val="99"/>
                <w:sz w:val="20"/>
              </w:rPr>
              <w:t>5</w:t>
            </w:r>
          </w:p>
        </w:tc>
        <w:tc>
          <w:tcPr>
            <w:tcW w:w="1522" w:type="dxa"/>
          </w:tcPr>
          <w:p w:rsidR="00042D5E" w:rsidRDefault="007D5BFA">
            <w:pPr>
              <w:pStyle w:val="TableParagraph"/>
              <w:spacing w:before="34"/>
              <w:ind w:left="614" w:right="608"/>
              <w:rPr>
                <w:sz w:val="20"/>
              </w:rPr>
            </w:pPr>
            <w:r>
              <w:rPr>
                <w:sz w:val="20"/>
              </w:rPr>
              <w:t>3.6</w:t>
            </w:r>
          </w:p>
        </w:tc>
        <w:tc>
          <w:tcPr>
            <w:tcW w:w="824" w:type="dxa"/>
          </w:tcPr>
          <w:p w:rsidR="00042D5E" w:rsidRDefault="007D5BFA">
            <w:pPr>
              <w:pStyle w:val="TableParagraph"/>
              <w:spacing w:before="34"/>
              <w:rPr>
                <w:sz w:val="20"/>
              </w:rPr>
            </w:pPr>
            <w:r>
              <w:rPr>
                <w:w w:val="99"/>
                <w:sz w:val="20"/>
              </w:rPr>
              <w:t>3</w:t>
            </w:r>
          </w:p>
        </w:tc>
        <w:tc>
          <w:tcPr>
            <w:tcW w:w="910" w:type="dxa"/>
          </w:tcPr>
          <w:p w:rsidR="00042D5E" w:rsidRDefault="007D5BFA">
            <w:pPr>
              <w:pStyle w:val="TableParagraph"/>
              <w:spacing w:before="34"/>
              <w:ind w:right="1"/>
              <w:rPr>
                <w:sz w:val="20"/>
              </w:rPr>
            </w:pPr>
            <w:r>
              <w:rPr>
                <w:w w:val="99"/>
                <w:sz w:val="20"/>
              </w:rPr>
              <w:t>3</w:t>
            </w:r>
          </w:p>
        </w:tc>
        <w:tc>
          <w:tcPr>
            <w:tcW w:w="783" w:type="dxa"/>
          </w:tcPr>
          <w:p w:rsidR="00042D5E" w:rsidRDefault="007D5BFA">
            <w:pPr>
              <w:pStyle w:val="TableParagraph"/>
              <w:spacing w:before="34"/>
              <w:rPr>
                <w:sz w:val="20"/>
              </w:rPr>
            </w:pPr>
            <w:r>
              <w:rPr>
                <w:w w:val="99"/>
                <w:sz w:val="20"/>
              </w:rPr>
              <w:t>2</w:t>
            </w:r>
          </w:p>
        </w:tc>
        <w:tc>
          <w:tcPr>
            <w:tcW w:w="910" w:type="dxa"/>
          </w:tcPr>
          <w:p w:rsidR="00042D5E" w:rsidRDefault="007D5BFA">
            <w:pPr>
              <w:pStyle w:val="TableParagraph"/>
              <w:spacing w:before="34"/>
              <w:ind w:right="3"/>
              <w:rPr>
                <w:sz w:val="20"/>
              </w:rPr>
            </w:pPr>
            <w:r>
              <w:rPr>
                <w:w w:val="99"/>
                <w:sz w:val="20"/>
              </w:rPr>
              <w:t>2</w:t>
            </w:r>
          </w:p>
        </w:tc>
      </w:tr>
      <w:tr w:rsidR="00042D5E">
        <w:trPr>
          <w:trHeight w:val="309"/>
        </w:trPr>
        <w:tc>
          <w:tcPr>
            <w:tcW w:w="778" w:type="dxa"/>
          </w:tcPr>
          <w:p w:rsidR="00042D5E" w:rsidRDefault="007D5BFA">
            <w:pPr>
              <w:pStyle w:val="TableParagraph"/>
              <w:spacing w:before="34"/>
              <w:ind w:left="8"/>
              <w:rPr>
                <w:sz w:val="20"/>
              </w:rPr>
            </w:pPr>
            <w:r>
              <w:rPr>
                <w:w w:val="99"/>
                <w:sz w:val="20"/>
              </w:rPr>
              <w:t>4</w:t>
            </w:r>
          </w:p>
        </w:tc>
        <w:tc>
          <w:tcPr>
            <w:tcW w:w="1088" w:type="dxa"/>
            <w:vMerge/>
            <w:tcBorders>
              <w:top w:val="nil"/>
            </w:tcBorders>
          </w:tcPr>
          <w:p w:rsidR="00042D5E" w:rsidRDefault="00042D5E">
            <w:pPr>
              <w:rPr>
                <w:sz w:val="2"/>
                <w:szCs w:val="2"/>
              </w:rPr>
            </w:pPr>
          </w:p>
        </w:tc>
        <w:tc>
          <w:tcPr>
            <w:tcW w:w="1335" w:type="dxa"/>
          </w:tcPr>
          <w:p w:rsidR="00042D5E" w:rsidRDefault="007D5BFA">
            <w:pPr>
              <w:pStyle w:val="TableParagraph"/>
              <w:spacing w:before="34"/>
              <w:ind w:left="416" w:right="415"/>
              <w:rPr>
                <w:sz w:val="20"/>
              </w:rPr>
            </w:pPr>
            <w:r>
              <w:rPr>
                <w:sz w:val="20"/>
              </w:rPr>
              <w:t>24</w:t>
            </w:r>
          </w:p>
        </w:tc>
        <w:tc>
          <w:tcPr>
            <w:tcW w:w="1016" w:type="dxa"/>
          </w:tcPr>
          <w:p w:rsidR="00042D5E" w:rsidRDefault="007D5BFA">
            <w:pPr>
              <w:pStyle w:val="TableParagraph"/>
              <w:spacing w:before="34"/>
              <w:ind w:left="1"/>
              <w:rPr>
                <w:sz w:val="20"/>
              </w:rPr>
            </w:pPr>
            <w:r>
              <w:rPr>
                <w:w w:val="99"/>
                <w:sz w:val="20"/>
              </w:rPr>
              <w:t>5</w:t>
            </w:r>
          </w:p>
        </w:tc>
        <w:tc>
          <w:tcPr>
            <w:tcW w:w="1522" w:type="dxa"/>
          </w:tcPr>
          <w:p w:rsidR="00042D5E" w:rsidRDefault="007D5BFA">
            <w:pPr>
              <w:pStyle w:val="TableParagraph"/>
              <w:spacing w:before="34"/>
              <w:ind w:left="614" w:right="608"/>
              <w:rPr>
                <w:sz w:val="20"/>
              </w:rPr>
            </w:pPr>
            <w:r>
              <w:rPr>
                <w:sz w:val="20"/>
              </w:rPr>
              <w:t>4.8</w:t>
            </w:r>
          </w:p>
        </w:tc>
        <w:tc>
          <w:tcPr>
            <w:tcW w:w="824" w:type="dxa"/>
          </w:tcPr>
          <w:p w:rsidR="00042D5E" w:rsidRDefault="007D5BFA">
            <w:pPr>
              <w:pStyle w:val="TableParagraph"/>
              <w:spacing w:before="34"/>
              <w:rPr>
                <w:sz w:val="20"/>
              </w:rPr>
            </w:pPr>
            <w:r>
              <w:rPr>
                <w:w w:val="99"/>
                <w:sz w:val="20"/>
              </w:rPr>
              <w:t>3</w:t>
            </w:r>
          </w:p>
        </w:tc>
        <w:tc>
          <w:tcPr>
            <w:tcW w:w="910" w:type="dxa"/>
          </w:tcPr>
          <w:p w:rsidR="00042D5E" w:rsidRDefault="007D5BFA">
            <w:pPr>
              <w:pStyle w:val="TableParagraph"/>
              <w:spacing w:before="34"/>
              <w:ind w:right="1"/>
              <w:rPr>
                <w:sz w:val="20"/>
              </w:rPr>
            </w:pPr>
            <w:r>
              <w:rPr>
                <w:w w:val="99"/>
                <w:sz w:val="20"/>
              </w:rPr>
              <w:t>3</w:t>
            </w:r>
          </w:p>
        </w:tc>
        <w:tc>
          <w:tcPr>
            <w:tcW w:w="783" w:type="dxa"/>
          </w:tcPr>
          <w:p w:rsidR="00042D5E" w:rsidRDefault="007D5BFA">
            <w:pPr>
              <w:pStyle w:val="TableParagraph"/>
              <w:spacing w:before="34"/>
              <w:rPr>
                <w:sz w:val="20"/>
              </w:rPr>
            </w:pPr>
            <w:r>
              <w:rPr>
                <w:w w:val="99"/>
                <w:sz w:val="20"/>
              </w:rPr>
              <w:t>2</w:t>
            </w:r>
          </w:p>
        </w:tc>
        <w:tc>
          <w:tcPr>
            <w:tcW w:w="910" w:type="dxa"/>
          </w:tcPr>
          <w:p w:rsidR="00042D5E" w:rsidRDefault="007D5BFA">
            <w:pPr>
              <w:pStyle w:val="TableParagraph"/>
              <w:spacing w:before="34"/>
              <w:ind w:right="3"/>
              <w:rPr>
                <w:sz w:val="20"/>
              </w:rPr>
            </w:pPr>
            <w:r>
              <w:rPr>
                <w:w w:val="99"/>
                <w:sz w:val="20"/>
              </w:rPr>
              <w:t>2</w:t>
            </w:r>
          </w:p>
        </w:tc>
      </w:tr>
      <w:tr w:rsidR="00042D5E">
        <w:trPr>
          <w:trHeight w:val="311"/>
        </w:trPr>
        <w:tc>
          <w:tcPr>
            <w:tcW w:w="778" w:type="dxa"/>
          </w:tcPr>
          <w:p w:rsidR="00042D5E" w:rsidRDefault="007D5BFA">
            <w:pPr>
              <w:pStyle w:val="TableParagraph"/>
              <w:spacing w:before="34"/>
              <w:ind w:left="8"/>
              <w:rPr>
                <w:sz w:val="20"/>
              </w:rPr>
            </w:pPr>
            <w:r>
              <w:rPr>
                <w:w w:val="99"/>
                <w:sz w:val="20"/>
              </w:rPr>
              <w:t>5</w:t>
            </w:r>
          </w:p>
        </w:tc>
        <w:tc>
          <w:tcPr>
            <w:tcW w:w="1088" w:type="dxa"/>
          </w:tcPr>
          <w:p w:rsidR="00042D5E" w:rsidRDefault="00FE45DE">
            <w:pPr>
              <w:pStyle w:val="TableParagraph"/>
              <w:spacing w:before="34"/>
              <w:ind w:left="186"/>
              <w:jc w:val="left"/>
              <w:rPr>
                <w:sz w:val="20"/>
              </w:rPr>
            </w:pPr>
            <w:r>
              <w:rPr>
                <w:sz w:val="20"/>
              </w:rPr>
              <w:t>PROJECT 15</w:t>
            </w:r>
          </w:p>
        </w:tc>
        <w:tc>
          <w:tcPr>
            <w:tcW w:w="1335" w:type="dxa"/>
          </w:tcPr>
          <w:p w:rsidR="00042D5E" w:rsidRDefault="007D5BFA">
            <w:pPr>
              <w:pStyle w:val="TableParagraph"/>
              <w:spacing w:before="34"/>
              <w:ind w:left="416" w:right="415"/>
              <w:rPr>
                <w:sz w:val="20"/>
              </w:rPr>
            </w:pPr>
            <w:r>
              <w:rPr>
                <w:sz w:val="20"/>
              </w:rPr>
              <w:t>24</w:t>
            </w:r>
          </w:p>
        </w:tc>
        <w:tc>
          <w:tcPr>
            <w:tcW w:w="1016" w:type="dxa"/>
          </w:tcPr>
          <w:p w:rsidR="00042D5E" w:rsidRDefault="007D5BFA">
            <w:pPr>
              <w:pStyle w:val="TableParagraph"/>
              <w:spacing w:before="34"/>
              <w:ind w:left="1"/>
              <w:rPr>
                <w:sz w:val="20"/>
              </w:rPr>
            </w:pPr>
            <w:r>
              <w:rPr>
                <w:w w:val="99"/>
                <w:sz w:val="20"/>
              </w:rPr>
              <w:t>5</w:t>
            </w:r>
          </w:p>
        </w:tc>
        <w:tc>
          <w:tcPr>
            <w:tcW w:w="1522" w:type="dxa"/>
          </w:tcPr>
          <w:p w:rsidR="00042D5E" w:rsidRDefault="007D5BFA">
            <w:pPr>
              <w:pStyle w:val="TableParagraph"/>
              <w:spacing w:before="34"/>
              <w:ind w:left="614" w:right="608"/>
              <w:rPr>
                <w:sz w:val="20"/>
              </w:rPr>
            </w:pPr>
            <w:r>
              <w:rPr>
                <w:sz w:val="20"/>
              </w:rPr>
              <w:t>4.8</w:t>
            </w:r>
          </w:p>
        </w:tc>
        <w:tc>
          <w:tcPr>
            <w:tcW w:w="824" w:type="dxa"/>
          </w:tcPr>
          <w:p w:rsidR="00042D5E" w:rsidRDefault="007D5BFA">
            <w:pPr>
              <w:pStyle w:val="TableParagraph"/>
              <w:spacing w:before="34"/>
              <w:rPr>
                <w:sz w:val="20"/>
              </w:rPr>
            </w:pPr>
            <w:r>
              <w:rPr>
                <w:w w:val="99"/>
                <w:sz w:val="20"/>
              </w:rPr>
              <w:t>3</w:t>
            </w:r>
          </w:p>
        </w:tc>
        <w:tc>
          <w:tcPr>
            <w:tcW w:w="910" w:type="dxa"/>
          </w:tcPr>
          <w:p w:rsidR="00042D5E" w:rsidRDefault="007D5BFA">
            <w:pPr>
              <w:pStyle w:val="TableParagraph"/>
              <w:spacing w:before="34"/>
              <w:ind w:right="1"/>
              <w:rPr>
                <w:sz w:val="20"/>
              </w:rPr>
            </w:pPr>
            <w:r>
              <w:rPr>
                <w:w w:val="99"/>
                <w:sz w:val="20"/>
              </w:rPr>
              <w:t>3</w:t>
            </w:r>
          </w:p>
        </w:tc>
        <w:tc>
          <w:tcPr>
            <w:tcW w:w="783" w:type="dxa"/>
          </w:tcPr>
          <w:p w:rsidR="00042D5E" w:rsidRDefault="007D5BFA">
            <w:pPr>
              <w:pStyle w:val="TableParagraph"/>
              <w:spacing w:before="34"/>
              <w:rPr>
                <w:sz w:val="20"/>
              </w:rPr>
            </w:pPr>
            <w:r>
              <w:rPr>
                <w:w w:val="99"/>
                <w:sz w:val="20"/>
              </w:rPr>
              <w:t>2</w:t>
            </w:r>
          </w:p>
        </w:tc>
        <w:tc>
          <w:tcPr>
            <w:tcW w:w="910" w:type="dxa"/>
          </w:tcPr>
          <w:p w:rsidR="00042D5E" w:rsidRDefault="007D5BFA">
            <w:pPr>
              <w:pStyle w:val="TableParagraph"/>
              <w:spacing w:before="34"/>
              <w:ind w:right="3"/>
              <w:rPr>
                <w:sz w:val="20"/>
              </w:rPr>
            </w:pPr>
            <w:r>
              <w:rPr>
                <w:w w:val="99"/>
                <w:sz w:val="20"/>
              </w:rPr>
              <w:t>2</w:t>
            </w:r>
          </w:p>
        </w:tc>
      </w:tr>
      <w:tr w:rsidR="00042D5E">
        <w:trPr>
          <w:trHeight w:val="539"/>
        </w:trPr>
        <w:tc>
          <w:tcPr>
            <w:tcW w:w="778" w:type="dxa"/>
          </w:tcPr>
          <w:p w:rsidR="00042D5E" w:rsidRDefault="007D5BFA">
            <w:pPr>
              <w:pStyle w:val="TableParagraph"/>
              <w:spacing w:before="149"/>
              <w:ind w:left="8"/>
              <w:rPr>
                <w:sz w:val="20"/>
              </w:rPr>
            </w:pPr>
            <w:r>
              <w:rPr>
                <w:w w:val="99"/>
                <w:sz w:val="20"/>
              </w:rPr>
              <w:t>6</w:t>
            </w:r>
          </w:p>
        </w:tc>
        <w:tc>
          <w:tcPr>
            <w:tcW w:w="1088" w:type="dxa"/>
          </w:tcPr>
          <w:p w:rsidR="00042D5E" w:rsidRDefault="007D5BFA">
            <w:pPr>
              <w:pStyle w:val="TableParagraph"/>
              <w:spacing w:before="34"/>
              <w:ind w:left="208" w:right="83" w:hanging="116"/>
              <w:jc w:val="left"/>
              <w:rPr>
                <w:sz w:val="20"/>
              </w:rPr>
            </w:pPr>
            <w:r>
              <w:rPr>
                <w:sz w:val="20"/>
              </w:rPr>
              <w:t>pAF-AGL- 0185-30</w:t>
            </w:r>
          </w:p>
        </w:tc>
        <w:tc>
          <w:tcPr>
            <w:tcW w:w="1335" w:type="dxa"/>
          </w:tcPr>
          <w:p w:rsidR="00042D5E" w:rsidRDefault="007D5BFA">
            <w:pPr>
              <w:pStyle w:val="TableParagraph"/>
              <w:spacing w:before="149"/>
              <w:ind w:left="419" w:right="415"/>
              <w:rPr>
                <w:sz w:val="20"/>
              </w:rPr>
            </w:pPr>
            <w:r>
              <w:rPr>
                <w:sz w:val="20"/>
              </w:rPr>
              <w:t>0.334</w:t>
            </w:r>
          </w:p>
        </w:tc>
        <w:tc>
          <w:tcPr>
            <w:tcW w:w="1016" w:type="dxa"/>
          </w:tcPr>
          <w:p w:rsidR="00042D5E" w:rsidRDefault="007D5BFA">
            <w:pPr>
              <w:pStyle w:val="TableParagraph"/>
              <w:spacing w:before="149"/>
              <w:ind w:left="260" w:right="255"/>
              <w:rPr>
                <w:sz w:val="20"/>
              </w:rPr>
            </w:pPr>
            <w:r>
              <w:rPr>
                <w:sz w:val="20"/>
              </w:rPr>
              <w:t>0.334</w:t>
            </w:r>
          </w:p>
        </w:tc>
        <w:tc>
          <w:tcPr>
            <w:tcW w:w="1522" w:type="dxa"/>
          </w:tcPr>
          <w:p w:rsidR="00042D5E" w:rsidRDefault="007D5BFA">
            <w:pPr>
              <w:pStyle w:val="TableParagraph"/>
              <w:spacing w:before="149"/>
              <w:ind w:left="2"/>
              <w:rPr>
                <w:sz w:val="20"/>
              </w:rPr>
            </w:pPr>
            <w:r>
              <w:rPr>
                <w:w w:val="99"/>
                <w:sz w:val="20"/>
              </w:rPr>
              <w:t>1</w:t>
            </w:r>
          </w:p>
        </w:tc>
        <w:tc>
          <w:tcPr>
            <w:tcW w:w="824" w:type="dxa"/>
          </w:tcPr>
          <w:p w:rsidR="00042D5E" w:rsidRDefault="007D5BFA">
            <w:pPr>
              <w:pStyle w:val="TableParagraph"/>
              <w:spacing w:before="149"/>
              <w:rPr>
                <w:sz w:val="20"/>
              </w:rPr>
            </w:pPr>
            <w:r>
              <w:rPr>
                <w:w w:val="99"/>
                <w:sz w:val="20"/>
              </w:rPr>
              <w:t>3</w:t>
            </w:r>
          </w:p>
        </w:tc>
        <w:tc>
          <w:tcPr>
            <w:tcW w:w="910" w:type="dxa"/>
          </w:tcPr>
          <w:p w:rsidR="00042D5E" w:rsidRDefault="007D5BFA">
            <w:pPr>
              <w:pStyle w:val="TableParagraph"/>
              <w:spacing w:before="149"/>
              <w:ind w:right="1"/>
              <w:rPr>
                <w:sz w:val="20"/>
              </w:rPr>
            </w:pPr>
            <w:r>
              <w:rPr>
                <w:w w:val="99"/>
                <w:sz w:val="20"/>
              </w:rPr>
              <w:t>3</w:t>
            </w:r>
          </w:p>
        </w:tc>
        <w:tc>
          <w:tcPr>
            <w:tcW w:w="783" w:type="dxa"/>
          </w:tcPr>
          <w:p w:rsidR="00042D5E" w:rsidRDefault="007D5BFA">
            <w:pPr>
              <w:pStyle w:val="TableParagraph"/>
              <w:spacing w:before="149"/>
              <w:rPr>
                <w:sz w:val="20"/>
              </w:rPr>
            </w:pPr>
            <w:r>
              <w:rPr>
                <w:w w:val="99"/>
                <w:sz w:val="20"/>
              </w:rPr>
              <w:t>2</w:t>
            </w:r>
          </w:p>
        </w:tc>
        <w:tc>
          <w:tcPr>
            <w:tcW w:w="910" w:type="dxa"/>
          </w:tcPr>
          <w:p w:rsidR="00042D5E" w:rsidRDefault="007D5BFA">
            <w:pPr>
              <w:pStyle w:val="TableParagraph"/>
              <w:spacing w:before="149"/>
              <w:ind w:right="3"/>
              <w:rPr>
                <w:sz w:val="20"/>
              </w:rPr>
            </w:pPr>
            <w:r>
              <w:rPr>
                <w:w w:val="99"/>
                <w:sz w:val="20"/>
              </w:rPr>
              <w:t>2</w:t>
            </w:r>
          </w:p>
        </w:tc>
      </w:tr>
    </w:tbl>
    <w:p w:rsidR="00042D5E" w:rsidRDefault="007D5BFA">
      <w:pPr>
        <w:spacing w:before="53"/>
        <w:ind w:left="232"/>
        <w:rPr>
          <w:sz w:val="20"/>
        </w:rPr>
      </w:pPr>
      <w:r>
        <w:rPr>
          <w:sz w:val="20"/>
        </w:rPr>
        <w:t>pAF: para-acetyl phenylalanine</w:t>
      </w:r>
    </w:p>
    <w:p w:rsidR="00042D5E" w:rsidRDefault="007D5BFA">
      <w:pPr>
        <w:spacing w:before="36"/>
        <w:ind w:left="232"/>
        <w:rPr>
          <w:sz w:val="20"/>
        </w:rPr>
      </w:pPr>
      <w:r>
        <w:rPr>
          <w:position w:val="9"/>
          <w:sz w:val="13"/>
        </w:rPr>
        <w:t xml:space="preserve">a </w:t>
      </w:r>
      <w:r>
        <w:rPr>
          <w:sz w:val="20"/>
        </w:rPr>
        <w:t>Main study and recovery animals were necropsied on days 29 and 71, respectively.</w:t>
      </w:r>
    </w:p>
    <w:p w:rsidR="00042D5E" w:rsidRDefault="00042D5E">
      <w:pPr>
        <w:pStyle w:val="a3"/>
      </w:pPr>
    </w:p>
    <w:p w:rsidR="00042D5E" w:rsidRDefault="007D5BFA">
      <w:pPr>
        <w:pStyle w:val="a3"/>
        <w:spacing w:before="158" w:line="261" w:lineRule="auto"/>
        <w:ind w:left="232" w:right="276"/>
      </w:pPr>
      <w:r>
        <w:t>The following parameters and end points were evaluated in this study: clinical signs and food consumption, body weights, ophthalmology, physical examinations, electrocardiography, blood pressure, clinical pathology parameters (hematology, coagulation, clinical chemistry, and urinalysis), TK and anti-therapeutic antibody analysis, gross necropsy findings, organ weights, and histopathologic examinations.</w:t>
      </w:r>
    </w:p>
    <w:p w:rsidR="00042D5E" w:rsidRDefault="007D5BFA">
      <w:pPr>
        <w:pStyle w:val="3"/>
        <w:numPr>
          <w:ilvl w:val="4"/>
          <w:numId w:val="8"/>
        </w:numPr>
        <w:tabs>
          <w:tab w:val="left" w:pos="1365"/>
          <w:tab w:val="left" w:pos="1366"/>
        </w:tabs>
        <w:spacing w:before="120"/>
      </w:pPr>
      <w:bookmarkStart w:id="25" w:name="4.3.2.2.3_Results"/>
      <w:bookmarkEnd w:id="25"/>
      <w:r>
        <w:t>Results</w:t>
      </w:r>
    </w:p>
    <w:p w:rsidR="00042D5E" w:rsidRDefault="007D5BFA">
      <w:pPr>
        <w:pStyle w:val="a3"/>
        <w:spacing w:before="140"/>
        <w:ind w:left="232"/>
      </w:pPr>
      <w:r>
        <w:t>All animals survived for the duration of the study.</w:t>
      </w:r>
    </w:p>
    <w:p w:rsidR="00042D5E" w:rsidRDefault="007D5BFA">
      <w:pPr>
        <w:pStyle w:val="a3"/>
        <w:spacing w:before="144" w:line="261" w:lineRule="auto"/>
        <w:ind w:left="232" w:right="476"/>
      </w:pPr>
      <w:r>
        <w:t xml:space="preserve">There were no </w:t>
      </w:r>
      <w:r w:rsidR="00BB321B">
        <w:t>PROJECT 15</w:t>
      </w:r>
      <w:r>
        <w:t xml:space="preserve">-, </w:t>
      </w:r>
      <w:r w:rsidR="00FE45DE">
        <w:t>PROJECT 15</w:t>
      </w:r>
      <w:r>
        <w:t>-, or pAF-AGL-0185-30-related clinical signs or effects on body weight, food consumption, physical examination parameters, ophthalmic examination, blood pressure, and electrocardiography assessment.</w:t>
      </w:r>
    </w:p>
    <w:p w:rsidR="00042D5E" w:rsidRDefault="00BB321B">
      <w:pPr>
        <w:pStyle w:val="a3"/>
        <w:spacing w:before="117" w:line="261" w:lineRule="auto"/>
        <w:ind w:left="232" w:right="1210"/>
      </w:pPr>
      <w:r>
        <w:t>PROJECT 15</w:t>
      </w:r>
      <w:r w:rsidR="007D5BFA">
        <w:t>-related changes in hematology parameters included decreased platelets in individual animals at ≥ 12 mg/kg/dose, and decreased neutrophils and monocytes at</w:t>
      </w:r>
    </w:p>
    <w:p w:rsidR="00042D5E" w:rsidRDefault="007D5BFA">
      <w:pPr>
        <w:pStyle w:val="a3"/>
        <w:spacing w:line="274" w:lineRule="exact"/>
        <w:ind w:left="232"/>
      </w:pPr>
      <w:r>
        <w:lastRenderedPageBreak/>
        <w:t>24 mg/kg/dose associated with decreased white blood cell counts, changes in coagulation</w:t>
      </w:r>
    </w:p>
    <w:p w:rsidR="00042D5E" w:rsidRDefault="00042D5E">
      <w:pPr>
        <w:spacing w:line="274" w:lineRule="exact"/>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a3"/>
        <w:spacing w:before="227" w:line="261" w:lineRule="auto"/>
        <w:ind w:left="232" w:right="290"/>
      </w:pPr>
      <w:r>
        <w:t xml:space="preserve">parameters at ≥ 12 mg/kg/dose included increased fibrinogen in individual animals, and changes in clinical chemistry parameters at 18 and/or 24 mg/kg/dose included increased AST and LDH, decreased albumin, and increased globulin (resulting in decreased A:G ratio). In general, these changes were reversible. There were no </w:t>
      </w:r>
      <w:r w:rsidR="00FE45DE">
        <w:t>PROJECT 15</w:t>
      </w:r>
      <w:r>
        <w:t>- or pAF- AGL-0185-30- related changes in clinical pathology parameters.</w:t>
      </w:r>
    </w:p>
    <w:p w:rsidR="00042D5E" w:rsidRDefault="007D5BFA">
      <w:pPr>
        <w:pStyle w:val="a3"/>
        <w:spacing w:before="116" w:line="261" w:lineRule="auto"/>
        <w:ind w:left="232" w:right="283"/>
      </w:pPr>
      <w:r>
        <w:t xml:space="preserve">At terminal euthanasia on day 29, gross pathology findings included an irregular surface of the liver in several animals at 18 and 24 mg/kg </w:t>
      </w:r>
      <w:r w:rsidR="00BB321B">
        <w:t>PROJECT 15</w:t>
      </w:r>
      <w:r>
        <w:t xml:space="preserve">. Increased spleen weights were present at 12, 18, and 24 mg/kg </w:t>
      </w:r>
      <w:r w:rsidR="00BB321B">
        <w:t>PROJECT 15</w:t>
      </w:r>
      <w:r>
        <w:t xml:space="preserve">. Microscopic changes included liver mild multifocal sinusoidal ectasia (dilation) at 24 mg/kg </w:t>
      </w:r>
      <w:r w:rsidR="00BB321B">
        <w:t>PROJECT 15</w:t>
      </w:r>
      <w:r>
        <w:t xml:space="preserve"> (a correlate for the irregular surface); spleen mild decreased lymphoid cellularity of the white pulp at 18 and 24 mg/kg </w:t>
      </w:r>
      <w:r w:rsidR="00BB321B">
        <w:t>PROJECT 15</w:t>
      </w:r>
      <w:r>
        <w:t xml:space="preserve">, and 0.334 mg/kg pAF-AGL-0185-30; and a dose-dependent mild to moderate lymphohistiocytic cellular infiltrate of the red pulp at 12, 18, and 24 mg/kg </w:t>
      </w:r>
      <w:r w:rsidR="00BB321B">
        <w:t>PROJECT 15</w:t>
      </w:r>
      <w:r>
        <w:t xml:space="preserve"> (a correlate for the increased spleen weights). Based upon the degree of the spleen lymphohistiocytic infiltrate and the magnitude of the corresponding spleen weight increase at terminal euthanasia, the change could be considered potentially adverse. However, evidence of reversibility was observed at recovery euthanasia.</w:t>
      </w:r>
    </w:p>
    <w:p w:rsidR="00042D5E" w:rsidRDefault="007D5BFA">
      <w:pPr>
        <w:pStyle w:val="a3"/>
        <w:spacing w:before="111" w:line="261" w:lineRule="auto"/>
        <w:ind w:left="232" w:right="330"/>
      </w:pPr>
      <w:r>
        <w:t xml:space="preserve">At recovery euthanasia on day 71, recovery was evident, but not yet complete, as the only change remaining was a mild lymphohistiocytic cellular infiltrate of the red pulp in one male animal in each of the 18 and 24 mg/kg </w:t>
      </w:r>
      <w:r w:rsidR="00BB321B">
        <w:t>PROJECT 15</w:t>
      </w:r>
      <w:r>
        <w:t>, and 0.334 mg/kg pAF-AGL-0185-30 groups, but females showed complete recovery.</w:t>
      </w:r>
    </w:p>
    <w:p w:rsidR="00042D5E" w:rsidRDefault="007D5BFA">
      <w:pPr>
        <w:pStyle w:val="a3"/>
        <w:spacing w:before="117" w:line="261" w:lineRule="auto"/>
        <w:ind w:left="232" w:right="415"/>
      </w:pPr>
      <w:r>
        <w:t>C</w:t>
      </w:r>
      <w:r>
        <w:rPr>
          <w:vertAlign w:val="subscript"/>
        </w:rPr>
        <w:t>max</w:t>
      </w:r>
      <w:r>
        <w:t xml:space="preserve"> was reported directly from the study data and was generally attained instantaneously at the end of the intravenous injection for ADC and TAb. The pharmacokinetics of ADC and TAb followed a biphasic disposition with an initial rapid distribution phase followed by a prolonged elimination phase.</w:t>
      </w:r>
    </w:p>
    <w:p w:rsidR="00042D5E" w:rsidRDefault="007D5BFA">
      <w:pPr>
        <w:pStyle w:val="a3"/>
        <w:spacing w:before="100" w:line="252" w:lineRule="auto"/>
        <w:ind w:left="232" w:right="237"/>
      </w:pPr>
      <w:r>
        <w:t>The AUC</w:t>
      </w:r>
      <w:r>
        <w:rPr>
          <w:rFonts w:ascii="Symbol" w:hAnsi="Symbol"/>
          <w:vertAlign w:val="subscript"/>
        </w:rPr>
        <w:t></w:t>
      </w:r>
      <w:r>
        <w:t xml:space="preserve"> and C</w:t>
      </w:r>
      <w:r>
        <w:rPr>
          <w:vertAlign w:val="subscript"/>
        </w:rPr>
        <w:t>max</w:t>
      </w:r>
      <w:r>
        <w:t xml:space="preserve"> for both ADC and TAb for </w:t>
      </w:r>
      <w:r w:rsidR="00BB321B">
        <w:t>PROJECT 15</w:t>
      </w:r>
      <w:r>
        <w:t xml:space="preserve"> showed dose-dependent increases. The increase appeared to be approximately dose proportional in the 12, 18 and 24 mg/kg dose groups. The average T</w:t>
      </w:r>
      <w:r>
        <w:rPr>
          <w:vertAlign w:val="subscript"/>
        </w:rPr>
        <w:t>½</w:t>
      </w:r>
      <w:r>
        <w:t xml:space="preserve"> </w:t>
      </w:r>
      <w:r>
        <w:rPr>
          <w:rFonts w:ascii="Symbol" w:hAnsi="Symbol"/>
          <w:vertAlign w:val="subscript"/>
        </w:rPr>
        <w:t></w:t>
      </w:r>
      <w:r>
        <w:rPr>
          <w:vertAlign w:val="subscript"/>
        </w:rPr>
        <w:t>z</w:t>
      </w:r>
      <w:r>
        <w:t xml:space="preserve"> for ADC after the first dose was calculated as 8.58 ± 3.36, 7.75 ±</w:t>
      </w:r>
    </w:p>
    <w:p w:rsidR="00042D5E" w:rsidRDefault="007D5BFA">
      <w:pPr>
        <w:pStyle w:val="a3"/>
        <w:spacing w:before="10" w:line="259" w:lineRule="auto"/>
        <w:ind w:left="232" w:right="420"/>
      </w:pPr>
      <w:r>
        <w:t xml:space="preserve">2.78 and 8.86 ± 1.85 days for the 12, 18 and 24 mg/kg dose groups, respectively. Exposure of </w:t>
      </w:r>
      <w:r w:rsidR="00BB321B">
        <w:t>PROJECT 15</w:t>
      </w:r>
      <w:r>
        <w:t xml:space="preserve"> determined using ADC and TAb concentrations indicated negligible deconjugation of the ADC over time. Serum concentration of pAF-AGL-185-30 (free drug released from </w:t>
      </w:r>
      <w:r w:rsidR="00BB321B">
        <w:t>PROJECT 15</w:t>
      </w:r>
      <w:r>
        <w:t xml:space="preserve">) increased gradually after dosing and reached a maximum by 48 – 168 h post dose for </w:t>
      </w:r>
      <w:r w:rsidR="00BB321B">
        <w:t>PROJECT 15</w:t>
      </w:r>
      <w:r>
        <w:t xml:space="preserve"> and was &gt; 500000-fold lower than ADC and TAb (</w:t>
      </w:r>
      <w:r w:rsidR="00BB321B">
        <w:t>PROJECT 15</w:t>
      </w:r>
      <w:r>
        <w:t>, parent drug) concentrations. The T</w:t>
      </w:r>
      <w:r>
        <w:rPr>
          <w:vertAlign w:val="subscript"/>
        </w:rPr>
        <w:t>1/2</w:t>
      </w:r>
      <w:r>
        <w:rPr>
          <w:rFonts w:ascii="Symbol" w:hAnsi="Symbol"/>
          <w:vertAlign w:val="subscript"/>
        </w:rPr>
        <w:t></w:t>
      </w:r>
      <w:r>
        <w:rPr>
          <w:vertAlign w:val="subscript"/>
        </w:rPr>
        <w:t>z</w:t>
      </w:r>
      <w:r>
        <w:t xml:space="preserve"> of pAF-AGL-185-30 after the last dose was calculated as 15.5 ± 4.23, 15.6 ± 5.84 and 18.8 ± 7.77 days, respectively for the 12, 18 and 24 mg/kg dose levels.</w:t>
      </w:r>
    </w:p>
    <w:p w:rsidR="00042D5E" w:rsidRDefault="007D5BFA">
      <w:pPr>
        <w:pStyle w:val="a3"/>
        <w:spacing w:before="116" w:line="244" w:lineRule="auto"/>
        <w:ind w:left="232" w:right="475"/>
      </w:pPr>
      <w:r>
        <w:t xml:space="preserve">The pharmacokinetics of </w:t>
      </w:r>
      <w:r w:rsidR="00FE45DE">
        <w:t>PROJECT 15</w:t>
      </w:r>
      <w:r>
        <w:t xml:space="preserve"> naked antibody followed a biphasic disposition with an initial rapid distribution phase followed by a prolonged elimination phase with a T</w:t>
      </w:r>
      <w:r>
        <w:rPr>
          <w:vertAlign w:val="subscript"/>
        </w:rPr>
        <w:t>1/2</w:t>
      </w:r>
      <w:r>
        <w:rPr>
          <w:rFonts w:ascii="Symbol" w:hAnsi="Symbol"/>
          <w:vertAlign w:val="subscript"/>
        </w:rPr>
        <w:t></w:t>
      </w:r>
      <w:r>
        <w:rPr>
          <w:vertAlign w:val="subscript"/>
        </w:rPr>
        <w:t>z</w:t>
      </w:r>
      <w:r>
        <w:t xml:space="preserve"> after the first and last dose calculated as 9.70 </w:t>
      </w:r>
      <w:r>
        <w:rPr>
          <w:rFonts w:ascii="Symbol" w:hAnsi="Symbol"/>
        </w:rPr>
        <w:t></w:t>
      </w:r>
      <w:r>
        <w:t xml:space="preserve"> 3.72 and 12.1 </w:t>
      </w:r>
      <w:r>
        <w:rPr>
          <w:rFonts w:ascii="Symbol" w:hAnsi="Symbol"/>
        </w:rPr>
        <w:t></w:t>
      </w:r>
      <w:r>
        <w:t xml:space="preserve"> 6.11 days, respectively.</w:t>
      </w:r>
    </w:p>
    <w:p w:rsidR="00042D5E" w:rsidRDefault="007D5BFA">
      <w:pPr>
        <w:pStyle w:val="a3"/>
        <w:spacing w:before="138" w:line="261" w:lineRule="auto"/>
        <w:ind w:left="232" w:right="402"/>
      </w:pPr>
      <w:r>
        <w:t xml:space="preserve">For animals in Dose Group 6, pAF-AGL-0185-30 was dosed at 0.334 mg/kg, which was the </w:t>
      </w:r>
      <w:r>
        <w:lastRenderedPageBreak/>
        <w:t xml:space="preserve">molar equivalent dose to the payload of a 24 mg/kg </w:t>
      </w:r>
      <w:r w:rsidR="00BB321B">
        <w:t>PROJECT 15</w:t>
      </w:r>
      <w:r>
        <w:t xml:space="preserve"> infusion.</w:t>
      </w:r>
      <w:r>
        <w:rPr>
          <w:spacing w:val="54"/>
        </w:rPr>
        <w:t xml:space="preserve"> </w:t>
      </w:r>
      <w:r>
        <w:t>The</w:t>
      </w:r>
    </w:p>
    <w:p w:rsidR="00042D5E" w:rsidRDefault="00042D5E">
      <w:pPr>
        <w:spacing w:line="261" w:lineRule="auto"/>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a3"/>
        <w:spacing w:before="227" w:line="261" w:lineRule="auto"/>
        <w:ind w:left="232" w:right="346"/>
      </w:pPr>
      <w:r>
        <w:t>pAF-AGL-0185-30 dose exhibited a half-life of 0.284 ± 0.158 and 0.241 ± 0.0836 days after the first and last dose, respectively.</w:t>
      </w:r>
    </w:p>
    <w:p w:rsidR="00042D5E" w:rsidRDefault="00BB321B">
      <w:pPr>
        <w:pStyle w:val="a3"/>
        <w:spacing w:before="119" w:line="261" w:lineRule="auto"/>
        <w:ind w:left="232" w:right="297"/>
      </w:pPr>
      <w:r>
        <w:t>PROJECT 15</w:t>
      </w:r>
      <w:r w:rsidR="007D5BFA">
        <w:t xml:space="preserve"> treatment was associated with generally minimal to mild changes in laboratory parameters including decreased platelets, white blood cell counts (specifically neutrophils and monocytes), increased fibrinogen, AST, LDH and decreased A:G ratio as a result of decreased albumin and increased globulin. In general, the clinical pathology changes were reversible. Mild and recovering microscopic findings of sinusoidal ectasia in the liver and decreased cellularity of the splenic white pulp and lymphohistiocytic infiltrate of the red pulp were not considered adverse with respect to establishing the HNSTD. The HNSTD for administration of </w:t>
      </w:r>
      <w:r>
        <w:t>PROJECT 15</w:t>
      </w:r>
      <w:r w:rsidR="007D5BFA">
        <w:t xml:space="preserve"> in monkeys was 24 mg/kg, 30 times greater (HED-based) than the proposed human starting dose of 0.8 mg/kg.</w:t>
      </w:r>
    </w:p>
    <w:p w:rsidR="00042D5E" w:rsidRDefault="007D5BFA">
      <w:pPr>
        <w:pStyle w:val="3"/>
        <w:numPr>
          <w:ilvl w:val="2"/>
          <w:numId w:val="7"/>
        </w:numPr>
        <w:tabs>
          <w:tab w:val="left" w:pos="1084"/>
          <w:tab w:val="left" w:pos="1085"/>
        </w:tabs>
        <w:spacing w:before="117"/>
      </w:pPr>
      <w:bookmarkStart w:id="26" w:name="4.3.3_Genotoxicity"/>
      <w:bookmarkStart w:id="27" w:name="_bookmark66"/>
      <w:bookmarkEnd w:id="26"/>
      <w:bookmarkEnd w:id="27"/>
      <w:r>
        <w:t>Genotoxicity</w:t>
      </w:r>
    </w:p>
    <w:p w:rsidR="00042D5E" w:rsidRDefault="007D5BFA">
      <w:pPr>
        <w:pStyle w:val="a3"/>
        <w:spacing w:before="139" w:line="261" w:lineRule="auto"/>
        <w:ind w:left="232" w:right="316"/>
      </w:pPr>
      <w:r>
        <w:t xml:space="preserve">Studies evaluating the genotoxicity of </w:t>
      </w:r>
      <w:r w:rsidR="00BB321B">
        <w:t>PROJECT 15</w:t>
      </w:r>
      <w:r>
        <w:t xml:space="preserve"> have not been conducted. As noted in the ICH S9 guideline (1998), these studies are not generally conducted as ADCs are not likely to interact with DNA.</w:t>
      </w:r>
    </w:p>
    <w:p w:rsidR="00042D5E" w:rsidRDefault="007D5BFA">
      <w:pPr>
        <w:pStyle w:val="a3"/>
        <w:spacing w:before="118" w:line="261" w:lineRule="auto"/>
        <w:ind w:left="232" w:right="470"/>
      </w:pPr>
      <w:r>
        <w:t xml:space="preserve">Genotoxicity of the primary metabolite of </w:t>
      </w:r>
      <w:r w:rsidR="00BB321B">
        <w:t>PROJECT 15</w:t>
      </w:r>
      <w:r>
        <w:t>, AGL-0185-30, may be evaluated later in development.</w:t>
      </w:r>
    </w:p>
    <w:p w:rsidR="00042D5E" w:rsidRDefault="007D5BFA">
      <w:pPr>
        <w:pStyle w:val="3"/>
        <w:numPr>
          <w:ilvl w:val="2"/>
          <w:numId w:val="7"/>
        </w:numPr>
        <w:tabs>
          <w:tab w:val="left" w:pos="1084"/>
          <w:tab w:val="left" w:pos="1085"/>
        </w:tabs>
        <w:spacing w:before="123"/>
      </w:pPr>
      <w:bookmarkStart w:id="28" w:name="4.3.4_Carcinogenicity"/>
      <w:bookmarkStart w:id="29" w:name="_bookmark67"/>
      <w:bookmarkEnd w:id="28"/>
      <w:bookmarkEnd w:id="29"/>
      <w:r>
        <w:t>Carcinogenicity</w:t>
      </w:r>
    </w:p>
    <w:p w:rsidR="00042D5E" w:rsidRDefault="007D5BFA">
      <w:pPr>
        <w:pStyle w:val="a3"/>
        <w:spacing w:before="139"/>
        <w:ind w:left="232"/>
      </w:pPr>
      <w:r>
        <w:t xml:space="preserve">Studies evaluating carcinogenicity of </w:t>
      </w:r>
      <w:r w:rsidR="00BB321B">
        <w:t>PROJECT 15</w:t>
      </w:r>
      <w:r>
        <w:t xml:space="preserve"> have not been conducted.</w:t>
      </w:r>
    </w:p>
    <w:p w:rsidR="00042D5E" w:rsidRDefault="007D5BFA">
      <w:pPr>
        <w:pStyle w:val="3"/>
        <w:numPr>
          <w:ilvl w:val="2"/>
          <w:numId w:val="7"/>
        </w:numPr>
        <w:tabs>
          <w:tab w:val="left" w:pos="1084"/>
          <w:tab w:val="left" w:pos="1085"/>
        </w:tabs>
        <w:spacing w:before="149"/>
      </w:pPr>
      <w:bookmarkStart w:id="30" w:name="4.3.5_Reproductive_and_Developmental_Tox"/>
      <w:bookmarkStart w:id="31" w:name="_bookmark68"/>
      <w:bookmarkEnd w:id="30"/>
      <w:bookmarkEnd w:id="31"/>
      <w:r>
        <w:t>Reproductive and Developmental</w:t>
      </w:r>
      <w:r>
        <w:rPr>
          <w:spacing w:val="-5"/>
        </w:rPr>
        <w:t xml:space="preserve"> </w:t>
      </w:r>
      <w:r>
        <w:t>Toxicity</w:t>
      </w:r>
    </w:p>
    <w:p w:rsidR="00042D5E" w:rsidRDefault="007D5BFA">
      <w:pPr>
        <w:pStyle w:val="a3"/>
        <w:spacing w:before="139" w:line="261" w:lineRule="auto"/>
        <w:ind w:left="232" w:right="903"/>
      </w:pPr>
      <w:r>
        <w:t xml:space="preserve">Studies evaluating reproductive and developmental toxicity of </w:t>
      </w:r>
      <w:r w:rsidR="00BB321B">
        <w:t>PROJECT 15</w:t>
      </w:r>
      <w:r>
        <w:t xml:space="preserve"> have not been conducted to date.</w:t>
      </w:r>
    </w:p>
    <w:p w:rsidR="00042D5E" w:rsidRDefault="007D5BFA">
      <w:pPr>
        <w:pStyle w:val="3"/>
        <w:numPr>
          <w:ilvl w:val="2"/>
          <w:numId w:val="7"/>
        </w:numPr>
        <w:tabs>
          <w:tab w:val="left" w:pos="1084"/>
          <w:tab w:val="left" w:pos="1085"/>
        </w:tabs>
        <w:spacing w:before="124"/>
      </w:pPr>
      <w:bookmarkStart w:id="32" w:name="4.3.6_Local_Tolerance"/>
      <w:bookmarkStart w:id="33" w:name="_bookmark69"/>
      <w:bookmarkEnd w:id="32"/>
      <w:bookmarkEnd w:id="33"/>
      <w:r>
        <w:t>Local</w:t>
      </w:r>
      <w:r>
        <w:rPr>
          <w:spacing w:val="-2"/>
        </w:rPr>
        <w:t xml:space="preserve"> </w:t>
      </w:r>
      <w:r>
        <w:t>Tolerance</w:t>
      </w:r>
    </w:p>
    <w:p w:rsidR="00042D5E" w:rsidRDefault="007D5BFA">
      <w:pPr>
        <w:pStyle w:val="a3"/>
        <w:spacing w:before="139"/>
        <w:ind w:left="232"/>
      </w:pPr>
      <w:r>
        <w:t>Not applicable.</w:t>
      </w:r>
    </w:p>
    <w:p w:rsidR="00042D5E" w:rsidRDefault="007D5BFA">
      <w:pPr>
        <w:pStyle w:val="3"/>
        <w:numPr>
          <w:ilvl w:val="2"/>
          <w:numId w:val="7"/>
        </w:numPr>
        <w:tabs>
          <w:tab w:val="left" w:pos="1084"/>
          <w:tab w:val="left" w:pos="1085"/>
        </w:tabs>
        <w:spacing w:before="149"/>
      </w:pPr>
      <w:bookmarkStart w:id="34" w:name="4.3.7_Other_Toxicity_Studies"/>
      <w:bookmarkStart w:id="35" w:name="_bookmark70"/>
      <w:bookmarkEnd w:id="34"/>
      <w:bookmarkEnd w:id="35"/>
      <w:r>
        <w:t>Other Toxicity</w:t>
      </w:r>
      <w:r>
        <w:rPr>
          <w:spacing w:val="-7"/>
        </w:rPr>
        <w:t xml:space="preserve"> </w:t>
      </w:r>
      <w:r>
        <w:t>Studies</w:t>
      </w:r>
    </w:p>
    <w:p w:rsidR="00042D5E" w:rsidRDefault="007D5BFA">
      <w:pPr>
        <w:pStyle w:val="3"/>
        <w:numPr>
          <w:ilvl w:val="3"/>
          <w:numId w:val="7"/>
        </w:numPr>
        <w:tabs>
          <w:tab w:val="left" w:pos="1085"/>
        </w:tabs>
        <w:spacing w:before="144"/>
      </w:pPr>
      <w:bookmarkStart w:id="36" w:name="4.3.7.1_Studies_on_Metabolites"/>
      <w:bookmarkStart w:id="37" w:name="_bookmark71"/>
      <w:bookmarkEnd w:id="36"/>
      <w:bookmarkEnd w:id="37"/>
      <w:r>
        <w:t>Studies on</w:t>
      </w:r>
      <w:r>
        <w:rPr>
          <w:spacing w:val="-7"/>
        </w:rPr>
        <w:t xml:space="preserve"> </w:t>
      </w:r>
      <w:r>
        <w:t>Metabolites</w:t>
      </w:r>
    </w:p>
    <w:p w:rsidR="00042D5E" w:rsidRDefault="0091574F">
      <w:pPr>
        <w:pStyle w:val="a3"/>
        <w:spacing w:before="139" w:line="261" w:lineRule="auto"/>
        <w:ind w:left="232" w:right="376"/>
      </w:pPr>
      <w:r>
        <w:pict>
          <v:rect id="_x0000_s1051" style="position:absolute;left:0;text-align:left;margin-left:456.5pt;margin-top:40.45pt;width:36.5pt;height:20pt;z-index:-251604992;mso-position-horizontal-relative:page" filled="f" strokecolor="blue" strokeweight="1pt">
            <w10:wrap anchorx="page"/>
          </v:rect>
        </w:pict>
      </w:r>
      <w:r w:rsidR="007D5BFA">
        <w:t xml:space="preserve">The drug-linker intermediate conjugated to the mAb to produce the ADC, </w:t>
      </w:r>
      <w:r w:rsidR="00BB321B">
        <w:t>PROJECT 15</w:t>
      </w:r>
      <w:r w:rsidR="007D5BFA">
        <w:t>, has not previously been characterized.</w:t>
      </w:r>
    </w:p>
    <w:p w:rsidR="00042D5E" w:rsidRDefault="007D5BFA">
      <w:pPr>
        <w:pStyle w:val="a3"/>
        <w:spacing w:before="118" w:line="261" w:lineRule="auto"/>
        <w:ind w:left="232" w:right="290"/>
      </w:pPr>
      <w:r>
        <w:t xml:space="preserve">Studies conducted to characterize the metabolite of </w:t>
      </w:r>
      <w:r w:rsidR="00BB321B">
        <w:t>PROJECT 15</w:t>
      </w:r>
      <w:r>
        <w:t xml:space="preserve"> demonstrated that the drug linker (AGL-0182-30) detaches from the ADC intact along with the pAF-unit to which the drug linker was conjugated; this metabolite of </w:t>
      </w:r>
      <w:r w:rsidR="00BB321B">
        <w:t>PROJECT 15</w:t>
      </w:r>
      <w:r>
        <w:t xml:space="preserve"> is referred to as pAF-AGL-0185-30. Single dose toxicology studies in rat and monkey were conducted to better understand toxicities associated with the metabolite, these are summarized below. In addition, the toxicity associated with the deconjugated metabolite was evaluated when given as repeat doses to monkey</w:t>
      </w:r>
      <w:hyperlink w:anchor="_bookmark64" w:history="1">
        <w:r>
          <w:t>s (see Section 4.3.2.2</w:t>
        </w:r>
      </w:hyperlink>
      <w:r>
        <w:t xml:space="preserve"> above).</w:t>
      </w:r>
    </w:p>
    <w:p w:rsidR="00042D5E" w:rsidRDefault="00042D5E">
      <w:pPr>
        <w:spacing w:line="261" w:lineRule="auto"/>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3"/>
        <w:numPr>
          <w:ilvl w:val="4"/>
          <w:numId w:val="7"/>
        </w:numPr>
        <w:tabs>
          <w:tab w:val="left" w:pos="1365"/>
          <w:tab w:val="left" w:pos="1366"/>
        </w:tabs>
        <w:spacing w:before="232" w:line="261" w:lineRule="auto"/>
        <w:ind w:right="953"/>
      </w:pPr>
      <w:bookmarkStart w:id="38" w:name="4.3.7.1.1_A_Single_Dose_Study_of_pAF-AGL"/>
      <w:bookmarkEnd w:id="38"/>
      <w:r>
        <w:t>A Single Dose Study of pAF-AGL-0185-30 by Intravenous Injection</w:t>
      </w:r>
      <w:r>
        <w:rPr>
          <w:spacing w:val="-41"/>
        </w:rPr>
        <w:t xml:space="preserve"> </w:t>
      </w:r>
      <w:r>
        <w:t>in Sprague Dawley</w:t>
      </w:r>
      <w:r>
        <w:rPr>
          <w:spacing w:val="-3"/>
        </w:rPr>
        <w:t xml:space="preserve"> </w:t>
      </w:r>
      <w:r>
        <w:t>Rats</w:t>
      </w:r>
    </w:p>
    <w:p w:rsidR="00042D5E" w:rsidRDefault="007D5BFA">
      <w:pPr>
        <w:spacing w:before="119"/>
        <w:ind w:left="232"/>
        <w:rPr>
          <w:b/>
          <w:sz w:val="24"/>
        </w:rPr>
      </w:pPr>
      <w:r>
        <w:rPr>
          <w:b/>
          <w:sz w:val="24"/>
        </w:rPr>
        <w:t>Objectives</w:t>
      </w:r>
    </w:p>
    <w:p w:rsidR="00042D5E" w:rsidRDefault="007D5BFA">
      <w:pPr>
        <w:pStyle w:val="a3"/>
        <w:spacing w:before="139" w:line="261" w:lineRule="auto"/>
        <w:ind w:left="232" w:right="517"/>
        <w:jc w:val="both"/>
      </w:pPr>
      <w:r>
        <w:t>The objectives of this study were to determine the potential toxicity of</w:t>
      </w:r>
      <w:r>
        <w:rPr>
          <w:spacing w:val="-16"/>
        </w:rPr>
        <w:t xml:space="preserve"> </w:t>
      </w:r>
      <w:r>
        <w:t xml:space="preserve">pAF-AGL-0185-30, when given once </w:t>
      </w:r>
      <w:r>
        <w:rPr>
          <w:spacing w:val="2"/>
        </w:rPr>
        <w:t xml:space="preserve">by </w:t>
      </w:r>
      <w:r>
        <w:t xml:space="preserve">intravenous slow bolus injection to Sprague Dawley rats. </w:t>
      </w:r>
      <w:r>
        <w:rPr>
          <w:spacing w:val="-3"/>
        </w:rPr>
        <w:t xml:space="preserve">In </w:t>
      </w:r>
      <w:r>
        <w:t>addition, the TK characteristics of pAF-AGL-0185-30 were</w:t>
      </w:r>
      <w:r>
        <w:rPr>
          <w:spacing w:val="-1"/>
        </w:rPr>
        <w:t xml:space="preserve"> </w:t>
      </w:r>
      <w:r>
        <w:t>determined.</w:t>
      </w:r>
    </w:p>
    <w:p w:rsidR="00042D5E" w:rsidRDefault="007D5BFA">
      <w:pPr>
        <w:pStyle w:val="3"/>
        <w:spacing w:before="122"/>
      </w:pPr>
      <w:r>
        <w:t>Methods</w:t>
      </w:r>
    </w:p>
    <w:p w:rsidR="00042D5E" w:rsidRDefault="007D5BFA">
      <w:pPr>
        <w:pStyle w:val="a3"/>
        <w:spacing w:before="139"/>
        <w:ind w:left="232"/>
      </w:pPr>
      <w:r>
        <w:t xml:space="preserve">The study design is summarized in </w:t>
      </w:r>
      <w:hyperlink w:anchor="_bookmark72" w:history="1">
        <w:r>
          <w:t>Table 15</w:t>
        </w:r>
      </w:hyperlink>
      <w:r>
        <w:t>.</w:t>
      </w:r>
    </w:p>
    <w:p w:rsidR="00042D5E" w:rsidRDefault="007D5BFA">
      <w:pPr>
        <w:pStyle w:val="3"/>
        <w:tabs>
          <w:tab w:val="left" w:pos="1651"/>
        </w:tabs>
        <w:spacing w:before="123"/>
      </w:pPr>
      <w:bookmarkStart w:id="39" w:name="_bookmark72"/>
      <w:bookmarkEnd w:id="39"/>
      <w:r>
        <w:t>Table</w:t>
      </w:r>
      <w:r>
        <w:rPr>
          <w:spacing w:val="-1"/>
        </w:rPr>
        <w:t xml:space="preserve"> </w:t>
      </w:r>
      <w:r>
        <w:t>15</w:t>
      </w:r>
      <w:r>
        <w:tab/>
        <w:t>Experimental Design for Sprague Dawley Rat Metabolite</w:t>
      </w:r>
      <w:r>
        <w:rPr>
          <w:spacing w:val="-10"/>
        </w:rPr>
        <w:t xml:space="preserve"> </w:t>
      </w:r>
      <w:r>
        <w:t>Study</w:t>
      </w:r>
    </w:p>
    <w:p w:rsidR="00042D5E" w:rsidRDefault="00042D5E">
      <w:pPr>
        <w:pStyle w:val="a3"/>
        <w:spacing w:before="5"/>
        <w:rPr>
          <w:b/>
          <w:sz w:val="5"/>
        </w:rPr>
      </w:pPr>
    </w:p>
    <w:tbl>
      <w:tblPr>
        <w:tblStyle w:val="TableNormal"/>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7"/>
        <w:gridCol w:w="1963"/>
        <w:gridCol w:w="1337"/>
        <w:gridCol w:w="1085"/>
        <w:gridCol w:w="1467"/>
        <w:gridCol w:w="1309"/>
        <w:gridCol w:w="1086"/>
      </w:tblGrid>
      <w:tr w:rsidR="00042D5E">
        <w:trPr>
          <w:trHeight w:val="309"/>
        </w:trPr>
        <w:tc>
          <w:tcPr>
            <w:tcW w:w="917" w:type="dxa"/>
            <w:vMerge w:val="restart"/>
          </w:tcPr>
          <w:p w:rsidR="00042D5E" w:rsidRDefault="00042D5E">
            <w:pPr>
              <w:pStyle w:val="TableParagraph"/>
              <w:spacing w:before="4"/>
              <w:jc w:val="left"/>
              <w:rPr>
                <w:b/>
                <w:sz w:val="17"/>
              </w:rPr>
            </w:pPr>
          </w:p>
          <w:p w:rsidR="00042D5E" w:rsidRDefault="007D5BFA">
            <w:pPr>
              <w:pStyle w:val="TableParagraph"/>
              <w:ind w:left="309" w:hanging="135"/>
              <w:jc w:val="left"/>
              <w:rPr>
                <w:b/>
                <w:sz w:val="20"/>
              </w:rPr>
            </w:pPr>
            <w:r>
              <w:rPr>
                <w:b/>
                <w:w w:val="95"/>
                <w:sz w:val="20"/>
              </w:rPr>
              <w:t xml:space="preserve">Group </w:t>
            </w:r>
            <w:r>
              <w:rPr>
                <w:b/>
                <w:sz w:val="20"/>
              </w:rPr>
              <w:t>No.</w:t>
            </w:r>
          </w:p>
        </w:tc>
        <w:tc>
          <w:tcPr>
            <w:tcW w:w="1963" w:type="dxa"/>
            <w:vMerge w:val="restart"/>
          </w:tcPr>
          <w:p w:rsidR="00042D5E" w:rsidRDefault="00042D5E">
            <w:pPr>
              <w:pStyle w:val="TableParagraph"/>
              <w:spacing w:before="4"/>
              <w:jc w:val="left"/>
              <w:rPr>
                <w:b/>
                <w:sz w:val="27"/>
              </w:rPr>
            </w:pPr>
          </w:p>
          <w:p w:rsidR="00042D5E" w:rsidRDefault="007D5BFA">
            <w:pPr>
              <w:pStyle w:val="TableParagraph"/>
              <w:ind w:left="398"/>
              <w:jc w:val="left"/>
              <w:rPr>
                <w:b/>
                <w:sz w:val="20"/>
              </w:rPr>
            </w:pPr>
            <w:r>
              <w:rPr>
                <w:b/>
                <w:sz w:val="20"/>
              </w:rPr>
              <w:t>Test Material</w:t>
            </w:r>
          </w:p>
        </w:tc>
        <w:tc>
          <w:tcPr>
            <w:tcW w:w="1337" w:type="dxa"/>
            <w:vMerge w:val="restart"/>
          </w:tcPr>
          <w:p w:rsidR="00042D5E" w:rsidRDefault="00042D5E">
            <w:pPr>
              <w:pStyle w:val="TableParagraph"/>
              <w:spacing w:before="4"/>
              <w:jc w:val="left"/>
              <w:rPr>
                <w:b/>
                <w:sz w:val="17"/>
              </w:rPr>
            </w:pPr>
          </w:p>
          <w:p w:rsidR="00042D5E" w:rsidRDefault="007D5BFA">
            <w:pPr>
              <w:pStyle w:val="TableParagraph"/>
              <w:ind w:left="115" w:firstLine="86"/>
              <w:jc w:val="left"/>
              <w:rPr>
                <w:b/>
                <w:sz w:val="20"/>
              </w:rPr>
            </w:pPr>
            <w:r>
              <w:rPr>
                <w:b/>
                <w:sz w:val="20"/>
              </w:rPr>
              <w:t xml:space="preserve">Dose Level </w:t>
            </w:r>
            <w:r>
              <w:rPr>
                <w:b/>
                <w:w w:val="95"/>
                <w:sz w:val="20"/>
              </w:rPr>
              <w:t>(mg/kg/dose)</w:t>
            </w:r>
          </w:p>
        </w:tc>
        <w:tc>
          <w:tcPr>
            <w:tcW w:w="1085" w:type="dxa"/>
            <w:vMerge w:val="restart"/>
          </w:tcPr>
          <w:p w:rsidR="00042D5E" w:rsidRDefault="007D5BFA">
            <w:pPr>
              <w:pStyle w:val="TableParagraph"/>
              <w:spacing w:before="84"/>
              <w:ind w:left="189" w:firstLine="146"/>
              <w:jc w:val="left"/>
              <w:rPr>
                <w:b/>
                <w:sz w:val="20"/>
              </w:rPr>
            </w:pPr>
            <w:r>
              <w:rPr>
                <w:b/>
                <w:sz w:val="20"/>
              </w:rPr>
              <w:t xml:space="preserve">Dose Volume </w:t>
            </w:r>
            <w:r>
              <w:rPr>
                <w:b/>
                <w:w w:val="95"/>
                <w:sz w:val="20"/>
              </w:rPr>
              <w:t>(mL/kg)</w:t>
            </w:r>
          </w:p>
        </w:tc>
        <w:tc>
          <w:tcPr>
            <w:tcW w:w="1467" w:type="dxa"/>
            <w:vMerge w:val="restart"/>
          </w:tcPr>
          <w:p w:rsidR="00042D5E" w:rsidRDefault="007D5BFA">
            <w:pPr>
              <w:pStyle w:val="TableParagraph"/>
              <w:spacing w:before="84"/>
              <w:ind w:left="114" w:right="107" w:firstLine="3"/>
              <w:rPr>
                <w:b/>
                <w:sz w:val="20"/>
              </w:rPr>
            </w:pPr>
            <w:r>
              <w:rPr>
                <w:b/>
                <w:sz w:val="20"/>
              </w:rPr>
              <w:t xml:space="preserve">Dose </w:t>
            </w:r>
            <w:r>
              <w:rPr>
                <w:b/>
                <w:w w:val="95"/>
                <w:sz w:val="20"/>
              </w:rPr>
              <w:t xml:space="preserve">Concentration </w:t>
            </w:r>
            <w:r>
              <w:rPr>
                <w:b/>
                <w:sz w:val="20"/>
              </w:rPr>
              <w:t>(mg/mL)</w:t>
            </w:r>
          </w:p>
        </w:tc>
        <w:tc>
          <w:tcPr>
            <w:tcW w:w="2395" w:type="dxa"/>
            <w:gridSpan w:val="2"/>
          </w:tcPr>
          <w:p w:rsidR="00042D5E" w:rsidRDefault="007D5BFA">
            <w:pPr>
              <w:pStyle w:val="TableParagraph"/>
              <w:spacing w:before="38"/>
              <w:ind w:left="557"/>
              <w:jc w:val="left"/>
              <w:rPr>
                <w:b/>
                <w:sz w:val="20"/>
              </w:rPr>
            </w:pPr>
            <w:r>
              <w:rPr>
                <w:b/>
                <w:sz w:val="20"/>
              </w:rPr>
              <w:t>No. of Animals</w:t>
            </w:r>
          </w:p>
        </w:tc>
      </w:tr>
      <w:tr w:rsidR="00042D5E">
        <w:trPr>
          <w:trHeight w:val="539"/>
        </w:trPr>
        <w:tc>
          <w:tcPr>
            <w:tcW w:w="917" w:type="dxa"/>
            <w:vMerge/>
            <w:tcBorders>
              <w:top w:val="nil"/>
            </w:tcBorders>
          </w:tcPr>
          <w:p w:rsidR="00042D5E" w:rsidRDefault="00042D5E">
            <w:pPr>
              <w:rPr>
                <w:sz w:val="2"/>
                <w:szCs w:val="2"/>
              </w:rPr>
            </w:pPr>
          </w:p>
        </w:tc>
        <w:tc>
          <w:tcPr>
            <w:tcW w:w="1963" w:type="dxa"/>
            <w:vMerge/>
            <w:tcBorders>
              <w:top w:val="nil"/>
            </w:tcBorders>
          </w:tcPr>
          <w:p w:rsidR="00042D5E" w:rsidRDefault="00042D5E">
            <w:pPr>
              <w:rPr>
                <w:sz w:val="2"/>
                <w:szCs w:val="2"/>
              </w:rPr>
            </w:pPr>
          </w:p>
        </w:tc>
        <w:tc>
          <w:tcPr>
            <w:tcW w:w="1337" w:type="dxa"/>
            <w:vMerge/>
            <w:tcBorders>
              <w:top w:val="nil"/>
            </w:tcBorders>
          </w:tcPr>
          <w:p w:rsidR="00042D5E" w:rsidRDefault="00042D5E">
            <w:pPr>
              <w:rPr>
                <w:sz w:val="2"/>
                <w:szCs w:val="2"/>
              </w:rPr>
            </w:pPr>
          </w:p>
        </w:tc>
        <w:tc>
          <w:tcPr>
            <w:tcW w:w="1085" w:type="dxa"/>
            <w:vMerge/>
            <w:tcBorders>
              <w:top w:val="nil"/>
            </w:tcBorders>
          </w:tcPr>
          <w:p w:rsidR="00042D5E" w:rsidRDefault="00042D5E">
            <w:pPr>
              <w:rPr>
                <w:sz w:val="2"/>
                <w:szCs w:val="2"/>
              </w:rPr>
            </w:pPr>
          </w:p>
        </w:tc>
        <w:tc>
          <w:tcPr>
            <w:tcW w:w="1467" w:type="dxa"/>
            <w:vMerge/>
            <w:tcBorders>
              <w:top w:val="nil"/>
            </w:tcBorders>
          </w:tcPr>
          <w:p w:rsidR="00042D5E" w:rsidRDefault="00042D5E">
            <w:pPr>
              <w:rPr>
                <w:sz w:val="2"/>
                <w:szCs w:val="2"/>
              </w:rPr>
            </w:pPr>
          </w:p>
        </w:tc>
        <w:tc>
          <w:tcPr>
            <w:tcW w:w="1309" w:type="dxa"/>
          </w:tcPr>
          <w:p w:rsidR="00042D5E" w:rsidRDefault="007D5BFA">
            <w:pPr>
              <w:pStyle w:val="TableParagraph"/>
              <w:spacing w:before="38"/>
              <w:ind w:left="394" w:right="127" w:hanging="248"/>
              <w:jc w:val="left"/>
              <w:rPr>
                <w:b/>
                <w:sz w:val="20"/>
              </w:rPr>
            </w:pPr>
            <w:r>
              <w:rPr>
                <w:b/>
                <w:sz w:val="20"/>
              </w:rPr>
              <w:t>Main Study Males</w:t>
            </w:r>
          </w:p>
        </w:tc>
        <w:tc>
          <w:tcPr>
            <w:tcW w:w="1086" w:type="dxa"/>
          </w:tcPr>
          <w:p w:rsidR="00042D5E" w:rsidRDefault="007D5BFA">
            <w:pPr>
              <w:pStyle w:val="TableParagraph"/>
              <w:spacing w:before="154"/>
              <w:ind w:left="95" w:right="91"/>
              <w:rPr>
                <w:b/>
                <w:sz w:val="20"/>
              </w:rPr>
            </w:pPr>
            <w:r>
              <w:rPr>
                <w:b/>
                <w:sz w:val="20"/>
              </w:rPr>
              <w:t>TK Males</w:t>
            </w:r>
          </w:p>
        </w:tc>
      </w:tr>
      <w:tr w:rsidR="00042D5E">
        <w:trPr>
          <w:trHeight w:val="311"/>
        </w:trPr>
        <w:tc>
          <w:tcPr>
            <w:tcW w:w="917" w:type="dxa"/>
          </w:tcPr>
          <w:p w:rsidR="00042D5E" w:rsidRDefault="007D5BFA">
            <w:pPr>
              <w:pStyle w:val="TableParagraph"/>
              <w:spacing w:before="36"/>
              <w:ind w:left="8"/>
              <w:rPr>
                <w:sz w:val="20"/>
              </w:rPr>
            </w:pPr>
            <w:r>
              <w:rPr>
                <w:w w:val="99"/>
                <w:sz w:val="20"/>
              </w:rPr>
              <w:t>1</w:t>
            </w:r>
          </w:p>
        </w:tc>
        <w:tc>
          <w:tcPr>
            <w:tcW w:w="1963" w:type="dxa"/>
          </w:tcPr>
          <w:p w:rsidR="00042D5E" w:rsidRDefault="007D5BFA">
            <w:pPr>
              <w:pStyle w:val="TableParagraph"/>
              <w:spacing w:before="36"/>
              <w:ind w:left="173" w:right="169"/>
              <w:rPr>
                <w:sz w:val="20"/>
              </w:rPr>
            </w:pPr>
            <w:r>
              <w:rPr>
                <w:sz w:val="20"/>
              </w:rPr>
              <w:t>Control</w:t>
            </w:r>
          </w:p>
        </w:tc>
        <w:tc>
          <w:tcPr>
            <w:tcW w:w="1337" w:type="dxa"/>
          </w:tcPr>
          <w:p w:rsidR="00042D5E" w:rsidRDefault="007D5BFA">
            <w:pPr>
              <w:pStyle w:val="TableParagraph"/>
              <w:spacing w:before="36"/>
              <w:ind w:left="1"/>
              <w:rPr>
                <w:sz w:val="20"/>
              </w:rPr>
            </w:pPr>
            <w:r>
              <w:rPr>
                <w:w w:val="99"/>
                <w:sz w:val="20"/>
              </w:rPr>
              <w:t>0</w:t>
            </w:r>
          </w:p>
        </w:tc>
        <w:tc>
          <w:tcPr>
            <w:tcW w:w="1085" w:type="dxa"/>
          </w:tcPr>
          <w:p w:rsidR="00042D5E" w:rsidRDefault="007D5BFA">
            <w:pPr>
              <w:pStyle w:val="TableParagraph"/>
              <w:spacing w:before="36"/>
              <w:ind w:left="192" w:right="186"/>
              <w:rPr>
                <w:sz w:val="20"/>
              </w:rPr>
            </w:pPr>
            <w:r>
              <w:rPr>
                <w:sz w:val="20"/>
              </w:rPr>
              <w:t>1.5</w:t>
            </w:r>
          </w:p>
        </w:tc>
        <w:tc>
          <w:tcPr>
            <w:tcW w:w="1467" w:type="dxa"/>
          </w:tcPr>
          <w:p w:rsidR="00042D5E" w:rsidRDefault="007D5BFA">
            <w:pPr>
              <w:pStyle w:val="TableParagraph"/>
              <w:spacing w:before="36"/>
              <w:ind w:left="4"/>
              <w:rPr>
                <w:sz w:val="20"/>
              </w:rPr>
            </w:pPr>
            <w:r>
              <w:rPr>
                <w:w w:val="99"/>
                <w:sz w:val="20"/>
              </w:rPr>
              <w:t>0</w:t>
            </w:r>
          </w:p>
        </w:tc>
        <w:tc>
          <w:tcPr>
            <w:tcW w:w="1309" w:type="dxa"/>
          </w:tcPr>
          <w:p w:rsidR="00042D5E" w:rsidRDefault="007D5BFA">
            <w:pPr>
              <w:pStyle w:val="TableParagraph"/>
              <w:spacing w:before="36"/>
              <w:ind w:left="3"/>
              <w:rPr>
                <w:sz w:val="20"/>
              </w:rPr>
            </w:pPr>
            <w:r>
              <w:rPr>
                <w:w w:val="99"/>
                <w:sz w:val="20"/>
              </w:rPr>
              <w:t>5</w:t>
            </w:r>
          </w:p>
        </w:tc>
        <w:tc>
          <w:tcPr>
            <w:tcW w:w="1086" w:type="dxa"/>
          </w:tcPr>
          <w:p w:rsidR="00042D5E" w:rsidRDefault="007D5BFA">
            <w:pPr>
              <w:pStyle w:val="TableParagraph"/>
              <w:spacing w:before="36"/>
              <w:ind w:right="1"/>
              <w:rPr>
                <w:sz w:val="20"/>
              </w:rPr>
            </w:pPr>
            <w:r>
              <w:rPr>
                <w:w w:val="99"/>
                <w:sz w:val="20"/>
              </w:rPr>
              <w:t>3</w:t>
            </w:r>
          </w:p>
        </w:tc>
      </w:tr>
      <w:tr w:rsidR="00042D5E">
        <w:trPr>
          <w:trHeight w:val="309"/>
        </w:trPr>
        <w:tc>
          <w:tcPr>
            <w:tcW w:w="917" w:type="dxa"/>
          </w:tcPr>
          <w:p w:rsidR="00042D5E" w:rsidRDefault="007D5BFA">
            <w:pPr>
              <w:pStyle w:val="TableParagraph"/>
              <w:spacing w:before="34"/>
              <w:ind w:left="8"/>
              <w:rPr>
                <w:sz w:val="20"/>
              </w:rPr>
            </w:pPr>
            <w:r>
              <w:rPr>
                <w:w w:val="99"/>
                <w:sz w:val="20"/>
              </w:rPr>
              <w:t>2</w:t>
            </w:r>
          </w:p>
        </w:tc>
        <w:tc>
          <w:tcPr>
            <w:tcW w:w="1963" w:type="dxa"/>
          </w:tcPr>
          <w:p w:rsidR="00042D5E" w:rsidRDefault="007D5BFA">
            <w:pPr>
              <w:pStyle w:val="TableParagraph"/>
              <w:spacing w:before="34"/>
              <w:ind w:left="176" w:right="169"/>
              <w:rPr>
                <w:sz w:val="20"/>
              </w:rPr>
            </w:pPr>
            <w:r>
              <w:rPr>
                <w:sz w:val="20"/>
              </w:rPr>
              <w:t>pAF-AGL-0185-30</w:t>
            </w:r>
          </w:p>
        </w:tc>
        <w:tc>
          <w:tcPr>
            <w:tcW w:w="1337" w:type="dxa"/>
          </w:tcPr>
          <w:p w:rsidR="00042D5E" w:rsidRDefault="007D5BFA">
            <w:pPr>
              <w:pStyle w:val="TableParagraph"/>
              <w:spacing w:before="34"/>
              <w:ind w:left="520" w:right="516"/>
              <w:rPr>
                <w:sz w:val="20"/>
              </w:rPr>
            </w:pPr>
            <w:r>
              <w:rPr>
                <w:sz w:val="20"/>
              </w:rPr>
              <w:t>0.5</w:t>
            </w:r>
          </w:p>
        </w:tc>
        <w:tc>
          <w:tcPr>
            <w:tcW w:w="1085" w:type="dxa"/>
          </w:tcPr>
          <w:p w:rsidR="00042D5E" w:rsidRDefault="007D5BFA">
            <w:pPr>
              <w:pStyle w:val="TableParagraph"/>
              <w:spacing w:before="34"/>
              <w:ind w:left="192" w:right="186"/>
              <w:rPr>
                <w:sz w:val="20"/>
              </w:rPr>
            </w:pPr>
            <w:r>
              <w:rPr>
                <w:sz w:val="20"/>
              </w:rPr>
              <w:t>0.5</w:t>
            </w:r>
          </w:p>
        </w:tc>
        <w:tc>
          <w:tcPr>
            <w:tcW w:w="1467" w:type="dxa"/>
          </w:tcPr>
          <w:p w:rsidR="00042D5E" w:rsidRDefault="007D5BFA">
            <w:pPr>
              <w:pStyle w:val="TableParagraph"/>
              <w:spacing w:before="34"/>
              <w:ind w:left="587" w:right="580"/>
              <w:rPr>
                <w:sz w:val="20"/>
              </w:rPr>
            </w:pPr>
            <w:r>
              <w:rPr>
                <w:sz w:val="20"/>
              </w:rPr>
              <w:t>1.0</w:t>
            </w:r>
          </w:p>
        </w:tc>
        <w:tc>
          <w:tcPr>
            <w:tcW w:w="1309" w:type="dxa"/>
          </w:tcPr>
          <w:p w:rsidR="00042D5E" w:rsidRDefault="007D5BFA">
            <w:pPr>
              <w:pStyle w:val="TableParagraph"/>
              <w:spacing w:before="34"/>
              <w:ind w:left="3"/>
              <w:rPr>
                <w:sz w:val="20"/>
              </w:rPr>
            </w:pPr>
            <w:r>
              <w:rPr>
                <w:w w:val="99"/>
                <w:sz w:val="20"/>
              </w:rPr>
              <w:t>5</w:t>
            </w:r>
          </w:p>
        </w:tc>
        <w:tc>
          <w:tcPr>
            <w:tcW w:w="1086" w:type="dxa"/>
          </w:tcPr>
          <w:p w:rsidR="00042D5E" w:rsidRDefault="007D5BFA">
            <w:pPr>
              <w:pStyle w:val="TableParagraph"/>
              <w:spacing w:before="34"/>
              <w:ind w:right="1"/>
              <w:rPr>
                <w:sz w:val="20"/>
              </w:rPr>
            </w:pPr>
            <w:r>
              <w:rPr>
                <w:w w:val="99"/>
                <w:sz w:val="20"/>
              </w:rPr>
              <w:t>6</w:t>
            </w:r>
          </w:p>
        </w:tc>
      </w:tr>
      <w:tr w:rsidR="00042D5E">
        <w:trPr>
          <w:trHeight w:val="309"/>
        </w:trPr>
        <w:tc>
          <w:tcPr>
            <w:tcW w:w="917" w:type="dxa"/>
          </w:tcPr>
          <w:p w:rsidR="00042D5E" w:rsidRDefault="007D5BFA">
            <w:pPr>
              <w:pStyle w:val="TableParagraph"/>
              <w:spacing w:before="34"/>
              <w:ind w:left="8"/>
              <w:rPr>
                <w:sz w:val="20"/>
              </w:rPr>
            </w:pPr>
            <w:r>
              <w:rPr>
                <w:w w:val="99"/>
                <w:sz w:val="20"/>
              </w:rPr>
              <w:t>3</w:t>
            </w:r>
          </w:p>
        </w:tc>
        <w:tc>
          <w:tcPr>
            <w:tcW w:w="1963" w:type="dxa"/>
          </w:tcPr>
          <w:p w:rsidR="00042D5E" w:rsidRDefault="007D5BFA">
            <w:pPr>
              <w:pStyle w:val="TableParagraph"/>
              <w:spacing w:before="34"/>
              <w:ind w:left="176" w:right="169"/>
              <w:rPr>
                <w:sz w:val="20"/>
              </w:rPr>
            </w:pPr>
            <w:r>
              <w:rPr>
                <w:sz w:val="20"/>
              </w:rPr>
              <w:t>pAF-AGL-0185-30</w:t>
            </w:r>
          </w:p>
        </w:tc>
        <w:tc>
          <w:tcPr>
            <w:tcW w:w="1337" w:type="dxa"/>
          </w:tcPr>
          <w:p w:rsidR="00042D5E" w:rsidRDefault="007D5BFA">
            <w:pPr>
              <w:pStyle w:val="TableParagraph"/>
              <w:spacing w:before="34"/>
              <w:ind w:left="520" w:right="516"/>
              <w:rPr>
                <w:sz w:val="20"/>
              </w:rPr>
            </w:pPr>
            <w:r>
              <w:rPr>
                <w:sz w:val="20"/>
              </w:rPr>
              <w:t>1.0</w:t>
            </w:r>
          </w:p>
        </w:tc>
        <w:tc>
          <w:tcPr>
            <w:tcW w:w="1085" w:type="dxa"/>
          </w:tcPr>
          <w:p w:rsidR="00042D5E" w:rsidRDefault="007D5BFA">
            <w:pPr>
              <w:pStyle w:val="TableParagraph"/>
              <w:spacing w:before="34"/>
              <w:ind w:left="3"/>
              <w:rPr>
                <w:sz w:val="20"/>
              </w:rPr>
            </w:pPr>
            <w:r>
              <w:rPr>
                <w:w w:val="99"/>
                <w:sz w:val="20"/>
              </w:rPr>
              <w:t>1</w:t>
            </w:r>
          </w:p>
        </w:tc>
        <w:tc>
          <w:tcPr>
            <w:tcW w:w="1467" w:type="dxa"/>
          </w:tcPr>
          <w:p w:rsidR="00042D5E" w:rsidRDefault="007D5BFA">
            <w:pPr>
              <w:pStyle w:val="TableParagraph"/>
              <w:spacing w:before="34"/>
              <w:ind w:left="587" w:right="580"/>
              <w:rPr>
                <w:sz w:val="20"/>
              </w:rPr>
            </w:pPr>
            <w:r>
              <w:rPr>
                <w:sz w:val="20"/>
              </w:rPr>
              <w:t>1.0</w:t>
            </w:r>
          </w:p>
        </w:tc>
        <w:tc>
          <w:tcPr>
            <w:tcW w:w="1309" w:type="dxa"/>
          </w:tcPr>
          <w:p w:rsidR="00042D5E" w:rsidRDefault="007D5BFA">
            <w:pPr>
              <w:pStyle w:val="TableParagraph"/>
              <w:spacing w:before="34"/>
              <w:ind w:left="3"/>
              <w:rPr>
                <w:sz w:val="20"/>
              </w:rPr>
            </w:pPr>
            <w:r>
              <w:rPr>
                <w:w w:val="99"/>
                <w:sz w:val="20"/>
              </w:rPr>
              <w:t>5</w:t>
            </w:r>
          </w:p>
        </w:tc>
        <w:tc>
          <w:tcPr>
            <w:tcW w:w="1086" w:type="dxa"/>
          </w:tcPr>
          <w:p w:rsidR="00042D5E" w:rsidRDefault="007D5BFA">
            <w:pPr>
              <w:pStyle w:val="TableParagraph"/>
              <w:spacing w:before="34"/>
              <w:ind w:right="1"/>
              <w:rPr>
                <w:sz w:val="20"/>
              </w:rPr>
            </w:pPr>
            <w:r>
              <w:rPr>
                <w:w w:val="99"/>
                <w:sz w:val="20"/>
              </w:rPr>
              <w:t>6</w:t>
            </w:r>
          </w:p>
        </w:tc>
      </w:tr>
      <w:tr w:rsidR="00042D5E">
        <w:trPr>
          <w:trHeight w:val="311"/>
        </w:trPr>
        <w:tc>
          <w:tcPr>
            <w:tcW w:w="917" w:type="dxa"/>
          </w:tcPr>
          <w:p w:rsidR="00042D5E" w:rsidRDefault="007D5BFA">
            <w:pPr>
              <w:pStyle w:val="TableParagraph"/>
              <w:spacing w:before="36"/>
              <w:ind w:left="8"/>
              <w:rPr>
                <w:sz w:val="20"/>
              </w:rPr>
            </w:pPr>
            <w:r>
              <w:rPr>
                <w:w w:val="99"/>
                <w:sz w:val="20"/>
              </w:rPr>
              <w:t>4</w:t>
            </w:r>
          </w:p>
        </w:tc>
        <w:tc>
          <w:tcPr>
            <w:tcW w:w="1963" w:type="dxa"/>
          </w:tcPr>
          <w:p w:rsidR="00042D5E" w:rsidRDefault="007D5BFA">
            <w:pPr>
              <w:pStyle w:val="TableParagraph"/>
              <w:spacing w:before="36"/>
              <w:ind w:left="176" w:right="169"/>
              <w:rPr>
                <w:sz w:val="20"/>
              </w:rPr>
            </w:pPr>
            <w:r>
              <w:rPr>
                <w:sz w:val="20"/>
              </w:rPr>
              <w:t>pAF-AGL-0185-30</w:t>
            </w:r>
          </w:p>
        </w:tc>
        <w:tc>
          <w:tcPr>
            <w:tcW w:w="1337" w:type="dxa"/>
          </w:tcPr>
          <w:p w:rsidR="00042D5E" w:rsidRDefault="007D5BFA">
            <w:pPr>
              <w:pStyle w:val="TableParagraph"/>
              <w:spacing w:before="36"/>
              <w:ind w:left="520" w:right="516"/>
              <w:rPr>
                <w:sz w:val="20"/>
              </w:rPr>
            </w:pPr>
            <w:r>
              <w:rPr>
                <w:sz w:val="20"/>
              </w:rPr>
              <w:t>1.5</w:t>
            </w:r>
          </w:p>
        </w:tc>
        <w:tc>
          <w:tcPr>
            <w:tcW w:w="1085" w:type="dxa"/>
          </w:tcPr>
          <w:p w:rsidR="00042D5E" w:rsidRDefault="007D5BFA">
            <w:pPr>
              <w:pStyle w:val="TableParagraph"/>
              <w:spacing w:before="36"/>
              <w:ind w:left="192" w:right="186"/>
              <w:rPr>
                <w:sz w:val="20"/>
              </w:rPr>
            </w:pPr>
            <w:r>
              <w:rPr>
                <w:sz w:val="20"/>
              </w:rPr>
              <w:t>1.5</w:t>
            </w:r>
          </w:p>
        </w:tc>
        <w:tc>
          <w:tcPr>
            <w:tcW w:w="1467" w:type="dxa"/>
          </w:tcPr>
          <w:p w:rsidR="00042D5E" w:rsidRDefault="007D5BFA">
            <w:pPr>
              <w:pStyle w:val="TableParagraph"/>
              <w:spacing w:before="36"/>
              <w:ind w:left="587" w:right="580"/>
              <w:rPr>
                <w:sz w:val="20"/>
              </w:rPr>
            </w:pPr>
            <w:r>
              <w:rPr>
                <w:sz w:val="20"/>
              </w:rPr>
              <w:t>1.0</w:t>
            </w:r>
          </w:p>
        </w:tc>
        <w:tc>
          <w:tcPr>
            <w:tcW w:w="1309" w:type="dxa"/>
          </w:tcPr>
          <w:p w:rsidR="00042D5E" w:rsidRDefault="007D5BFA">
            <w:pPr>
              <w:pStyle w:val="TableParagraph"/>
              <w:spacing w:before="36"/>
              <w:ind w:left="3"/>
              <w:rPr>
                <w:sz w:val="20"/>
              </w:rPr>
            </w:pPr>
            <w:r>
              <w:rPr>
                <w:w w:val="99"/>
                <w:sz w:val="20"/>
              </w:rPr>
              <w:t>5</w:t>
            </w:r>
          </w:p>
        </w:tc>
        <w:tc>
          <w:tcPr>
            <w:tcW w:w="1086" w:type="dxa"/>
          </w:tcPr>
          <w:p w:rsidR="00042D5E" w:rsidRDefault="007D5BFA">
            <w:pPr>
              <w:pStyle w:val="TableParagraph"/>
              <w:spacing w:before="36"/>
              <w:ind w:right="1"/>
              <w:rPr>
                <w:sz w:val="20"/>
              </w:rPr>
            </w:pPr>
            <w:r>
              <w:rPr>
                <w:w w:val="99"/>
                <w:sz w:val="20"/>
              </w:rPr>
              <w:t>6</w:t>
            </w:r>
          </w:p>
        </w:tc>
      </w:tr>
    </w:tbl>
    <w:p w:rsidR="00042D5E" w:rsidRDefault="007D5BFA">
      <w:pPr>
        <w:spacing w:before="54"/>
        <w:ind w:left="232"/>
        <w:rPr>
          <w:sz w:val="20"/>
        </w:rPr>
      </w:pPr>
      <w:r>
        <w:rPr>
          <w:sz w:val="20"/>
        </w:rPr>
        <w:t>pAF: para-acetyl phenylalanine; TK: toxicokinetic</w:t>
      </w:r>
    </w:p>
    <w:p w:rsidR="00042D5E" w:rsidRDefault="00042D5E">
      <w:pPr>
        <w:pStyle w:val="a3"/>
        <w:rPr>
          <w:sz w:val="22"/>
        </w:rPr>
      </w:pPr>
    </w:p>
    <w:p w:rsidR="00042D5E" w:rsidRDefault="007D5BFA">
      <w:pPr>
        <w:pStyle w:val="a3"/>
        <w:spacing w:before="180" w:line="261" w:lineRule="auto"/>
        <w:ind w:left="232" w:right="17"/>
      </w:pPr>
      <w:r>
        <w:t>The following parameters and end points were evaluated in this study: clinical signs, body weights, body weight changes, food consumption, clinical pathology parameters (hematology, coagulation, and clinical chemistry), TK parameters, gross necropsy findings, organ weights, and histopathologic examinations.</w:t>
      </w:r>
    </w:p>
    <w:p w:rsidR="00042D5E" w:rsidRDefault="007D5BFA">
      <w:pPr>
        <w:pStyle w:val="3"/>
        <w:spacing w:before="122"/>
      </w:pPr>
      <w:r>
        <w:t>Results</w:t>
      </w:r>
    </w:p>
    <w:p w:rsidR="00042D5E" w:rsidRDefault="007D5BFA">
      <w:pPr>
        <w:pStyle w:val="a3"/>
        <w:spacing w:before="139" w:line="261" w:lineRule="auto"/>
        <w:ind w:left="232" w:right="337"/>
      </w:pPr>
      <w:r>
        <w:t>All animals survived to scheduled euthanasia. There were no pAF-AGL-0185-30-related clinical signs or changes in body weights, food consumption, or clinical pathology.</w:t>
      </w:r>
    </w:p>
    <w:p w:rsidR="00042D5E" w:rsidRDefault="007D5BFA">
      <w:pPr>
        <w:pStyle w:val="a3"/>
        <w:spacing w:before="118" w:line="261" w:lineRule="auto"/>
        <w:ind w:left="232" w:right="711"/>
      </w:pPr>
      <w:r>
        <w:t>On day 15, there were no test article-related changes in organ weights, and there were no macroscopic or microscopic changes associated with the test article.</w:t>
      </w:r>
    </w:p>
    <w:p w:rsidR="00042D5E" w:rsidRDefault="007D5BFA">
      <w:pPr>
        <w:pStyle w:val="a3"/>
        <w:spacing w:before="119" w:line="261" w:lineRule="auto"/>
        <w:ind w:left="232" w:right="250"/>
      </w:pPr>
      <w:r>
        <w:t>Serum concentrations from the 0.5, 1.0, and 1.5 mg/kg dose group animals were all below the lower limit of quantification (LLOQ) of the bioanalysis method after 24 h due to rapid clearance of the drug. The area under the serum concentration curve AUC</w:t>
      </w:r>
      <w:r>
        <w:rPr>
          <w:vertAlign w:val="subscript"/>
        </w:rPr>
        <w:t>last</w:t>
      </w:r>
      <w:r>
        <w:t xml:space="preserve"> and the first observed concentration after dose administration (C</w:t>
      </w:r>
      <w:r>
        <w:rPr>
          <w:vertAlign w:val="subscript"/>
        </w:rPr>
        <w:t>first</w:t>
      </w:r>
      <w:r>
        <w:t>) for pAF-AGL-0185-30 showed dose- dependent increases at doses of 0.5, 1.0 and 1.5 mg/kg/dose.</w:t>
      </w:r>
    </w:p>
    <w:p w:rsidR="00042D5E" w:rsidRDefault="007D5BFA">
      <w:pPr>
        <w:pStyle w:val="a3"/>
        <w:spacing w:before="116" w:line="261" w:lineRule="auto"/>
        <w:ind w:left="232" w:right="402"/>
      </w:pPr>
      <w:r>
        <w:t>In conclusion, administration of pAF-AGL-0185-30 by single intravenous (slow bolus) injection was well tolerated in Sprague Dawley rats at dose levels of ≤ 1.5 mg/kg/dose. There were no pAF-AGL-0185-30-related clinical signs or changes in body weight, body weight gain, food consumption, clinical pathology, organ weight, or macroscopic or microscopic pathology. Based on these results, the NOAEL was considered to be 1.5 mg/kg (AUC</w:t>
      </w:r>
      <w:r>
        <w:rPr>
          <w:vertAlign w:val="subscript"/>
        </w:rPr>
        <w:t>last</w:t>
      </w:r>
      <w:r>
        <w:t xml:space="preserve"> 147 day*ng/mL), the highest dose level evaluated in this study. This dose</w:t>
      </w:r>
    </w:p>
    <w:p w:rsidR="00042D5E" w:rsidRDefault="00042D5E">
      <w:pPr>
        <w:spacing w:line="261" w:lineRule="auto"/>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a3"/>
        <w:spacing w:before="227" w:line="261" w:lineRule="auto"/>
        <w:ind w:left="232" w:right="237"/>
      </w:pPr>
      <w:r>
        <w:t>corresponds to the molar equivalent of the metabolite deconjugated from a 100 mg/kg dose of ADC.</w:t>
      </w:r>
    </w:p>
    <w:p w:rsidR="00042D5E" w:rsidRDefault="007D5BFA">
      <w:pPr>
        <w:pStyle w:val="3"/>
        <w:numPr>
          <w:ilvl w:val="4"/>
          <w:numId w:val="7"/>
        </w:numPr>
        <w:tabs>
          <w:tab w:val="left" w:pos="1365"/>
          <w:tab w:val="left" w:pos="1366"/>
        </w:tabs>
        <w:spacing w:before="124" w:line="261" w:lineRule="auto"/>
        <w:ind w:right="317"/>
      </w:pPr>
      <w:bookmarkStart w:id="40" w:name="4.3.7.1.2_A_Single_Dose_Study_of_pAF-AGL"/>
      <w:bookmarkEnd w:id="40"/>
      <w:r>
        <w:t>A Single Dose Study of pAF-AGL-0185-30 by Intravenous Bolus Injection in Cynomolgus</w:t>
      </w:r>
      <w:r>
        <w:rPr>
          <w:spacing w:val="-2"/>
        </w:rPr>
        <w:t xml:space="preserve"> </w:t>
      </w:r>
      <w:r>
        <w:t>Monkeys</w:t>
      </w:r>
    </w:p>
    <w:p w:rsidR="00042D5E" w:rsidRDefault="007D5BFA">
      <w:pPr>
        <w:spacing w:before="118"/>
        <w:ind w:left="232"/>
        <w:rPr>
          <w:b/>
          <w:sz w:val="24"/>
        </w:rPr>
      </w:pPr>
      <w:r>
        <w:rPr>
          <w:b/>
          <w:sz w:val="24"/>
        </w:rPr>
        <w:t>Objectives</w:t>
      </w:r>
    </w:p>
    <w:p w:rsidR="00042D5E" w:rsidRDefault="007D5BFA">
      <w:pPr>
        <w:pStyle w:val="a3"/>
        <w:spacing w:before="139" w:line="261" w:lineRule="auto"/>
        <w:ind w:left="232" w:right="337"/>
      </w:pPr>
      <w:r>
        <w:t>The objectives of this study were to determine the potential toxicity of pAF-AGL-0185-30 when given as a single dose by intravenous slow bolus injection to cynomolgus monkeys, and to evaluate the potential reversibility of any findings. In addition, the TK characteristics of pAF-AGL-0185-30 were determined.</w:t>
      </w:r>
    </w:p>
    <w:p w:rsidR="00042D5E" w:rsidRDefault="007D5BFA">
      <w:pPr>
        <w:pStyle w:val="3"/>
        <w:spacing w:before="122"/>
      </w:pPr>
      <w:r>
        <w:t>Methods</w:t>
      </w:r>
    </w:p>
    <w:p w:rsidR="00042D5E" w:rsidRDefault="007D5BFA">
      <w:pPr>
        <w:pStyle w:val="a3"/>
        <w:spacing w:before="139"/>
        <w:ind w:left="232"/>
      </w:pPr>
      <w:r>
        <w:t xml:space="preserve">The study design is summarized in </w:t>
      </w:r>
      <w:hyperlink w:anchor="_bookmark73" w:history="1">
        <w:r>
          <w:t>Table 16</w:t>
        </w:r>
      </w:hyperlink>
      <w:r>
        <w:t>.</w:t>
      </w:r>
    </w:p>
    <w:p w:rsidR="00042D5E" w:rsidRDefault="007D5BFA">
      <w:pPr>
        <w:pStyle w:val="3"/>
        <w:tabs>
          <w:tab w:val="left" w:pos="1651"/>
        </w:tabs>
        <w:spacing w:before="122"/>
      </w:pPr>
      <w:bookmarkStart w:id="41" w:name="_bookmark73"/>
      <w:bookmarkEnd w:id="41"/>
      <w:r>
        <w:t>Table</w:t>
      </w:r>
      <w:r>
        <w:rPr>
          <w:spacing w:val="-1"/>
        </w:rPr>
        <w:t xml:space="preserve"> </w:t>
      </w:r>
      <w:r>
        <w:t>16</w:t>
      </w:r>
      <w:r>
        <w:tab/>
        <w:t>Experimental Design for Cynomolgus Monkey Metabolite</w:t>
      </w:r>
      <w:r>
        <w:rPr>
          <w:spacing w:val="-7"/>
        </w:rPr>
        <w:t xml:space="preserve"> </w:t>
      </w:r>
      <w:r>
        <w:t>Study</w:t>
      </w:r>
    </w:p>
    <w:p w:rsidR="00042D5E" w:rsidRDefault="00042D5E">
      <w:pPr>
        <w:pStyle w:val="a3"/>
        <w:spacing w:before="6"/>
        <w:rPr>
          <w:b/>
          <w:sz w:val="5"/>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0"/>
        <w:gridCol w:w="2253"/>
        <w:gridCol w:w="1351"/>
        <w:gridCol w:w="1075"/>
        <w:gridCol w:w="1625"/>
        <w:gridCol w:w="955"/>
        <w:gridCol w:w="977"/>
      </w:tblGrid>
      <w:tr w:rsidR="00042D5E">
        <w:trPr>
          <w:trHeight w:val="309"/>
        </w:trPr>
        <w:tc>
          <w:tcPr>
            <w:tcW w:w="1010" w:type="dxa"/>
            <w:vMerge w:val="restart"/>
          </w:tcPr>
          <w:p w:rsidR="00042D5E" w:rsidRDefault="007D5BFA">
            <w:pPr>
              <w:pStyle w:val="TableParagraph"/>
              <w:spacing w:before="154"/>
              <w:ind w:left="357" w:hanging="135"/>
              <w:jc w:val="left"/>
              <w:rPr>
                <w:b/>
                <w:sz w:val="20"/>
              </w:rPr>
            </w:pPr>
            <w:r>
              <w:rPr>
                <w:b/>
                <w:w w:val="95"/>
                <w:sz w:val="20"/>
              </w:rPr>
              <w:t xml:space="preserve">Group </w:t>
            </w:r>
            <w:r>
              <w:rPr>
                <w:b/>
                <w:sz w:val="20"/>
              </w:rPr>
              <w:t>No.</w:t>
            </w:r>
          </w:p>
        </w:tc>
        <w:tc>
          <w:tcPr>
            <w:tcW w:w="2253" w:type="dxa"/>
            <w:vMerge w:val="restart"/>
          </w:tcPr>
          <w:p w:rsidR="00042D5E" w:rsidRDefault="00042D5E">
            <w:pPr>
              <w:pStyle w:val="TableParagraph"/>
              <w:spacing w:before="4"/>
              <w:jc w:val="left"/>
              <w:rPr>
                <w:b/>
                <w:sz w:val="23"/>
              </w:rPr>
            </w:pPr>
          </w:p>
          <w:p w:rsidR="00042D5E" w:rsidRDefault="007D5BFA">
            <w:pPr>
              <w:pStyle w:val="TableParagraph"/>
              <w:ind w:left="542"/>
              <w:jc w:val="left"/>
              <w:rPr>
                <w:b/>
                <w:sz w:val="20"/>
              </w:rPr>
            </w:pPr>
            <w:r>
              <w:rPr>
                <w:b/>
                <w:sz w:val="20"/>
              </w:rPr>
              <w:t>Test Material</w:t>
            </w:r>
          </w:p>
        </w:tc>
        <w:tc>
          <w:tcPr>
            <w:tcW w:w="1351" w:type="dxa"/>
            <w:vMerge w:val="restart"/>
          </w:tcPr>
          <w:p w:rsidR="00042D5E" w:rsidRDefault="007D5BFA">
            <w:pPr>
              <w:pStyle w:val="TableParagraph"/>
              <w:spacing w:before="154"/>
              <w:ind w:left="341" w:right="182" w:hanging="130"/>
              <w:jc w:val="left"/>
              <w:rPr>
                <w:b/>
                <w:sz w:val="20"/>
              </w:rPr>
            </w:pPr>
            <w:r>
              <w:rPr>
                <w:b/>
                <w:sz w:val="20"/>
              </w:rPr>
              <w:t>Dose Level (mg/kg)</w:t>
            </w:r>
          </w:p>
        </w:tc>
        <w:tc>
          <w:tcPr>
            <w:tcW w:w="1075" w:type="dxa"/>
            <w:vMerge w:val="restart"/>
          </w:tcPr>
          <w:p w:rsidR="00042D5E" w:rsidRDefault="007D5BFA">
            <w:pPr>
              <w:pStyle w:val="TableParagraph"/>
              <w:spacing w:before="38"/>
              <w:ind w:left="188" w:firstLine="146"/>
              <w:jc w:val="left"/>
              <w:rPr>
                <w:b/>
                <w:sz w:val="20"/>
              </w:rPr>
            </w:pPr>
            <w:r>
              <w:rPr>
                <w:b/>
                <w:sz w:val="20"/>
              </w:rPr>
              <w:t xml:space="preserve">Dose Volume </w:t>
            </w:r>
            <w:r>
              <w:rPr>
                <w:b/>
                <w:w w:val="95"/>
                <w:sz w:val="20"/>
              </w:rPr>
              <w:t>(mL/kg)</w:t>
            </w:r>
          </w:p>
        </w:tc>
        <w:tc>
          <w:tcPr>
            <w:tcW w:w="1625" w:type="dxa"/>
            <w:vMerge w:val="restart"/>
          </w:tcPr>
          <w:p w:rsidR="00042D5E" w:rsidRDefault="007D5BFA">
            <w:pPr>
              <w:pStyle w:val="TableParagraph"/>
              <w:spacing w:before="38"/>
              <w:ind w:left="195" w:right="184" w:firstLine="3"/>
              <w:rPr>
                <w:b/>
                <w:sz w:val="20"/>
              </w:rPr>
            </w:pPr>
            <w:r>
              <w:rPr>
                <w:b/>
                <w:sz w:val="20"/>
              </w:rPr>
              <w:t xml:space="preserve">Dose </w:t>
            </w:r>
            <w:r>
              <w:rPr>
                <w:b/>
                <w:w w:val="95"/>
                <w:sz w:val="20"/>
              </w:rPr>
              <w:t xml:space="preserve">Concentration </w:t>
            </w:r>
            <w:r>
              <w:rPr>
                <w:b/>
                <w:sz w:val="20"/>
              </w:rPr>
              <w:t>(mg/mL)</w:t>
            </w:r>
          </w:p>
        </w:tc>
        <w:tc>
          <w:tcPr>
            <w:tcW w:w="1932" w:type="dxa"/>
            <w:gridSpan w:val="2"/>
          </w:tcPr>
          <w:p w:rsidR="00042D5E" w:rsidRDefault="007D5BFA">
            <w:pPr>
              <w:pStyle w:val="TableParagraph"/>
              <w:spacing w:before="38"/>
              <w:ind w:left="329"/>
              <w:jc w:val="left"/>
              <w:rPr>
                <w:b/>
                <w:sz w:val="20"/>
              </w:rPr>
            </w:pPr>
            <w:r>
              <w:rPr>
                <w:b/>
                <w:sz w:val="20"/>
              </w:rPr>
              <w:t>No. of Animals</w:t>
            </w:r>
          </w:p>
        </w:tc>
      </w:tr>
      <w:tr w:rsidR="00042D5E">
        <w:trPr>
          <w:trHeight w:val="450"/>
        </w:trPr>
        <w:tc>
          <w:tcPr>
            <w:tcW w:w="1010" w:type="dxa"/>
            <w:vMerge/>
            <w:tcBorders>
              <w:top w:val="nil"/>
            </w:tcBorders>
          </w:tcPr>
          <w:p w:rsidR="00042D5E" w:rsidRDefault="00042D5E">
            <w:pPr>
              <w:rPr>
                <w:sz w:val="2"/>
                <w:szCs w:val="2"/>
              </w:rPr>
            </w:pPr>
          </w:p>
        </w:tc>
        <w:tc>
          <w:tcPr>
            <w:tcW w:w="2253" w:type="dxa"/>
            <w:vMerge/>
            <w:tcBorders>
              <w:top w:val="nil"/>
            </w:tcBorders>
          </w:tcPr>
          <w:p w:rsidR="00042D5E" w:rsidRDefault="00042D5E">
            <w:pPr>
              <w:rPr>
                <w:sz w:val="2"/>
                <w:szCs w:val="2"/>
              </w:rPr>
            </w:pPr>
          </w:p>
        </w:tc>
        <w:tc>
          <w:tcPr>
            <w:tcW w:w="1351" w:type="dxa"/>
            <w:vMerge/>
            <w:tcBorders>
              <w:top w:val="nil"/>
            </w:tcBorders>
          </w:tcPr>
          <w:p w:rsidR="00042D5E" w:rsidRDefault="00042D5E">
            <w:pPr>
              <w:rPr>
                <w:sz w:val="2"/>
                <w:szCs w:val="2"/>
              </w:rPr>
            </w:pPr>
          </w:p>
        </w:tc>
        <w:tc>
          <w:tcPr>
            <w:tcW w:w="1075" w:type="dxa"/>
            <w:vMerge/>
            <w:tcBorders>
              <w:top w:val="nil"/>
            </w:tcBorders>
          </w:tcPr>
          <w:p w:rsidR="00042D5E" w:rsidRDefault="00042D5E">
            <w:pPr>
              <w:rPr>
                <w:sz w:val="2"/>
                <w:szCs w:val="2"/>
              </w:rPr>
            </w:pPr>
          </w:p>
        </w:tc>
        <w:tc>
          <w:tcPr>
            <w:tcW w:w="1625" w:type="dxa"/>
            <w:vMerge/>
            <w:tcBorders>
              <w:top w:val="nil"/>
            </w:tcBorders>
          </w:tcPr>
          <w:p w:rsidR="00042D5E" w:rsidRDefault="00042D5E">
            <w:pPr>
              <w:rPr>
                <w:sz w:val="2"/>
                <w:szCs w:val="2"/>
              </w:rPr>
            </w:pPr>
          </w:p>
        </w:tc>
        <w:tc>
          <w:tcPr>
            <w:tcW w:w="955" w:type="dxa"/>
          </w:tcPr>
          <w:p w:rsidR="00042D5E" w:rsidRDefault="007D5BFA">
            <w:pPr>
              <w:pStyle w:val="TableParagraph"/>
              <w:spacing w:before="110"/>
              <w:ind w:left="205" w:right="189"/>
              <w:rPr>
                <w:b/>
                <w:sz w:val="20"/>
              </w:rPr>
            </w:pPr>
            <w:r>
              <w:rPr>
                <w:b/>
                <w:sz w:val="20"/>
              </w:rPr>
              <w:t>Males</w:t>
            </w:r>
          </w:p>
        </w:tc>
        <w:tc>
          <w:tcPr>
            <w:tcW w:w="977" w:type="dxa"/>
          </w:tcPr>
          <w:p w:rsidR="00042D5E" w:rsidRDefault="007D5BFA">
            <w:pPr>
              <w:pStyle w:val="TableParagraph"/>
              <w:spacing w:before="110"/>
              <w:ind w:left="118" w:right="109"/>
              <w:rPr>
                <w:b/>
                <w:sz w:val="20"/>
              </w:rPr>
            </w:pPr>
            <w:r>
              <w:rPr>
                <w:b/>
                <w:sz w:val="20"/>
              </w:rPr>
              <w:t>Females</w:t>
            </w:r>
          </w:p>
        </w:tc>
      </w:tr>
      <w:tr w:rsidR="00042D5E">
        <w:trPr>
          <w:trHeight w:val="309"/>
        </w:trPr>
        <w:tc>
          <w:tcPr>
            <w:tcW w:w="1010" w:type="dxa"/>
          </w:tcPr>
          <w:p w:rsidR="00042D5E" w:rsidRDefault="007D5BFA">
            <w:pPr>
              <w:pStyle w:val="TableParagraph"/>
              <w:spacing w:before="34"/>
              <w:ind w:left="6"/>
              <w:rPr>
                <w:sz w:val="20"/>
              </w:rPr>
            </w:pPr>
            <w:r>
              <w:rPr>
                <w:w w:val="99"/>
                <w:sz w:val="20"/>
              </w:rPr>
              <w:t>1</w:t>
            </w:r>
          </w:p>
        </w:tc>
        <w:tc>
          <w:tcPr>
            <w:tcW w:w="2253" w:type="dxa"/>
          </w:tcPr>
          <w:p w:rsidR="00042D5E" w:rsidRDefault="007D5BFA">
            <w:pPr>
              <w:pStyle w:val="TableParagraph"/>
              <w:spacing w:before="34"/>
              <w:ind w:left="318" w:right="315"/>
              <w:rPr>
                <w:sz w:val="20"/>
              </w:rPr>
            </w:pPr>
            <w:r>
              <w:rPr>
                <w:sz w:val="20"/>
              </w:rPr>
              <w:t>Control Article</w:t>
            </w:r>
          </w:p>
        </w:tc>
        <w:tc>
          <w:tcPr>
            <w:tcW w:w="1351" w:type="dxa"/>
          </w:tcPr>
          <w:p w:rsidR="00042D5E" w:rsidRDefault="007D5BFA">
            <w:pPr>
              <w:pStyle w:val="TableParagraph"/>
              <w:spacing w:before="34"/>
              <w:ind w:left="8"/>
              <w:rPr>
                <w:sz w:val="20"/>
              </w:rPr>
            </w:pPr>
            <w:r>
              <w:rPr>
                <w:w w:val="99"/>
                <w:sz w:val="20"/>
              </w:rPr>
              <w:t>0</w:t>
            </w:r>
          </w:p>
        </w:tc>
        <w:tc>
          <w:tcPr>
            <w:tcW w:w="1075" w:type="dxa"/>
          </w:tcPr>
          <w:p w:rsidR="00042D5E" w:rsidRDefault="007D5BFA">
            <w:pPr>
              <w:pStyle w:val="TableParagraph"/>
              <w:spacing w:before="34"/>
              <w:ind w:left="294" w:right="280"/>
              <w:rPr>
                <w:sz w:val="20"/>
              </w:rPr>
            </w:pPr>
            <w:r>
              <w:rPr>
                <w:sz w:val="20"/>
              </w:rPr>
              <w:t>0.334</w:t>
            </w:r>
          </w:p>
        </w:tc>
        <w:tc>
          <w:tcPr>
            <w:tcW w:w="1625" w:type="dxa"/>
          </w:tcPr>
          <w:p w:rsidR="00042D5E" w:rsidRDefault="007D5BFA">
            <w:pPr>
              <w:pStyle w:val="TableParagraph"/>
              <w:spacing w:before="34"/>
              <w:ind w:left="8"/>
              <w:rPr>
                <w:sz w:val="20"/>
              </w:rPr>
            </w:pPr>
            <w:r>
              <w:rPr>
                <w:w w:val="99"/>
                <w:sz w:val="20"/>
              </w:rPr>
              <w:t>0</w:t>
            </w:r>
          </w:p>
        </w:tc>
        <w:tc>
          <w:tcPr>
            <w:tcW w:w="955" w:type="dxa"/>
          </w:tcPr>
          <w:p w:rsidR="00042D5E" w:rsidRDefault="007D5BFA">
            <w:pPr>
              <w:pStyle w:val="TableParagraph"/>
              <w:spacing w:before="34"/>
              <w:ind w:left="11"/>
              <w:rPr>
                <w:sz w:val="20"/>
              </w:rPr>
            </w:pPr>
            <w:r>
              <w:rPr>
                <w:w w:val="99"/>
                <w:sz w:val="20"/>
              </w:rPr>
              <w:t>1</w:t>
            </w:r>
          </w:p>
        </w:tc>
        <w:tc>
          <w:tcPr>
            <w:tcW w:w="977" w:type="dxa"/>
          </w:tcPr>
          <w:p w:rsidR="00042D5E" w:rsidRDefault="007D5BFA">
            <w:pPr>
              <w:pStyle w:val="TableParagraph"/>
              <w:spacing w:before="34"/>
              <w:ind w:left="8"/>
              <w:rPr>
                <w:sz w:val="20"/>
              </w:rPr>
            </w:pPr>
            <w:r>
              <w:rPr>
                <w:w w:val="99"/>
                <w:sz w:val="20"/>
              </w:rPr>
              <w:t>1</w:t>
            </w:r>
          </w:p>
        </w:tc>
      </w:tr>
      <w:tr w:rsidR="00042D5E">
        <w:trPr>
          <w:trHeight w:val="311"/>
        </w:trPr>
        <w:tc>
          <w:tcPr>
            <w:tcW w:w="1010" w:type="dxa"/>
          </w:tcPr>
          <w:p w:rsidR="00042D5E" w:rsidRDefault="007D5BFA">
            <w:pPr>
              <w:pStyle w:val="TableParagraph"/>
              <w:spacing w:before="34"/>
              <w:ind w:left="6"/>
              <w:rPr>
                <w:sz w:val="20"/>
              </w:rPr>
            </w:pPr>
            <w:r>
              <w:rPr>
                <w:w w:val="99"/>
                <w:sz w:val="20"/>
              </w:rPr>
              <w:t>2</w:t>
            </w:r>
          </w:p>
        </w:tc>
        <w:tc>
          <w:tcPr>
            <w:tcW w:w="2253" w:type="dxa"/>
          </w:tcPr>
          <w:p w:rsidR="00042D5E" w:rsidRDefault="007D5BFA">
            <w:pPr>
              <w:pStyle w:val="TableParagraph"/>
              <w:spacing w:before="34"/>
              <w:ind w:left="321" w:right="315"/>
              <w:rPr>
                <w:sz w:val="20"/>
              </w:rPr>
            </w:pPr>
            <w:r>
              <w:rPr>
                <w:sz w:val="20"/>
              </w:rPr>
              <w:t>pAF-AGL-0185-30</w:t>
            </w:r>
          </w:p>
        </w:tc>
        <w:tc>
          <w:tcPr>
            <w:tcW w:w="1351" w:type="dxa"/>
          </w:tcPr>
          <w:p w:rsidR="00042D5E" w:rsidRDefault="007D5BFA">
            <w:pPr>
              <w:pStyle w:val="TableParagraph"/>
              <w:spacing w:before="34"/>
              <w:ind w:left="431" w:right="420"/>
              <w:rPr>
                <w:sz w:val="20"/>
              </w:rPr>
            </w:pPr>
            <w:r>
              <w:rPr>
                <w:sz w:val="20"/>
              </w:rPr>
              <w:t>0.083</w:t>
            </w:r>
          </w:p>
        </w:tc>
        <w:tc>
          <w:tcPr>
            <w:tcW w:w="1075" w:type="dxa"/>
          </w:tcPr>
          <w:p w:rsidR="00042D5E" w:rsidRDefault="007D5BFA">
            <w:pPr>
              <w:pStyle w:val="TableParagraph"/>
              <w:spacing w:before="34"/>
              <w:ind w:left="294" w:right="280"/>
              <w:rPr>
                <w:sz w:val="20"/>
              </w:rPr>
            </w:pPr>
            <w:r>
              <w:rPr>
                <w:sz w:val="20"/>
              </w:rPr>
              <w:t>0.083</w:t>
            </w:r>
          </w:p>
        </w:tc>
        <w:tc>
          <w:tcPr>
            <w:tcW w:w="1625" w:type="dxa"/>
          </w:tcPr>
          <w:p w:rsidR="00042D5E" w:rsidRDefault="007D5BFA">
            <w:pPr>
              <w:pStyle w:val="TableParagraph"/>
              <w:spacing w:before="34"/>
              <w:ind w:left="668" w:right="657"/>
              <w:rPr>
                <w:sz w:val="20"/>
              </w:rPr>
            </w:pPr>
            <w:r>
              <w:rPr>
                <w:sz w:val="20"/>
              </w:rPr>
              <w:t>1.0</w:t>
            </w:r>
          </w:p>
        </w:tc>
        <w:tc>
          <w:tcPr>
            <w:tcW w:w="955" w:type="dxa"/>
          </w:tcPr>
          <w:p w:rsidR="00042D5E" w:rsidRDefault="007D5BFA">
            <w:pPr>
              <w:pStyle w:val="TableParagraph"/>
              <w:spacing w:before="34"/>
              <w:ind w:left="11"/>
              <w:rPr>
                <w:sz w:val="20"/>
              </w:rPr>
            </w:pPr>
            <w:r>
              <w:rPr>
                <w:w w:val="99"/>
                <w:sz w:val="20"/>
              </w:rPr>
              <w:t>1</w:t>
            </w:r>
          </w:p>
        </w:tc>
        <w:tc>
          <w:tcPr>
            <w:tcW w:w="977" w:type="dxa"/>
          </w:tcPr>
          <w:p w:rsidR="00042D5E" w:rsidRDefault="007D5BFA">
            <w:pPr>
              <w:pStyle w:val="TableParagraph"/>
              <w:spacing w:before="34"/>
              <w:ind w:left="8"/>
              <w:rPr>
                <w:sz w:val="20"/>
              </w:rPr>
            </w:pPr>
            <w:r>
              <w:rPr>
                <w:w w:val="99"/>
                <w:sz w:val="20"/>
              </w:rPr>
              <w:t>1</w:t>
            </w:r>
          </w:p>
        </w:tc>
      </w:tr>
      <w:tr w:rsidR="00042D5E">
        <w:trPr>
          <w:trHeight w:val="309"/>
        </w:trPr>
        <w:tc>
          <w:tcPr>
            <w:tcW w:w="1010" w:type="dxa"/>
          </w:tcPr>
          <w:p w:rsidR="00042D5E" w:rsidRDefault="007D5BFA">
            <w:pPr>
              <w:pStyle w:val="TableParagraph"/>
              <w:spacing w:before="34"/>
              <w:ind w:left="6"/>
              <w:rPr>
                <w:sz w:val="20"/>
              </w:rPr>
            </w:pPr>
            <w:r>
              <w:rPr>
                <w:w w:val="99"/>
                <w:sz w:val="20"/>
              </w:rPr>
              <w:t>3</w:t>
            </w:r>
          </w:p>
        </w:tc>
        <w:tc>
          <w:tcPr>
            <w:tcW w:w="2253" w:type="dxa"/>
          </w:tcPr>
          <w:p w:rsidR="00042D5E" w:rsidRDefault="007D5BFA">
            <w:pPr>
              <w:pStyle w:val="TableParagraph"/>
              <w:spacing w:before="34"/>
              <w:ind w:left="321" w:right="315"/>
              <w:rPr>
                <w:sz w:val="20"/>
              </w:rPr>
            </w:pPr>
            <w:r>
              <w:rPr>
                <w:sz w:val="20"/>
              </w:rPr>
              <w:t>pAF-AGL-0185-30</w:t>
            </w:r>
          </w:p>
        </w:tc>
        <w:tc>
          <w:tcPr>
            <w:tcW w:w="1351" w:type="dxa"/>
          </w:tcPr>
          <w:p w:rsidR="00042D5E" w:rsidRDefault="007D5BFA">
            <w:pPr>
              <w:pStyle w:val="TableParagraph"/>
              <w:spacing w:before="34"/>
              <w:ind w:left="431" w:right="420"/>
              <w:rPr>
                <w:sz w:val="20"/>
              </w:rPr>
            </w:pPr>
            <w:r>
              <w:rPr>
                <w:sz w:val="20"/>
              </w:rPr>
              <w:t>0.167</w:t>
            </w:r>
          </w:p>
        </w:tc>
        <w:tc>
          <w:tcPr>
            <w:tcW w:w="1075" w:type="dxa"/>
          </w:tcPr>
          <w:p w:rsidR="00042D5E" w:rsidRDefault="007D5BFA">
            <w:pPr>
              <w:pStyle w:val="TableParagraph"/>
              <w:spacing w:before="34"/>
              <w:ind w:left="294" w:right="280"/>
              <w:rPr>
                <w:sz w:val="20"/>
              </w:rPr>
            </w:pPr>
            <w:r>
              <w:rPr>
                <w:sz w:val="20"/>
              </w:rPr>
              <w:t>0.167</w:t>
            </w:r>
          </w:p>
        </w:tc>
        <w:tc>
          <w:tcPr>
            <w:tcW w:w="1625" w:type="dxa"/>
          </w:tcPr>
          <w:p w:rsidR="00042D5E" w:rsidRDefault="007D5BFA">
            <w:pPr>
              <w:pStyle w:val="TableParagraph"/>
              <w:spacing w:before="34"/>
              <w:ind w:left="668" w:right="657"/>
              <w:rPr>
                <w:sz w:val="20"/>
              </w:rPr>
            </w:pPr>
            <w:r>
              <w:rPr>
                <w:sz w:val="20"/>
              </w:rPr>
              <w:t>1.0</w:t>
            </w:r>
          </w:p>
        </w:tc>
        <w:tc>
          <w:tcPr>
            <w:tcW w:w="955" w:type="dxa"/>
          </w:tcPr>
          <w:p w:rsidR="00042D5E" w:rsidRDefault="007D5BFA">
            <w:pPr>
              <w:pStyle w:val="TableParagraph"/>
              <w:spacing w:before="34"/>
              <w:ind w:left="11"/>
              <w:rPr>
                <w:sz w:val="20"/>
              </w:rPr>
            </w:pPr>
            <w:r>
              <w:rPr>
                <w:w w:val="99"/>
                <w:sz w:val="20"/>
              </w:rPr>
              <w:t>1</w:t>
            </w:r>
          </w:p>
        </w:tc>
        <w:tc>
          <w:tcPr>
            <w:tcW w:w="977" w:type="dxa"/>
          </w:tcPr>
          <w:p w:rsidR="00042D5E" w:rsidRDefault="007D5BFA">
            <w:pPr>
              <w:pStyle w:val="TableParagraph"/>
              <w:spacing w:before="34"/>
              <w:ind w:left="8"/>
              <w:rPr>
                <w:sz w:val="20"/>
              </w:rPr>
            </w:pPr>
            <w:r>
              <w:rPr>
                <w:w w:val="99"/>
                <w:sz w:val="20"/>
              </w:rPr>
              <w:t>1</w:t>
            </w:r>
          </w:p>
        </w:tc>
      </w:tr>
      <w:tr w:rsidR="00042D5E">
        <w:trPr>
          <w:trHeight w:val="309"/>
        </w:trPr>
        <w:tc>
          <w:tcPr>
            <w:tcW w:w="1010" w:type="dxa"/>
          </w:tcPr>
          <w:p w:rsidR="00042D5E" w:rsidRDefault="007D5BFA">
            <w:pPr>
              <w:pStyle w:val="TableParagraph"/>
              <w:spacing w:before="34"/>
              <w:ind w:left="6"/>
              <w:rPr>
                <w:sz w:val="20"/>
              </w:rPr>
            </w:pPr>
            <w:r>
              <w:rPr>
                <w:w w:val="99"/>
                <w:sz w:val="20"/>
              </w:rPr>
              <w:t>4</w:t>
            </w:r>
          </w:p>
        </w:tc>
        <w:tc>
          <w:tcPr>
            <w:tcW w:w="2253" w:type="dxa"/>
          </w:tcPr>
          <w:p w:rsidR="00042D5E" w:rsidRDefault="007D5BFA">
            <w:pPr>
              <w:pStyle w:val="TableParagraph"/>
              <w:spacing w:before="34"/>
              <w:ind w:left="321" w:right="315"/>
              <w:rPr>
                <w:sz w:val="20"/>
              </w:rPr>
            </w:pPr>
            <w:r>
              <w:rPr>
                <w:sz w:val="20"/>
              </w:rPr>
              <w:t>pAF-AGL-0185-30</w:t>
            </w:r>
          </w:p>
        </w:tc>
        <w:tc>
          <w:tcPr>
            <w:tcW w:w="1351" w:type="dxa"/>
          </w:tcPr>
          <w:p w:rsidR="00042D5E" w:rsidRDefault="007D5BFA">
            <w:pPr>
              <w:pStyle w:val="TableParagraph"/>
              <w:spacing w:before="34"/>
              <w:ind w:left="431" w:right="420"/>
              <w:rPr>
                <w:sz w:val="20"/>
              </w:rPr>
            </w:pPr>
            <w:r>
              <w:rPr>
                <w:sz w:val="20"/>
              </w:rPr>
              <w:t>0.334</w:t>
            </w:r>
          </w:p>
        </w:tc>
        <w:tc>
          <w:tcPr>
            <w:tcW w:w="1075" w:type="dxa"/>
          </w:tcPr>
          <w:p w:rsidR="00042D5E" w:rsidRDefault="007D5BFA">
            <w:pPr>
              <w:pStyle w:val="TableParagraph"/>
              <w:spacing w:before="34"/>
              <w:ind w:left="294" w:right="280"/>
              <w:rPr>
                <w:sz w:val="20"/>
              </w:rPr>
            </w:pPr>
            <w:r>
              <w:rPr>
                <w:sz w:val="20"/>
              </w:rPr>
              <w:t>0.334</w:t>
            </w:r>
          </w:p>
        </w:tc>
        <w:tc>
          <w:tcPr>
            <w:tcW w:w="1625" w:type="dxa"/>
          </w:tcPr>
          <w:p w:rsidR="00042D5E" w:rsidRDefault="007D5BFA">
            <w:pPr>
              <w:pStyle w:val="TableParagraph"/>
              <w:spacing w:before="34"/>
              <w:ind w:left="668" w:right="657"/>
              <w:rPr>
                <w:sz w:val="20"/>
              </w:rPr>
            </w:pPr>
            <w:r>
              <w:rPr>
                <w:sz w:val="20"/>
              </w:rPr>
              <w:t>1.0</w:t>
            </w:r>
          </w:p>
        </w:tc>
        <w:tc>
          <w:tcPr>
            <w:tcW w:w="955" w:type="dxa"/>
          </w:tcPr>
          <w:p w:rsidR="00042D5E" w:rsidRDefault="007D5BFA">
            <w:pPr>
              <w:pStyle w:val="TableParagraph"/>
              <w:spacing w:before="34"/>
              <w:ind w:left="11"/>
              <w:rPr>
                <w:sz w:val="20"/>
              </w:rPr>
            </w:pPr>
            <w:r>
              <w:rPr>
                <w:w w:val="99"/>
                <w:sz w:val="20"/>
              </w:rPr>
              <w:t>1</w:t>
            </w:r>
          </w:p>
        </w:tc>
        <w:tc>
          <w:tcPr>
            <w:tcW w:w="977" w:type="dxa"/>
          </w:tcPr>
          <w:p w:rsidR="00042D5E" w:rsidRDefault="007D5BFA">
            <w:pPr>
              <w:pStyle w:val="TableParagraph"/>
              <w:spacing w:before="34"/>
              <w:ind w:left="8"/>
              <w:rPr>
                <w:sz w:val="20"/>
              </w:rPr>
            </w:pPr>
            <w:r>
              <w:rPr>
                <w:w w:val="99"/>
                <w:sz w:val="20"/>
              </w:rPr>
              <w:t>1</w:t>
            </w:r>
          </w:p>
        </w:tc>
      </w:tr>
    </w:tbl>
    <w:p w:rsidR="00042D5E" w:rsidRDefault="007D5BFA">
      <w:pPr>
        <w:spacing w:before="53"/>
        <w:ind w:left="232"/>
        <w:rPr>
          <w:sz w:val="20"/>
        </w:rPr>
      </w:pPr>
      <w:r>
        <w:rPr>
          <w:sz w:val="20"/>
        </w:rPr>
        <w:t>pAF: para-acetyl phenylalanine</w:t>
      </w:r>
    </w:p>
    <w:p w:rsidR="00042D5E" w:rsidRDefault="007D5BFA">
      <w:pPr>
        <w:pStyle w:val="a3"/>
        <w:spacing w:before="146" w:line="261" w:lineRule="auto"/>
        <w:ind w:left="232" w:right="643"/>
      </w:pPr>
      <w:r>
        <w:t>The following parameters and endpoints were evaluated in this study: clinical signs, body weights, food consumption, clinical pathology parameters (hematology, coagulation, and clinical chemistry), bioanalysis and TK parameters, gross necropsy findings, and histopathologic examinations.</w:t>
      </w:r>
    </w:p>
    <w:p w:rsidR="00042D5E" w:rsidRDefault="007D5BFA">
      <w:pPr>
        <w:pStyle w:val="3"/>
        <w:spacing w:before="121"/>
      </w:pPr>
      <w:r>
        <w:t>Results</w:t>
      </w:r>
    </w:p>
    <w:p w:rsidR="00042D5E" w:rsidRDefault="007D5BFA">
      <w:pPr>
        <w:pStyle w:val="a3"/>
        <w:spacing w:before="140" w:line="261" w:lineRule="auto"/>
        <w:ind w:left="232" w:right="1303"/>
      </w:pPr>
      <w:r>
        <w:t>There were no test article-related clinical signs or changes in body weights, food consumption, clinical pathology parameters (hematology, coagulation, and clinical chemistry), macroscopic and histopathologic examinations.</w:t>
      </w:r>
    </w:p>
    <w:p w:rsidR="00042D5E" w:rsidRDefault="007D5BFA">
      <w:pPr>
        <w:pStyle w:val="a3"/>
        <w:spacing w:before="117" w:line="261" w:lineRule="auto"/>
        <w:ind w:left="232" w:right="256"/>
      </w:pPr>
      <w:r>
        <w:t>Due to an apparent short half-life of the drug, a true C</w:t>
      </w:r>
      <w:r>
        <w:rPr>
          <w:vertAlign w:val="subscript"/>
        </w:rPr>
        <w:t>max</w:t>
      </w:r>
      <w:r>
        <w:t xml:space="preserve"> was not observed. Therefore, a value denoted as C</w:t>
      </w:r>
      <w:r>
        <w:rPr>
          <w:vertAlign w:val="subscript"/>
        </w:rPr>
        <w:t>first</w:t>
      </w:r>
      <w:r>
        <w:t xml:space="preserve"> was reported for the data which is the first observed concentration after administration of pAF-AGL-0185-30. The area under the serum concentration curve, AUC</w:t>
      </w:r>
      <w:r>
        <w:rPr>
          <w:vertAlign w:val="subscript"/>
        </w:rPr>
        <w:t>last</w:t>
      </w:r>
      <w:r>
        <w:t xml:space="preserve"> and C</w:t>
      </w:r>
      <w:r>
        <w:rPr>
          <w:vertAlign w:val="subscript"/>
        </w:rPr>
        <w:t>first</w:t>
      </w:r>
      <w:r>
        <w:t xml:space="preserve"> for pAF-AGL-0185-30 generally showed dose-dependent increases at doses of 0.083, 0.167 and 0.334 mg/kg. There were no apparent TK differences between male and female monkeys following intravenous injection of pAF-AGL-0185-30 at doses of 0.167</w:t>
      </w:r>
      <w:r>
        <w:rPr>
          <w:spacing w:val="-10"/>
        </w:rPr>
        <w:t xml:space="preserve"> </w:t>
      </w:r>
      <w:r>
        <w:t>and</w:t>
      </w:r>
    </w:p>
    <w:p w:rsidR="00042D5E" w:rsidRDefault="007D5BFA">
      <w:pPr>
        <w:pStyle w:val="a3"/>
        <w:spacing w:line="271" w:lineRule="exact"/>
        <w:ind w:left="232"/>
      </w:pPr>
      <w:r>
        <w:t>0.334 mg/kg.</w:t>
      </w:r>
    </w:p>
    <w:p w:rsidR="00042D5E" w:rsidRDefault="007D5BFA">
      <w:pPr>
        <w:pStyle w:val="a3"/>
        <w:spacing w:before="144" w:line="261" w:lineRule="auto"/>
        <w:ind w:left="232" w:right="542"/>
      </w:pPr>
      <w:r>
        <w:t>Administration of pAF-AGL-0185-30, when given as a single dose by intravenous (slow bolus) injection to cynomolgus monkeys was well tolerated at levels of up to 0.334 mg/kg. Based on these results, the NOAEL was considered to be 0.334 mg/kg/dose. The serum</w:t>
      </w:r>
    </w:p>
    <w:p w:rsidR="00042D5E" w:rsidRDefault="00042D5E">
      <w:pPr>
        <w:spacing w:line="261" w:lineRule="auto"/>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a3"/>
        <w:spacing w:before="227" w:line="261" w:lineRule="auto"/>
        <w:ind w:left="232" w:right="337"/>
      </w:pPr>
      <w:r>
        <w:t>AUC</w:t>
      </w:r>
      <w:r>
        <w:rPr>
          <w:vertAlign w:val="subscript"/>
        </w:rPr>
        <w:t>last</w:t>
      </w:r>
      <w:r>
        <w:t xml:space="preserve"> and C</w:t>
      </w:r>
      <w:r>
        <w:rPr>
          <w:vertAlign w:val="subscript"/>
        </w:rPr>
        <w:t>first</w:t>
      </w:r>
      <w:r>
        <w:t xml:space="preserve"> associated with the NOAEL were 22.6 day*ng/mL and 858 ng/mL, respectively. This dose corresponds to the molar equivalent of the metabolite deconjugated from a 24 mg/kg dose of ADC.</w:t>
      </w:r>
    </w:p>
    <w:p w:rsidR="00042D5E" w:rsidRDefault="007D5BFA">
      <w:pPr>
        <w:pStyle w:val="3"/>
        <w:spacing w:before="123"/>
      </w:pPr>
      <w:bookmarkStart w:id="42" w:name="4.3.7.2_Other_Toxicology_Studies"/>
      <w:bookmarkStart w:id="43" w:name="_bookmark74"/>
      <w:bookmarkEnd w:id="42"/>
      <w:bookmarkEnd w:id="43"/>
      <w:r>
        <w:t>4.3.7.2 Other Toxicology Studies</w:t>
      </w:r>
    </w:p>
    <w:p w:rsidR="00042D5E" w:rsidRDefault="007D5BFA">
      <w:pPr>
        <w:tabs>
          <w:tab w:val="left" w:pos="1365"/>
        </w:tabs>
        <w:spacing w:before="144" w:line="261" w:lineRule="auto"/>
        <w:ind w:left="1365" w:right="748" w:hanging="1133"/>
        <w:rPr>
          <w:b/>
          <w:sz w:val="24"/>
        </w:rPr>
      </w:pPr>
      <w:bookmarkStart w:id="44" w:name="4.3.7.2.1_Assessment_of_the_Potential_Cr"/>
      <w:bookmarkEnd w:id="44"/>
      <w:r>
        <w:rPr>
          <w:b/>
          <w:sz w:val="24"/>
        </w:rPr>
        <w:t>4.3.7.2.1</w:t>
      </w:r>
      <w:r>
        <w:rPr>
          <w:b/>
          <w:sz w:val="24"/>
        </w:rPr>
        <w:tab/>
        <w:t>Assessment</w:t>
      </w:r>
      <w:r>
        <w:rPr>
          <w:b/>
          <w:spacing w:val="-5"/>
          <w:sz w:val="24"/>
        </w:rPr>
        <w:t xml:space="preserve"> </w:t>
      </w:r>
      <w:r>
        <w:rPr>
          <w:b/>
          <w:sz w:val="24"/>
        </w:rPr>
        <w:t>of</w:t>
      </w:r>
      <w:r>
        <w:rPr>
          <w:b/>
          <w:spacing w:val="-5"/>
          <w:sz w:val="24"/>
        </w:rPr>
        <w:t xml:space="preserve"> </w:t>
      </w:r>
      <w:r>
        <w:rPr>
          <w:b/>
          <w:sz w:val="24"/>
        </w:rPr>
        <w:t>the</w:t>
      </w:r>
      <w:r>
        <w:rPr>
          <w:b/>
          <w:spacing w:val="-2"/>
          <w:sz w:val="24"/>
        </w:rPr>
        <w:t xml:space="preserve"> </w:t>
      </w:r>
      <w:r>
        <w:rPr>
          <w:b/>
          <w:sz w:val="24"/>
        </w:rPr>
        <w:t>Potential</w:t>
      </w:r>
      <w:r>
        <w:rPr>
          <w:b/>
          <w:spacing w:val="-4"/>
          <w:sz w:val="24"/>
        </w:rPr>
        <w:t xml:space="preserve"> </w:t>
      </w:r>
      <w:r>
        <w:rPr>
          <w:b/>
          <w:sz w:val="24"/>
        </w:rPr>
        <w:t>Cross</w:t>
      </w:r>
      <w:r>
        <w:rPr>
          <w:b/>
          <w:spacing w:val="-5"/>
          <w:sz w:val="24"/>
        </w:rPr>
        <w:t xml:space="preserve"> </w:t>
      </w:r>
      <w:r>
        <w:rPr>
          <w:b/>
          <w:sz w:val="24"/>
        </w:rPr>
        <w:t>Reactivity</w:t>
      </w:r>
      <w:r>
        <w:rPr>
          <w:b/>
          <w:spacing w:val="-4"/>
          <w:sz w:val="24"/>
        </w:rPr>
        <w:t xml:space="preserve"> </w:t>
      </w:r>
      <w:r>
        <w:rPr>
          <w:b/>
          <w:sz w:val="24"/>
        </w:rPr>
        <w:t>of</w:t>
      </w:r>
      <w:r>
        <w:rPr>
          <w:b/>
          <w:spacing w:val="-5"/>
          <w:sz w:val="24"/>
        </w:rPr>
        <w:t xml:space="preserve"> </w:t>
      </w:r>
      <w:r w:rsidR="00BB321B">
        <w:rPr>
          <w:b/>
          <w:sz w:val="24"/>
        </w:rPr>
        <w:t>PROJECT 15</w:t>
      </w:r>
      <w:r>
        <w:rPr>
          <w:b/>
          <w:spacing w:val="-5"/>
          <w:sz w:val="24"/>
        </w:rPr>
        <w:t xml:space="preserve"> </w:t>
      </w:r>
      <w:r>
        <w:rPr>
          <w:b/>
          <w:sz w:val="24"/>
        </w:rPr>
        <w:t>with</w:t>
      </w:r>
      <w:r>
        <w:rPr>
          <w:b/>
          <w:spacing w:val="-5"/>
          <w:sz w:val="24"/>
        </w:rPr>
        <w:t xml:space="preserve"> </w:t>
      </w:r>
      <w:r>
        <w:rPr>
          <w:b/>
          <w:sz w:val="24"/>
        </w:rPr>
        <w:t>a</w:t>
      </w:r>
      <w:r>
        <w:rPr>
          <w:b/>
          <w:spacing w:val="-5"/>
          <w:sz w:val="24"/>
        </w:rPr>
        <w:t xml:space="preserve"> </w:t>
      </w:r>
      <w:r>
        <w:rPr>
          <w:b/>
          <w:sz w:val="24"/>
        </w:rPr>
        <w:t>Selected Panel of Human and Cynomolgus Monkey</w:t>
      </w:r>
      <w:r>
        <w:rPr>
          <w:b/>
          <w:spacing w:val="-3"/>
          <w:sz w:val="24"/>
        </w:rPr>
        <w:t xml:space="preserve"> </w:t>
      </w:r>
      <w:r>
        <w:rPr>
          <w:b/>
          <w:sz w:val="24"/>
        </w:rPr>
        <w:t>Tissues</w:t>
      </w:r>
    </w:p>
    <w:p w:rsidR="00042D5E" w:rsidRDefault="007D5BFA">
      <w:pPr>
        <w:spacing w:before="118"/>
        <w:ind w:left="232"/>
        <w:rPr>
          <w:b/>
          <w:sz w:val="24"/>
        </w:rPr>
      </w:pPr>
      <w:r>
        <w:rPr>
          <w:b/>
          <w:sz w:val="24"/>
        </w:rPr>
        <w:t>Objective</w:t>
      </w:r>
    </w:p>
    <w:p w:rsidR="00042D5E" w:rsidRDefault="007D5BFA">
      <w:pPr>
        <w:pStyle w:val="a3"/>
        <w:spacing w:before="139" w:line="261" w:lineRule="auto"/>
        <w:ind w:left="232" w:right="329"/>
      </w:pPr>
      <w:r>
        <w:t xml:space="preserve">The objective of this study was to assess, using IHC techniques, the potential cross reactivity of </w:t>
      </w:r>
      <w:r w:rsidR="00BB321B">
        <w:t>PROJECT 15</w:t>
      </w:r>
      <w:r>
        <w:t xml:space="preserve"> with histologically prepared cryo-sections from a selected panel of human and cynomolgus monkey tissues.</w:t>
      </w:r>
    </w:p>
    <w:p w:rsidR="00042D5E" w:rsidRDefault="007D5BFA">
      <w:pPr>
        <w:pStyle w:val="3"/>
        <w:spacing w:before="123"/>
      </w:pPr>
      <w:r>
        <w:t>Methods</w:t>
      </w:r>
    </w:p>
    <w:p w:rsidR="00042D5E" w:rsidRDefault="0091574F">
      <w:pPr>
        <w:pStyle w:val="a3"/>
        <w:spacing w:before="139" w:line="261" w:lineRule="auto"/>
        <w:ind w:left="232"/>
      </w:pPr>
      <w:r>
        <w:pict>
          <v:shapetype id="_x0000_t202" coordsize="21600,21600" o:spt="202" path="m,l,21600r21600,l21600,xe">
            <v:stroke joinstyle="miter"/>
            <v:path gradientshapeok="t" o:connecttype="rect"/>
          </v:shapetype>
          <v:shape id="_x0000_s1050" type="#_x0000_t202" style="position:absolute;left:0;text-align:left;margin-left:75.25pt;margin-top:57.4pt;width:461.65pt;height:102.75pt;z-index:251618304;mso-wrap-distance-left:0;mso-wrap-distance-right:0;mso-position-horizontal-relative:page" filled="f" strokeweight=".72pt">
            <v:textbox inset="0,0,0,0">
              <w:txbxContent>
                <w:p w:rsidR="00BB321B" w:rsidRDefault="00BB321B">
                  <w:pPr>
                    <w:pStyle w:val="a3"/>
                    <w:spacing w:before="138" w:line="261" w:lineRule="auto"/>
                    <w:ind w:left="100" w:right="133"/>
                  </w:pPr>
                  <w:r>
                    <w:t>Adrenal, Urinary Bladder, Blood Cells, Bone Marrow, Breast, Brain - Cerebellum, Brain - Cortex, Colon, Duodenum, Endothelium, Eye, Fallopian Tube, Gastric Antrum, Gastric Body, Heart, Ileum, Kidney</w:t>
                  </w:r>
                  <w:r>
                    <w:rPr>
                      <w:vertAlign w:val="superscript"/>
                    </w:rPr>
                    <w:t>1</w:t>
                  </w:r>
                  <w:r>
                    <w:t>, Liver, Lung, Lymph Node, Oesophagus, Ovary, Pancreas, Parathyroid, Parotid, Peripheral Nerve, Pituitary, Placenta, Prostate, Skin, Spinal Cord, Spleen, Striated Muscle, Testis, Thymus, Thyroid, Tonsil, Ureter, Uterus - Cervix and Uterus</w:t>
                  </w:r>
                </w:p>
                <w:p w:rsidR="00BB321B" w:rsidRDefault="00BB321B">
                  <w:pPr>
                    <w:pStyle w:val="a3"/>
                    <w:spacing w:line="272" w:lineRule="exact"/>
                    <w:ind w:left="100"/>
                  </w:pPr>
                  <w:r>
                    <w:t>- Endometrium.</w:t>
                  </w:r>
                </w:p>
              </w:txbxContent>
            </v:textbox>
            <w10:wrap type="topAndBottom" anchorx="page"/>
          </v:shape>
        </w:pict>
      </w:r>
      <w:r w:rsidR="007D5BFA">
        <w:t>A selected panel of histologically normal tissues, provided by Covance Laboratories Ltd. (Harrogate, UK), was used for the assessment of potential tissue cross-reactivity. The tissues selected for examination were as follows:</w:t>
      </w:r>
    </w:p>
    <w:p w:rsidR="00042D5E" w:rsidRDefault="007D5BFA">
      <w:pPr>
        <w:spacing w:line="253" w:lineRule="exact"/>
        <w:ind w:left="232"/>
        <w:rPr>
          <w:sz w:val="20"/>
        </w:rPr>
      </w:pPr>
      <w:r>
        <w:rPr>
          <w:position w:val="9"/>
          <w:sz w:val="13"/>
        </w:rPr>
        <w:t xml:space="preserve">1 </w:t>
      </w:r>
      <w:r>
        <w:rPr>
          <w:sz w:val="20"/>
        </w:rPr>
        <w:t>Containing glomerulus &amp; tubules</w:t>
      </w:r>
    </w:p>
    <w:p w:rsidR="00042D5E" w:rsidRDefault="007D5BFA">
      <w:pPr>
        <w:pStyle w:val="a3"/>
        <w:spacing w:before="145"/>
        <w:ind w:left="232"/>
      </w:pPr>
      <w:r>
        <w:t>Three donors for each tissue were used for IHC investigation.</w:t>
      </w:r>
    </w:p>
    <w:p w:rsidR="00042D5E" w:rsidRDefault="007D5BFA">
      <w:pPr>
        <w:pStyle w:val="a3"/>
        <w:spacing w:before="144" w:line="261" w:lineRule="auto"/>
        <w:ind w:left="232" w:right="283"/>
      </w:pPr>
      <w:r>
        <w:t xml:space="preserve">The assessment of tissue viability indicated that the panel of human and cynomolgus monkey tissues was viable. Based on preliminary work up, the following three concentrations of </w:t>
      </w:r>
      <w:r w:rsidR="00BB321B">
        <w:t>PROJECT 15</w:t>
      </w:r>
      <w:r>
        <w:t xml:space="preserve"> were selected for use in the tissue titration: 1.25, 0.625 and 0.3125 µg/mL.</w:t>
      </w:r>
    </w:p>
    <w:p w:rsidR="00042D5E" w:rsidRDefault="007D5BFA">
      <w:pPr>
        <w:pStyle w:val="3"/>
        <w:spacing w:before="123"/>
      </w:pPr>
      <w:r>
        <w:t>Results</w:t>
      </w:r>
    </w:p>
    <w:p w:rsidR="00042D5E" w:rsidRDefault="00BB321B">
      <w:pPr>
        <w:pStyle w:val="a3"/>
        <w:spacing w:before="139" w:line="261" w:lineRule="auto"/>
        <w:ind w:left="232" w:right="334"/>
      </w:pPr>
      <w:r>
        <w:t>PROJECT 15</w:t>
      </w:r>
      <w:r w:rsidR="007D5BFA">
        <w:t xml:space="preserve"> has been found to have very weak staining in tissues that express high levels of the target (data on file). Therefore, inclusion of Control Article 1 (V62-2b36) as a positive IHC staining control as part of the control titration aided in ensuring appropriate detection of target- expressing</w:t>
      </w:r>
      <w:r w:rsidR="007D5BFA">
        <w:rPr>
          <w:spacing w:val="-2"/>
        </w:rPr>
        <w:t xml:space="preserve"> </w:t>
      </w:r>
      <w:r w:rsidR="007D5BFA">
        <w:t>tissues.</w:t>
      </w:r>
    </w:p>
    <w:p w:rsidR="00042D5E" w:rsidRDefault="007D5BFA">
      <w:pPr>
        <w:pStyle w:val="a3"/>
        <w:spacing w:before="117" w:line="261" w:lineRule="auto"/>
        <w:ind w:left="232" w:right="337"/>
      </w:pPr>
      <w:r>
        <w:t>In the control titration phase, variable cytoplasmic-specific positive staining was</w:t>
      </w:r>
      <w:r>
        <w:rPr>
          <w:spacing w:val="-25"/>
        </w:rPr>
        <w:t xml:space="preserve"> </w:t>
      </w:r>
      <w:r>
        <w:t xml:space="preserve">observed with </w:t>
      </w:r>
      <w:r w:rsidR="00BB321B">
        <w:t>PROJECT 15</w:t>
      </w:r>
      <w:r>
        <w:t xml:space="preserve"> and V62-2b36 at all concentrations examined throughout the positive xenograft tissue</w:t>
      </w:r>
      <w:r>
        <w:rPr>
          <w:spacing w:val="-1"/>
        </w:rPr>
        <w:t xml:space="preserve"> </w:t>
      </w:r>
      <w:r>
        <w:t>(EOL-1).</w:t>
      </w:r>
    </w:p>
    <w:p w:rsidR="00042D5E" w:rsidRDefault="007D5BFA">
      <w:pPr>
        <w:pStyle w:val="a3"/>
        <w:spacing w:before="117" w:line="261" w:lineRule="auto"/>
        <w:ind w:left="232" w:right="315"/>
      </w:pPr>
      <w:r>
        <w:t xml:space="preserve">In the tissue titration phase, no specific, positive staining with </w:t>
      </w:r>
      <w:r w:rsidR="00BB321B">
        <w:t>PROJECT 15</w:t>
      </w:r>
      <w:r>
        <w:t xml:space="preserve"> was observed in any of the human or cynomolgus monkey tissues examined.</w:t>
      </w:r>
    </w:p>
    <w:p w:rsidR="00042D5E" w:rsidRDefault="00042D5E">
      <w:pPr>
        <w:spacing w:line="261" w:lineRule="auto"/>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a3"/>
        <w:spacing w:before="227" w:line="261" w:lineRule="auto"/>
        <w:ind w:left="232" w:right="337"/>
      </w:pPr>
      <w:r>
        <w:t>In both human and cynomolgus monkey tissues variable, nonspecific staining was observed with the positive control ADC (</w:t>
      </w:r>
      <w:r w:rsidR="00BB321B">
        <w:t>PROJECT 15</w:t>
      </w:r>
      <w:r>
        <w:t xml:space="preserve"> H3-1.4.1.2-mcF), or for negative-IHC staining controls 3 (antibody TBS diluent, SG15-22 mouse IgG, anti-mouse IgG reagent) and</w:t>
      </w:r>
    </w:p>
    <w:p w:rsidR="00042D5E" w:rsidRDefault="007D5BFA">
      <w:pPr>
        <w:pStyle w:val="a3"/>
        <w:spacing w:line="274" w:lineRule="exact"/>
        <w:ind w:left="232"/>
      </w:pPr>
      <w:r>
        <w:t>4 (antibody TBS diluent, anti-mouse IgG reagent) in the majority of tissues examined.</w:t>
      </w:r>
    </w:p>
    <w:p w:rsidR="00042D5E" w:rsidRDefault="007D5BFA">
      <w:pPr>
        <w:pStyle w:val="a3"/>
        <w:spacing w:before="144" w:line="261" w:lineRule="auto"/>
        <w:ind w:left="232" w:right="1295"/>
      </w:pPr>
      <w:r>
        <w:t xml:space="preserve">No specific positive staining was observed with </w:t>
      </w:r>
      <w:r w:rsidR="00BB321B">
        <w:t>PROJECT 15</w:t>
      </w:r>
      <w:r>
        <w:t xml:space="preserve"> in any of the human and cynomolgus monkey tissues examined.</w:t>
      </w:r>
    </w:p>
    <w:p w:rsidR="00042D5E" w:rsidRDefault="007D5BFA">
      <w:pPr>
        <w:pStyle w:val="3"/>
        <w:spacing w:before="124"/>
      </w:pPr>
      <w:bookmarkStart w:id="45" w:name="4.3.7.3_Discussion_and_Conclusions"/>
      <w:bookmarkStart w:id="46" w:name="_bookmark75"/>
      <w:bookmarkEnd w:id="45"/>
      <w:bookmarkEnd w:id="46"/>
      <w:r>
        <w:t>4.3.7.3 Discussion and Conclusions</w:t>
      </w:r>
    </w:p>
    <w:p w:rsidR="00042D5E" w:rsidRDefault="007D5BFA">
      <w:pPr>
        <w:pStyle w:val="a3"/>
        <w:spacing w:before="139" w:line="261" w:lineRule="auto"/>
        <w:ind w:left="232" w:right="357"/>
      </w:pPr>
      <w:r>
        <w:t xml:space="preserve">A series of toxicology studies were performed to characterize the safety of </w:t>
      </w:r>
      <w:r w:rsidR="00BB321B">
        <w:t>PROJECT 15</w:t>
      </w:r>
      <w:r>
        <w:t xml:space="preserve"> and the metabolite in support of initiating a phase 1 clinical study in patients with FLT3 expressing hematopoietic cancers. Monkeys were considered the relevant toxicology species based on similarity of binding affinities compared to human FLT3. </w:t>
      </w:r>
      <w:r w:rsidR="00BB321B">
        <w:t>PROJECT 15</w:t>
      </w:r>
      <w:r>
        <w:t xml:space="preserve"> did not bind to the rat ortholog.</w:t>
      </w:r>
    </w:p>
    <w:p w:rsidR="00042D5E" w:rsidRDefault="007D5BFA">
      <w:pPr>
        <w:pStyle w:val="a3"/>
        <w:spacing w:before="116" w:line="261" w:lineRule="auto"/>
        <w:ind w:left="232" w:right="337"/>
      </w:pPr>
      <w:r>
        <w:t xml:space="preserve">Single- and multi-dose toxicology studies were conducted to characterize the safety of </w:t>
      </w:r>
      <w:r w:rsidR="00BB321B">
        <w:t>PROJECT 15</w:t>
      </w:r>
      <w:r>
        <w:t xml:space="preserve"> or its primary metabolite in support of the phase 1 clinical study. The definitive nonclinical toxicology studies for </w:t>
      </w:r>
      <w:r w:rsidR="00BB321B">
        <w:t>PROJECT 15</w:t>
      </w:r>
      <w:r>
        <w:t xml:space="preserve"> were conducted in the cynomolgus monkey determined to be the relevant toxicology species based on comparable target sequence to human FLT3, and similar binding affinity to human FTL3.</w:t>
      </w:r>
    </w:p>
    <w:p w:rsidR="00042D5E" w:rsidRDefault="007D5BFA">
      <w:pPr>
        <w:pStyle w:val="a3"/>
        <w:spacing w:before="116" w:line="261" w:lineRule="auto"/>
        <w:ind w:left="232" w:right="381"/>
      </w:pPr>
      <w:r>
        <w:t xml:space="preserve">The acute toxicity of the primary metabolite of </w:t>
      </w:r>
      <w:r w:rsidR="00BB321B">
        <w:t>PROJECT 15</w:t>
      </w:r>
      <w:r>
        <w:t>, L-pAF-AGL-0185-30•2NEt</w:t>
      </w:r>
      <w:r>
        <w:rPr>
          <w:vertAlign w:val="subscript"/>
        </w:rPr>
        <w:t>3</w:t>
      </w:r>
      <w:r>
        <w:t>, was evaluated in single dose studies in rats and monkeys. A single dose of the metabolite up to</w:t>
      </w:r>
    </w:p>
    <w:p w:rsidR="00042D5E" w:rsidRDefault="007D5BFA">
      <w:pPr>
        <w:pStyle w:val="a3"/>
        <w:spacing w:line="261" w:lineRule="auto"/>
        <w:ind w:left="232" w:right="351"/>
        <w:jc w:val="both"/>
      </w:pPr>
      <w:r>
        <w:t xml:space="preserve">1.5 mg/kg in rats and 0.334 mg/kg in monkeys was tolerated with no adverse findings noted. These single metabolite doses are molar equivalent to the amount of metabolite contained in a 100 mg/kg dose of </w:t>
      </w:r>
      <w:r w:rsidR="00BB321B">
        <w:t>PROJECT 15</w:t>
      </w:r>
      <w:r>
        <w:t xml:space="preserve"> in rats and a 24 mg/kg dose in monkeys and represent</w:t>
      </w:r>
      <w:r>
        <w:rPr>
          <w:spacing w:val="-43"/>
        </w:rPr>
        <w:t xml:space="preserve"> </w:t>
      </w:r>
      <w:r>
        <w:t>a worst case scenario where the metabolite is released in total upon</w:t>
      </w:r>
      <w:r>
        <w:rPr>
          <w:spacing w:val="-5"/>
        </w:rPr>
        <w:t xml:space="preserve"> </w:t>
      </w:r>
      <w:r>
        <w:t>dosing.</w:t>
      </w:r>
    </w:p>
    <w:p w:rsidR="00042D5E" w:rsidRDefault="007D5BFA">
      <w:pPr>
        <w:pStyle w:val="a3"/>
        <w:spacing w:before="115" w:line="261" w:lineRule="auto"/>
        <w:ind w:left="232" w:right="252"/>
      </w:pPr>
      <w:r>
        <w:t xml:space="preserve">The TK data of repeat dosing of </w:t>
      </w:r>
      <w:r w:rsidR="00BB321B">
        <w:t>PROJECT 15</w:t>
      </w:r>
      <w:r>
        <w:t xml:space="preserve"> showed that the metabolite is slowly deconjugated and progressively increases in serum. The concentrations of the metabolite achieved are over 500000 fold lower than the concentration of the ADC or TAb. Therefore, the concentrations achieved in the single dose studies are large multiples of what would be expected to be achieved in a repeat dosing setting.</w:t>
      </w:r>
    </w:p>
    <w:p w:rsidR="00042D5E" w:rsidRDefault="007D5BFA">
      <w:pPr>
        <w:pStyle w:val="a3"/>
        <w:spacing w:before="116" w:line="261" w:lineRule="auto"/>
        <w:ind w:left="232" w:right="337"/>
      </w:pPr>
      <w:r>
        <w:t xml:space="preserve">The metabolite was not associated with hERG liability up to 3 µM (&gt; 18000 x assuming at least a 100000 fold lower concentration for the metabolite compared to the intact ADC, in subjects at the proposed starting dose of 0.8 mg/kg). Following repeated dosing in monkeys, there was no evidence of quantitative or qualitative changes in the ECG attributed to </w:t>
      </w:r>
      <w:r w:rsidR="00BB321B">
        <w:t>PROJECT 15</w:t>
      </w:r>
      <w:r>
        <w:t xml:space="preserve">, </w:t>
      </w:r>
      <w:r w:rsidR="00FE45DE">
        <w:t>PROJECT 15</w:t>
      </w:r>
      <w:r>
        <w:t xml:space="preserve"> or the metabolite. These findings suggest that </w:t>
      </w:r>
      <w:r w:rsidR="00BB321B">
        <w:t>PROJECT 15</w:t>
      </w:r>
      <w:r>
        <w:t xml:space="preserve"> and its metabolite are not likely to cause QTc prolongation at the anticipated clinical doses.</w:t>
      </w:r>
    </w:p>
    <w:p w:rsidR="00042D5E" w:rsidRDefault="007D5BFA">
      <w:pPr>
        <w:pStyle w:val="a3"/>
        <w:spacing w:before="115" w:line="261" w:lineRule="auto"/>
        <w:ind w:left="232" w:right="300"/>
      </w:pPr>
      <w:r>
        <w:t xml:space="preserve">In the definitive GLP study, monkeys were given </w:t>
      </w:r>
      <w:r w:rsidR="00BB321B">
        <w:t>PROJECT 15</w:t>
      </w:r>
      <w:r>
        <w:t xml:space="preserve"> at doses of 12, 18 and 24 mg/kg once weekly for 4 doses followed by a 4-week recovery period. The metabolite of </w:t>
      </w:r>
      <w:r w:rsidR="00BB321B">
        <w:t>PROJECT 15</w:t>
      </w:r>
      <w:r>
        <w:t>, L-pAF-AGL-0185-30•2NEt</w:t>
      </w:r>
      <w:r>
        <w:rPr>
          <w:vertAlign w:val="subscript"/>
        </w:rPr>
        <w:t>3</w:t>
      </w:r>
      <w:r>
        <w:t xml:space="preserve">, was also given at the molar equivalent of the 24 mg/kg dose (0.334 mg/kg). </w:t>
      </w:r>
      <w:r w:rsidR="00BB321B">
        <w:t>PROJECT 15</w:t>
      </w:r>
      <w:r>
        <w:t xml:space="preserve"> at 24 mg/kg and its metabolite were well tolerated.</w:t>
      </w:r>
    </w:p>
    <w:p w:rsidR="00042D5E" w:rsidRDefault="00042D5E">
      <w:pPr>
        <w:spacing w:line="261" w:lineRule="auto"/>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a3"/>
        <w:spacing w:before="227" w:line="261" w:lineRule="auto"/>
        <w:ind w:left="232" w:right="252"/>
      </w:pPr>
      <w:r>
        <w:t xml:space="preserve">Repeated dosing with </w:t>
      </w:r>
      <w:r w:rsidR="00BB321B">
        <w:t>PROJECT 15</w:t>
      </w:r>
      <w:r>
        <w:t xml:space="preserve"> was associated with minimal and reversible changes in clinical pathology parameters including decreased platelets, decreased white cell count including neutrophils, decreased fibrinogen, slightly elevated AST, LDH and decreased A:G ratio as a result of increased albumin. The microscopic changes noted in the liver and spleen were mild and reversible. None of the changes noted were considered adverse with respect to </w:t>
      </w:r>
      <w:r w:rsidR="00BB321B">
        <w:t>PROJECT 15</w:t>
      </w:r>
      <w:r>
        <w:t xml:space="preserve">. Based on the results of this study, the HNSTD for </w:t>
      </w:r>
      <w:r w:rsidR="00BB321B">
        <w:t>PROJECT 15</w:t>
      </w:r>
      <w:r>
        <w:t xml:space="preserve"> was 24 mg/kg/dose which is 30 x higher (HED-based) than the intended starting dose for the FIH study.</w:t>
      </w:r>
    </w:p>
    <w:p w:rsidR="00042D5E" w:rsidRDefault="007D5BFA">
      <w:pPr>
        <w:pStyle w:val="2"/>
        <w:tabs>
          <w:tab w:val="left" w:pos="1084"/>
        </w:tabs>
        <w:spacing w:before="94"/>
        <w:ind w:left="1084" w:right="335"/>
      </w:pPr>
      <w:bookmarkStart w:id="47" w:name="4.4_Integrated_Nonclinical_Overview_and_"/>
      <w:bookmarkStart w:id="48" w:name="_bookmark76"/>
      <w:bookmarkEnd w:id="47"/>
      <w:bookmarkEnd w:id="48"/>
      <w:r>
        <w:t>4.4</w:t>
      </w:r>
      <w:r>
        <w:tab/>
        <w:t>Integrated Nonclinical Overview and Conclusion: Potential Clinical Relevance</w:t>
      </w:r>
    </w:p>
    <w:p w:rsidR="00042D5E" w:rsidRDefault="007D5BFA">
      <w:pPr>
        <w:pStyle w:val="a3"/>
        <w:spacing w:before="140" w:line="261" w:lineRule="auto"/>
        <w:ind w:left="232" w:right="350"/>
      </w:pPr>
      <w:r>
        <w:t>No mortality occurred and no test article-related changes were observed in urinalysis coagulation</w:t>
      </w:r>
      <w:r>
        <w:rPr>
          <w:b/>
        </w:rPr>
        <w:t xml:space="preserve">, </w:t>
      </w:r>
      <w:r>
        <w:t xml:space="preserve">electrocardiography, ophthalmology, and organ weight assessments in cynomolgus monkeys administered </w:t>
      </w:r>
      <w:r w:rsidR="00BB321B">
        <w:t>PROJECT 15</w:t>
      </w:r>
      <w:r>
        <w:t xml:space="preserve"> weekly for 4 weeks. Spleen weights were increased with an associated mild to moderate lymphohistiocyte infiltration that was deemed to be potentially adverse and likely, reversible. All other organ weights were unchanged.</w:t>
      </w:r>
    </w:p>
    <w:p w:rsidR="00042D5E" w:rsidRDefault="007D5BFA">
      <w:pPr>
        <w:pStyle w:val="a3"/>
        <w:spacing w:line="261" w:lineRule="auto"/>
        <w:ind w:left="232" w:right="770"/>
      </w:pPr>
      <w:r>
        <w:t>Target organs of toxicity were identified based on mild and, for the most part, reversible observations as liver, spleen, kidney and possibly the hematologic system.</w:t>
      </w:r>
    </w:p>
    <w:p w:rsidR="00042D5E" w:rsidRDefault="007D5BFA">
      <w:pPr>
        <w:pStyle w:val="a3"/>
        <w:spacing w:before="114" w:line="261" w:lineRule="auto"/>
        <w:ind w:left="232" w:right="376"/>
      </w:pPr>
      <w:r w:rsidRPr="00FE45DE">
        <w:rPr>
          <w:b/>
          <w:highlight w:val="magenta"/>
        </w:rPr>
        <w:t xml:space="preserve">Hematological changes: </w:t>
      </w:r>
      <w:r w:rsidRPr="00FE45DE">
        <w:rPr>
          <w:highlight w:val="magenta"/>
        </w:rPr>
        <w:t>Decreased red cell mass (RBC, hemoglobin, and/or hematocrit) in one animal at the 24 mg/kg dose level. Mild increase in monocyte counts in one animal at the 24 mg/kg dose level. Hematological findings were reversible by the end of the 6-week recovery period.</w:t>
      </w:r>
    </w:p>
    <w:p w:rsidR="00042D5E" w:rsidRDefault="007D5BFA">
      <w:pPr>
        <w:pStyle w:val="a3"/>
        <w:spacing w:before="117" w:line="261" w:lineRule="auto"/>
        <w:ind w:left="232" w:right="337"/>
      </w:pPr>
      <w:r w:rsidRPr="00FE45DE">
        <w:rPr>
          <w:b/>
          <w:highlight w:val="magenta"/>
        </w:rPr>
        <w:t xml:space="preserve">Clinical chemistry: </w:t>
      </w:r>
      <w:r w:rsidRPr="00FE45DE">
        <w:rPr>
          <w:highlight w:val="magenta"/>
        </w:rPr>
        <w:t>Minimally decreased albumin and the A:G ratio at the 24 mg/kg dose level, minimal increase in globulin levels at the 18 and 24 mg/kg dose levels.</w:t>
      </w:r>
    </w:p>
    <w:p w:rsidR="00042D5E" w:rsidRDefault="007D5BFA">
      <w:pPr>
        <w:pStyle w:val="a3"/>
        <w:spacing w:before="118" w:line="261" w:lineRule="auto"/>
        <w:ind w:left="232" w:right="337"/>
      </w:pPr>
      <w:r w:rsidRPr="00FE45DE">
        <w:rPr>
          <w:b/>
          <w:highlight w:val="magenta"/>
        </w:rPr>
        <w:t xml:space="preserve">Skeletal muscle and liver: </w:t>
      </w:r>
      <w:r w:rsidRPr="00FE45DE">
        <w:rPr>
          <w:highlight w:val="magenta"/>
        </w:rPr>
        <w:t>AST, ALT, and CK were minimally to moderately increased in multiple animals across all test article-treated groups. Increased ALT and AST associated with histological findings of mild multifocal sinusoidal ectasia (dilation) at the highest dose tested (24 mg/kg). This finding persisted in the male monkey at the end of the recovery period. Also noted at the end of the recovery period was mild multifocal centrilobular hypertrophy. Histopathological findings were not present for skeletal muscle.</w:t>
      </w:r>
    </w:p>
    <w:p w:rsidR="00042D5E" w:rsidRPr="00FE45DE" w:rsidRDefault="007D5BFA">
      <w:pPr>
        <w:pStyle w:val="a3"/>
        <w:spacing w:before="115" w:line="261" w:lineRule="auto"/>
        <w:ind w:left="232" w:right="337"/>
        <w:rPr>
          <w:highlight w:val="magenta"/>
        </w:rPr>
      </w:pPr>
      <w:r w:rsidRPr="00FE45DE">
        <w:rPr>
          <w:b/>
          <w:highlight w:val="magenta"/>
        </w:rPr>
        <w:t xml:space="preserve">Spleen: </w:t>
      </w:r>
      <w:r w:rsidRPr="00FE45DE">
        <w:rPr>
          <w:highlight w:val="magenta"/>
        </w:rPr>
        <w:t>At termination, mild to moderate and reversible decreased cellularity of the splenic white pulp was noted at the 24 mg/kg dose level.</w:t>
      </w:r>
    </w:p>
    <w:p w:rsidR="00042D5E" w:rsidRDefault="007D5BFA">
      <w:pPr>
        <w:pStyle w:val="a3"/>
        <w:spacing w:before="119" w:line="261" w:lineRule="auto"/>
        <w:ind w:left="232" w:right="337"/>
      </w:pPr>
      <w:r w:rsidRPr="00FE45DE">
        <w:rPr>
          <w:b/>
          <w:highlight w:val="magenta"/>
        </w:rPr>
        <w:t xml:space="preserve">Kidney: </w:t>
      </w:r>
      <w:r w:rsidRPr="00FE45DE">
        <w:rPr>
          <w:highlight w:val="magenta"/>
        </w:rPr>
        <w:t>Following the 6-week recovery period the male but not female recovery animal for the 24 mg/kg dose group, had moderate multifocal mesangio-proliferative glomerulopathy, mild thickening of Bowman’s capsule, mild tubular basophilia, tubular casts and mixed inflammatory cell infiltrates.</w:t>
      </w:r>
    </w:p>
    <w:p w:rsidR="00042D5E" w:rsidRDefault="007D5BFA">
      <w:pPr>
        <w:pStyle w:val="a3"/>
        <w:spacing w:before="117" w:line="261" w:lineRule="auto"/>
        <w:ind w:left="232" w:right="264"/>
      </w:pPr>
      <w:r>
        <w:t xml:space="preserve">Based on the minimal to moderate decrease and reversible changes in hematology parameters including RBC mass, monocytes and increased ALT, AST, CK and the microscopic kidney and liver changes noted at 24 mg/kg, the NOAEL for </w:t>
      </w:r>
      <w:r w:rsidR="00BB321B">
        <w:t>PROJECT 15</w:t>
      </w:r>
      <w:r>
        <w:t xml:space="preserve"> was considered to be</w:t>
      </w:r>
    </w:p>
    <w:p w:rsidR="00042D5E" w:rsidRDefault="007D5BFA">
      <w:pPr>
        <w:pStyle w:val="a3"/>
        <w:spacing w:line="274" w:lineRule="exact"/>
        <w:ind w:left="232"/>
      </w:pPr>
      <w:r>
        <w:t>18 mg/kg.</w:t>
      </w:r>
    </w:p>
    <w:p w:rsidR="00042D5E" w:rsidRDefault="00042D5E">
      <w:pPr>
        <w:spacing w:line="274" w:lineRule="exact"/>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a3"/>
        <w:spacing w:before="227" w:line="261" w:lineRule="auto"/>
        <w:ind w:left="232" w:right="337"/>
      </w:pPr>
      <w:r>
        <w:t>[</w:t>
      </w:r>
      <w:hyperlink w:anchor="_bookmark77" w:history="1">
        <w:r>
          <w:t>Table 17</w:t>
        </w:r>
      </w:hyperlink>
      <w:r>
        <w:t xml:space="preserve">] shows the exposure margins at NOAEL and LOAEL for </w:t>
      </w:r>
      <w:r w:rsidR="00BB321B">
        <w:t>PROJECT 15</w:t>
      </w:r>
      <w:r>
        <w:t>. [</w:t>
      </w:r>
      <w:hyperlink w:anchor="_bookmark78" w:history="1">
        <w:r>
          <w:t>Table 18</w:t>
        </w:r>
      </w:hyperlink>
      <w:r>
        <w:t xml:space="preserve">] shows </w:t>
      </w:r>
      <w:r w:rsidR="00BB321B">
        <w:t>PROJECT 15</w:t>
      </w:r>
      <w:r>
        <w:t xml:space="preserve"> mean exposure levels. [</w:t>
      </w:r>
      <w:hyperlink w:anchor="_bookmark79" w:history="1">
        <w:r>
          <w:t>Table 19</w:t>
        </w:r>
      </w:hyperlink>
      <w:r>
        <w:t xml:space="preserve">] summarizes potential safety concern for </w:t>
      </w:r>
      <w:r w:rsidR="00BB321B">
        <w:t>PROJECT 15</w:t>
      </w:r>
      <w:r>
        <w:t xml:space="preserve"> for key safety targets.</w:t>
      </w:r>
    </w:p>
    <w:p w:rsidR="00042D5E" w:rsidRDefault="007D5BFA">
      <w:pPr>
        <w:pStyle w:val="3"/>
        <w:tabs>
          <w:tab w:val="left" w:pos="1643"/>
        </w:tabs>
        <w:spacing w:before="96"/>
      </w:pPr>
      <w:bookmarkStart w:id="49" w:name="_bookmark77"/>
      <w:bookmarkEnd w:id="49"/>
      <w:r>
        <w:t>Table</w:t>
      </w:r>
      <w:r>
        <w:rPr>
          <w:spacing w:val="-1"/>
        </w:rPr>
        <w:t xml:space="preserve"> </w:t>
      </w:r>
      <w:r>
        <w:t>17</w:t>
      </w:r>
      <w:r>
        <w:tab/>
        <w:t>Exposure Margins at NOAEL and LOAEL for</w:t>
      </w:r>
      <w:r>
        <w:rPr>
          <w:spacing w:val="-12"/>
        </w:rPr>
        <w:t xml:space="preserve"> </w:t>
      </w:r>
      <w:r w:rsidR="00BB321B">
        <w:t>PROJECT 15</w:t>
      </w:r>
    </w:p>
    <w:p w:rsidR="00042D5E" w:rsidRDefault="00042D5E">
      <w:pPr>
        <w:pStyle w:val="a3"/>
        <w:spacing w:before="6"/>
        <w:rPr>
          <w:b/>
          <w:sz w:val="5"/>
        </w:rPr>
      </w:pPr>
    </w:p>
    <w:tbl>
      <w:tblPr>
        <w:tblStyle w:val="TableNormal"/>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8"/>
        <w:gridCol w:w="1388"/>
        <w:gridCol w:w="1273"/>
        <w:gridCol w:w="927"/>
        <w:gridCol w:w="704"/>
        <w:gridCol w:w="704"/>
        <w:gridCol w:w="747"/>
        <w:gridCol w:w="747"/>
        <w:gridCol w:w="740"/>
        <w:gridCol w:w="872"/>
      </w:tblGrid>
      <w:tr w:rsidR="00042D5E">
        <w:trPr>
          <w:trHeight w:val="810"/>
        </w:trPr>
        <w:tc>
          <w:tcPr>
            <w:tcW w:w="1138" w:type="dxa"/>
            <w:vMerge w:val="restart"/>
            <w:tcBorders>
              <w:bottom w:val="single" w:sz="2" w:space="0" w:color="000000"/>
              <w:right w:val="single" w:sz="2" w:space="0" w:color="000000"/>
            </w:tcBorders>
          </w:tcPr>
          <w:p w:rsidR="00042D5E" w:rsidRDefault="00042D5E">
            <w:pPr>
              <w:pStyle w:val="TableParagraph"/>
              <w:jc w:val="left"/>
              <w:rPr>
                <w:b/>
              </w:rPr>
            </w:pPr>
          </w:p>
          <w:p w:rsidR="00042D5E" w:rsidRDefault="00042D5E">
            <w:pPr>
              <w:pStyle w:val="TableParagraph"/>
              <w:spacing w:before="9"/>
              <w:jc w:val="left"/>
              <w:rPr>
                <w:b/>
                <w:sz w:val="26"/>
              </w:rPr>
            </w:pPr>
          </w:p>
          <w:p w:rsidR="00042D5E" w:rsidRDefault="007D5BFA">
            <w:pPr>
              <w:pStyle w:val="TableParagraph"/>
              <w:spacing w:before="1"/>
              <w:ind w:left="146"/>
              <w:jc w:val="left"/>
              <w:rPr>
                <w:b/>
                <w:sz w:val="20"/>
              </w:rPr>
            </w:pPr>
            <w:r>
              <w:rPr>
                <w:b/>
                <w:sz w:val="20"/>
              </w:rPr>
              <w:t>Study No.</w:t>
            </w:r>
          </w:p>
        </w:tc>
        <w:tc>
          <w:tcPr>
            <w:tcW w:w="1388" w:type="dxa"/>
            <w:vMerge w:val="restart"/>
            <w:tcBorders>
              <w:left w:val="single" w:sz="2" w:space="0" w:color="000000"/>
              <w:bottom w:val="single" w:sz="2" w:space="0" w:color="000000"/>
              <w:right w:val="single" w:sz="2" w:space="0" w:color="000000"/>
            </w:tcBorders>
          </w:tcPr>
          <w:p w:rsidR="00042D5E" w:rsidRDefault="00042D5E">
            <w:pPr>
              <w:pStyle w:val="TableParagraph"/>
              <w:spacing w:before="9"/>
              <w:jc w:val="left"/>
              <w:rPr>
                <w:b/>
                <w:sz w:val="28"/>
              </w:rPr>
            </w:pPr>
          </w:p>
          <w:p w:rsidR="00042D5E" w:rsidRDefault="007D5BFA">
            <w:pPr>
              <w:pStyle w:val="TableParagraph"/>
              <w:ind w:left="309" w:right="293" w:hanging="4"/>
              <w:rPr>
                <w:b/>
                <w:sz w:val="20"/>
              </w:rPr>
            </w:pPr>
            <w:r>
              <w:rPr>
                <w:b/>
                <w:sz w:val="20"/>
              </w:rPr>
              <w:t xml:space="preserve">Species/ Study </w:t>
            </w:r>
            <w:r>
              <w:rPr>
                <w:b/>
                <w:w w:val="95"/>
                <w:sz w:val="20"/>
              </w:rPr>
              <w:t>Duration</w:t>
            </w:r>
          </w:p>
        </w:tc>
        <w:tc>
          <w:tcPr>
            <w:tcW w:w="1273" w:type="dxa"/>
            <w:vMerge w:val="restart"/>
            <w:tcBorders>
              <w:left w:val="single" w:sz="2" w:space="0" w:color="000000"/>
              <w:bottom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93"/>
              <w:ind w:left="121" w:right="93" w:firstLine="312"/>
              <w:jc w:val="left"/>
              <w:rPr>
                <w:b/>
                <w:sz w:val="20"/>
              </w:rPr>
            </w:pPr>
            <w:r>
              <w:rPr>
                <w:b/>
                <w:sz w:val="20"/>
              </w:rPr>
              <w:t>Dose (mg/kg/day)</w:t>
            </w:r>
          </w:p>
        </w:tc>
        <w:tc>
          <w:tcPr>
            <w:tcW w:w="927" w:type="dxa"/>
            <w:vMerge w:val="restart"/>
            <w:tcBorders>
              <w:left w:val="single" w:sz="2" w:space="0" w:color="000000"/>
              <w:bottom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93"/>
              <w:ind w:left="216" w:right="186" w:firstLine="100"/>
              <w:jc w:val="left"/>
              <w:rPr>
                <w:b/>
                <w:sz w:val="20"/>
              </w:rPr>
            </w:pPr>
            <w:r>
              <w:rPr>
                <w:b/>
                <w:sz w:val="20"/>
              </w:rPr>
              <w:t>Sex (M/F)</w:t>
            </w:r>
          </w:p>
        </w:tc>
        <w:tc>
          <w:tcPr>
            <w:tcW w:w="1408" w:type="dxa"/>
            <w:gridSpan w:val="2"/>
            <w:tcBorders>
              <w:left w:val="single" w:sz="2" w:space="0" w:color="000000"/>
              <w:bottom w:val="single" w:sz="2" w:space="0" w:color="000000"/>
              <w:right w:val="single" w:sz="2" w:space="0" w:color="000000"/>
            </w:tcBorders>
          </w:tcPr>
          <w:p w:rsidR="00042D5E" w:rsidRDefault="00042D5E">
            <w:pPr>
              <w:pStyle w:val="TableParagraph"/>
              <w:jc w:val="left"/>
              <w:rPr>
                <w:b/>
                <w:sz w:val="25"/>
              </w:rPr>
            </w:pPr>
          </w:p>
          <w:p w:rsidR="00042D5E" w:rsidRDefault="007D5BFA">
            <w:pPr>
              <w:pStyle w:val="TableParagraph"/>
              <w:ind w:left="138"/>
              <w:jc w:val="left"/>
              <w:rPr>
                <w:b/>
                <w:sz w:val="20"/>
              </w:rPr>
            </w:pPr>
            <w:r>
              <w:rPr>
                <w:b/>
                <w:sz w:val="20"/>
              </w:rPr>
              <w:t>C</w:t>
            </w:r>
            <w:r>
              <w:rPr>
                <w:b/>
                <w:sz w:val="20"/>
                <w:vertAlign w:val="subscript"/>
              </w:rPr>
              <w:t>max</w:t>
            </w:r>
            <w:r>
              <w:rPr>
                <w:b/>
                <w:sz w:val="20"/>
              </w:rPr>
              <w:t xml:space="preserve"> (ug/mL)</w:t>
            </w:r>
          </w:p>
        </w:tc>
        <w:tc>
          <w:tcPr>
            <w:tcW w:w="1494" w:type="dxa"/>
            <w:gridSpan w:val="2"/>
            <w:tcBorders>
              <w:left w:val="single" w:sz="2" w:space="0" w:color="000000"/>
              <w:bottom w:val="single" w:sz="2" w:space="0" w:color="000000"/>
              <w:right w:val="single" w:sz="2" w:space="0" w:color="000000"/>
            </w:tcBorders>
          </w:tcPr>
          <w:p w:rsidR="00042D5E" w:rsidRDefault="007D5BFA">
            <w:pPr>
              <w:pStyle w:val="TableParagraph"/>
              <w:spacing w:before="173"/>
              <w:ind w:left="166" w:right="163"/>
              <w:rPr>
                <w:rFonts w:ascii="Symbol" w:hAnsi="Symbol"/>
                <w:b/>
                <w:sz w:val="20"/>
              </w:rPr>
            </w:pPr>
            <w:r>
              <w:rPr>
                <w:b/>
                <w:sz w:val="20"/>
              </w:rPr>
              <w:t>AUC</w:t>
            </w:r>
            <w:r>
              <w:rPr>
                <w:rFonts w:ascii="Symbol" w:hAnsi="Symbol"/>
                <w:b/>
                <w:sz w:val="20"/>
                <w:vertAlign w:val="subscript"/>
              </w:rPr>
              <w:t></w:t>
            </w:r>
          </w:p>
          <w:p w:rsidR="00042D5E" w:rsidRDefault="007D5BFA">
            <w:pPr>
              <w:pStyle w:val="TableParagraph"/>
              <w:spacing w:before="4"/>
              <w:ind w:left="166" w:right="167"/>
              <w:rPr>
                <w:b/>
                <w:sz w:val="20"/>
              </w:rPr>
            </w:pPr>
            <w:r>
              <w:rPr>
                <w:b/>
                <w:sz w:val="20"/>
              </w:rPr>
              <w:t>(day*µg/mL)</w:t>
            </w:r>
          </w:p>
        </w:tc>
        <w:tc>
          <w:tcPr>
            <w:tcW w:w="740" w:type="dxa"/>
            <w:tcBorders>
              <w:left w:val="single" w:sz="2" w:space="0" w:color="000000"/>
              <w:bottom w:val="single" w:sz="2" w:space="0" w:color="000000"/>
              <w:right w:val="single" w:sz="2" w:space="0" w:color="000000"/>
            </w:tcBorders>
          </w:tcPr>
          <w:p w:rsidR="00042D5E" w:rsidRDefault="007D5BFA">
            <w:pPr>
              <w:pStyle w:val="TableParagraph"/>
              <w:spacing w:before="39" w:line="252" w:lineRule="auto"/>
              <w:ind w:left="145" w:right="144" w:firstLine="31"/>
              <w:jc w:val="both"/>
              <w:rPr>
                <w:b/>
                <w:sz w:val="20"/>
              </w:rPr>
            </w:pPr>
            <w:r>
              <w:rPr>
                <w:b/>
                <w:position w:val="3"/>
                <w:sz w:val="20"/>
              </w:rPr>
              <w:t>C</w:t>
            </w:r>
            <w:r>
              <w:rPr>
                <w:b/>
                <w:sz w:val="13"/>
              </w:rPr>
              <w:t xml:space="preserve">max </w:t>
            </w:r>
            <w:r>
              <w:rPr>
                <w:b/>
                <w:sz w:val="20"/>
              </w:rPr>
              <w:t xml:space="preserve">(last </w:t>
            </w:r>
            <w:r>
              <w:rPr>
                <w:b/>
                <w:w w:val="95"/>
                <w:sz w:val="20"/>
              </w:rPr>
              <w:t>dose)</w:t>
            </w:r>
          </w:p>
        </w:tc>
        <w:tc>
          <w:tcPr>
            <w:tcW w:w="872" w:type="dxa"/>
            <w:tcBorders>
              <w:left w:val="single" w:sz="2" w:space="0" w:color="000000"/>
              <w:bottom w:val="single" w:sz="2" w:space="0" w:color="000000"/>
            </w:tcBorders>
          </w:tcPr>
          <w:p w:rsidR="00042D5E" w:rsidRDefault="007D5BFA">
            <w:pPr>
              <w:pStyle w:val="TableParagraph"/>
              <w:spacing w:before="57"/>
              <w:ind w:left="151"/>
              <w:jc w:val="left"/>
              <w:rPr>
                <w:b/>
                <w:sz w:val="20"/>
              </w:rPr>
            </w:pPr>
            <w:r>
              <w:rPr>
                <w:b/>
                <w:sz w:val="20"/>
              </w:rPr>
              <w:t>AUC</w:t>
            </w:r>
            <w:r>
              <w:rPr>
                <w:b/>
                <w:sz w:val="20"/>
                <w:vertAlign w:val="subscript"/>
              </w:rPr>
              <w:t>24</w:t>
            </w:r>
          </w:p>
          <w:p w:rsidR="00042D5E" w:rsidRDefault="007D5BFA">
            <w:pPr>
              <w:pStyle w:val="TableParagraph"/>
              <w:spacing w:before="1"/>
              <w:ind w:left="209" w:right="188" w:firstLine="38"/>
              <w:jc w:val="left"/>
              <w:rPr>
                <w:b/>
                <w:sz w:val="20"/>
              </w:rPr>
            </w:pPr>
            <w:r>
              <w:rPr>
                <w:b/>
                <w:sz w:val="20"/>
              </w:rPr>
              <w:t>(last dose)</w:t>
            </w:r>
          </w:p>
        </w:tc>
      </w:tr>
      <w:tr w:rsidR="00042D5E">
        <w:trPr>
          <w:trHeight w:val="539"/>
        </w:trPr>
        <w:tc>
          <w:tcPr>
            <w:tcW w:w="1138" w:type="dxa"/>
            <w:vMerge/>
            <w:tcBorders>
              <w:top w:val="nil"/>
              <w:bottom w:val="single" w:sz="2" w:space="0" w:color="000000"/>
              <w:right w:val="single" w:sz="2" w:space="0" w:color="000000"/>
            </w:tcBorders>
          </w:tcPr>
          <w:p w:rsidR="00042D5E" w:rsidRDefault="00042D5E">
            <w:pPr>
              <w:rPr>
                <w:sz w:val="2"/>
                <w:szCs w:val="2"/>
              </w:rPr>
            </w:pPr>
          </w:p>
        </w:tc>
        <w:tc>
          <w:tcPr>
            <w:tcW w:w="1388"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1273"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927"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7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8"/>
              <w:ind w:left="148" w:right="119"/>
              <w:jc w:val="left"/>
              <w:rPr>
                <w:b/>
                <w:sz w:val="20"/>
              </w:rPr>
            </w:pPr>
            <w:r>
              <w:rPr>
                <w:b/>
                <w:sz w:val="20"/>
              </w:rPr>
              <w:t>First Dose</w:t>
            </w:r>
          </w:p>
        </w:tc>
        <w:tc>
          <w:tcPr>
            <w:tcW w:w="7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8"/>
              <w:ind w:left="147" w:right="120" w:firstLine="16"/>
              <w:jc w:val="left"/>
              <w:rPr>
                <w:b/>
                <w:sz w:val="20"/>
              </w:rPr>
            </w:pPr>
            <w:r>
              <w:rPr>
                <w:b/>
                <w:sz w:val="20"/>
              </w:rPr>
              <w:t>Last Dose</w:t>
            </w:r>
          </w:p>
        </w:tc>
        <w:tc>
          <w:tcPr>
            <w:tcW w:w="74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8"/>
              <w:ind w:left="168" w:right="142"/>
              <w:jc w:val="left"/>
              <w:rPr>
                <w:b/>
                <w:sz w:val="20"/>
              </w:rPr>
            </w:pPr>
            <w:r>
              <w:rPr>
                <w:b/>
                <w:sz w:val="20"/>
              </w:rPr>
              <w:t>First Dose</w:t>
            </w:r>
          </w:p>
        </w:tc>
        <w:tc>
          <w:tcPr>
            <w:tcW w:w="74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8"/>
              <w:ind w:left="167" w:right="143" w:firstLine="16"/>
              <w:jc w:val="left"/>
              <w:rPr>
                <w:b/>
                <w:sz w:val="20"/>
              </w:rPr>
            </w:pPr>
            <w:r>
              <w:rPr>
                <w:b/>
                <w:sz w:val="20"/>
              </w:rPr>
              <w:t>Last Dose</w:t>
            </w:r>
          </w:p>
        </w:tc>
        <w:tc>
          <w:tcPr>
            <w:tcW w:w="1612" w:type="dxa"/>
            <w:gridSpan w:val="2"/>
            <w:tcBorders>
              <w:top w:val="single" w:sz="2" w:space="0" w:color="000000"/>
              <w:left w:val="single" w:sz="2" w:space="0" w:color="000000"/>
              <w:bottom w:val="single" w:sz="2" w:space="0" w:color="000000"/>
            </w:tcBorders>
          </w:tcPr>
          <w:p w:rsidR="00042D5E" w:rsidRDefault="007D5BFA">
            <w:pPr>
              <w:pStyle w:val="TableParagraph"/>
              <w:spacing w:before="38"/>
              <w:ind w:left="431" w:hanging="32"/>
              <w:jc w:val="left"/>
              <w:rPr>
                <w:b/>
                <w:sz w:val="20"/>
              </w:rPr>
            </w:pPr>
            <w:r>
              <w:rPr>
                <w:b/>
                <w:w w:val="95"/>
                <w:sz w:val="20"/>
              </w:rPr>
              <w:t xml:space="preserve">Exposure </w:t>
            </w:r>
            <w:r>
              <w:rPr>
                <w:b/>
                <w:sz w:val="20"/>
              </w:rPr>
              <w:t>Margin†</w:t>
            </w:r>
          </w:p>
        </w:tc>
      </w:tr>
      <w:tr w:rsidR="00042D5E">
        <w:trPr>
          <w:trHeight w:val="534"/>
        </w:trPr>
        <w:tc>
          <w:tcPr>
            <w:tcW w:w="1138" w:type="dxa"/>
            <w:vMerge w:val="restart"/>
            <w:tcBorders>
              <w:top w:val="single" w:sz="2" w:space="0" w:color="000000"/>
              <w:right w:val="single" w:sz="2" w:space="0" w:color="000000"/>
            </w:tcBorders>
          </w:tcPr>
          <w:p w:rsidR="00042D5E" w:rsidRDefault="00042D5E">
            <w:pPr>
              <w:pStyle w:val="TableParagraph"/>
              <w:jc w:val="left"/>
              <w:rPr>
                <w:b/>
              </w:rPr>
            </w:pPr>
          </w:p>
          <w:p w:rsidR="00042D5E" w:rsidRDefault="00042D5E">
            <w:pPr>
              <w:pStyle w:val="TableParagraph"/>
              <w:spacing w:before="6"/>
              <w:jc w:val="left"/>
              <w:rPr>
                <w:b/>
                <w:sz w:val="24"/>
              </w:rPr>
            </w:pPr>
          </w:p>
          <w:p w:rsidR="00042D5E" w:rsidRDefault="007D5BFA">
            <w:pPr>
              <w:pStyle w:val="TableParagraph"/>
              <w:ind w:left="167"/>
              <w:jc w:val="left"/>
              <w:rPr>
                <w:sz w:val="20"/>
              </w:rPr>
            </w:pPr>
            <w:r>
              <w:rPr>
                <w:sz w:val="20"/>
              </w:rPr>
              <w:t>20076945</w:t>
            </w:r>
          </w:p>
        </w:tc>
        <w:tc>
          <w:tcPr>
            <w:tcW w:w="1388" w:type="dxa"/>
            <w:vMerge w:val="restart"/>
            <w:tcBorders>
              <w:top w:val="single" w:sz="2" w:space="0" w:color="000000"/>
              <w:left w:val="single" w:sz="2" w:space="0" w:color="000000"/>
              <w:right w:val="single" w:sz="2" w:space="0" w:color="000000"/>
            </w:tcBorders>
          </w:tcPr>
          <w:p w:rsidR="00042D5E" w:rsidRDefault="007D5BFA">
            <w:pPr>
              <w:pStyle w:val="TableParagraph"/>
              <w:spacing w:before="190"/>
              <w:ind w:left="229" w:right="184" w:hanging="44"/>
              <w:jc w:val="left"/>
              <w:rPr>
                <w:sz w:val="20"/>
              </w:rPr>
            </w:pPr>
            <w:r>
              <w:rPr>
                <w:w w:val="95"/>
                <w:sz w:val="20"/>
              </w:rPr>
              <w:t xml:space="preserve">Cynomolgus </w:t>
            </w:r>
            <w:r>
              <w:rPr>
                <w:sz w:val="20"/>
              </w:rPr>
              <w:t>Monkeys / 4 weeks / intravenous</w:t>
            </w:r>
          </w:p>
        </w:tc>
        <w:tc>
          <w:tcPr>
            <w:tcW w:w="1273"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right="525"/>
              <w:jc w:val="right"/>
              <w:rPr>
                <w:sz w:val="20"/>
              </w:rPr>
            </w:pPr>
            <w:r>
              <w:rPr>
                <w:sz w:val="20"/>
              </w:rPr>
              <w:t>18</w:t>
            </w:r>
          </w:p>
        </w:tc>
        <w:tc>
          <w:tcPr>
            <w:tcW w:w="92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left="106" w:right="97"/>
              <w:rPr>
                <w:sz w:val="20"/>
              </w:rPr>
            </w:pPr>
            <w:r>
              <w:rPr>
                <w:sz w:val="20"/>
              </w:rPr>
              <w:t>M and F</w:t>
            </w:r>
          </w:p>
        </w:tc>
        <w:tc>
          <w:tcPr>
            <w:tcW w:w="7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line="229" w:lineRule="exact"/>
              <w:ind w:left="119"/>
              <w:jc w:val="left"/>
              <w:rPr>
                <w:sz w:val="20"/>
              </w:rPr>
            </w:pPr>
            <w:r>
              <w:rPr>
                <w:sz w:val="20"/>
              </w:rPr>
              <w:t xml:space="preserve">525 </w:t>
            </w:r>
            <w:r>
              <w:rPr>
                <w:sz w:val="20"/>
                <w:u w:val="single"/>
              </w:rPr>
              <w:t>+</w:t>
            </w:r>
          </w:p>
          <w:p w:rsidR="00042D5E" w:rsidRDefault="007D5BFA">
            <w:pPr>
              <w:pStyle w:val="TableParagraph"/>
              <w:spacing w:line="229" w:lineRule="exact"/>
              <w:ind w:left="203"/>
              <w:jc w:val="left"/>
              <w:rPr>
                <w:sz w:val="20"/>
              </w:rPr>
            </w:pPr>
            <w:r>
              <w:rPr>
                <w:sz w:val="20"/>
              </w:rPr>
              <w:t>224</w:t>
            </w:r>
          </w:p>
        </w:tc>
        <w:tc>
          <w:tcPr>
            <w:tcW w:w="7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line="229" w:lineRule="exact"/>
              <w:ind w:left="118"/>
              <w:jc w:val="left"/>
              <w:rPr>
                <w:sz w:val="20"/>
              </w:rPr>
            </w:pPr>
            <w:r>
              <w:rPr>
                <w:sz w:val="20"/>
              </w:rPr>
              <w:t xml:space="preserve">633 </w:t>
            </w:r>
            <w:r>
              <w:rPr>
                <w:sz w:val="20"/>
                <w:u w:val="single"/>
              </w:rPr>
              <w:t>+</w:t>
            </w:r>
          </w:p>
          <w:p w:rsidR="00042D5E" w:rsidRDefault="007D5BFA">
            <w:pPr>
              <w:pStyle w:val="TableParagraph"/>
              <w:spacing w:line="229" w:lineRule="exact"/>
              <w:ind w:left="202"/>
              <w:jc w:val="left"/>
              <w:rPr>
                <w:sz w:val="20"/>
              </w:rPr>
            </w:pPr>
            <w:r>
              <w:rPr>
                <w:sz w:val="20"/>
              </w:rPr>
              <w:t>111</w:t>
            </w:r>
          </w:p>
        </w:tc>
        <w:tc>
          <w:tcPr>
            <w:tcW w:w="74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line="229" w:lineRule="exact"/>
              <w:ind w:left="170"/>
              <w:jc w:val="left"/>
              <w:rPr>
                <w:sz w:val="20"/>
              </w:rPr>
            </w:pPr>
            <w:r>
              <w:rPr>
                <w:sz w:val="20"/>
              </w:rPr>
              <w:t>1800</w:t>
            </w:r>
          </w:p>
          <w:p w:rsidR="00042D5E" w:rsidRDefault="007D5BFA">
            <w:pPr>
              <w:pStyle w:val="TableParagraph"/>
              <w:spacing w:line="229" w:lineRule="exact"/>
              <w:ind w:left="141"/>
              <w:jc w:val="left"/>
              <w:rPr>
                <w:sz w:val="20"/>
              </w:rPr>
            </w:pPr>
            <w:r>
              <w:rPr>
                <w:sz w:val="20"/>
                <w:u w:val="single"/>
              </w:rPr>
              <w:t>+</w:t>
            </w:r>
            <w:r>
              <w:rPr>
                <w:spacing w:val="1"/>
                <w:sz w:val="20"/>
              </w:rPr>
              <w:t xml:space="preserve"> </w:t>
            </w:r>
            <w:r>
              <w:rPr>
                <w:sz w:val="20"/>
              </w:rPr>
              <w:t>956</w:t>
            </w:r>
          </w:p>
        </w:tc>
        <w:tc>
          <w:tcPr>
            <w:tcW w:w="747"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4" w:line="229" w:lineRule="exact"/>
              <w:ind w:left="170"/>
              <w:jc w:val="left"/>
              <w:rPr>
                <w:sz w:val="20"/>
              </w:rPr>
            </w:pPr>
            <w:r>
              <w:rPr>
                <w:sz w:val="20"/>
              </w:rPr>
              <w:t>2620</w:t>
            </w:r>
          </w:p>
          <w:p w:rsidR="00042D5E" w:rsidRDefault="007D5BFA">
            <w:pPr>
              <w:pStyle w:val="TableParagraph"/>
              <w:spacing w:line="229" w:lineRule="exact"/>
              <w:ind w:left="141"/>
              <w:jc w:val="left"/>
              <w:rPr>
                <w:sz w:val="20"/>
              </w:rPr>
            </w:pPr>
            <w:r>
              <w:rPr>
                <w:sz w:val="20"/>
                <w:u w:val="single"/>
              </w:rPr>
              <w:t>+</w:t>
            </w:r>
            <w:r>
              <w:rPr>
                <w:spacing w:val="1"/>
                <w:sz w:val="20"/>
              </w:rPr>
              <w:t xml:space="preserve"> </w:t>
            </w:r>
            <w:r>
              <w:rPr>
                <w:sz w:val="20"/>
              </w:rPr>
              <w:t>576</w:t>
            </w:r>
          </w:p>
        </w:tc>
        <w:tc>
          <w:tcPr>
            <w:tcW w:w="740"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9"/>
              <w:ind w:left="224" w:right="220"/>
              <w:rPr>
                <w:sz w:val="20"/>
              </w:rPr>
            </w:pPr>
            <w:r>
              <w:rPr>
                <w:sz w:val="20"/>
              </w:rPr>
              <w:t>4.0</w:t>
            </w:r>
          </w:p>
        </w:tc>
        <w:tc>
          <w:tcPr>
            <w:tcW w:w="872" w:type="dxa"/>
            <w:tcBorders>
              <w:top w:val="single" w:sz="2" w:space="0" w:color="000000"/>
              <w:left w:val="single" w:sz="2" w:space="0" w:color="000000"/>
              <w:bottom w:val="single" w:sz="2" w:space="0" w:color="000000"/>
            </w:tcBorders>
          </w:tcPr>
          <w:p w:rsidR="00042D5E" w:rsidRDefault="007D5BFA">
            <w:pPr>
              <w:pStyle w:val="TableParagraph"/>
              <w:spacing w:before="149"/>
              <w:ind w:left="288" w:right="283"/>
              <w:rPr>
                <w:sz w:val="20"/>
              </w:rPr>
            </w:pPr>
            <w:r>
              <w:rPr>
                <w:sz w:val="20"/>
              </w:rPr>
              <w:t>5.1</w:t>
            </w:r>
          </w:p>
        </w:tc>
      </w:tr>
      <w:tr w:rsidR="00042D5E">
        <w:trPr>
          <w:trHeight w:val="765"/>
        </w:trPr>
        <w:tc>
          <w:tcPr>
            <w:tcW w:w="1138" w:type="dxa"/>
            <w:vMerge/>
            <w:tcBorders>
              <w:top w:val="nil"/>
              <w:right w:val="single" w:sz="2" w:space="0" w:color="000000"/>
            </w:tcBorders>
          </w:tcPr>
          <w:p w:rsidR="00042D5E" w:rsidRDefault="00042D5E">
            <w:pPr>
              <w:rPr>
                <w:sz w:val="2"/>
                <w:szCs w:val="2"/>
              </w:rPr>
            </w:pPr>
          </w:p>
        </w:tc>
        <w:tc>
          <w:tcPr>
            <w:tcW w:w="1388" w:type="dxa"/>
            <w:vMerge/>
            <w:tcBorders>
              <w:top w:val="nil"/>
              <w:left w:val="single" w:sz="2" w:space="0" w:color="000000"/>
              <w:right w:val="single" w:sz="2" w:space="0" w:color="000000"/>
            </w:tcBorders>
          </w:tcPr>
          <w:p w:rsidR="00042D5E" w:rsidRDefault="00042D5E">
            <w:pPr>
              <w:rPr>
                <w:sz w:val="2"/>
                <w:szCs w:val="2"/>
              </w:rPr>
            </w:pPr>
          </w:p>
        </w:tc>
        <w:tc>
          <w:tcPr>
            <w:tcW w:w="1273" w:type="dxa"/>
            <w:tcBorders>
              <w:top w:val="single" w:sz="2" w:space="0" w:color="000000"/>
              <w:left w:val="single" w:sz="2" w:space="0" w:color="000000"/>
              <w:right w:val="single" w:sz="2" w:space="0" w:color="000000"/>
            </w:tcBorders>
          </w:tcPr>
          <w:p w:rsidR="00042D5E" w:rsidRDefault="00042D5E">
            <w:pPr>
              <w:pStyle w:val="TableParagraph"/>
              <w:spacing w:before="6"/>
              <w:jc w:val="left"/>
              <w:rPr>
                <w:b/>
              </w:rPr>
            </w:pPr>
          </w:p>
          <w:p w:rsidR="00042D5E" w:rsidRDefault="007D5BFA">
            <w:pPr>
              <w:pStyle w:val="TableParagraph"/>
              <w:ind w:right="525"/>
              <w:jc w:val="right"/>
              <w:rPr>
                <w:sz w:val="20"/>
              </w:rPr>
            </w:pPr>
            <w:r>
              <w:rPr>
                <w:sz w:val="20"/>
              </w:rPr>
              <w:t>24</w:t>
            </w:r>
          </w:p>
        </w:tc>
        <w:tc>
          <w:tcPr>
            <w:tcW w:w="927" w:type="dxa"/>
            <w:tcBorders>
              <w:top w:val="single" w:sz="2" w:space="0" w:color="000000"/>
              <w:left w:val="single" w:sz="2" w:space="0" w:color="000000"/>
              <w:right w:val="single" w:sz="2" w:space="0" w:color="000000"/>
            </w:tcBorders>
          </w:tcPr>
          <w:p w:rsidR="00042D5E" w:rsidRDefault="00042D5E">
            <w:pPr>
              <w:pStyle w:val="TableParagraph"/>
              <w:spacing w:before="6"/>
              <w:jc w:val="left"/>
              <w:rPr>
                <w:b/>
              </w:rPr>
            </w:pPr>
          </w:p>
          <w:p w:rsidR="00042D5E" w:rsidRDefault="007D5BFA">
            <w:pPr>
              <w:pStyle w:val="TableParagraph"/>
              <w:ind w:left="106" w:right="97"/>
              <w:rPr>
                <w:sz w:val="20"/>
              </w:rPr>
            </w:pPr>
            <w:r>
              <w:rPr>
                <w:sz w:val="20"/>
              </w:rPr>
              <w:t>M and F</w:t>
            </w:r>
          </w:p>
        </w:tc>
        <w:tc>
          <w:tcPr>
            <w:tcW w:w="704" w:type="dxa"/>
            <w:tcBorders>
              <w:top w:val="single" w:sz="2" w:space="0" w:color="000000"/>
              <w:left w:val="single" w:sz="2" w:space="0" w:color="000000"/>
              <w:right w:val="single" w:sz="2" w:space="0" w:color="000000"/>
            </w:tcBorders>
          </w:tcPr>
          <w:p w:rsidR="00042D5E" w:rsidRDefault="007D5BFA">
            <w:pPr>
              <w:pStyle w:val="TableParagraph"/>
              <w:spacing w:before="144" w:line="229" w:lineRule="exact"/>
              <w:ind w:left="119"/>
              <w:jc w:val="left"/>
              <w:rPr>
                <w:sz w:val="20"/>
              </w:rPr>
            </w:pPr>
            <w:r>
              <w:rPr>
                <w:sz w:val="20"/>
              </w:rPr>
              <w:t xml:space="preserve">715 </w:t>
            </w:r>
            <w:r>
              <w:rPr>
                <w:sz w:val="20"/>
                <w:u w:val="single"/>
              </w:rPr>
              <w:t>+</w:t>
            </w:r>
          </w:p>
          <w:p w:rsidR="00042D5E" w:rsidRDefault="007D5BFA">
            <w:pPr>
              <w:pStyle w:val="TableParagraph"/>
              <w:spacing w:line="229" w:lineRule="exact"/>
              <w:ind w:left="203"/>
              <w:jc w:val="left"/>
              <w:rPr>
                <w:sz w:val="20"/>
              </w:rPr>
            </w:pPr>
            <w:r>
              <w:rPr>
                <w:sz w:val="20"/>
              </w:rPr>
              <w:t>408</w:t>
            </w:r>
          </w:p>
        </w:tc>
        <w:tc>
          <w:tcPr>
            <w:tcW w:w="704" w:type="dxa"/>
            <w:tcBorders>
              <w:top w:val="single" w:sz="2" w:space="0" w:color="000000"/>
              <w:left w:val="single" w:sz="2" w:space="0" w:color="000000"/>
              <w:right w:val="single" w:sz="2" w:space="0" w:color="000000"/>
            </w:tcBorders>
          </w:tcPr>
          <w:p w:rsidR="00042D5E" w:rsidRDefault="007D5BFA">
            <w:pPr>
              <w:pStyle w:val="TableParagraph"/>
              <w:spacing w:before="144" w:line="229" w:lineRule="exact"/>
              <w:ind w:left="118"/>
              <w:jc w:val="left"/>
              <w:rPr>
                <w:sz w:val="20"/>
              </w:rPr>
            </w:pPr>
            <w:r>
              <w:rPr>
                <w:sz w:val="20"/>
              </w:rPr>
              <w:t xml:space="preserve">997 </w:t>
            </w:r>
            <w:r>
              <w:rPr>
                <w:sz w:val="20"/>
                <w:u w:val="single"/>
              </w:rPr>
              <w:t>+</w:t>
            </w:r>
          </w:p>
          <w:p w:rsidR="00042D5E" w:rsidRDefault="007D5BFA">
            <w:pPr>
              <w:pStyle w:val="TableParagraph"/>
              <w:spacing w:line="229" w:lineRule="exact"/>
              <w:ind w:left="202"/>
              <w:jc w:val="left"/>
              <w:rPr>
                <w:sz w:val="20"/>
              </w:rPr>
            </w:pPr>
            <w:r>
              <w:rPr>
                <w:sz w:val="20"/>
              </w:rPr>
              <w:t>419</w:t>
            </w:r>
          </w:p>
        </w:tc>
        <w:tc>
          <w:tcPr>
            <w:tcW w:w="747" w:type="dxa"/>
            <w:tcBorders>
              <w:top w:val="single" w:sz="2" w:space="0" w:color="000000"/>
              <w:left w:val="single" w:sz="2" w:space="0" w:color="000000"/>
              <w:right w:val="single" w:sz="2" w:space="0" w:color="000000"/>
            </w:tcBorders>
          </w:tcPr>
          <w:p w:rsidR="00042D5E" w:rsidRDefault="007D5BFA">
            <w:pPr>
              <w:pStyle w:val="TableParagraph"/>
              <w:spacing w:before="29" w:line="229" w:lineRule="exact"/>
              <w:ind w:left="170"/>
              <w:jc w:val="left"/>
              <w:rPr>
                <w:sz w:val="20"/>
              </w:rPr>
            </w:pPr>
            <w:r>
              <w:rPr>
                <w:sz w:val="20"/>
              </w:rPr>
              <w:t>2220</w:t>
            </w:r>
          </w:p>
          <w:p w:rsidR="00042D5E" w:rsidRDefault="007D5BFA">
            <w:pPr>
              <w:pStyle w:val="TableParagraph"/>
              <w:ind w:left="173" w:right="163" w:hanging="3"/>
              <w:rPr>
                <w:sz w:val="20"/>
              </w:rPr>
            </w:pPr>
            <w:r>
              <w:rPr>
                <w:sz w:val="20"/>
                <w:u w:val="single"/>
              </w:rPr>
              <w:t>+</w:t>
            </w:r>
            <w:r>
              <w:rPr>
                <w:sz w:val="20"/>
              </w:rPr>
              <w:t xml:space="preserve"> 1140</w:t>
            </w:r>
          </w:p>
        </w:tc>
        <w:tc>
          <w:tcPr>
            <w:tcW w:w="747" w:type="dxa"/>
            <w:tcBorders>
              <w:top w:val="single" w:sz="2" w:space="0" w:color="000000"/>
              <w:left w:val="single" w:sz="2" w:space="0" w:color="000000"/>
              <w:right w:val="single" w:sz="2" w:space="0" w:color="000000"/>
            </w:tcBorders>
          </w:tcPr>
          <w:p w:rsidR="00042D5E" w:rsidRDefault="007D5BFA">
            <w:pPr>
              <w:pStyle w:val="TableParagraph"/>
              <w:spacing w:before="29" w:line="229" w:lineRule="exact"/>
              <w:ind w:left="170"/>
              <w:jc w:val="left"/>
              <w:rPr>
                <w:sz w:val="20"/>
              </w:rPr>
            </w:pPr>
            <w:r>
              <w:rPr>
                <w:sz w:val="20"/>
              </w:rPr>
              <w:t>3870</w:t>
            </w:r>
          </w:p>
          <w:p w:rsidR="00042D5E" w:rsidRDefault="007D5BFA">
            <w:pPr>
              <w:pStyle w:val="TableParagraph"/>
              <w:ind w:left="172" w:right="164" w:hanging="3"/>
              <w:rPr>
                <w:sz w:val="20"/>
              </w:rPr>
            </w:pPr>
            <w:r>
              <w:rPr>
                <w:sz w:val="20"/>
                <w:u w:val="single"/>
              </w:rPr>
              <w:t>+</w:t>
            </w:r>
            <w:r>
              <w:rPr>
                <w:sz w:val="20"/>
              </w:rPr>
              <w:t xml:space="preserve"> 1760</w:t>
            </w:r>
          </w:p>
        </w:tc>
        <w:tc>
          <w:tcPr>
            <w:tcW w:w="740" w:type="dxa"/>
            <w:tcBorders>
              <w:top w:val="single" w:sz="2" w:space="0" w:color="000000"/>
              <w:left w:val="single" w:sz="2" w:space="0" w:color="000000"/>
              <w:right w:val="single" w:sz="2" w:space="0" w:color="000000"/>
            </w:tcBorders>
          </w:tcPr>
          <w:p w:rsidR="00042D5E" w:rsidRDefault="00042D5E">
            <w:pPr>
              <w:pStyle w:val="TableParagraph"/>
              <w:spacing w:before="6"/>
              <w:jc w:val="left"/>
              <w:rPr>
                <w:b/>
              </w:rPr>
            </w:pPr>
          </w:p>
          <w:p w:rsidR="00042D5E" w:rsidRDefault="007D5BFA">
            <w:pPr>
              <w:pStyle w:val="TableParagraph"/>
              <w:ind w:left="224" w:right="220"/>
              <w:rPr>
                <w:sz w:val="20"/>
              </w:rPr>
            </w:pPr>
            <w:r>
              <w:rPr>
                <w:sz w:val="20"/>
              </w:rPr>
              <w:t>6.3</w:t>
            </w:r>
          </w:p>
        </w:tc>
        <w:tc>
          <w:tcPr>
            <w:tcW w:w="872" w:type="dxa"/>
            <w:tcBorders>
              <w:top w:val="single" w:sz="2" w:space="0" w:color="000000"/>
              <w:left w:val="single" w:sz="2" w:space="0" w:color="000000"/>
            </w:tcBorders>
          </w:tcPr>
          <w:p w:rsidR="00042D5E" w:rsidRDefault="00042D5E">
            <w:pPr>
              <w:pStyle w:val="TableParagraph"/>
              <w:spacing w:before="6"/>
              <w:jc w:val="left"/>
              <w:rPr>
                <w:b/>
              </w:rPr>
            </w:pPr>
          </w:p>
          <w:p w:rsidR="00042D5E" w:rsidRDefault="007D5BFA">
            <w:pPr>
              <w:pStyle w:val="TableParagraph"/>
              <w:ind w:left="288" w:right="283"/>
              <w:rPr>
                <w:sz w:val="20"/>
              </w:rPr>
            </w:pPr>
            <w:r>
              <w:rPr>
                <w:sz w:val="20"/>
              </w:rPr>
              <w:t>7.6</w:t>
            </w:r>
          </w:p>
        </w:tc>
      </w:tr>
    </w:tbl>
    <w:p w:rsidR="00042D5E" w:rsidRDefault="007D5BFA">
      <w:pPr>
        <w:spacing w:before="53"/>
        <w:ind w:left="232"/>
        <w:rPr>
          <w:sz w:val="20"/>
        </w:rPr>
      </w:pPr>
      <w:r>
        <w:rPr>
          <w:sz w:val="20"/>
        </w:rPr>
        <w:t>LOAEL: lowest observed adverse effect level; NOAEL: no observed adverse effect level</w:t>
      </w:r>
    </w:p>
    <w:p w:rsidR="00042D5E" w:rsidRDefault="007D5BFA">
      <w:pPr>
        <w:spacing w:before="61" w:line="302" w:lineRule="auto"/>
        <w:ind w:left="232" w:right="1964"/>
        <w:rPr>
          <w:sz w:val="20"/>
        </w:rPr>
      </w:pPr>
      <w:r>
        <w:rPr>
          <w:sz w:val="20"/>
        </w:rPr>
        <w:t>†Based on 4.8 mg/day human dose. Mean C</w:t>
      </w:r>
      <w:r>
        <w:rPr>
          <w:sz w:val="20"/>
          <w:vertAlign w:val="subscript"/>
        </w:rPr>
        <w:t>max</w:t>
      </w:r>
      <w:r>
        <w:rPr>
          <w:sz w:val="20"/>
        </w:rPr>
        <w:t xml:space="preserve"> 159.1 ug/mL; Mean AUC 512.3 ug</w:t>
      </w:r>
      <w:r>
        <w:rPr>
          <w:sz w:val="20"/>
          <w:vertAlign w:val="superscript"/>
        </w:rPr>
        <w:t>.</w:t>
      </w:r>
      <w:r>
        <w:rPr>
          <w:sz w:val="20"/>
        </w:rPr>
        <w:t>day/mL Source: (Study 20076945, Text Table 17)</w:t>
      </w:r>
    </w:p>
    <w:p w:rsidR="00042D5E" w:rsidRDefault="00042D5E">
      <w:pPr>
        <w:pStyle w:val="a3"/>
        <w:rPr>
          <w:sz w:val="22"/>
        </w:rPr>
      </w:pPr>
    </w:p>
    <w:p w:rsidR="00042D5E" w:rsidRDefault="00042D5E">
      <w:pPr>
        <w:pStyle w:val="a3"/>
        <w:spacing w:before="10"/>
        <w:rPr>
          <w:sz w:val="19"/>
        </w:rPr>
      </w:pPr>
    </w:p>
    <w:p w:rsidR="00042D5E" w:rsidRDefault="007D5BFA">
      <w:pPr>
        <w:pStyle w:val="3"/>
        <w:tabs>
          <w:tab w:val="left" w:pos="1651"/>
        </w:tabs>
        <w:spacing w:before="1"/>
      </w:pPr>
      <w:bookmarkStart w:id="50" w:name="_bookmark78"/>
      <w:bookmarkEnd w:id="50"/>
      <w:r>
        <w:t>Table</w:t>
      </w:r>
      <w:r>
        <w:rPr>
          <w:spacing w:val="-1"/>
        </w:rPr>
        <w:t xml:space="preserve"> </w:t>
      </w:r>
      <w:r>
        <w:t>18</w:t>
      </w:r>
      <w:r>
        <w:tab/>
        <w:t>Mean Plasma Exposure Levels of Safety</w:t>
      </w:r>
      <w:r>
        <w:rPr>
          <w:spacing w:val="-6"/>
        </w:rPr>
        <w:t xml:space="preserve"> </w:t>
      </w:r>
      <w:r>
        <w:t>Studies</w:t>
      </w:r>
    </w:p>
    <w:p w:rsidR="00042D5E" w:rsidRDefault="00042D5E">
      <w:pPr>
        <w:pStyle w:val="a3"/>
        <w:spacing w:before="5"/>
        <w:rPr>
          <w:b/>
          <w:sz w:val="5"/>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70"/>
        <w:gridCol w:w="1473"/>
        <w:gridCol w:w="1442"/>
        <w:gridCol w:w="808"/>
        <w:gridCol w:w="1079"/>
        <w:gridCol w:w="1350"/>
        <w:gridCol w:w="2020"/>
      </w:tblGrid>
      <w:tr w:rsidR="00042D5E">
        <w:trPr>
          <w:trHeight w:val="770"/>
        </w:trPr>
        <w:tc>
          <w:tcPr>
            <w:tcW w:w="1070" w:type="dxa"/>
            <w:vMerge w:val="restart"/>
            <w:tcBorders>
              <w:bottom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72"/>
              <w:ind w:left="386" w:right="254" w:hanging="101"/>
              <w:jc w:val="left"/>
              <w:rPr>
                <w:b/>
                <w:sz w:val="20"/>
              </w:rPr>
            </w:pPr>
            <w:r>
              <w:rPr>
                <w:b/>
                <w:sz w:val="20"/>
              </w:rPr>
              <w:t>Study</w:t>
            </w:r>
            <w:r>
              <w:rPr>
                <w:b/>
                <w:w w:val="99"/>
                <w:sz w:val="20"/>
              </w:rPr>
              <w:t xml:space="preserve"> </w:t>
            </w:r>
            <w:r>
              <w:rPr>
                <w:b/>
                <w:sz w:val="20"/>
              </w:rPr>
              <w:t>No.</w:t>
            </w:r>
          </w:p>
        </w:tc>
        <w:tc>
          <w:tcPr>
            <w:tcW w:w="1473" w:type="dxa"/>
            <w:vMerge w:val="restart"/>
            <w:tcBorders>
              <w:left w:val="single" w:sz="2" w:space="0" w:color="000000"/>
              <w:bottom w:val="single" w:sz="2" w:space="0" w:color="000000"/>
              <w:right w:val="single" w:sz="2" w:space="0" w:color="000000"/>
            </w:tcBorders>
          </w:tcPr>
          <w:p w:rsidR="00042D5E" w:rsidRDefault="00042D5E">
            <w:pPr>
              <w:pStyle w:val="TableParagraph"/>
              <w:spacing w:before="10"/>
              <w:jc w:val="left"/>
              <w:rPr>
                <w:b/>
                <w:sz w:val="26"/>
              </w:rPr>
            </w:pPr>
          </w:p>
          <w:p w:rsidR="00042D5E" w:rsidRDefault="007D5BFA">
            <w:pPr>
              <w:pStyle w:val="TableParagraph"/>
              <w:spacing w:before="1"/>
              <w:ind w:left="162" w:right="145"/>
              <w:rPr>
                <w:b/>
                <w:sz w:val="20"/>
              </w:rPr>
            </w:pPr>
            <w:r>
              <w:rPr>
                <w:b/>
                <w:w w:val="95"/>
                <w:sz w:val="20"/>
              </w:rPr>
              <w:t xml:space="preserve">Species/Study </w:t>
            </w:r>
            <w:r>
              <w:rPr>
                <w:b/>
                <w:sz w:val="20"/>
              </w:rPr>
              <w:t>Duration/ Route</w:t>
            </w:r>
          </w:p>
        </w:tc>
        <w:tc>
          <w:tcPr>
            <w:tcW w:w="1442" w:type="dxa"/>
            <w:vMerge w:val="restart"/>
            <w:tcBorders>
              <w:left w:val="single" w:sz="2" w:space="0" w:color="000000"/>
              <w:bottom w:val="single" w:sz="2" w:space="0" w:color="000000"/>
              <w:right w:val="single" w:sz="2" w:space="0" w:color="000000"/>
            </w:tcBorders>
          </w:tcPr>
          <w:p w:rsidR="00042D5E" w:rsidRDefault="007D5BFA">
            <w:pPr>
              <w:pStyle w:val="TableParagraph"/>
              <w:spacing w:before="41" w:line="280" w:lineRule="auto"/>
              <w:ind w:left="209" w:right="191" w:hanging="1"/>
              <w:rPr>
                <w:b/>
                <w:sz w:val="20"/>
              </w:rPr>
            </w:pPr>
            <w:r>
              <w:rPr>
                <w:b/>
                <w:sz w:val="20"/>
              </w:rPr>
              <w:t xml:space="preserve">Dose </w:t>
            </w:r>
            <w:r>
              <w:rPr>
                <w:b/>
                <w:w w:val="95"/>
                <w:sz w:val="20"/>
              </w:rPr>
              <w:t>(mg/kg/day)</w:t>
            </w:r>
          </w:p>
          <w:p w:rsidR="00042D5E" w:rsidRDefault="007D5BFA">
            <w:pPr>
              <w:pStyle w:val="TableParagraph"/>
              <w:ind w:left="260" w:right="243" w:firstLine="2"/>
              <w:rPr>
                <w:b/>
                <w:sz w:val="20"/>
              </w:rPr>
            </w:pPr>
            <w:r>
              <w:rPr>
                <w:b/>
                <w:sz w:val="20"/>
              </w:rPr>
              <w:t xml:space="preserve">[Human </w:t>
            </w:r>
            <w:r>
              <w:rPr>
                <w:b/>
                <w:w w:val="95"/>
                <w:sz w:val="20"/>
              </w:rPr>
              <w:t xml:space="preserve">Equivalent </w:t>
            </w:r>
            <w:r>
              <w:rPr>
                <w:b/>
                <w:sz w:val="20"/>
              </w:rPr>
              <w:t>Dose]</w:t>
            </w:r>
          </w:p>
        </w:tc>
        <w:tc>
          <w:tcPr>
            <w:tcW w:w="808" w:type="dxa"/>
            <w:vMerge w:val="restart"/>
            <w:tcBorders>
              <w:left w:val="single" w:sz="2" w:space="0" w:color="000000"/>
              <w:bottom w:val="single" w:sz="2" w:space="0" w:color="000000"/>
              <w:right w:val="single" w:sz="2" w:space="0" w:color="000000"/>
            </w:tcBorders>
          </w:tcPr>
          <w:p w:rsidR="00042D5E" w:rsidRDefault="00042D5E">
            <w:pPr>
              <w:pStyle w:val="TableParagraph"/>
              <w:jc w:val="left"/>
              <w:rPr>
                <w:b/>
              </w:rPr>
            </w:pPr>
          </w:p>
          <w:p w:rsidR="00042D5E" w:rsidRDefault="00042D5E">
            <w:pPr>
              <w:pStyle w:val="TableParagraph"/>
              <w:spacing w:before="11"/>
              <w:jc w:val="left"/>
              <w:rPr>
                <w:b/>
                <w:sz w:val="24"/>
              </w:rPr>
            </w:pPr>
          </w:p>
          <w:p w:rsidR="00042D5E" w:rsidRDefault="007D5BFA">
            <w:pPr>
              <w:pStyle w:val="TableParagraph"/>
              <w:ind w:left="258"/>
              <w:jc w:val="left"/>
              <w:rPr>
                <w:b/>
                <w:sz w:val="20"/>
              </w:rPr>
            </w:pPr>
            <w:r>
              <w:rPr>
                <w:b/>
                <w:sz w:val="20"/>
              </w:rPr>
              <w:t>Sex</w:t>
            </w:r>
          </w:p>
        </w:tc>
        <w:tc>
          <w:tcPr>
            <w:tcW w:w="1079" w:type="dxa"/>
            <w:vMerge w:val="restart"/>
            <w:tcBorders>
              <w:left w:val="single" w:sz="2" w:space="0" w:color="000000"/>
              <w:bottom w:val="single" w:sz="2" w:space="0" w:color="000000"/>
              <w:right w:val="single" w:sz="2" w:space="0" w:color="000000"/>
            </w:tcBorders>
          </w:tcPr>
          <w:p w:rsidR="00042D5E" w:rsidRDefault="007D5BFA">
            <w:pPr>
              <w:pStyle w:val="TableParagraph"/>
              <w:spacing w:before="175"/>
              <w:ind w:left="120" w:right="101"/>
              <w:rPr>
                <w:b/>
                <w:sz w:val="20"/>
              </w:rPr>
            </w:pPr>
            <w:r>
              <w:rPr>
                <w:b/>
                <w:w w:val="95"/>
                <w:sz w:val="20"/>
              </w:rPr>
              <w:t xml:space="preserve">Steady </w:t>
            </w:r>
            <w:r>
              <w:rPr>
                <w:b/>
                <w:sz w:val="20"/>
              </w:rPr>
              <w:t>State</w:t>
            </w:r>
          </w:p>
          <w:p w:rsidR="00042D5E" w:rsidRDefault="007D5BFA">
            <w:pPr>
              <w:pStyle w:val="TableParagraph"/>
              <w:spacing w:before="55" w:line="223" w:lineRule="auto"/>
              <w:ind w:left="196" w:right="178" w:firstLine="5"/>
              <w:rPr>
                <w:b/>
                <w:sz w:val="20"/>
              </w:rPr>
            </w:pPr>
            <w:r>
              <w:rPr>
                <w:b/>
                <w:position w:val="3"/>
                <w:sz w:val="20"/>
              </w:rPr>
              <w:t>C</w:t>
            </w:r>
            <w:r>
              <w:rPr>
                <w:b/>
                <w:sz w:val="13"/>
              </w:rPr>
              <w:t xml:space="preserve">max </w:t>
            </w:r>
            <w:r>
              <w:rPr>
                <w:b/>
                <w:w w:val="95"/>
                <w:sz w:val="20"/>
              </w:rPr>
              <w:t>(ug/mL)</w:t>
            </w:r>
          </w:p>
        </w:tc>
        <w:tc>
          <w:tcPr>
            <w:tcW w:w="1350" w:type="dxa"/>
            <w:vMerge w:val="restart"/>
            <w:tcBorders>
              <w:left w:val="single" w:sz="2" w:space="0" w:color="000000"/>
              <w:bottom w:val="single" w:sz="2" w:space="0" w:color="000000"/>
              <w:right w:val="single" w:sz="2" w:space="0" w:color="000000"/>
            </w:tcBorders>
          </w:tcPr>
          <w:p w:rsidR="00042D5E" w:rsidRDefault="00042D5E">
            <w:pPr>
              <w:pStyle w:val="TableParagraph"/>
              <w:spacing w:before="3"/>
              <w:jc w:val="left"/>
              <w:rPr>
                <w:b/>
                <w:sz w:val="25"/>
              </w:rPr>
            </w:pPr>
          </w:p>
          <w:p w:rsidR="00042D5E" w:rsidRDefault="007D5BFA">
            <w:pPr>
              <w:pStyle w:val="TableParagraph"/>
              <w:spacing w:line="280" w:lineRule="auto"/>
              <w:ind w:left="401" w:right="112" w:hanging="250"/>
              <w:jc w:val="left"/>
              <w:rPr>
                <w:b/>
                <w:sz w:val="20"/>
              </w:rPr>
            </w:pPr>
            <w:r>
              <w:rPr>
                <w:b/>
                <w:sz w:val="20"/>
              </w:rPr>
              <w:t>Steady State AUC</w:t>
            </w:r>
            <w:r>
              <w:rPr>
                <w:b/>
                <w:sz w:val="20"/>
                <w:vertAlign w:val="subscript"/>
              </w:rPr>
              <w:t>24</w:t>
            </w:r>
          </w:p>
          <w:p w:rsidR="00042D5E" w:rsidRDefault="007D5BFA">
            <w:pPr>
              <w:pStyle w:val="TableParagraph"/>
              <w:spacing w:line="191" w:lineRule="exact"/>
              <w:ind w:left="142"/>
              <w:jc w:val="left"/>
              <w:rPr>
                <w:b/>
                <w:sz w:val="20"/>
              </w:rPr>
            </w:pPr>
            <w:r>
              <w:rPr>
                <w:b/>
                <w:sz w:val="20"/>
              </w:rPr>
              <w:t>(ug•day/mL)</w:t>
            </w:r>
          </w:p>
        </w:tc>
        <w:tc>
          <w:tcPr>
            <w:tcW w:w="2020" w:type="dxa"/>
            <w:tcBorders>
              <w:left w:val="single" w:sz="2" w:space="0" w:color="000000"/>
              <w:bottom w:val="single" w:sz="2" w:space="0" w:color="000000"/>
            </w:tcBorders>
          </w:tcPr>
          <w:p w:rsidR="00042D5E" w:rsidRDefault="007D5BFA">
            <w:pPr>
              <w:pStyle w:val="TableParagraph"/>
              <w:spacing w:before="41"/>
              <w:ind w:left="172" w:right="148"/>
              <w:rPr>
                <w:b/>
                <w:sz w:val="20"/>
              </w:rPr>
            </w:pPr>
            <w:r>
              <w:rPr>
                <w:b/>
                <w:sz w:val="20"/>
              </w:rPr>
              <w:t>Based on Estimated Efficacious Human Equivalent Dose</w:t>
            </w:r>
          </w:p>
        </w:tc>
      </w:tr>
      <w:tr w:rsidR="00042D5E">
        <w:trPr>
          <w:trHeight w:val="535"/>
        </w:trPr>
        <w:tc>
          <w:tcPr>
            <w:tcW w:w="1070" w:type="dxa"/>
            <w:vMerge/>
            <w:tcBorders>
              <w:top w:val="nil"/>
              <w:bottom w:val="single" w:sz="2" w:space="0" w:color="000000"/>
              <w:right w:val="single" w:sz="2" w:space="0" w:color="000000"/>
            </w:tcBorders>
          </w:tcPr>
          <w:p w:rsidR="00042D5E" w:rsidRDefault="00042D5E">
            <w:pPr>
              <w:rPr>
                <w:sz w:val="2"/>
                <w:szCs w:val="2"/>
              </w:rPr>
            </w:pPr>
          </w:p>
        </w:tc>
        <w:tc>
          <w:tcPr>
            <w:tcW w:w="1473"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1442"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808"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1079"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1350" w:type="dxa"/>
            <w:vMerge/>
            <w:tcBorders>
              <w:top w:val="nil"/>
              <w:left w:val="single" w:sz="2" w:space="0" w:color="000000"/>
              <w:bottom w:val="single" w:sz="2" w:space="0" w:color="000000"/>
              <w:right w:val="single" w:sz="2" w:space="0" w:color="000000"/>
            </w:tcBorders>
          </w:tcPr>
          <w:p w:rsidR="00042D5E" w:rsidRDefault="00042D5E">
            <w:pPr>
              <w:rPr>
                <w:sz w:val="2"/>
                <w:szCs w:val="2"/>
              </w:rPr>
            </w:pPr>
          </w:p>
        </w:tc>
        <w:tc>
          <w:tcPr>
            <w:tcW w:w="2020" w:type="dxa"/>
            <w:tcBorders>
              <w:top w:val="single" w:sz="2" w:space="0" w:color="000000"/>
              <w:left w:val="single" w:sz="2" w:space="0" w:color="000000"/>
              <w:bottom w:val="single" w:sz="2" w:space="0" w:color="000000"/>
            </w:tcBorders>
          </w:tcPr>
          <w:p w:rsidR="00042D5E" w:rsidRDefault="007D5BFA">
            <w:pPr>
              <w:pStyle w:val="TableParagraph"/>
              <w:spacing w:before="151"/>
              <w:ind w:left="171" w:right="148"/>
              <w:rPr>
                <w:b/>
                <w:sz w:val="20"/>
              </w:rPr>
            </w:pPr>
            <w:r>
              <w:rPr>
                <w:b/>
                <w:sz w:val="20"/>
              </w:rPr>
              <w:t>Exposure Margin†</w:t>
            </w:r>
          </w:p>
        </w:tc>
      </w:tr>
      <w:tr w:rsidR="00042D5E">
        <w:trPr>
          <w:trHeight w:val="575"/>
        </w:trPr>
        <w:tc>
          <w:tcPr>
            <w:tcW w:w="1070" w:type="dxa"/>
            <w:vMerge w:val="restart"/>
            <w:tcBorders>
              <w:top w:val="single" w:sz="2" w:space="0" w:color="000000"/>
              <w:right w:val="single" w:sz="2" w:space="0" w:color="000000"/>
            </w:tcBorders>
          </w:tcPr>
          <w:p w:rsidR="00042D5E" w:rsidRDefault="00042D5E">
            <w:pPr>
              <w:pStyle w:val="TableParagraph"/>
              <w:jc w:val="left"/>
              <w:rPr>
                <w:b/>
              </w:rPr>
            </w:pPr>
          </w:p>
          <w:p w:rsidR="00042D5E" w:rsidRDefault="00042D5E">
            <w:pPr>
              <w:pStyle w:val="TableParagraph"/>
              <w:jc w:val="left"/>
              <w:rPr>
                <w:b/>
              </w:rPr>
            </w:pPr>
          </w:p>
          <w:p w:rsidR="00042D5E" w:rsidRDefault="00042D5E">
            <w:pPr>
              <w:pStyle w:val="TableParagraph"/>
              <w:spacing w:before="6"/>
              <w:jc w:val="left"/>
              <w:rPr>
                <w:b/>
                <w:sz w:val="21"/>
              </w:rPr>
            </w:pPr>
          </w:p>
          <w:p w:rsidR="00042D5E" w:rsidRDefault="007D5BFA">
            <w:pPr>
              <w:pStyle w:val="TableParagraph"/>
              <w:ind w:left="134"/>
              <w:jc w:val="left"/>
              <w:rPr>
                <w:sz w:val="20"/>
              </w:rPr>
            </w:pPr>
            <w:r>
              <w:rPr>
                <w:sz w:val="20"/>
              </w:rPr>
              <w:t>20076945</w:t>
            </w:r>
          </w:p>
        </w:tc>
        <w:tc>
          <w:tcPr>
            <w:tcW w:w="1473" w:type="dxa"/>
            <w:vMerge w:val="restart"/>
            <w:tcBorders>
              <w:top w:val="single" w:sz="2" w:space="0" w:color="000000"/>
              <w:left w:val="single" w:sz="2" w:space="0" w:color="000000"/>
              <w:right w:val="single" w:sz="2" w:space="0" w:color="000000"/>
            </w:tcBorders>
          </w:tcPr>
          <w:p w:rsidR="00042D5E" w:rsidRDefault="00042D5E">
            <w:pPr>
              <w:pStyle w:val="TableParagraph"/>
              <w:jc w:val="left"/>
              <w:rPr>
                <w:b/>
              </w:rPr>
            </w:pPr>
          </w:p>
          <w:p w:rsidR="00042D5E" w:rsidRDefault="007D5BFA">
            <w:pPr>
              <w:pStyle w:val="TableParagraph"/>
              <w:spacing w:before="158"/>
              <w:ind w:left="273" w:right="225" w:hanging="44"/>
              <w:jc w:val="left"/>
              <w:rPr>
                <w:sz w:val="20"/>
              </w:rPr>
            </w:pPr>
            <w:r>
              <w:rPr>
                <w:w w:val="95"/>
                <w:sz w:val="20"/>
              </w:rPr>
              <w:t xml:space="preserve">Cynomolgus </w:t>
            </w:r>
            <w:r>
              <w:rPr>
                <w:sz w:val="20"/>
              </w:rPr>
              <w:t>Monkeys / 4 weeks / intravenous</w:t>
            </w:r>
          </w:p>
        </w:tc>
        <w:tc>
          <w:tcPr>
            <w:tcW w:w="1442"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36"/>
              <w:ind w:left="465" w:right="446"/>
              <w:rPr>
                <w:sz w:val="20"/>
              </w:rPr>
            </w:pPr>
            <w:r>
              <w:rPr>
                <w:sz w:val="20"/>
              </w:rPr>
              <w:t>12</w:t>
            </w:r>
          </w:p>
          <w:p w:rsidR="00042D5E" w:rsidRDefault="007D5BFA">
            <w:pPr>
              <w:pStyle w:val="TableParagraph"/>
              <w:spacing w:before="39"/>
              <w:ind w:left="465" w:right="447"/>
              <w:rPr>
                <w:sz w:val="20"/>
              </w:rPr>
            </w:pPr>
            <w:r>
              <w:rPr>
                <w:sz w:val="20"/>
              </w:rPr>
              <w:t>[3.84]</w:t>
            </w:r>
          </w:p>
        </w:tc>
        <w:tc>
          <w:tcPr>
            <w:tcW w:w="808"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55"/>
              <w:ind w:left="354" w:right="116" w:hanging="204"/>
              <w:jc w:val="left"/>
              <w:rPr>
                <w:sz w:val="20"/>
              </w:rPr>
            </w:pPr>
            <w:r>
              <w:rPr>
                <w:sz w:val="20"/>
              </w:rPr>
              <w:t>M and F</w:t>
            </w:r>
          </w:p>
        </w:tc>
        <w:tc>
          <w:tcPr>
            <w:tcW w:w="1079"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70"/>
              <w:ind w:left="120" w:right="101"/>
              <w:rPr>
                <w:sz w:val="20"/>
              </w:rPr>
            </w:pPr>
            <w:r>
              <w:rPr>
                <w:sz w:val="20"/>
              </w:rPr>
              <w:t xml:space="preserve">530 </w:t>
            </w:r>
            <w:r>
              <w:rPr>
                <w:sz w:val="20"/>
                <w:u w:val="single"/>
              </w:rPr>
              <w:t>+</w:t>
            </w:r>
            <w:r>
              <w:rPr>
                <w:sz w:val="20"/>
              </w:rPr>
              <w:t xml:space="preserve"> 183</w:t>
            </w:r>
          </w:p>
        </w:tc>
        <w:tc>
          <w:tcPr>
            <w:tcW w:w="1350"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70"/>
              <w:ind w:left="226"/>
              <w:jc w:val="left"/>
              <w:rPr>
                <w:sz w:val="20"/>
              </w:rPr>
            </w:pPr>
            <w:r>
              <w:rPr>
                <w:sz w:val="20"/>
              </w:rPr>
              <w:t xml:space="preserve">2130 </w:t>
            </w:r>
            <w:r>
              <w:rPr>
                <w:sz w:val="20"/>
                <w:u w:val="single"/>
              </w:rPr>
              <w:t>+</w:t>
            </w:r>
            <w:r>
              <w:rPr>
                <w:sz w:val="20"/>
              </w:rPr>
              <w:t xml:space="preserve"> 610</w:t>
            </w:r>
          </w:p>
        </w:tc>
        <w:tc>
          <w:tcPr>
            <w:tcW w:w="2020" w:type="dxa"/>
            <w:tcBorders>
              <w:top w:val="single" w:sz="2" w:space="0" w:color="000000"/>
              <w:left w:val="single" w:sz="2" w:space="0" w:color="000000"/>
              <w:bottom w:val="single" w:sz="2" w:space="0" w:color="000000"/>
            </w:tcBorders>
          </w:tcPr>
          <w:p w:rsidR="00042D5E" w:rsidRDefault="007D5BFA">
            <w:pPr>
              <w:pStyle w:val="TableParagraph"/>
              <w:spacing w:before="170"/>
              <w:ind w:left="172" w:right="146"/>
              <w:rPr>
                <w:sz w:val="20"/>
              </w:rPr>
            </w:pPr>
            <w:r>
              <w:rPr>
                <w:sz w:val="20"/>
              </w:rPr>
              <w:t>4.8</w:t>
            </w:r>
          </w:p>
        </w:tc>
      </w:tr>
      <w:tr w:rsidR="00042D5E">
        <w:trPr>
          <w:trHeight w:val="570"/>
        </w:trPr>
        <w:tc>
          <w:tcPr>
            <w:tcW w:w="1070" w:type="dxa"/>
            <w:vMerge/>
            <w:tcBorders>
              <w:top w:val="nil"/>
              <w:right w:val="single" w:sz="2" w:space="0" w:color="000000"/>
            </w:tcBorders>
          </w:tcPr>
          <w:p w:rsidR="00042D5E" w:rsidRDefault="00042D5E">
            <w:pPr>
              <w:rPr>
                <w:sz w:val="2"/>
                <w:szCs w:val="2"/>
              </w:rPr>
            </w:pPr>
          </w:p>
        </w:tc>
        <w:tc>
          <w:tcPr>
            <w:tcW w:w="1473" w:type="dxa"/>
            <w:vMerge/>
            <w:tcBorders>
              <w:top w:val="nil"/>
              <w:left w:val="single" w:sz="2" w:space="0" w:color="000000"/>
              <w:right w:val="single" w:sz="2" w:space="0" w:color="000000"/>
            </w:tcBorders>
          </w:tcPr>
          <w:p w:rsidR="00042D5E" w:rsidRDefault="00042D5E">
            <w:pPr>
              <w:rPr>
                <w:sz w:val="2"/>
                <w:szCs w:val="2"/>
              </w:rPr>
            </w:pPr>
          </w:p>
        </w:tc>
        <w:tc>
          <w:tcPr>
            <w:tcW w:w="1442"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29"/>
              <w:ind w:left="465" w:right="446"/>
              <w:rPr>
                <w:sz w:val="20"/>
              </w:rPr>
            </w:pPr>
            <w:r>
              <w:rPr>
                <w:sz w:val="20"/>
              </w:rPr>
              <w:t>18</w:t>
            </w:r>
          </w:p>
          <w:p w:rsidR="00042D5E" w:rsidRDefault="007D5BFA">
            <w:pPr>
              <w:pStyle w:val="TableParagraph"/>
              <w:spacing w:before="39"/>
              <w:ind w:left="465" w:right="447"/>
              <w:rPr>
                <w:sz w:val="20"/>
              </w:rPr>
            </w:pPr>
            <w:r>
              <w:rPr>
                <w:sz w:val="20"/>
              </w:rPr>
              <w:t>[5.76]</w:t>
            </w:r>
          </w:p>
        </w:tc>
        <w:tc>
          <w:tcPr>
            <w:tcW w:w="808"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50"/>
              <w:ind w:left="354" w:right="116" w:hanging="204"/>
              <w:jc w:val="left"/>
              <w:rPr>
                <w:sz w:val="20"/>
              </w:rPr>
            </w:pPr>
            <w:r>
              <w:rPr>
                <w:sz w:val="20"/>
              </w:rPr>
              <w:t>M and F</w:t>
            </w:r>
          </w:p>
        </w:tc>
        <w:tc>
          <w:tcPr>
            <w:tcW w:w="1079"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63"/>
              <w:ind w:left="120" w:right="101"/>
              <w:rPr>
                <w:sz w:val="20"/>
              </w:rPr>
            </w:pPr>
            <w:r>
              <w:rPr>
                <w:sz w:val="20"/>
              </w:rPr>
              <w:t xml:space="preserve">633 </w:t>
            </w:r>
            <w:r>
              <w:rPr>
                <w:sz w:val="20"/>
                <w:u w:val="single"/>
              </w:rPr>
              <w:t>+</w:t>
            </w:r>
            <w:r>
              <w:rPr>
                <w:sz w:val="20"/>
              </w:rPr>
              <w:t xml:space="preserve"> 111</w:t>
            </w:r>
          </w:p>
        </w:tc>
        <w:tc>
          <w:tcPr>
            <w:tcW w:w="1350"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63"/>
              <w:ind w:left="226"/>
              <w:jc w:val="left"/>
              <w:rPr>
                <w:sz w:val="20"/>
              </w:rPr>
            </w:pPr>
            <w:r>
              <w:rPr>
                <w:sz w:val="20"/>
              </w:rPr>
              <w:t xml:space="preserve">2620 </w:t>
            </w:r>
            <w:r>
              <w:rPr>
                <w:sz w:val="20"/>
                <w:u w:val="single"/>
              </w:rPr>
              <w:t>+</w:t>
            </w:r>
            <w:r>
              <w:rPr>
                <w:sz w:val="20"/>
              </w:rPr>
              <w:t xml:space="preserve"> 576</w:t>
            </w:r>
          </w:p>
        </w:tc>
        <w:tc>
          <w:tcPr>
            <w:tcW w:w="2020" w:type="dxa"/>
            <w:tcBorders>
              <w:top w:val="single" w:sz="2" w:space="0" w:color="000000"/>
              <w:left w:val="single" w:sz="2" w:space="0" w:color="000000"/>
              <w:bottom w:val="single" w:sz="2" w:space="0" w:color="000000"/>
            </w:tcBorders>
          </w:tcPr>
          <w:p w:rsidR="00042D5E" w:rsidRDefault="007D5BFA">
            <w:pPr>
              <w:pStyle w:val="TableParagraph"/>
              <w:spacing w:before="163"/>
              <w:ind w:left="172" w:right="146"/>
              <w:rPr>
                <w:sz w:val="20"/>
              </w:rPr>
            </w:pPr>
            <w:r>
              <w:rPr>
                <w:sz w:val="20"/>
              </w:rPr>
              <w:t>7.2</w:t>
            </w:r>
          </w:p>
        </w:tc>
      </w:tr>
      <w:tr w:rsidR="00042D5E">
        <w:trPr>
          <w:trHeight w:val="575"/>
        </w:trPr>
        <w:tc>
          <w:tcPr>
            <w:tcW w:w="1070" w:type="dxa"/>
            <w:vMerge/>
            <w:tcBorders>
              <w:top w:val="nil"/>
              <w:right w:val="single" w:sz="2" w:space="0" w:color="000000"/>
            </w:tcBorders>
          </w:tcPr>
          <w:p w:rsidR="00042D5E" w:rsidRDefault="00042D5E">
            <w:pPr>
              <w:rPr>
                <w:sz w:val="2"/>
                <w:szCs w:val="2"/>
              </w:rPr>
            </w:pPr>
          </w:p>
        </w:tc>
        <w:tc>
          <w:tcPr>
            <w:tcW w:w="1473" w:type="dxa"/>
            <w:vMerge/>
            <w:tcBorders>
              <w:top w:val="nil"/>
              <w:left w:val="single" w:sz="2" w:space="0" w:color="000000"/>
              <w:right w:val="single" w:sz="2" w:space="0" w:color="000000"/>
            </w:tcBorders>
          </w:tcPr>
          <w:p w:rsidR="00042D5E" w:rsidRDefault="00042D5E">
            <w:pPr>
              <w:rPr>
                <w:sz w:val="2"/>
                <w:szCs w:val="2"/>
              </w:rPr>
            </w:pPr>
          </w:p>
        </w:tc>
        <w:tc>
          <w:tcPr>
            <w:tcW w:w="1442" w:type="dxa"/>
            <w:tcBorders>
              <w:top w:val="single" w:sz="2" w:space="0" w:color="000000"/>
              <w:left w:val="single" w:sz="2" w:space="0" w:color="000000"/>
              <w:right w:val="single" w:sz="2" w:space="0" w:color="000000"/>
            </w:tcBorders>
          </w:tcPr>
          <w:p w:rsidR="00042D5E" w:rsidRDefault="007D5BFA">
            <w:pPr>
              <w:pStyle w:val="TableParagraph"/>
              <w:spacing w:before="29"/>
              <w:ind w:left="465" w:right="446"/>
              <w:rPr>
                <w:sz w:val="20"/>
              </w:rPr>
            </w:pPr>
            <w:r>
              <w:rPr>
                <w:sz w:val="20"/>
              </w:rPr>
              <w:t>24</w:t>
            </w:r>
          </w:p>
          <w:p w:rsidR="00042D5E" w:rsidRDefault="007D5BFA">
            <w:pPr>
              <w:pStyle w:val="TableParagraph"/>
              <w:spacing w:before="39"/>
              <w:ind w:left="465" w:right="447"/>
              <w:rPr>
                <w:sz w:val="20"/>
              </w:rPr>
            </w:pPr>
            <w:r>
              <w:rPr>
                <w:sz w:val="20"/>
              </w:rPr>
              <w:t>[7.68]</w:t>
            </w:r>
          </w:p>
        </w:tc>
        <w:tc>
          <w:tcPr>
            <w:tcW w:w="808" w:type="dxa"/>
            <w:tcBorders>
              <w:top w:val="single" w:sz="2" w:space="0" w:color="000000"/>
              <w:left w:val="single" w:sz="2" w:space="0" w:color="000000"/>
              <w:right w:val="single" w:sz="2" w:space="0" w:color="000000"/>
            </w:tcBorders>
          </w:tcPr>
          <w:p w:rsidR="00042D5E" w:rsidRDefault="007D5BFA">
            <w:pPr>
              <w:pStyle w:val="TableParagraph"/>
              <w:spacing w:before="48"/>
              <w:ind w:left="354" w:right="116" w:hanging="204"/>
              <w:jc w:val="left"/>
              <w:rPr>
                <w:sz w:val="20"/>
              </w:rPr>
            </w:pPr>
            <w:r>
              <w:rPr>
                <w:sz w:val="20"/>
              </w:rPr>
              <w:t>M and F</w:t>
            </w:r>
          </w:p>
        </w:tc>
        <w:tc>
          <w:tcPr>
            <w:tcW w:w="1079" w:type="dxa"/>
            <w:tcBorders>
              <w:top w:val="single" w:sz="2" w:space="0" w:color="000000"/>
              <w:left w:val="single" w:sz="2" w:space="0" w:color="000000"/>
              <w:right w:val="single" w:sz="2" w:space="0" w:color="000000"/>
            </w:tcBorders>
          </w:tcPr>
          <w:p w:rsidR="00042D5E" w:rsidRDefault="007D5BFA">
            <w:pPr>
              <w:pStyle w:val="TableParagraph"/>
              <w:spacing w:before="163"/>
              <w:ind w:left="120" w:right="101"/>
              <w:rPr>
                <w:sz w:val="20"/>
              </w:rPr>
            </w:pPr>
            <w:r>
              <w:rPr>
                <w:sz w:val="20"/>
              </w:rPr>
              <w:t xml:space="preserve">997 </w:t>
            </w:r>
            <w:r>
              <w:rPr>
                <w:sz w:val="20"/>
                <w:u w:val="single"/>
              </w:rPr>
              <w:t>+</w:t>
            </w:r>
            <w:r>
              <w:rPr>
                <w:sz w:val="20"/>
              </w:rPr>
              <w:t xml:space="preserve"> 419</w:t>
            </w:r>
          </w:p>
        </w:tc>
        <w:tc>
          <w:tcPr>
            <w:tcW w:w="1350" w:type="dxa"/>
            <w:tcBorders>
              <w:top w:val="single" w:sz="2" w:space="0" w:color="000000"/>
              <w:left w:val="single" w:sz="2" w:space="0" w:color="000000"/>
              <w:right w:val="single" w:sz="2" w:space="0" w:color="000000"/>
            </w:tcBorders>
          </w:tcPr>
          <w:p w:rsidR="00042D5E" w:rsidRDefault="007D5BFA">
            <w:pPr>
              <w:pStyle w:val="TableParagraph"/>
              <w:spacing w:before="163"/>
              <w:ind w:left="175"/>
              <w:jc w:val="left"/>
              <w:rPr>
                <w:sz w:val="20"/>
              </w:rPr>
            </w:pPr>
            <w:r>
              <w:rPr>
                <w:sz w:val="20"/>
              </w:rPr>
              <w:t xml:space="preserve">3870 </w:t>
            </w:r>
            <w:r>
              <w:rPr>
                <w:sz w:val="20"/>
                <w:u w:val="single"/>
              </w:rPr>
              <w:t>+</w:t>
            </w:r>
            <w:r>
              <w:rPr>
                <w:sz w:val="20"/>
              </w:rPr>
              <w:t xml:space="preserve"> 1760</w:t>
            </w:r>
          </w:p>
        </w:tc>
        <w:tc>
          <w:tcPr>
            <w:tcW w:w="2020" w:type="dxa"/>
            <w:tcBorders>
              <w:top w:val="single" w:sz="2" w:space="0" w:color="000000"/>
              <w:left w:val="single" w:sz="2" w:space="0" w:color="000000"/>
            </w:tcBorders>
          </w:tcPr>
          <w:p w:rsidR="00042D5E" w:rsidRDefault="007D5BFA">
            <w:pPr>
              <w:pStyle w:val="TableParagraph"/>
              <w:spacing w:before="163"/>
              <w:ind w:left="172" w:right="146"/>
              <w:rPr>
                <w:sz w:val="20"/>
              </w:rPr>
            </w:pPr>
            <w:r>
              <w:rPr>
                <w:sz w:val="20"/>
              </w:rPr>
              <w:t>9.6</w:t>
            </w:r>
          </w:p>
        </w:tc>
      </w:tr>
    </w:tbl>
    <w:p w:rsidR="00042D5E" w:rsidRDefault="007D5BFA">
      <w:pPr>
        <w:spacing w:before="54"/>
        <w:ind w:left="232" w:right="716"/>
        <w:rPr>
          <w:sz w:val="20"/>
        </w:rPr>
      </w:pPr>
      <w:r>
        <w:rPr>
          <w:sz w:val="20"/>
        </w:rPr>
        <w:t>† Based on nonclinical pharmacology dose (10 mg/kg), (Study report RD15-005), and a calculated Human Equivalent Dose of 0.8 mg/kg for mice.</w:t>
      </w:r>
    </w:p>
    <w:p w:rsidR="00042D5E" w:rsidRDefault="007D5BFA">
      <w:pPr>
        <w:spacing w:before="61"/>
        <w:ind w:left="232"/>
        <w:rPr>
          <w:sz w:val="20"/>
        </w:rPr>
      </w:pPr>
      <w:r>
        <w:rPr>
          <w:sz w:val="20"/>
        </w:rPr>
        <w:t>Source: (Study 20076945, Text Table 17)</w:t>
      </w:r>
    </w:p>
    <w:p w:rsidR="00042D5E" w:rsidRDefault="00042D5E">
      <w:pPr>
        <w:rPr>
          <w:sz w:val="20"/>
        </w:rPr>
        <w:sectPr w:rsidR="00042D5E">
          <w:pgSz w:w="12240" w:h="15840"/>
          <w:pgMar w:top="1240" w:right="1360" w:bottom="940" w:left="1380" w:header="578" w:footer="746" w:gutter="0"/>
          <w:cols w:space="720"/>
        </w:sectPr>
      </w:pPr>
    </w:p>
    <w:p w:rsidR="00042D5E" w:rsidRDefault="00042D5E">
      <w:pPr>
        <w:pStyle w:val="a3"/>
        <w:rPr>
          <w:sz w:val="20"/>
        </w:rPr>
      </w:pPr>
    </w:p>
    <w:p w:rsidR="00042D5E" w:rsidRDefault="007D5BFA">
      <w:pPr>
        <w:pStyle w:val="3"/>
        <w:tabs>
          <w:tab w:val="left" w:pos="1651"/>
        </w:tabs>
      </w:pPr>
      <w:bookmarkStart w:id="51" w:name="_bookmark79"/>
      <w:bookmarkEnd w:id="51"/>
      <w:r>
        <w:t>Table</w:t>
      </w:r>
      <w:r>
        <w:rPr>
          <w:spacing w:val="-1"/>
        </w:rPr>
        <w:t xml:space="preserve"> </w:t>
      </w:r>
      <w:r>
        <w:t>19</w:t>
      </w:r>
      <w:r>
        <w:tab/>
        <w:t>Potential Safety Concerns of</w:t>
      </w:r>
      <w:r>
        <w:rPr>
          <w:spacing w:val="-4"/>
        </w:rPr>
        <w:t xml:space="preserve"> </w:t>
      </w:r>
      <w:r w:rsidR="00BB321B">
        <w:t>PROJECT 15</w:t>
      </w:r>
    </w:p>
    <w:p w:rsidR="00042D5E" w:rsidRDefault="00042D5E">
      <w:pPr>
        <w:pStyle w:val="a3"/>
        <w:spacing w:before="5"/>
        <w:rPr>
          <w:b/>
          <w:sz w:val="5"/>
        </w:rPr>
      </w:pPr>
    </w:p>
    <w:tbl>
      <w:tblPr>
        <w:tblStyle w:val="TableNormal"/>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84"/>
        <w:gridCol w:w="3504"/>
        <w:gridCol w:w="2645"/>
      </w:tblGrid>
      <w:tr w:rsidR="00042D5E">
        <w:trPr>
          <w:trHeight w:val="270"/>
        </w:trPr>
        <w:tc>
          <w:tcPr>
            <w:tcW w:w="3084" w:type="dxa"/>
            <w:tcBorders>
              <w:bottom w:val="single" w:sz="2" w:space="0" w:color="000000"/>
              <w:right w:val="single" w:sz="2" w:space="0" w:color="000000"/>
            </w:tcBorders>
          </w:tcPr>
          <w:p w:rsidR="00042D5E" w:rsidRDefault="007D5BFA">
            <w:pPr>
              <w:pStyle w:val="TableParagraph"/>
              <w:spacing w:before="19"/>
              <w:ind w:left="107"/>
              <w:jc w:val="left"/>
              <w:rPr>
                <w:b/>
                <w:sz w:val="20"/>
              </w:rPr>
            </w:pPr>
            <w:r>
              <w:rPr>
                <w:b/>
                <w:sz w:val="20"/>
              </w:rPr>
              <w:t>Key Safety Targets</w:t>
            </w:r>
          </w:p>
        </w:tc>
        <w:tc>
          <w:tcPr>
            <w:tcW w:w="3504" w:type="dxa"/>
            <w:tcBorders>
              <w:left w:val="single" w:sz="2" w:space="0" w:color="000000"/>
              <w:bottom w:val="single" w:sz="2" w:space="0" w:color="000000"/>
              <w:right w:val="single" w:sz="2" w:space="0" w:color="000000"/>
            </w:tcBorders>
          </w:tcPr>
          <w:p w:rsidR="00042D5E" w:rsidRDefault="007D5BFA">
            <w:pPr>
              <w:pStyle w:val="TableParagraph"/>
              <w:spacing w:before="19"/>
              <w:ind w:left="112"/>
              <w:jc w:val="left"/>
              <w:rPr>
                <w:b/>
                <w:sz w:val="20"/>
              </w:rPr>
            </w:pPr>
            <w:r>
              <w:rPr>
                <w:b/>
                <w:sz w:val="20"/>
              </w:rPr>
              <w:t>Key Observations</w:t>
            </w:r>
          </w:p>
        </w:tc>
        <w:tc>
          <w:tcPr>
            <w:tcW w:w="2645" w:type="dxa"/>
            <w:tcBorders>
              <w:left w:val="single" w:sz="2" w:space="0" w:color="000000"/>
              <w:bottom w:val="single" w:sz="2" w:space="0" w:color="000000"/>
            </w:tcBorders>
          </w:tcPr>
          <w:p w:rsidR="00042D5E" w:rsidRDefault="007D5BFA">
            <w:pPr>
              <w:pStyle w:val="TableParagraph"/>
              <w:spacing w:before="19"/>
              <w:ind w:left="112"/>
              <w:jc w:val="left"/>
              <w:rPr>
                <w:b/>
                <w:sz w:val="20"/>
              </w:rPr>
            </w:pPr>
            <w:r>
              <w:rPr>
                <w:b/>
                <w:sz w:val="20"/>
              </w:rPr>
              <w:t>Relevance to Human Usage</w:t>
            </w:r>
          </w:p>
        </w:tc>
      </w:tr>
      <w:tr w:rsidR="00042D5E">
        <w:trPr>
          <w:trHeight w:val="1879"/>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Liver</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right="114"/>
              <w:jc w:val="left"/>
              <w:rPr>
                <w:sz w:val="20"/>
              </w:rPr>
            </w:pPr>
            <w:r>
              <w:rPr>
                <w:sz w:val="20"/>
              </w:rPr>
              <w:t>Minimal to moderate increase in AST and ALT. Mild multifocal sinusoidal ectasia (dilation) at the highest dose tested (24 mg/kg).  This finding persisted in the male monkey at the end of the recovery period. Also noted at the end of the recovery period was mild multifocal centrilobular</w:t>
            </w:r>
            <w:r>
              <w:rPr>
                <w:spacing w:val="-3"/>
                <w:sz w:val="20"/>
              </w:rPr>
              <w:t xml:space="preserve"> </w:t>
            </w:r>
            <w:r>
              <w:rPr>
                <w:sz w:val="20"/>
              </w:rPr>
              <w:t>hypertrophy.</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right="225"/>
              <w:jc w:val="left"/>
              <w:rPr>
                <w:sz w:val="20"/>
              </w:rPr>
            </w:pPr>
            <w:r>
              <w:rPr>
                <w:sz w:val="20"/>
              </w:rPr>
              <w:t>Possible human relevance at the human dose relative to 24 mg/kg dose observed in preclinical studies as well as preliminary findings in ongoing phase 1 study in humans.</w:t>
            </w:r>
          </w:p>
        </w:tc>
      </w:tr>
      <w:tr w:rsidR="00042D5E">
        <w:trPr>
          <w:trHeight w:val="1878"/>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Kidney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right="135"/>
              <w:jc w:val="left"/>
              <w:rPr>
                <w:sz w:val="20"/>
              </w:rPr>
            </w:pPr>
            <w:r>
              <w:rPr>
                <w:sz w:val="20"/>
              </w:rPr>
              <w:t>Following the 6-week recovery period the male but not female recovery animal for the 24 mg/kg dose group, had moderate multifocal mesangio- proliferative glomerulopathy, mild thickening of Bowman’s capsule, mild tubular basophilia, tubular casts and mixed inflammatory cell infiltrates.</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right="231"/>
              <w:jc w:val="left"/>
              <w:rPr>
                <w:sz w:val="20"/>
              </w:rPr>
            </w:pPr>
            <w:r>
              <w:rPr>
                <w:sz w:val="20"/>
              </w:rPr>
              <w:t>Possible human relevance at the human dose relative to 24 mg/kg dose observed in preclinical studies.</w:t>
            </w:r>
          </w:p>
        </w:tc>
      </w:tr>
      <w:tr w:rsidR="00042D5E">
        <w:trPr>
          <w:trHeight w:val="271"/>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Heart / Cardiovascular (incl. QT)</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jc w:val="left"/>
              <w:rPr>
                <w:sz w:val="20"/>
              </w:rPr>
            </w:pPr>
            <w:r>
              <w:rPr>
                <w:sz w:val="20"/>
              </w:rPr>
              <w:t>None.</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jc w:val="left"/>
              <w:rPr>
                <w:sz w:val="20"/>
              </w:rPr>
            </w:pPr>
            <w:r>
              <w:rPr>
                <w:sz w:val="20"/>
              </w:rPr>
              <w:t>None.</w:t>
            </w:r>
          </w:p>
        </w:tc>
      </w:tr>
      <w:tr w:rsidR="00042D5E">
        <w:trPr>
          <w:trHeight w:val="1878"/>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Hematology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right="96"/>
              <w:jc w:val="left"/>
              <w:rPr>
                <w:sz w:val="20"/>
              </w:rPr>
            </w:pPr>
            <w:r>
              <w:rPr>
                <w:sz w:val="20"/>
              </w:rPr>
              <w:t>Decreased red cell mass (red blood cells, hemoglobin, and/or hematocrit) in one animal at the 24 mg/kg dose level. Mild increase in monocyte counts in one animal at the 24 mg/kg dose level.</w:t>
            </w:r>
          </w:p>
          <w:p w:rsidR="00042D5E" w:rsidRDefault="007D5BFA">
            <w:pPr>
              <w:pStyle w:val="TableParagraph"/>
              <w:spacing w:line="242" w:lineRule="auto"/>
              <w:ind w:left="112" w:right="207"/>
              <w:jc w:val="left"/>
              <w:rPr>
                <w:sz w:val="20"/>
              </w:rPr>
            </w:pPr>
            <w:r>
              <w:rPr>
                <w:sz w:val="20"/>
              </w:rPr>
              <w:t>Hematological findings were reversible by the end of the 6-week recovery period.</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right="123"/>
              <w:jc w:val="left"/>
              <w:rPr>
                <w:sz w:val="20"/>
              </w:rPr>
            </w:pPr>
            <w:r>
              <w:rPr>
                <w:sz w:val="20"/>
              </w:rPr>
              <w:t>Possible neutropenia, anemia, thrombocytopenia confounded by disease based on preclinical observations as well as preliminary findings in ongoing phase 1 study.</w:t>
            </w:r>
          </w:p>
        </w:tc>
      </w:tr>
      <w:tr w:rsidR="00042D5E">
        <w:trPr>
          <w:trHeight w:val="271"/>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Genotoxicity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jc w:val="left"/>
              <w:rPr>
                <w:sz w:val="20"/>
              </w:rPr>
            </w:pPr>
            <w:r>
              <w:rPr>
                <w:sz w:val="20"/>
              </w:rPr>
              <w:t>Not performed.</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jc w:val="left"/>
              <w:rPr>
                <w:sz w:val="20"/>
              </w:rPr>
            </w:pPr>
            <w:r>
              <w:rPr>
                <w:sz w:val="20"/>
              </w:rPr>
              <w:t>None.</w:t>
            </w:r>
          </w:p>
        </w:tc>
      </w:tr>
      <w:tr w:rsidR="00042D5E">
        <w:trPr>
          <w:trHeight w:val="268"/>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Reproductive toxicity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jc w:val="left"/>
              <w:rPr>
                <w:sz w:val="20"/>
              </w:rPr>
            </w:pPr>
            <w:r>
              <w:rPr>
                <w:sz w:val="20"/>
              </w:rPr>
              <w:t>Not performed.</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jc w:val="left"/>
              <w:rPr>
                <w:sz w:val="20"/>
              </w:rPr>
            </w:pPr>
            <w:r>
              <w:rPr>
                <w:sz w:val="20"/>
              </w:rPr>
              <w:t>None.</w:t>
            </w:r>
          </w:p>
        </w:tc>
      </w:tr>
      <w:tr w:rsidR="00042D5E">
        <w:trPr>
          <w:trHeight w:val="271"/>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7"/>
              <w:ind w:left="107"/>
              <w:jc w:val="left"/>
              <w:rPr>
                <w:sz w:val="20"/>
              </w:rPr>
            </w:pPr>
            <w:r>
              <w:rPr>
                <w:sz w:val="20"/>
              </w:rPr>
              <w:t>Carcinogenicity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7"/>
              <w:ind w:left="112"/>
              <w:jc w:val="left"/>
              <w:rPr>
                <w:sz w:val="20"/>
              </w:rPr>
            </w:pPr>
            <w:r>
              <w:rPr>
                <w:sz w:val="20"/>
              </w:rPr>
              <w:t>Not performed.</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7"/>
              <w:ind w:left="112"/>
              <w:jc w:val="left"/>
              <w:rPr>
                <w:sz w:val="20"/>
              </w:rPr>
            </w:pPr>
            <w:r>
              <w:rPr>
                <w:sz w:val="20"/>
              </w:rPr>
              <w:t>None.</w:t>
            </w:r>
          </w:p>
        </w:tc>
      </w:tr>
      <w:tr w:rsidR="00042D5E">
        <w:trPr>
          <w:trHeight w:val="729"/>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Ocular toxicity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right="340"/>
              <w:jc w:val="left"/>
              <w:rPr>
                <w:sz w:val="20"/>
              </w:rPr>
            </w:pPr>
            <w:r>
              <w:rPr>
                <w:sz w:val="20"/>
              </w:rPr>
              <w:t>No ocular toxicity observed in animal species.</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right="86"/>
              <w:jc w:val="left"/>
              <w:rPr>
                <w:sz w:val="20"/>
              </w:rPr>
            </w:pPr>
            <w:r>
              <w:rPr>
                <w:sz w:val="20"/>
              </w:rPr>
              <w:t>Possible corneal lesions based on preliminary findings in ongoing phase 1 study.</w:t>
            </w:r>
          </w:p>
        </w:tc>
      </w:tr>
      <w:tr w:rsidR="00042D5E">
        <w:trPr>
          <w:trHeight w:val="959"/>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right="92"/>
              <w:jc w:val="left"/>
              <w:rPr>
                <w:sz w:val="20"/>
              </w:rPr>
            </w:pPr>
            <w:r>
              <w:rPr>
                <w:sz w:val="20"/>
              </w:rPr>
              <w:t>Hypersensitivity reaction/ Infusion- related toxicity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jc w:val="left"/>
              <w:rPr>
                <w:sz w:val="20"/>
              </w:rPr>
            </w:pPr>
            <w:r>
              <w:rPr>
                <w:sz w:val="20"/>
              </w:rPr>
              <w:t>Not performed.</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right="275"/>
              <w:jc w:val="left"/>
              <w:rPr>
                <w:sz w:val="20"/>
              </w:rPr>
            </w:pPr>
            <w:r>
              <w:rPr>
                <w:sz w:val="20"/>
              </w:rPr>
              <w:t>Possible ADC risk or development of anti-ADC antibodies; also observed in ongoing phase 1 study.</w:t>
            </w:r>
          </w:p>
        </w:tc>
      </w:tr>
      <w:tr w:rsidR="00042D5E">
        <w:trPr>
          <w:trHeight w:val="959"/>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ind w:left="107"/>
              <w:jc w:val="left"/>
              <w:rPr>
                <w:sz w:val="20"/>
              </w:rPr>
            </w:pPr>
            <w:r>
              <w:rPr>
                <w:sz w:val="20"/>
              </w:rPr>
              <w:t>Peripheral sensory neuropathy</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jc w:val="left"/>
              <w:rPr>
                <w:sz w:val="20"/>
              </w:rPr>
            </w:pPr>
            <w:r>
              <w:rPr>
                <w:sz w:val="20"/>
              </w:rPr>
              <w:t>Not performed.</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right="81"/>
              <w:jc w:val="left"/>
              <w:rPr>
                <w:sz w:val="20"/>
              </w:rPr>
            </w:pPr>
            <w:r>
              <w:rPr>
                <w:sz w:val="20"/>
              </w:rPr>
              <w:t>Possible clinical sequelae based on mechanism of action of the proprietary cytotoxic moiety.</w:t>
            </w:r>
          </w:p>
        </w:tc>
      </w:tr>
      <w:tr w:rsidR="00042D5E">
        <w:trPr>
          <w:trHeight w:val="501"/>
        </w:trPr>
        <w:tc>
          <w:tcPr>
            <w:tcW w:w="3084" w:type="dxa"/>
            <w:tcBorders>
              <w:top w:val="single" w:sz="2" w:space="0" w:color="000000"/>
              <w:bottom w:val="single" w:sz="2" w:space="0" w:color="000000"/>
              <w:right w:val="single" w:sz="2" w:space="0" w:color="000000"/>
            </w:tcBorders>
          </w:tcPr>
          <w:p w:rsidR="00042D5E" w:rsidRDefault="007D5BFA">
            <w:pPr>
              <w:pStyle w:val="TableParagraph"/>
              <w:spacing w:before="14" w:line="242" w:lineRule="auto"/>
              <w:ind w:left="107" w:right="503"/>
              <w:jc w:val="left"/>
              <w:rPr>
                <w:i/>
                <w:sz w:val="20"/>
              </w:rPr>
            </w:pPr>
            <w:r>
              <w:rPr>
                <w:i/>
                <w:sz w:val="20"/>
              </w:rPr>
              <w:t>Other relevant toxicity-related information</w:t>
            </w:r>
          </w:p>
        </w:tc>
        <w:tc>
          <w:tcPr>
            <w:tcW w:w="3504" w:type="dxa"/>
            <w:tcBorders>
              <w:top w:val="single" w:sz="2" w:space="0" w:color="000000"/>
              <w:left w:val="single" w:sz="2" w:space="0" w:color="000000"/>
              <w:bottom w:val="single" w:sz="2" w:space="0" w:color="000000"/>
              <w:right w:val="single" w:sz="2" w:space="0" w:color="000000"/>
            </w:tcBorders>
          </w:tcPr>
          <w:p w:rsidR="00042D5E" w:rsidRDefault="007D5BFA">
            <w:pPr>
              <w:pStyle w:val="TableParagraph"/>
              <w:spacing w:before="14"/>
              <w:ind w:left="112"/>
              <w:jc w:val="left"/>
              <w:rPr>
                <w:sz w:val="20"/>
              </w:rPr>
            </w:pPr>
            <w:r>
              <w:rPr>
                <w:sz w:val="20"/>
              </w:rPr>
              <w:t>None.</w:t>
            </w:r>
          </w:p>
        </w:tc>
        <w:tc>
          <w:tcPr>
            <w:tcW w:w="2645" w:type="dxa"/>
            <w:tcBorders>
              <w:top w:val="single" w:sz="2" w:space="0" w:color="000000"/>
              <w:left w:val="single" w:sz="2" w:space="0" w:color="000000"/>
              <w:bottom w:val="single" w:sz="2" w:space="0" w:color="000000"/>
            </w:tcBorders>
          </w:tcPr>
          <w:p w:rsidR="00042D5E" w:rsidRDefault="007D5BFA">
            <w:pPr>
              <w:pStyle w:val="TableParagraph"/>
              <w:spacing w:before="14"/>
              <w:ind w:left="112"/>
              <w:jc w:val="left"/>
              <w:rPr>
                <w:sz w:val="20"/>
              </w:rPr>
            </w:pPr>
            <w:r>
              <w:rPr>
                <w:sz w:val="20"/>
              </w:rPr>
              <w:t>Not applicable.</w:t>
            </w:r>
          </w:p>
        </w:tc>
      </w:tr>
      <w:tr w:rsidR="00042D5E">
        <w:trPr>
          <w:trHeight w:val="498"/>
        </w:trPr>
        <w:tc>
          <w:tcPr>
            <w:tcW w:w="3084" w:type="dxa"/>
            <w:tcBorders>
              <w:top w:val="single" w:sz="2" w:space="0" w:color="000000"/>
              <w:right w:val="single" w:sz="2" w:space="0" w:color="000000"/>
            </w:tcBorders>
          </w:tcPr>
          <w:p w:rsidR="00042D5E" w:rsidRDefault="007D5BFA">
            <w:pPr>
              <w:pStyle w:val="TableParagraph"/>
              <w:spacing w:before="14"/>
              <w:ind w:left="107" w:right="286"/>
              <w:jc w:val="left"/>
              <w:rPr>
                <w:sz w:val="20"/>
              </w:rPr>
            </w:pPr>
            <w:r>
              <w:rPr>
                <w:sz w:val="20"/>
              </w:rPr>
              <w:t>Indications for clinically relevant drug interactions</w:t>
            </w:r>
          </w:p>
        </w:tc>
        <w:tc>
          <w:tcPr>
            <w:tcW w:w="3504" w:type="dxa"/>
            <w:tcBorders>
              <w:top w:val="single" w:sz="2" w:space="0" w:color="000000"/>
              <w:left w:val="single" w:sz="2" w:space="0" w:color="000000"/>
              <w:right w:val="single" w:sz="2" w:space="0" w:color="000000"/>
            </w:tcBorders>
          </w:tcPr>
          <w:p w:rsidR="00042D5E" w:rsidRDefault="007D5BFA">
            <w:pPr>
              <w:pStyle w:val="TableParagraph"/>
              <w:spacing w:before="14"/>
              <w:ind w:left="112" w:right="334"/>
              <w:jc w:val="left"/>
              <w:rPr>
                <w:sz w:val="20"/>
              </w:rPr>
            </w:pPr>
            <w:r>
              <w:rPr>
                <w:sz w:val="20"/>
              </w:rPr>
              <w:t>No drug-drug interaction studies have been performed to date.</w:t>
            </w:r>
          </w:p>
        </w:tc>
        <w:tc>
          <w:tcPr>
            <w:tcW w:w="2645" w:type="dxa"/>
            <w:tcBorders>
              <w:top w:val="single" w:sz="2" w:space="0" w:color="000000"/>
              <w:left w:val="single" w:sz="2" w:space="0" w:color="000000"/>
            </w:tcBorders>
          </w:tcPr>
          <w:p w:rsidR="00042D5E" w:rsidRDefault="007D5BFA">
            <w:pPr>
              <w:pStyle w:val="TableParagraph"/>
              <w:spacing w:before="14"/>
              <w:ind w:left="112"/>
              <w:jc w:val="left"/>
              <w:rPr>
                <w:sz w:val="20"/>
              </w:rPr>
            </w:pPr>
            <w:r>
              <w:rPr>
                <w:sz w:val="20"/>
              </w:rPr>
              <w:t>None.</w:t>
            </w:r>
          </w:p>
        </w:tc>
      </w:tr>
    </w:tbl>
    <w:p w:rsidR="00042D5E" w:rsidRDefault="007D5BFA" w:rsidP="007D5BFA">
      <w:pPr>
        <w:spacing w:before="54"/>
        <w:ind w:left="232"/>
        <w:rPr>
          <w:sz w:val="20"/>
        </w:rPr>
      </w:pPr>
      <w:r>
        <w:rPr>
          <w:sz w:val="20"/>
        </w:rPr>
        <w:t>ADC: antibody-drug conjugate</w:t>
      </w:r>
      <w:bookmarkStart w:id="52" w:name="5_EFFECTS_IN_HUMANS"/>
      <w:bookmarkStart w:id="53" w:name="_bookmark80"/>
      <w:bookmarkEnd w:id="52"/>
      <w:bookmarkEnd w:id="53"/>
    </w:p>
    <w:sectPr w:rsidR="00042D5E" w:rsidSect="007D5BFA">
      <w:headerReference w:type="default" r:id="rId12"/>
      <w:footerReference w:type="default" r:id="rId13"/>
      <w:pgSz w:w="12240" w:h="15840"/>
      <w:pgMar w:top="1240" w:right="1360" w:bottom="940" w:left="1380" w:header="57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CBA" w:rsidRDefault="000D0CBA">
      <w:r>
        <w:separator/>
      </w:r>
    </w:p>
  </w:endnote>
  <w:endnote w:type="continuationSeparator" w:id="0">
    <w:p w:rsidR="000D0CBA" w:rsidRDefault="000D0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21B" w:rsidRDefault="00BB321B">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21B" w:rsidRDefault="0091574F">
    <w:pPr>
      <w:pStyle w:val="a3"/>
      <w:spacing w:line="14" w:lineRule="auto"/>
      <w:rPr>
        <w:sz w:val="20"/>
      </w:rPr>
    </w:pPr>
    <w:r>
      <w:pict>
        <v:shapetype id="_x0000_t202" coordsize="21600,21600" o:spt="202" path="m,l,21600r21600,l21600,xe">
          <v:stroke joinstyle="miter"/>
          <v:path gradientshapeok="t" o:connecttype="rect"/>
        </v:shapetype>
        <v:shape id="_x0000_s2090" type="#_x0000_t202" style="position:absolute;margin-left:79.75pt;margin-top:743.7pt;width:40.2pt;height:13.1pt;z-index:-539776;mso-position-horizontal-relative:page;mso-position-vertical-relative:page" filled="f" stroked="f">
          <v:textbox inset="0,0,0,0">
            <w:txbxContent>
              <w:p w:rsidR="00BB321B" w:rsidRDefault="00BB321B">
                <w:pPr>
                  <w:spacing w:before="11"/>
                  <w:ind w:left="20"/>
                  <w:rPr>
                    <w:sz w:val="20"/>
                  </w:rPr>
                </w:pPr>
                <w:r>
                  <w:rPr>
                    <w:color w:val="323232"/>
                    <w:sz w:val="20"/>
                  </w:rPr>
                  <w:t>Apr 2019</w:t>
                </w:r>
              </w:p>
            </w:txbxContent>
          </v:textbox>
          <w10:wrap anchorx="page" anchory="page"/>
        </v:shape>
      </w:pict>
    </w:r>
    <w:r>
      <w:pict>
        <v:shape id="_x0000_s2089" type="#_x0000_t202" style="position:absolute;margin-left:290.5pt;margin-top:743.7pt;width:34.15pt;height:13.1pt;z-index:-539752;mso-position-horizontal-relative:page;mso-position-vertical-relative:page" filled="f" stroked="f">
          <v:textbox inset="0,0,0,0">
            <w:txbxContent>
              <w:p w:rsidR="00BB321B" w:rsidRDefault="00BB321B">
                <w:pPr>
                  <w:spacing w:before="11"/>
                  <w:ind w:left="20"/>
                  <w:rPr>
                    <w:sz w:val="20"/>
                  </w:rPr>
                </w:pPr>
                <w:r>
                  <w:rPr>
                    <w:color w:val="323232"/>
                    <w:sz w:val="20"/>
                  </w:rPr>
                  <w:t>Astellas</w:t>
                </w:r>
              </w:p>
            </w:txbxContent>
          </v:textbox>
          <w10:wrap anchorx="page" anchory="page"/>
        </v:shape>
      </w:pict>
    </w:r>
    <w:r>
      <w:pict>
        <v:shape id="_x0000_s2088" type="#_x0000_t202" style="position:absolute;margin-left:478.05pt;margin-top:743.6pt;width:57.5pt;height:13.2pt;z-index:-539728;mso-position-horizontal-relative:page;mso-position-vertical-relative:page" filled="f" stroked="f">
          <v:textbox inset="0,0,0,0">
            <w:txbxContent>
              <w:p w:rsidR="00BB321B" w:rsidRDefault="00BB321B">
                <w:pPr>
                  <w:spacing w:before="13"/>
                  <w:ind w:left="20"/>
                  <w:rPr>
                    <w:sz w:val="20"/>
                  </w:rPr>
                </w:pPr>
                <w:r>
                  <w:rPr>
                    <w:color w:val="323232"/>
                    <w:sz w:val="20"/>
                  </w:rPr>
                  <w:t xml:space="preserve">Page </w:t>
                </w:r>
                <w:r>
                  <w:fldChar w:fldCharType="begin"/>
                </w:r>
                <w:r>
                  <w:rPr>
                    <w:color w:val="323232"/>
                    <w:sz w:val="20"/>
                  </w:rPr>
                  <w:instrText xml:space="preserve"> PAGE </w:instrText>
                </w:r>
                <w:r>
                  <w:fldChar w:fldCharType="separate"/>
                </w:r>
                <w:r>
                  <w:t>59</w:t>
                </w:r>
                <w:r>
                  <w:fldChar w:fldCharType="end"/>
                </w:r>
                <w:r>
                  <w:rPr>
                    <w:color w:val="323232"/>
                    <w:sz w:val="20"/>
                  </w:rPr>
                  <w:t xml:space="preserve"> of 83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21B" w:rsidRDefault="00BB321B">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CBA" w:rsidRDefault="000D0CBA">
      <w:r>
        <w:separator/>
      </w:r>
    </w:p>
  </w:footnote>
  <w:footnote w:type="continuationSeparator" w:id="0">
    <w:p w:rsidR="000D0CBA" w:rsidRDefault="000D0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21B" w:rsidRDefault="00BB321B">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21B" w:rsidRDefault="00BB321B">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21B" w:rsidRDefault="00BB321B">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21B" w:rsidRDefault="00BB321B">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698"/>
    <w:multiLevelType w:val="multilevel"/>
    <w:tmpl w:val="2884BDB6"/>
    <w:lvl w:ilvl="0">
      <w:start w:val="1"/>
      <w:numFmt w:val="decimal"/>
      <w:lvlText w:val="%1"/>
      <w:lvlJc w:val="left"/>
      <w:pPr>
        <w:ind w:left="1091"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93" w:hanging="852"/>
        <w:jc w:val="left"/>
      </w:pPr>
      <w:rPr>
        <w:rFonts w:ascii="Times New Roman" w:eastAsia="Times New Roman" w:hAnsi="Times New Roman" w:cs="Times New Roman" w:hint="default"/>
        <w:b/>
        <w:bCs/>
        <w:w w:val="100"/>
        <w:sz w:val="28"/>
        <w:szCs w:val="28"/>
      </w:rPr>
    </w:lvl>
    <w:lvl w:ilvl="2">
      <w:numFmt w:val="bullet"/>
      <w:lvlText w:val="•"/>
      <w:lvlJc w:val="left"/>
      <w:pPr>
        <w:ind w:left="3984" w:hanging="852"/>
      </w:pPr>
      <w:rPr>
        <w:rFonts w:hint="default"/>
      </w:rPr>
    </w:lvl>
    <w:lvl w:ilvl="3">
      <w:numFmt w:val="bullet"/>
      <w:lvlText w:val="•"/>
      <w:lvlJc w:val="left"/>
      <w:pPr>
        <w:ind w:left="5426" w:hanging="852"/>
      </w:pPr>
      <w:rPr>
        <w:rFonts w:hint="default"/>
      </w:rPr>
    </w:lvl>
    <w:lvl w:ilvl="4">
      <w:numFmt w:val="bullet"/>
      <w:lvlText w:val="•"/>
      <w:lvlJc w:val="left"/>
      <w:pPr>
        <w:ind w:left="6868" w:hanging="852"/>
      </w:pPr>
      <w:rPr>
        <w:rFonts w:hint="default"/>
      </w:rPr>
    </w:lvl>
    <w:lvl w:ilvl="5">
      <w:numFmt w:val="bullet"/>
      <w:lvlText w:val="•"/>
      <w:lvlJc w:val="left"/>
      <w:pPr>
        <w:ind w:left="8310" w:hanging="852"/>
      </w:pPr>
      <w:rPr>
        <w:rFonts w:hint="default"/>
      </w:rPr>
    </w:lvl>
    <w:lvl w:ilvl="6">
      <w:numFmt w:val="bullet"/>
      <w:lvlText w:val="•"/>
      <w:lvlJc w:val="left"/>
      <w:pPr>
        <w:ind w:left="9752" w:hanging="852"/>
      </w:pPr>
      <w:rPr>
        <w:rFonts w:hint="default"/>
      </w:rPr>
    </w:lvl>
    <w:lvl w:ilvl="7">
      <w:numFmt w:val="bullet"/>
      <w:lvlText w:val="•"/>
      <w:lvlJc w:val="left"/>
      <w:pPr>
        <w:ind w:left="11194" w:hanging="852"/>
      </w:pPr>
      <w:rPr>
        <w:rFonts w:hint="default"/>
      </w:rPr>
    </w:lvl>
    <w:lvl w:ilvl="8">
      <w:numFmt w:val="bullet"/>
      <w:lvlText w:val="•"/>
      <w:lvlJc w:val="left"/>
      <w:pPr>
        <w:ind w:left="12636" w:hanging="852"/>
      </w:pPr>
      <w:rPr>
        <w:rFonts w:hint="default"/>
      </w:rPr>
    </w:lvl>
  </w:abstractNum>
  <w:abstractNum w:abstractNumId="1" w15:restartNumberingAfterBreak="0">
    <w:nsid w:val="03A21795"/>
    <w:multiLevelType w:val="multilevel"/>
    <w:tmpl w:val="70DE5498"/>
    <w:lvl w:ilvl="0">
      <w:start w:val="1"/>
      <w:numFmt w:val="decimal"/>
      <w:lvlText w:val="%1"/>
      <w:lvlJc w:val="left"/>
      <w:pPr>
        <w:ind w:left="964" w:hanging="852"/>
        <w:jc w:val="left"/>
      </w:pPr>
      <w:rPr>
        <w:rFonts w:hint="default"/>
      </w:rPr>
    </w:lvl>
    <w:lvl w:ilvl="1">
      <w:start w:val="1"/>
      <w:numFmt w:val="decimal"/>
      <w:lvlText w:val="%1.%2"/>
      <w:lvlJc w:val="left"/>
      <w:pPr>
        <w:ind w:left="9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96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2751" w:hanging="852"/>
      </w:pPr>
      <w:rPr>
        <w:rFonts w:hint="default"/>
      </w:rPr>
    </w:lvl>
    <w:lvl w:ilvl="4">
      <w:numFmt w:val="bullet"/>
      <w:lvlText w:val="•"/>
      <w:lvlJc w:val="left"/>
      <w:pPr>
        <w:ind w:left="3646" w:hanging="852"/>
      </w:pPr>
      <w:rPr>
        <w:rFonts w:hint="default"/>
      </w:rPr>
    </w:lvl>
    <w:lvl w:ilvl="5">
      <w:numFmt w:val="bullet"/>
      <w:lvlText w:val="•"/>
      <w:lvlJc w:val="left"/>
      <w:pPr>
        <w:ind w:left="4542" w:hanging="852"/>
      </w:pPr>
      <w:rPr>
        <w:rFonts w:hint="default"/>
      </w:rPr>
    </w:lvl>
    <w:lvl w:ilvl="6">
      <w:numFmt w:val="bullet"/>
      <w:lvlText w:val="•"/>
      <w:lvlJc w:val="left"/>
      <w:pPr>
        <w:ind w:left="5437" w:hanging="852"/>
      </w:pPr>
      <w:rPr>
        <w:rFonts w:hint="default"/>
      </w:rPr>
    </w:lvl>
    <w:lvl w:ilvl="7">
      <w:numFmt w:val="bullet"/>
      <w:lvlText w:val="•"/>
      <w:lvlJc w:val="left"/>
      <w:pPr>
        <w:ind w:left="6333" w:hanging="852"/>
      </w:pPr>
      <w:rPr>
        <w:rFonts w:hint="default"/>
      </w:rPr>
    </w:lvl>
    <w:lvl w:ilvl="8">
      <w:numFmt w:val="bullet"/>
      <w:lvlText w:val="•"/>
      <w:lvlJc w:val="left"/>
      <w:pPr>
        <w:ind w:left="7228" w:hanging="852"/>
      </w:pPr>
      <w:rPr>
        <w:rFonts w:hint="default"/>
      </w:rPr>
    </w:lvl>
  </w:abstractNum>
  <w:abstractNum w:abstractNumId="2" w15:restartNumberingAfterBreak="0">
    <w:nsid w:val="071D133B"/>
    <w:multiLevelType w:val="multilevel"/>
    <w:tmpl w:val="B0067FD6"/>
    <w:lvl w:ilvl="0">
      <w:start w:val="4"/>
      <w:numFmt w:val="decimal"/>
      <w:lvlText w:val="%1"/>
      <w:lvlJc w:val="left"/>
      <w:pPr>
        <w:ind w:left="2217" w:hanging="1133"/>
        <w:jc w:val="left"/>
      </w:pPr>
      <w:rPr>
        <w:rFonts w:hint="default"/>
      </w:rPr>
    </w:lvl>
    <w:lvl w:ilvl="1">
      <w:start w:val="2"/>
      <w:numFmt w:val="decimal"/>
      <w:lvlText w:val="%1.%2"/>
      <w:lvlJc w:val="left"/>
      <w:pPr>
        <w:ind w:left="2217" w:hanging="1133"/>
        <w:jc w:val="right"/>
      </w:pPr>
      <w:rPr>
        <w:rFonts w:hint="default"/>
      </w:rPr>
    </w:lvl>
    <w:lvl w:ilvl="2">
      <w:start w:val="1"/>
      <w:numFmt w:val="decimal"/>
      <w:lvlText w:val="%1.%2.%3"/>
      <w:lvlJc w:val="left"/>
      <w:pPr>
        <w:ind w:left="1792" w:hanging="994"/>
        <w:jc w:val="left"/>
      </w:pPr>
      <w:rPr>
        <w:rFonts w:hint="default"/>
        <w:w w:val="100"/>
      </w:rPr>
    </w:lvl>
    <w:lvl w:ilvl="3">
      <w:start w:val="1"/>
      <w:numFmt w:val="decimal"/>
      <w:lvlText w:val="%1.%2.%3.%4"/>
      <w:lvlJc w:val="left"/>
      <w:pPr>
        <w:ind w:left="2217" w:hanging="994"/>
        <w:jc w:val="left"/>
      </w:pPr>
      <w:rPr>
        <w:rFonts w:ascii="Times New Roman" w:eastAsia="Times New Roman" w:hAnsi="Times New Roman" w:cs="Times New Roman" w:hint="default"/>
        <w:w w:val="100"/>
        <w:sz w:val="22"/>
        <w:szCs w:val="22"/>
      </w:rPr>
    </w:lvl>
    <w:lvl w:ilvl="4">
      <w:numFmt w:val="bullet"/>
      <w:lvlText w:val="•"/>
      <w:lvlJc w:val="left"/>
      <w:pPr>
        <w:ind w:left="5100" w:hanging="994"/>
      </w:pPr>
      <w:rPr>
        <w:rFonts w:hint="default"/>
      </w:rPr>
    </w:lvl>
    <w:lvl w:ilvl="5">
      <w:numFmt w:val="bullet"/>
      <w:lvlText w:val="•"/>
      <w:lvlJc w:val="left"/>
      <w:pPr>
        <w:ind w:left="6060" w:hanging="994"/>
      </w:pPr>
      <w:rPr>
        <w:rFonts w:hint="default"/>
      </w:rPr>
    </w:lvl>
    <w:lvl w:ilvl="6">
      <w:numFmt w:val="bullet"/>
      <w:lvlText w:val="•"/>
      <w:lvlJc w:val="left"/>
      <w:pPr>
        <w:ind w:left="7020" w:hanging="994"/>
      </w:pPr>
      <w:rPr>
        <w:rFonts w:hint="default"/>
      </w:rPr>
    </w:lvl>
    <w:lvl w:ilvl="7">
      <w:numFmt w:val="bullet"/>
      <w:lvlText w:val="•"/>
      <w:lvlJc w:val="left"/>
      <w:pPr>
        <w:ind w:left="7980" w:hanging="994"/>
      </w:pPr>
      <w:rPr>
        <w:rFonts w:hint="default"/>
      </w:rPr>
    </w:lvl>
    <w:lvl w:ilvl="8">
      <w:numFmt w:val="bullet"/>
      <w:lvlText w:val="•"/>
      <w:lvlJc w:val="left"/>
      <w:pPr>
        <w:ind w:left="8940" w:hanging="994"/>
      </w:pPr>
      <w:rPr>
        <w:rFonts w:hint="default"/>
      </w:rPr>
    </w:lvl>
  </w:abstractNum>
  <w:abstractNum w:abstractNumId="3" w15:restartNumberingAfterBreak="0">
    <w:nsid w:val="0A1E492E"/>
    <w:multiLevelType w:val="multilevel"/>
    <w:tmpl w:val="923A236E"/>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hint="default"/>
      </w:rPr>
    </w:lvl>
    <w:lvl w:ilvl="3">
      <w:start w:val="2"/>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977" w:hanging="1133"/>
      </w:pPr>
      <w:rPr>
        <w:rFonts w:hint="default"/>
      </w:rPr>
    </w:lvl>
    <w:lvl w:ilvl="6">
      <w:numFmt w:val="bullet"/>
      <w:lvlText w:val="•"/>
      <w:lvlJc w:val="left"/>
      <w:pPr>
        <w:ind w:left="5882" w:hanging="1133"/>
      </w:pPr>
      <w:rPr>
        <w:rFonts w:hint="default"/>
      </w:rPr>
    </w:lvl>
    <w:lvl w:ilvl="7">
      <w:numFmt w:val="bullet"/>
      <w:lvlText w:val="•"/>
      <w:lvlJc w:val="left"/>
      <w:pPr>
        <w:ind w:left="6786" w:hanging="1133"/>
      </w:pPr>
      <w:rPr>
        <w:rFonts w:hint="default"/>
      </w:rPr>
    </w:lvl>
    <w:lvl w:ilvl="8">
      <w:numFmt w:val="bullet"/>
      <w:lvlText w:val="•"/>
      <w:lvlJc w:val="left"/>
      <w:pPr>
        <w:ind w:left="7691" w:hanging="1133"/>
      </w:pPr>
      <w:rPr>
        <w:rFonts w:hint="default"/>
      </w:rPr>
    </w:lvl>
  </w:abstractNum>
  <w:abstractNum w:abstractNumId="4" w15:restartNumberingAfterBreak="0">
    <w:nsid w:val="0D5D5416"/>
    <w:multiLevelType w:val="hybridMultilevel"/>
    <w:tmpl w:val="116A934C"/>
    <w:lvl w:ilvl="0" w:tplc="331893BA">
      <w:numFmt w:val="bullet"/>
      <w:lvlText w:val=""/>
      <w:lvlJc w:val="left"/>
      <w:pPr>
        <w:ind w:left="451" w:hanging="269"/>
      </w:pPr>
      <w:rPr>
        <w:rFonts w:ascii="Symbol" w:eastAsia="Symbol" w:hAnsi="Symbol" w:cs="Symbol" w:hint="default"/>
        <w:w w:val="99"/>
        <w:sz w:val="20"/>
        <w:szCs w:val="20"/>
      </w:rPr>
    </w:lvl>
    <w:lvl w:ilvl="1" w:tplc="CB68F890">
      <w:numFmt w:val="bullet"/>
      <w:lvlText w:val="•"/>
      <w:lvlJc w:val="left"/>
      <w:pPr>
        <w:ind w:left="689" w:hanging="269"/>
      </w:pPr>
      <w:rPr>
        <w:rFonts w:hint="default"/>
      </w:rPr>
    </w:lvl>
    <w:lvl w:ilvl="2" w:tplc="3418E4D8">
      <w:numFmt w:val="bullet"/>
      <w:lvlText w:val="•"/>
      <w:lvlJc w:val="left"/>
      <w:pPr>
        <w:ind w:left="919" w:hanging="269"/>
      </w:pPr>
      <w:rPr>
        <w:rFonts w:hint="default"/>
      </w:rPr>
    </w:lvl>
    <w:lvl w:ilvl="3" w:tplc="D8525BB0">
      <w:numFmt w:val="bullet"/>
      <w:lvlText w:val="•"/>
      <w:lvlJc w:val="left"/>
      <w:pPr>
        <w:ind w:left="1149" w:hanging="269"/>
      </w:pPr>
      <w:rPr>
        <w:rFonts w:hint="default"/>
      </w:rPr>
    </w:lvl>
    <w:lvl w:ilvl="4" w:tplc="F9DE569A">
      <w:numFmt w:val="bullet"/>
      <w:lvlText w:val="•"/>
      <w:lvlJc w:val="left"/>
      <w:pPr>
        <w:ind w:left="1378" w:hanging="269"/>
      </w:pPr>
      <w:rPr>
        <w:rFonts w:hint="default"/>
      </w:rPr>
    </w:lvl>
    <w:lvl w:ilvl="5" w:tplc="A9F46512">
      <w:numFmt w:val="bullet"/>
      <w:lvlText w:val="•"/>
      <w:lvlJc w:val="left"/>
      <w:pPr>
        <w:ind w:left="1608" w:hanging="269"/>
      </w:pPr>
      <w:rPr>
        <w:rFonts w:hint="default"/>
      </w:rPr>
    </w:lvl>
    <w:lvl w:ilvl="6" w:tplc="E69EF044">
      <w:numFmt w:val="bullet"/>
      <w:lvlText w:val="•"/>
      <w:lvlJc w:val="left"/>
      <w:pPr>
        <w:ind w:left="1838" w:hanging="269"/>
      </w:pPr>
      <w:rPr>
        <w:rFonts w:hint="default"/>
      </w:rPr>
    </w:lvl>
    <w:lvl w:ilvl="7" w:tplc="1F4E4972">
      <w:numFmt w:val="bullet"/>
      <w:lvlText w:val="•"/>
      <w:lvlJc w:val="left"/>
      <w:pPr>
        <w:ind w:left="2067" w:hanging="269"/>
      </w:pPr>
      <w:rPr>
        <w:rFonts w:hint="default"/>
      </w:rPr>
    </w:lvl>
    <w:lvl w:ilvl="8" w:tplc="E7C041F0">
      <w:numFmt w:val="bullet"/>
      <w:lvlText w:val="•"/>
      <w:lvlJc w:val="left"/>
      <w:pPr>
        <w:ind w:left="2297" w:hanging="269"/>
      </w:pPr>
      <w:rPr>
        <w:rFonts w:hint="default"/>
      </w:rPr>
    </w:lvl>
  </w:abstractNum>
  <w:abstractNum w:abstractNumId="5" w15:restartNumberingAfterBreak="0">
    <w:nsid w:val="0E0E6898"/>
    <w:multiLevelType w:val="multilevel"/>
    <w:tmpl w:val="B4FE19C2"/>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6" w15:restartNumberingAfterBreak="0">
    <w:nsid w:val="0FBE2EC6"/>
    <w:multiLevelType w:val="multilevel"/>
    <w:tmpl w:val="50D675E0"/>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2"/>
      <w:numFmt w:val="decimal"/>
      <w:lvlText w:val="%1.%2.%3"/>
      <w:lvlJc w:val="left"/>
      <w:pPr>
        <w:ind w:left="1084" w:hanging="852"/>
      </w:pPr>
      <w:rPr>
        <w:rFonts w:ascii="Times New Roman" w:eastAsia="ＭＳ 明朝" w:hAnsi="Times New Roman" w:cs="Times New Roman" w:hint="default"/>
        <w:b/>
        <w:bCs/>
        <w:w w:val="100"/>
        <w:sz w:val="24"/>
        <w:szCs w:val="24"/>
      </w:rPr>
    </w:lvl>
    <w:lvl w:ilvl="3">
      <w:start w:val="1"/>
      <w:numFmt w:val="decimal"/>
      <w:lvlText w:val="%1.%2.%3.%4"/>
      <w:lvlJc w:val="left"/>
      <w:pPr>
        <w:ind w:left="1084" w:hanging="852"/>
      </w:pPr>
      <w:rPr>
        <w:rFonts w:ascii="Times New Roman" w:eastAsia="ＭＳ 明朝" w:hAnsi="Times New Roman" w:cs="Times New Roman" w:hint="default"/>
        <w:b/>
        <w:bCs/>
        <w:w w:val="100"/>
        <w:sz w:val="24"/>
        <w:szCs w:val="24"/>
      </w:rPr>
    </w:lvl>
    <w:lvl w:ilvl="4">
      <w:start w:val="1"/>
      <w:numFmt w:val="decimal"/>
      <w:lvlText w:val="%1.%2.%3.%4.%5"/>
      <w:lvlJc w:val="left"/>
      <w:pPr>
        <w:ind w:left="1365" w:hanging="1133"/>
      </w:pPr>
      <w:rPr>
        <w:rFonts w:ascii="Times New Roman" w:eastAsia="ＭＳ 明朝"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7" w15:restartNumberingAfterBreak="0">
    <w:nsid w:val="116D38F3"/>
    <w:multiLevelType w:val="multilevel"/>
    <w:tmpl w:val="73D4F504"/>
    <w:lvl w:ilvl="0">
      <w:start w:val="4"/>
      <w:numFmt w:val="decimal"/>
      <w:lvlText w:val="%1"/>
      <w:lvlJc w:val="left"/>
      <w:pPr>
        <w:ind w:left="1084" w:hanging="852"/>
        <w:jc w:val="left"/>
      </w:pPr>
      <w:rPr>
        <w:rFonts w:hint="default"/>
      </w:rPr>
    </w:lvl>
    <w:lvl w:ilvl="1">
      <w:start w:val="2"/>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8" w15:restartNumberingAfterBreak="0">
    <w:nsid w:val="15CC592B"/>
    <w:multiLevelType w:val="multilevel"/>
    <w:tmpl w:val="22B4D888"/>
    <w:lvl w:ilvl="0">
      <w:start w:val="1"/>
      <w:numFmt w:val="decimal"/>
      <w:lvlText w:val="%1"/>
      <w:lvlJc w:val="left"/>
      <w:pPr>
        <w:ind w:left="940"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65" w:hanging="850"/>
        <w:jc w:val="left"/>
      </w:pPr>
      <w:rPr>
        <w:rFonts w:ascii="Times New Roman" w:eastAsia="Times New Roman" w:hAnsi="Times New Roman" w:cs="Times New Roman" w:hint="default"/>
        <w:w w:val="100"/>
        <w:sz w:val="22"/>
        <w:szCs w:val="22"/>
      </w:rPr>
    </w:lvl>
    <w:lvl w:ilvl="2">
      <w:start w:val="2"/>
      <w:numFmt w:val="decimal"/>
      <w:lvlText w:val="%1.%2.%3"/>
      <w:lvlJc w:val="left"/>
      <w:pPr>
        <w:ind w:left="179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17" w:hanging="1133"/>
        <w:jc w:val="left"/>
      </w:pPr>
      <w:rPr>
        <w:rFonts w:ascii="Times New Roman" w:eastAsia="Times New Roman" w:hAnsi="Times New Roman" w:cs="Times New Roman" w:hint="default"/>
        <w:w w:val="100"/>
        <w:sz w:val="22"/>
        <w:szCs w:val="22"/>
      </w:rPr>
    </w:lvl>
    <w:lvl w:ilvl="4">
      <w:numFmt w:val="bullet"/>
      <w:lvlText w:val="•"/>
      <w:lvlJc w:val="left"/>
      <w:pPr>
        <w:ind w:left="3454" w:hanging="1133"/>
      </w:pPr>
      <w:rPr>
        <w:rFonts w:hint="default"/>
      </w:rPr>
    </w:lvl>
    <w:lvl w:ilvl="5">
      <w:numFmt w:val="bullet"/>
      <w:lvlText w:val="•"/>
      <w:lvlJc w:val="left"/>
      <w:pPr>
        <w:ind w:left="4688" w:hanging="1133"/>
      </w:pPr>
      <w:rPr>
        <w:rFonts w:hint="default"/>
      </w:rPr>
    </w:lvl>
    <w:lvl w:ilvl="6">
      <w:numFmt w:val="bullet"/>
      <w:lvlText w:val="•"/>
      <w:lvlJc w:val="left"/>
      <w:pPr>
        <w:ind w:left="5922" w:hanging="1133"/>
      </w:pPr>
      <w:rPr>
        <w:rFonts w:hint="default"/>
      </w:rPr>
    </w:lvl>
    <w:lvl w:ilvl="7">
      <w:numFmt w:val="bullet"/>
      <w:lvlText w:val="•"/>
      <w:lvlJc w:val="left"/>
      <w:pPr>
        <w:ind w:left="7157" w:hanging="1133"/>
      </w:pPr>
      <w:rPr>
        <w:rFonts w:hint="default"/>
      </w:rPr>
    </w:lvl>
    <w:lvl w:ilvl="8">
      <w:numFmt w:val="bullet"/>
      <w:lvlText w:val="•"/>
      <w:lvlJc w:val="left"/>
      <w:pPr>
        <w:ind w:left="8391" w:hanging="1133"/>
      </w:pPr>
      <w:rPr>
        <w:rFonts w:hint="default"/>
      </w:rPr>
    </w:lvl>
  </w:abstractNum>
  <w:abstractNum w:abstractNumId="9" w15:restartNumberingAfterBreak="0">
    <w:nsid w:val="163227F8"/>
    <w:multiLevelType w:val="multilevel"/>
    <w:tmpl w:val="6EF66ECE"/>
    <w:lvl w:ilvl="0">
      <w:start w:val="5"/>
      <w:numFmt w:val="decimal"/>
      <w:lvlText w:val="%1"/>
      <w:lvlJc w:val="left"/>
      <w:pPr>
        <w:ind w:left="1365" w:hanging="850"/>
        <w:jc w:val="right"/>
      </w:pPr>
      <w:rPr>
        <w:rFonts w:hint="default"/>
      </w:rPr>
    </w:lvl>
    <w:lvl w:ilvl="1">
      <w:start w:val="1"/>
      <w:numFmt w:val="decimal"/>
      <w:lvlText w:val="%1.%2"/>
      <w:lvlJc w:val="left"/>
      <w:pPr>
        <w:ind w:left="1365" w:hanging="850"/>
        <w:jc w:val="left"/>
      </w:pPr>
      <w:rPr>
        <w:rFonts w:hint="default"/>
        <w:w w:val="100"/>
      </w:rPr>
    </w:lvl>
    <w:lvl w:ilvl="2">
      <w:start w:val="1"/>
      <w:numFmt w:val="decimal"/>
      <w:lvlText w:val="%1.%2.%3"/>
      <w:lvlJc w:val="left"/>
      <w:pPr>
        <w:ind w:left="179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17" w:hanging="1133"/>
        <w:jc w:val="left"/>
      </w:pPr>
      <w:rPr>
        <w:rFonts w:ascii="Times New Roman" w:eastAsia="Times New Roman" w:hAnsi="Times New Roman" w:cs="Times New Roman" w:hint="default"/>
        <w:w w:val="100"/>
        <w:sz w:val="22"/>
        <w:szCs w:val="22"/>
      </w:rPr>
    </w:lvl>
    <w:lvl w:ilvl="4">
      <w:numFmt w:val="bullet"/>
      <w:lvlText w:val="•"/>
      <w:lvlJc w:val="left"/>
      <w:pPr>
        <w:ind w:left="4380" w:hanging="1133"/>
      </w:pPr>
      <w:rPr>
        <w:rFonts w:hint="default"/>
      </w:rPr>
    </w:lvl>
    <w:lvl w:ilvl="5">
      <w:numFmt w:val="bullet"/>
      <w:lvlText w:val="•"/>
      <w:lvlJc w:val="left"/>
      <w:pPr>
        <w:ind w:left="5460" w:hanging="1133"/>
      </w:pPr>
      <w:rPr>
        <w:rFonts w:hint="default"/>
      </w:rPr>
    </w:lvl>
    <w:lvl w:ilvl="6">
      <w:numFmt w:val="bullet"/>
      <w:lvlText w:val="•"/>
      <w:lvlJc w:val="left"/>
      <w:pPr>
        <w:ind w:left="6540" w:hanging="1133"/>
      </w:pPr>
      <w:rPr>
        <w:rFonts w:hint="default"/>
      </w:rPr>
    </w:lvl>
    <w:lvl w:ilvl="7">
      <w:numFmt w:val="bullet"/>
      <w:lvlText w:val="•"/>
      <w:lvlJc w:val="left"/>
      <w:pPr>
        <w:ind w:left="7620" w:hanging="1133"/>
      </w:pPr>
      <w:rPr>
        <w:rFonts w:hint="default"/>
      </w:rPr>
    </w:lvl>
    <w:lvl w:ilvl="8">
      <w:numFmt w:val="bullet"/>
      <w:lvlText w:val="•"/>
      <w:lvlJc w:val="left"/>
      <w:pPr>
        <w:ind w:left="8700" w:hanging="1133"/>
      </w:pPr>
      <w:rPr>
        <w:rFonts w:hint="default"/>
      </w:rPr>
    </w:lvl>
  </w:abstractNum>
  <w:abstractNum w:abstractNumId="10" w15:restartNumberingAfterBreak="0">
    <w:nsid w:val="2A5D7537"/>
    <w:multiLevelType w:val="multilevel"/>
    <w:tmpl w:val="311A04DC"/>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3"/>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977" w:hanging="1133"/>
      </w:pPr>
      <w:rPr>
        <w:rFonts w:hint="default"/>
      </w:rPr>
    </w:lvl>
    <w:lvl w:ilvl="6">
      <w:numFmt w:val="bullet"/>
      <w:lvlText w:val="•"/>
      <w:lvlJc w:val="left"/>
      <w:pPr>
        <w:ind w:left="5882" w:hanging="1133"/>
      </w:pPr>
      <w:rPr>
        <w:rFonts w:hint="default"/>
      </w:rPr>
    </w:lvl>
    <w:lvl w:ilvl="7">
      <w:numFmt w:val="bullet"/>
      <w:lvlText w:val="•"/>
      <w:lvlJc w:val="left"/>
      <w:pPr>
        <w:ind w:left="6786" w:hanging="1133"/>
      </w:pPr>
      <w:rPr>
        <w:rFonts w:hint="default"/>
      </w:rPr>
    </w:lvl>
    <w:lvl w:ilvl="8">
      <w:numFmt w:val="bullet"/>
      <w:lvlText w:val="•"/>
      <w:lvlJc w:val="left"/>
      <w:pPr>
        <w:ind w:left="7691" w:hanging="1133"/>
      </w:pPr>
      <w:rPr>
        <w:rFonts w:hint="default"/>
      </w:rPr>
    </w:lvl>
  </w:abstractNum>
  <w:abstractNum w:abstractNumId="11" w15:restartNumberingAfterBreak="0">
    <w:nsid w:val="38D05370"/>
    <w:multiLevelType w:val="multilevel"/>
    <w:tmpl w:val="D11A9260"/>
    <w:lvl w:ilvl="0">
      <w:start w:val="5"/>
      <w:numFmt w:val="decimal"/>
      <w:lvlText w:val="%1"/>
      <w:lvlJc w:val="left"/>
      <w:pPr>
        <w:ind w:left="1245" w:hanging="1133"/>
        <w:jc w:val="left"/>
      </w:pPr>
      <w:rPr>
        <w:rFonts w:hint="default"/>
      </w:rPr>
    </w:lvl>
    <w:lvl w:ilvl="1">
      <w:start w:val="2"/>
      <w:numFmt w:val="decimal"/>
      <w:lvlText w:val="%1.%2"/>
      <w:lvlJc w:val="left"/>
      <w:pPr>
        <w:ind w:left="1245" w:hanging="1133"/>
        <w:jc w:val="left"/>
      </w:pPr>
      <w:rPr>
        <w:rFonts w:hint="default"/>
      </w:rPr>
    </w:lvl>
    <w:lvl w:ilvl="2">
      <w:start w:val="2"/>
      <w:numFmt w:val="decimal"/>
      <w:lvlText w:val="%1.%2.%3"/>
      <w:lvlJc w:val="left"/>
      <w:pPr>
        <w:ind w:left="1245" w:hanging="1133"/>
        <w:jc w:val="left"/>
      </w:pPr>
      <w:rPr>
        <w:rFonts w:hint="default"/>
      </w:rPr>
    </w:lvl>
    <w:lvl w:ilvl="3">
      <w:start w:val="3"/>
      <w:numFmt w:val="decimal"/>
      <w:lvlText w:val="%1.%2.%3.%4"/>
      <w:lvlJc w:val="left"/>
      <w:pPr>
        <w:ind w:left="1245" w:hanging="1133"/>
        <w:jc w:val="left"/>
      </w:pPr>
      <w:rPr>
        <w:rFonts w:hint="default"/>
      </w:rPr>
    </w:lvl>
    <w:lvl w:ilvl="4">
      <w:start w:val="2"/>
      <w:numFmt w:val="decimal"/>
      <w:lvlText w:val="%1.%2.%3.%4.%5"/>
      <w:lvlJc w:val="left"/>
      <w:pPr>
        <w:ind w:left="12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657" w:hanging="425"/>
      </w:pPr>
      <w:rPr>
        <w:rFonts w:ascii="Times New Roman" w:eastAsia="Times New Roman" w:hAnsi="Times New Roman" w:cs="Times New Roman" w:hint="default"/>
        <w:spacing w:val="-5"/>
        <w:w w:val="100"/>
        <w:sz w:val="24"/>
        <w:szCs w:val="24"/>
      </w:rPr>
    </w:lvl>
    <w:lvl w:ilvl="6">
      <w:numFmt w:val="bullet"/>
      <w:lvlText w:val="•"/>
      <w:lvlJc w:val="left"/>
      <w:pPr>
        <w:ind w:left="5717" w:hanging="425"/>
      </w:pPr>
      <w:rPr>
        <w:rFonts w:hint="default"/>
      </w:rPr>
    </w:lvl>
    <w:lvl w:ilvl="7">
      <w:numFmt w:val="bullet"/>
      <w:lvlText w:val="•"/>
      <w:lvlJc w:val="left"/>
      <w:pPr>
        <w:ind w:left="6613" w:hanging="425"/>
      </w:pPr>
      <w:rPr>
        <w:rFonts w:hint="default"/>
      </w:rPr>
    </w:lvl>
    <w:lvl w:ilvl="8">
      <w:numFmt w:val="bullet"/>
      <w:lvlText w:val="•"/>
      <w:lvlJc w:val="left"/>
      <w:pPr>
        <w:ind w:left="7508" w:hanging="425"/>
      </w:pPr>
      <w:rPr>
        <w:rFonts w:hint="default"/>
      </w:rPr>
    </w:lvl>
  </w:abstractNum>
  <w:abstractNum w:abstractNumId="12" w15:restartNumberingAfterBreak="0">
    <w:nsid w:val="3BE32EA1"/>
    <w:multiLevelType w:val="multilevel"/>
    <w:tmpl w:val="191499E2"/>
    <w:lvl w:ilvl="0">
      <w:start w:val="4"/>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hint="default"/>
      </w:rPr>
    </w:lvl>
    <w:lvl w:ilvl="3">
      <w:start w:val="4"/>
      <w:numFmt w:val="decimal"/>
      <w:lvlText w:val="%1.%2.%3.%4"/>
      <w:lvlJc w:val="left"/>
      <w:pPr>
        <w:ind w:left="1084" w:hanging="852"/>
        <w:jc w:val="left"/>
      </w:pPr>
      <w:rPr>
        <w:rFonts w:ascii="Times New Roman" w:eastAsia="Times New Roman" w:hAnsi="Times New Roman" w:cs="Times New Roman" w:hint="default"/>
        <w:b/>
        <w:bCs/>
        <w:spacing w:val="-2"/>
        <w:w w:val="100"/>
        <w:sz w:val="24"/>
        <w:szCs w:val="24"/>
      </w:rPr>
    </w:lvl>
    <w:lvl w:ilvl="4">
      <w:numFmt w:val="bullet"/>
      <w:lvlText w:val="•"/>
      <w:lvlJc w:val="left"/>
      <w:pPr>
        <w:ind w:left="3735" w:hanging="852"/>
      </w:pPr>
      <w:rPr>
        <w:rFonts w:hint="default"/>
      </w:rPr>
    </w:lvl>
    <w:lvl w:ilvl="5">
      <w:numFmt w:val="bullet"/>
      <w:lvlText w:val="•"/>
      <w:lvlJc w:val="left"/>
      <w:pPr>
        <w:ind w:left="4922" w:hanging="852"/>
      </w:pPr>
      <w:rPr>
        <w:rFonts w:hint="default"/>
      </w:rPr>
    </w:lvl>
    <w:lvl w:ilvl="6">
      <w:numFmt w:val="bullet"/>
      <w:lvlText w:val="•"/>
      <w:lvlJc w:val="left"/>
      <w:pPr>
        <w:ind w:left="6110" w:hanging="852"/>
      </w:pPr>
      <w:rPr>
        <w:rFonts w:hint="default"/>
      </w:rPr>
    </w:lvl>
    <w:lvl w:ilvl="7">
      <w:numFmt w:val="bullet"/>
      <w:lvlText w:val="•"/>
      <w:lvlJc w:val="left"/>
      <w:pPr>
        <w:ind w:left="7297" w:hanging="852"/>
      </w:pPr>
      <w:rPr>
        <w:rFonts w:hint="default"/>
      </w:rPr>
    </w:lvl>
    <w:lvl w:ilvl="8">
      <w:numFmt w:val="bullet"/>
      <w:lvlText w:val="•"/>
      <w:lvlJc w:val="left"/>
      <w:pPr>
        <w:ind w:left="8485" w:hanging="852"/>
      </w:pPr>
      <w:rPr>
        <w:rFonts w:hint="default"/>
      </w:rPr>
    </w:lvl>
  </w:abstractNum>
  <w:abstractNum w:abstractNumId="13" w15:restartNumberingAfterBreak="0">
    <w:nsid w:val="46711A74"/>
    <w:multiLevelType w:val="multilevel"/>
    <w:tmpl w:val="057CADEA"/>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3"/>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4977" w:hanging="1133"/>
      </w:pPr>
      <w:rPr>
        <w:rFonts w:hint="default"/>
      </w:rPr>
    </w:lvl>
    <w:lvl w:ilvl="6">
      <w:numFmt w:val="bullet"/>
      <w:lvlText w:val="•"/>
      <w:lvlJc w:val="left"/>
      <w:pPr>
        <w:ind w:left="5882" w:hanging="1133"/>
      </w:pPr>
      <w:rPr>
        <w:rFonts w:hint="default"/>
      </w:rPr>
    </w:lvl>
    <w:lvl w:ilvl="7">
      <w:numFmt w:val="bullet"/>
      <w:lvlText w:val="•"/>
      <w:lvlJc w:val="left"/>
      <w:pPr>
        <w:ind w:left="6786" w:hanging="1133"/>
      </w:pPr>
      <w:rPr>
        <w:rFonts w:hint="default"/>
      </w:rPr>
    </w:lvl>
    <w:lvl w:ilvl="8">
      <w:numFmt w:val="bullet"/>
      <w:lvlText w:val="•"/>
      <w:lvlJc w:val="left"/>
      <w:pPr>
        <w:ind w:left="7691" w:hanging="1133"/>
      </w:pPr>
      <w:rPr>
        <w:rFonts w:hint="default"/>
      </w:rPr>
    </w:lvl>
  </w:abstractNum>
  <w:abstractNum w:abstractNumId="14" w15:restartNumberingAfterBreak="0">
    <w:nsid w:val="48E70550"/>
    <w:multiLevelType w:val="multilevel"/>
    <w:tmpl w:val="5A249B5A"/>
    <w:lvl w:ilvl="0">
      <w:start w:val="4"/>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hint="default"/>
      </w:rPr>
    </w:lvl>
    <w:lvl w:ilvl="3">
      <w:start w:val="6"/>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5" w15:restartNumberingAfterBreak="0">
    <w:nsid w:val="56C17456"/>
    <w:multiLevelType w:val="hybridMultilevel"/>
    <w:tmpl w:val="B8121884"/>
    <w:lvl w:ilvl="0" w:tplc="F720153C">
      <w:numFmt w:val="bullet"/>
      <w:lvlText w:val="&gt;"/>
      <w:lvlJc w:val="left"/>
      <w:pPr>
        <w:ind w:left="232" w:hanging="195"/>
      </w:pPr>
      <w:rPr>
        <w:rFonts w:ascii="Times New Roman" w:eastAsia="Times New Roman" w:hAnsi="Times New Roman" w:cs="Times New Roman" w:hint="default"/>
        <w:w w:val="100"/>
        <w:sz w:val="24"/>
        <w:szCs w:val="24"/>
      </w:rPr>
    </w:lvl>
    <w:lvl w:ilvl="1" w:tplc="F604B8F4">
      <w:numFmt w:val="bullet"/>
      <w:lvlText w:val="•"/>
      <w:lvlJc w:val="left"/>
      <w:pPr>
        <w:ind w:left="1302" w:hanging="195"/>
      </w:pPr>
      <w:rPr>
        <w:rFonts w:hint="default"/>
      </w:rPr>
    </w:lvl>
    <w:lvl w:ilvl="2" w:tplc="FD50898E">
      <w:numFmt w:val="bullet"/>
      <w:lvlText w:val="•"/>
      <w:lvlJc w:val="left"/>
      <w:pPr>
        <w:ind w:left="2364" w:hanging="195"/>
      </w:pPr>
      <w:rPr>
        <w:rFonts w:hint="default"/>
      </w:rPr>
    </w:lvl>
    <w:lvl w:ilvl="3" w:tplc="8DC42788">
      <w:numFmt w:val="bullet"/>
      <w:lvlText w:val="•"/>
      <w:lvlJc w:val="left"/>
      <w:pPr>
        <w:ind w:left="3426" w:hanging="195"/>
      </w:pPr>
      <w:rPr>
        <w:rFonts w:hint="default"/>
      </w:rPr>
    </w:lvl>
    <w:lvl w:ilvl="4" w:tplc="D8CCBE52">
      <w:numFmt w:val="bullet"/>
      <w:lvlText w:val="•"/>
      <w:lvlJc w:val="left"/>
      <w:pPr>
        <w:ind w:left="4488" w:hanging="195"/>
      </w:pPr>
      <w:rPr>
        <w:rFonts w:hint="default"/>
      </w:rPr>
    </w:lvl>
    <w:lvl w:ilvl="5" w:tplc="C04A65CC">
      <w:numFmt w:val="bullet"/>
      <w:lvlText w:val="•"/>
      <w:lvlJc w:val="left"/>
      <w:pPr>
        <w:ind w:left="5550" w:hanging="195"/>
      </w:pPr>
      <w:rPr>
        <w:rFonts w:hint="default"/>
      </w:rPr>
    </w:lvl>
    <w:lvl w:ilvl="6" w:tplc="B694BAD4">
      <w:numFmt w:val="bullet"/>
      <w:lvlText w:val="•"/>
      <w:lvlJc w:val="left"/>
      <w:pPr>
        <w:ind w:left="6612" w:hanging="195"/>
      </w:pPr>
      <w:rPr>
        <w:rFonts w:hint="default"/>
      </w:rPr>
    </w:lvl>
    <w:lvl w:ilvl="7" w:tplc="F79CBA20">
      <w:numFmt w:val="bullet"/>
      <w:lvlText w:val="•"/>
      <w:lvlJc w:val="left"/>
      <w:pPr>
        <w:ind w:left="7674" w:hanging="195"/>
      </w:pPr>
      <w:rPr>
        <w:rFonts w:hint="default"/>
      </w:rPr>
    </w:lvl>
    <w:lvl w:ilvl="8" w:tplc="17EC2054">
      <w:numFmt w:val="bullet"/>
      <w:lvlText w:val="•"/>
      <w:lvlJc w:val="left"/>
      <w:pPr>
        <w:ind w:left="8736" w:hanging="195"/>
      </w:pPr>
      <w:rPr>
        <w:rFonts w:hint="default"/>
      </w:rPr>
    </w:lvl>
  </w:abstractNum>
  <w:abstractNum w:abstractNumId="16" w15:restartNumberingAfterBreak="0">
    <w:nsid w:val="5A152A38"/>
    <w:multiLevelType w:val="multilevel"/>
    <w:tmpl w:val="4E9632CE"/>
    <w:lvl w:ilvl="0">
      <w:start w:val="1"/>
      <w:numFmt w:val="decimal"/>
      <w:lvlText w:val="%1"/>
      <w:lvlJc w:val="left"/>
      <w:pPr>
        <w:ind w:left="2688" w:hanging="720"/>
        <w:jc w:val="left"/>
      </w:pPr>
      <w:rPr>
        <w:rFonts w:hint="default"/>
      </w:rPr>
    </w:lvl>
    <w:lvl w:ilvl="1">
      <w:start w:val="1"/>
      <w:numFmt w:val="decimal"/>
      <w:lvlText w:val="%1.%2"/>
      <w:lvlJc w:val="left"/>
      <w:pPr>
        <w:ind w:left="2688" w:hanging="7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3768" w:hanging="1080"/>
        <w:jc w:val="left"/>
      </w:pPr>
      <w:rPr>
        <w:rFonts w:ascii="Times New Roman" w:eastAsia="Times New Roman" w:hAnsi="Times New Roman" w:cs="Times New Roman" w:hint="default"/>
        <w:spacing w:val="-1"/>
        <w:w w:val="100"/>
        <w:sz w:val="24"/>
        <w:szCs w:val="24"/>
      </w:rPr>
    </w:lvl>
    <w:lvl w:ilvl="3">
      <w:numFmt w:val="bullet"/>
      <w:lvlText w:val="•"/>
      <w:lvlJc w:val="left"/>
      <w:pPr>
        <w:ind w:left="5337" w:hanging="1080"/>
      </w:pPr>
      <w:rPr>
        <w:rFonts w:hint="default"/>
      </w:rPr>
    </w:lvl>
    <w:lvl w:ilvl="4">
      <w:numFmt w:val="bullet"/>
      <w:lvlText w:val="•"/>
      <w:lvlJc w:val="left"/>
      <w:pPr>
        <w:ind w:left="6126" w:hanging="1080"/>
      </w:pPr>
      <w:rPr>
        <w:rFonts w:hint="default"/>
      </w:rPr>
    </w:lvl>
    <w:lvl w:ilvl="5">
      <w:numFmt w:val="bullet"/>
      <w:lvlText w:val="•"/>
      <w:lvlJc w:val="left"/>
      <w:pPr>
        <w:ind w:left="6915" w:hanging="1080"/>
      </w:pPr>
      <w:rPr>
        <w:rFonts w:hint="default"/>
      </w:rPr>
    </w:lvl>
    <w:lvl w:ilvl="6">
      <w:numFmt w:val="bullet"/>
      <w:lvlText w:val="•"/>
      <w:lvlJc w:val="left"/>
      <w:pPr>
        <w:ind w:left="7704" w:hanging="1080"/>
      </w:pPr>
      <w:rPr>
        <w:rFonts w:hint="default"/>
      </w:rPr>
    </w:lvl>
    <w:lvl w:ilvl="7">
      <w:numFmt w:val="bullet"/>
      <w:lvlText w:val="•"/>
      <w:lvlJc w:val="left"/>
      <w:pPr>
        <w:ind w:left="8493" w:hanging="1080"/>
      </w:pPr>
      <w:rPr>
        <w:rFonts w:hint="default"/>
      </w:rPr>
    </w:lvl>
    <w:lvl w:ilvl="8">
      <w:numFmt w:val="bullet"/>
      <w:lvlText w:val="•"/>
      <w:lvlJc w:val="left"/>
      <w:pPr>
        <w:ind w:left="9282" w:hanging="1080"/>
      </w:pPr>
      <w:rPr>
        <w:rFonts w:hint="default"/>
      </w:rPr>
    </w:lvl>
  </w:abstractNum>
  <w:abstractNum w:abstractNumId="17" w15:restartNumberingAfterBreak="0">
    <w:nsid w:val="5D2649D5"/>
    <w:multiLevelType w:val="multilevel"/>
    <w:tmpl w:val="605408FE"/>
    <w:lvl w:ilvl="0">
      <w:start w:val="5"/>
      <w:numFmt w:val="decimal"/>
      <w:lvlText w:val="%1"/>
      <w:lvlJc w:val="left"/>
      <w:pPr>
        <w:ind w:left="1084" w:hanging="852"/>
        <w:jc w:val="left"/>
      </w:pPr>
      <w:rPr>
        <w:rFonts w:hint="default"/>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448" w:hanging="852"/>
      </w:pPr>
      <w:rPr>
        <w:rFonts w:hint="default"/>
      </w:rPr>
    </w:lvl>
    <w:lvl w:ilvl="5">
      <w:numFmt w:val="bullet"/>
      <w:lvlText w:val="•"/>
      <w:lvlJc w:val="left"/>
      <w:pPr>
        <w:ind w:left="5290" w:hanging="852"/>
      </w:pPr>
      <w:rPr>
        <w:rFonts w:hint="default"/>
      </w:rPr>
    </w:lvl>
    <w:lvl w:ilvl="6">
      <w:numFmt w:val="bullet"/>
      <w:lvlText w:val="•"/>
      <w:lvlJc w:val="left"/>
      <w:pPr>
        <w:ind w:left="6132" w:hanging="852"/>
      </w:pPr>
      <w:rPr>
        <w:rFonts w:hint="default"/>
      </w:rPr>
    </w:lvl>
    <w:lvl w:ilvl="7">
      <w:numFmt w:val="bullet"/>
      <w:lvlText w:val="•"/>
      <w:lvlJc w:val="left"/>
      <w:pPr>
        <w:ind w:left="6974" w:hanging="852"/>
      </w:pPr>
      <w:rPr>
        <w:rFonts w:hint="default"/>
      </w:rPr>
    </w:lvl>
    <w:lvl w:ilvl="8">
      <w:numFmt w:val="bullet"/>
      <w:lvlText w:val="•"/>
      <w:lvlJc w:val="left"/>
      <w:pPr>
        <w:ind w:left="7816" w:hanging="852"/>
      </w:pPr>
      <w:rPr>
        <w:rFonts w:hint="default"/>
      </w:rPr>
    </w:lvl>
  </w:abstractNum>
  <w:abstractNum w:abstractNumId="18" w15:restartNumberingAfterBreak="0">
    <w:nsid w:val="6BF72D56"/>
    <w:multiLevelType w:val="multilevel"/>
    <w:tmpl w:val="7B88A338"/>
    <w:lvl w:ilvl="0">
      <w:start w:val="3"/>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9" w15:restartNumberingAfterBreak="0">
    <w:nsid w:val="6DD969F3"/>
    <w:multiLevelType w:val="multilevel"/>
    <w:tmpl w:val="08E0C114"/>
    <w:lvl w:ilvl="0">
      <w:start w:val="4"/>
      <w:numFmt w:val="decimal"/>
      <w:lvlText w:val="%1"/>
      <w:lvlJc w:val="left"/>
      <w:pPr>
        <w:ind w:left="1792" w:hanging="994"/>
        <w:jc w:val="right"/>
      </w:pPr>
      <w:rPr>
        <w:rFonts w:hint="default"/>
      </w:rPr>
    </w:lvl>
    <w:lvl w:ilvl="1">
      <w:start w:val="3"/>
      <w:numFmt w:val="decimal"/>
      <w:lvlText w:val="%1.%2"/>
      <w:lvlJc w:val="left"/>
      <w:pPr>
        <w:ind w:left="1792" w:hanging="994"/>
        <w:jc w:val="right"/>
      </w:pPr>
      <w:rPr>
        <w:rFonts w:hint="default"/>
      </w:rPr>
    </w:lvl>
    <w:lvl w:ilvl="2">
      <w:start w:val="4"/>
      <w:numFmt w:val="decimal"/>
      <w:lvlText w:val="%1.%2.%3"/>
      <w:lvlJc w:val="left"/>
      <w:pPr>
        <w:ind w:left="179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17" w:hanging="1133"/>
        <w:jc w:val="left"/>
      </w:pPr>
      <w:rPr>
        <w:rFonts w:ascii="Times New Roman" w:eastAsia="Times New Roman" w:hAnsi="Times New Roman" w:cs="Times New Roman" w:hint="default"/>
        <w:w w:val="100"/>
        <w:sz w:val="22"/>
        <w:szCs w:val="22"/>
      </w:rPr>
    </w:lvl>
    <w:lvl w:ilvl="4">
      <w:numFmt w:val="bullet"/>
      <w:lvlText w:val="•"/>
      <w:lvlJc w:val="left"/>
      <w:pPr>
        <w:ind w:left="5100" w:hanging="1133"/>
      </w:pPr>
      <w:rPr>
        <w:rFonts w:hint="default"/>
      </w:rPr>
    </w:lvl>
    <w:lvl w:ilvl="5">
      <w:numFmt w:val="bullet"/>
      <w:lvlText w:val="•"/>
      <w:lvlJc w:val="left"/>
      <w:pPr>
        <w:ind w:left="6060" w:hanging="1133"/>
      </w:pPr>
      <w:rPr>
        <w:rFonts w:hint="default"/>
      </w:rPr>
    </w:lvl>
    <w:lvl w:ilvl="6">
      <w:numFmt w:val="bullet"/>
      <w:lvlText w:val="•"/>
      <w:lvlJc w:val="left"/>
      <w:pPr>
        <w:ind w:left="7020" w:hanging="1133"/>
      </w:pPr>
      <w:rPr>
        <w:rFonts w:hint="default"/>
      </w:rPr>
    </w:lvl>
    <w:lvl w:ilvl="7">
      <w:numFmt w:val="bullet"/>
      <w:lvlText w:val="•"/>
      <w:lvlJc w:val="left"/>
      <w:pPr>
        <w:ind w:left="7980" w:hanging="1133"/>
      </w:pPr>
      <w:rPr>
        <w:rFonts w:hint="default"/>
      </w:rPr>
    </w:lvl>
    <w:lvl w:ilvl="8">
      <w:numFmt w:val="bullet"/>
      <w:lvlText w:val="•"/>
      <w:lvlJc w:val="left"/>
      <w:pPr>
        <w:ind w:left="8940" w:hanging="1133"/>
      </w:pPr>
      <w:rPr>
        <w:rFonts w:hint="default"/>
      </w:rPr>
    </w:lvl>
  </w:abstractNum>
  <w:abstractNum w:abstractNumId="20" w15:restartNumberingAfterBreak="0">
    <w:nsid w:val="7B570C9F"/>
    <w:multiLevelType w:val="hybridMultilevel"/>
    <w:tmpl w:val="CAE68A60"/>
    <w:lvl w:ilvl="0" w:tplc="F796DA0E">
      <w:numFmt w:val="bullet"/>
      <w:lvlText w:val=""/>
      <w:lvlJc w:val="left"/>
      <w:pPr>
        <w:ind w:left="365" w:hanging="272"/>
      </w:pPr>
      <w:rPr>
        <w:rFonts w:ascii="Symbol" w:eastAsia="Symbol" w:hAnsi="Symbol" w:cs="Symbol" w:hint="default"/>
        <w:w w:val="99"/>
        <w:sz w:val="20"/>
        <w:szCs w:val="20"/>
      </w:rPr>
    </w:lvl>
    <w:lvl w:ilvl="1" w:tplc="D60C4542">
      <w:numFmt w:val="bullet"/>
      <w:lvlText w:val="•"/>
      <w:lvlJc w:val="left"/>
      <w:pPr>
        <w:ind w:left="505" w:hanging="272"/>
      </w:pPr>
      <w:rPr>
        <w:rFonts w:hint="default"/>
      </w:rPr>
    </w:lvl>
    <w:lvl w:ilvl="2" w:tplc="6D68BD4E">
      <w:numFmt w:val="bullet"/>
      <w:lvlText w:val="•"/>
      <w:lvlJc w:val="left"/>
      <w:pPr>
        <w:ind w:left="650" w:hanging="272"/>
      </w:pPr>
      <w:rPr>
        <w:rFonts w:hint="default"/>
      </w:rPr>
    </w:lvl>
    <w:lvl w:ilvl="3" w:tplc="D646FDDC">
      <w:numFmt w:val="bullet"/>
      <w:lvlText w:val="•"/>
      <w:lvlJc w:val="left"/>
      <w:pPr>
        <w:ind w:left="796" w:hanging="272"/>
      </w:pPr>
      <w:rPr>
        <w:rFonts w:hint="default"/>
      </w:rPr>
    </w:lvl>
    <w:lvl w:ilvl="4" w:tplc="9244B4E4">
      <w:numFmt w:val="bullet"/>
      <w:lvlText w:val="•"/>
      <w:lvlJc w:val="left"/>
      <w:pPr>
        <w:ind w:left="941" w:hanging="272"/>
      </w:pPr>
      <w:rPr>
        <w:rFonts w:hint="default"/>
      </w:rPr>
    </w:lvl>
    <w:lvl w:ilvl="5" w:tplc="120E18C2">
      <w:numFmt w:val="bullet"/>
      <w:lvlText w:val="•"/>
      <w:lvlJc w:val="left"/>
      <w:pPr>
        <w:ind w:left="1087" w:hanging="272"/>
      </w:pPr>
      <w:rPr>
        <w:rFonts w:hint="default"/>
      </w:rPr>
    </w:lvl>
    <w:lvl w:ilvl="6" w:tplc="3C92105A">
      <w:numFmt w:val="bullet"/>
      <w:lvlText w:val="•"/>
      <w:lvlJc w:val="left"/>
      <w:pPr>
        <w:ind w:left="1232" w:hanging="272"/>
      </w:pPr>
      <w:rPr>
        <w:rFonts w:hint="default"/>
      </w:rPr>
    </w:lvl>
    <w:lvl w:ilvl="7" w:tplc="D38E6E6E">
      <w:numFmt w:val="bullet"/>
      <w:lvlText w:val="•"/>
      <w:lvlJc w:val="left"/>
      <w:pPr>
        <w:ind w:left="1377" w:hanging="272"/>
      </w:pPr>
      <w:rPr>
        <w:rFonts w:hint="default"/>
      </w:rPr>
    </w:lvl>
    <w:lvl w:ilvl="8" w:tplc="CBC27236">
      <w:numFmt w:val="bullet"/>
      <w:lvlText w:val="•"/>
      <w:lvlJc w:val="left"/>
      <w:pPr>
        <w:ind w:left="1523" w:hanging="272"/>
      </w:pPr>
      <w:rPr>
        <w:rFonts w:hint="default"/>
      </w:rPr>
    </w:lvl>
  </w:abstractNum>
  <w:num w:numId="1">
    <w:abstractNumId w:val="1"/>
  </w:num>
  <w:num w:numId="2">
    <w:abstractNumId w:val="4"/>
  </w:num>
  <w:num w:numId="3">
    <w:abstractNumId w:val="20"/>
  </w:num>
  <w:num w:numId="4">
    <w:abstractNumId w:val="0"/>
  </w:num>
  <w:num w:numId="5">
    <w:abstractNumId w:val="11"/>
  </w:num>
  <w:num w:numId="6">
    <w:abstractNumId w:val="17"/>
  </w:num>
  <w:num w:numId="7">
    <w:abstractNumId w:val="13"/>
  </w:num>
  <w:num w:numId="8">
    <w:abstractNumId w:val="3"/>
  </w:num>
  <w:num w:numId="9">
    <w:abstractNumId w:val="10"/>
  </w:num>
  <w:num w:numId="10">
    <w:abstractNumId w:val="6"/>
  </w:num>
  <w:num w:numId="11">
    <w:abstractNumId w:val="14"/>
  </w:num>
  <w:num w:numId="12">
    <w:abstractNumId w:val="12"/>
  </w:num>
  <w:num w:numId="13">
    <w:abstractNumId w:val="7"/>
  </w:num>
  <w:num w:numId="14">
    <w:abstractNumId w:val="5"/>
  </w:num>
  <w:num w:numId="15">
    <w:abstractNumId w:val="18"/>
  </w:num>
  <w:num w:numId="16">
    <w:abstractNumId w:val="15"/>
  </w:num>
  <w:num w:numId="17">
    <w:abstractNumId w:val="16"/>
  </w:num>
  <w:num w:numId="18">
    <w:abstractNumId w:val="9"/>
  </w:num>
  <w:num w:numId="19">
    <w:abstractNumId w:val="19"/>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92">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42D5E"/>
    <w:rsid w:val="00042D5E"/>
    <w:rsid w:val="000D0CBA"/>
    <w:rsid w:val="007D5BFA"/>
    <w:rsid w:val="008B12EB"/>
    <w:rsid w:val="0091574F"/>
    <w:rsid w:val="00BB321B"/>
    <w:rsid w:val="00FE4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2">
      <v:textbox inset="5.85pt,.7pt,5.85pt,.7pt"/>
    </o:shapedefaults>
    <o:shapelayout v:ext="edit">
      <o:idmap v:ext="edit" data="1"/>
    </o:shapelayout>
  </w:shapeDefaults>
  <w:decimalSymbol w:val="."/>
  <w:listSeparator w:val=","/>
  <w15:docId w15:val="{B3293FCC-E4C1-4A0F-81C7-1F38997C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108"/>
      <w:outlineLvl w:val="0"/>
    </w:pPr>
    <w:rPr>
      <w:b/>
      <w:bCs/>
      <w:sz w:val="32"/>
      <w:szCs w:val="32"/>
    </w:rPr>
  </w:style>
  <w:style w:type="paragraph" w:styleId="2">
    <w:name w:val="heading 2"/>
    <w:basedOn w:val="a"/>
    <w:uiPriority w:val="9"/>
    <w:unhideWhenUsed/>
    <w:qFormat/>
    <w:pPr>
      <w:spacing w:before="89"/>
      <w:ind w:left="1093" w:hanging="852"/>
      <w:outlineLvl w:val="1"/>
    </w:pPr>
    <w:rPr>
      <w:b/>
      <w:bCs/>
      <w:sz w:val="28"/>
      <w:szCs w:val="28"/>
    </w:rPr>
  </w:style>
  <w:style w:type="paragraph" w:styleId="3">
    <w:name w:val="heading 3"/>
    <w:basedOn w:val="a"/>
    <w:uiPriority w:val="9"/>
    <w:unhideWhenUsed/>
    <w:qFormat/>
    <w:pPr>
      <w:spacing w:before="206"/>
      <w:ind w:left="232"/>
      <w:outlineLvl w:val="2"/>
    </w:pPr>
    <w:rPr>
      <w:b/>
      <w:bCs/>
      <w:sz w:val="24"/>
      <w:szCs w:val="24"/>
    </w:rPr>
  </w:style>
  <w:style w:type="paragraph" w:styleId="4">
    <w:name w:val="heading 4"/>
    <w:basedOn w:val="a"/>
    <w:uiPriority w:val="9"/>
    <w:unhideWhenUsed/>
    <w:qFormat/>
    <w:pPr>
      <w:spacing w:before="1"/>
      <w:ind w:left="232"/>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2"/>
      <w:ind w:left="940" w:hanging="708"/>
    </w:pPr>
    <w:rPr>
      <w:b/>
      <w:bCs/>
    </w:rPr>
  </w:style>
  <w:style w:type="paragraph" w:styleId="20">
    <w:name w:val="toc 2"/>
    <w:basedOn w:val="a"/>
    <w:uiPriority w:val="1"/>
    <w:qFormat/>
    <w:pPr>
      <w:spacing w:before="107"/>
      <w:ind w:left="1365" w:hanging="849"/>
    </w:pPr>
  </w:style>
  <w:style w:type="paragraph" w:styleId="30">
    <w:name w:val="toc 3"/>
    <w:basedOn w:val="a"/>
    <w:uiPriority w:val="1"/>
    <w:qFormat/>
    <w:pPr>
      <w:spacing w:before="107"/>
      <w:ind w:left="1792" w:hanging="993"/>
    </w:pPr>
  </w:style>
  <w:style w:type="paragraph" w:styleId="40">
    <w:name w:val="toc 4"/>
    <w:basedOn w:val="a"/>
    <w:uiPriority w:val="1"/>
    <w:qFormat/>
    <w:pPr>
      <w:spacing w:before="107"/>
      <w:ind w:left="2217" w:hanging="1133"/>
    </w:pPr>
  </w:style>
  <w:style w:type="paragraph" w:styleId="5">
    <w:name w:val="toc 5"/>
    <w:basedOn w:val="a"/>
    <w:uiPriority w:val="1"/>
    <w:qFormat/>
    <w:pPr>
      <w:spacing w:line="251" w:lineRule="exact"/>
      <w:ind w:left="2217"/>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7D5BFA"/>
    <w:pPr>
      <w:tabs>
        <w:tab w:val="center" w:pos="4252"/>
        <w:tab w:val="right" w:pos="8504"/>
      </w:tabs>
      <w:snapToGrid w:val="0"/>
    </w:pPr>
  </w:style>
  <w:style w:type="character" w:customStyle="1" w:styleId="a6">
    <w:name w:val="ヘッダー (文字)"/>
    <w:basedOn w:val="a0"/>
    <w:link w:val="a5"/>
    <w:uiPriority w:val="99"/>
    <w:rsid w:val="007D5BFA"/>
    <w:rPr>
      <w:rFonts w:ascii="Times New Roman" w:eastAsia="Times New Roman" w:hAnsi="Times New Roman" w:cs="Times New Roman"/>
    </w:rPr>
  </w:style>
  <w:style w:type="paragraph" w:styleId="a7">
    <w:name w:val="footer"/>
    <w:basedOn w:val="a"/>
    <w:link w:val="a8"/>
    <w:uiPriority w:val="99"/>
    <w:unhideWhenUsed/>
    <w:rsid w:val="007D5BFA"/>
    <w:pPr>
      <w:tabs>
        <w:tab w:val="center" w:pos="4252"/>
        <w:tab w:val="right" w:pos="8504"/>
      </w:tabs>
      <w:snapToGrid w:val="0"/>
    </w:pPr>
  </w:style>
  <w:style w:type="character" w:customStyle="1" w:styleId="a8">
    <w:name w:val="フッター (文字)"/>
    <w:basedOn w:val="a0"/>
    <w:link w:val="a7"/>
    <w:uiPriority w:val="99"/>
    <w:rsid w:val="007D5B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C48E5-ED9E-4308-975D-1303A748164D}"/>
</file>

<file path=customXml/itemProps2.xml><?xml version="1.0" encoding="utf-8"?>
<ds:datastoreItem xmlns:ds="http://schemas.openxmlformats.org/officeDocument/2006/customXml" ds:itemID="{D8644BBE-11AE-4705-84F4-BC016FD18185}"/>
</file>

<file path=customXml/itemProps3.xml><?xml version="1.0" encoding="utf-8"?>
<ds:datastoreItem xmlns:ds="http://schemas.openxmlformats.org/officeDocument/2006/customXml" ds:itemID="{3FEC8DFD-1B7F-4103-B454-ADE3B107AA51}"/>
</file>

<file path=docProps/app.xml><?xml version="1.0" encoding="utf-8"?>
<Properties xmlns="http://schemas.openxmlformats.org/officeDocument/2006/extended-properties" xmlns:vt="http://schemas.openxmlformats.org/officeDocument/2006/docPropsVTypes">
  <Template>Normal</Template>
  <TotalTime>13</TotalTime>
  <Pages>17</Pages>
  <Words>5153</Words>
  <Characters>29373</Characters>
  <Application>Microsoft Office Word</Application>
  <DocSecurity>0</DocSecurity>
  <Lines>244</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2021-06-28T10:11:00Z</dcterms:created>
  <dcterms:modified xsi:type="dcterms:W3CDTF">2021-07-08T09:35:00Z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