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1A0" w:rsidRDefault="00672CAE">
      <w:pPr>
        <w:pStyle w:val="a4"/>
        <w:numPr>
          <w:ilvl w:val="1"/>
          <w:numId w:val="14"/>
        </w:numPr>
        <w:tabs>
          <w:tab w:val="left" w:pos="1164"/>
          <w:tab w:val="left" w:pos="1165"/>
        </w:tabs>
        <w:rPr>
          <w:b/>
          <w:sz w:val="28"/>
        </w:rPr>
      </w:pPr>
      <w:bookmarkStart w:id="0" w:name="4.2_Safety_Pharmacology"/>
      <w:bookmarkStart w:id="1" w:name="_bookmark66"/>
      <w:bookmarkEnd w:id="0"/>
      <w:bookmarkEnd w:id="1"/>
      <w:r>
        <w:rPr>
          <w:b/>
          <w:sz w:val="28"/>
        </w:rPr>
        <w:t>Safety</w:t>
      </w:r>
      <w:r>
        <w:rPr>
          <w:b/>
          <w:spacing w:val="-1"/>
          <w:sz w:val="28"/>
        </w:rPr>
        <w:t xml:space="preserve"> </w:t>
      </w:r>
      <w:r>
        <w:rPr>
          <w:b/>
          <w:sz w:val="28"/>
        </w:rPr>
        <w:t>Pharmacology</w:t>
      </w:r>
    </w:p>
    <w:p w:rsidR="000B21A0" w:rsidRDefault="00672CAE">
      <w:pPr>
        <w:spacing w:before="141"/>
        <w:ind w:left="312"/>
        <w:rPr>
          <w:i/>
          <w:sz w:val="24"/>
        </w:rPr>
      </w:pPr>
      <w:r>
        <w:rPr>
          <w:i/>
          <w:sz w:val="24"/>
        </w:rPr>
        <w:t xml:space="preserve">In Vitro Study: Effect of MMAE on </w:t>
      </w:r>
      <w:r>
        <w:rPr>
          <w:sz w:val="24"/>
        </w:rPr>
        <w:t xml:space="preserve">human ether-a-go-go-related gene </w:t>
      </w:r>
      <w:r>
        <w:rPr>
          <w:i/>
          <w:sz w:val="24"/>
        </w:rPr>
        <w:t>(</w:t>
      </w:r>
      <w:proofErr w:type="spellStart"/>
      <w:r>
        <w:rPr>
          <w:i/>
          <w:sz w:val="24"/>
        </w:rPr>
        <w:t>hERG</w:t>
      </w:r>
      <w:proofErr w:type="spellEnd"/>
      <w:r>
        <w:rPr>
          <w:i/>
          <w:sz w:val="24"/>
        </w:rPr>
        <w:t>) Current</w:t>
      </w:r>
    </w:p>
    <w:p w:rsidR="000B21A0" w:rsidRDefault="00672CAE">
      <w:pPr>
        <w:pStyle w:val="a3"/>
        <w:spacing w:before="144" w:line="261" w:lineRule="auto"/>
        <w:ind w:left="312" w:right="741"/>
      </w:pPr>
      <w:r>
        <w:t xml:space="preserve">The effect of MMAE on </w:t>
      </w:r>
      <w:proofErr w:type="spellStart"/>
      <w:r>
        <w:t>hERG</w:t>
      </w:r>
      <w:proofErr w:type="spellEnd"/>
      <w:r>
        <w:t xml:space="preserve"> K+ channels, </w:t>
      </w:r>
      <w:proofErr w:type="spellStart"/>
      <w:r>
        <w:t>heterologously</w:t>
      </w:r>
      <w:proofErr w:type="spellEnd"/>
      <w:r>
        <w:t xml:space="preserve"> expressed in Human Embryonic Kidney (HEK) 293 cells, was evaluated using the conventional whole cell voltage clamp technique [Study 129-09-001]. The effects on </w:t>
      </w:r>
      <w:proofErr w:type="spellStart"/>
      <w:r>
        <w:t>hERG</w:t>
      </w:r>
      <w:proofErr w:type="spellEnd"/>
      <w:r>
        <w:t xml:space="preserve"> K+ currents were examined by measuring peak </w:t>
      </w:r>
      <w:proofErr w:type="spellStart"/>
      <w:r>
        <w:t>hERG</w:t>
      </w:r>
      <w:proofErr w:type="spellEnd"/>
      <w:r>
        <w:t xml:space="preserve"> tail current before and during test and control article exposure at 35±1ºC. MMAE effects at 10 and 100 </w:t>
      </w:r>
      <w:proofErr w:type="spellStart"/>
      <w:r>
        <w:t>μM</w:t>
      </w:r>
      <w:proofErr w:type="spellEnd"/>
      <w:r>
        <w:t xml:space="preserve"> were compared to the negative control (extracellular saline). </w:t>
      </w:r>
      <w:proofErr w:type="spellStart"/>
      <w:r>
        <w:t>Cisapride</w:t>
      </w:r>
      <w:proofErr w:type="spellEnd"/>
      <w:r>
        <w:t xml:space="preserve"> hydrate (25 </w:t>
      </w:r>
      <w:proofErr w:type="spellStart"/>
      <w:r>
        <w:t>nM</w:t>
      </w:r>
      <w:proofErr w:type="spellEnd"/>
      <w:r>
        <w:t xml:space="preserve">) was used as a positive control. MMAE at 100 </w:t>
      </w:r>
      <w:proofErr w:type="spellStart"/>
      <w:r>
        <w:t>μM</w:t>
      </w:r>
      <w:proofErr w:type="spellEnd"/>
      <w:r>
        <w:t xml:space="preserve"> produced a fractional block of peak </w:t>
      </w:r>
      <w:proofErr w:type="spellStart"/>
      <w:r>
        <w:t>hERG</w:t>
      </w:r>
      <w:proofErr w:type="spellEnd"/>
      <w:r>
        <w:t xml:space="preserve"> tail current of 0.237±0.056 that was significantly different than the effect of the negative control (mean fractional rundown of 0.063±0.023, </w:t>
      </w:r>
      <w:proofErr w:type="spellStart"/>
      <w:r>
        <w:t>mean±SEM</w:t>
      </w:r>
      <w:proofErr w:type="spellEnd"/>
      <w:r>
        <w:t xml:space="preserve">), whereas MMAE at 10 </w:t>
      </w:r>
      <w:proofErr w:type="spellStart"/>
      <w:r>
        <w:t>μM</w:t>
      </w:r>
      <w:proofErr w:type="spellEnd"/>
      <w:r>
        <w:t xml:space="preserve"> produced a fractional block of 0.103±0.030 that was not significantly different from the effect of the negative control. Even at the 100 </w:t>
      </w:r>
      <w:proofErr w:type="spellStart"/>
      <w:r>
        <w:t>μM</w:t>
      </w:r>
      <w:proofErr w:type="spellEnd"/>
      <w:r>
        <w:t xml:space="preserve"> high dose of MMAE the effect on the </w:t>
      </w:r>
      <w:proofErr w:type="spellStart"/>
      <w:r>
        <w:t>hERG</w:t>
      </w:r>
      <w:proofErr w:type="spellEnd"/>
      <w:r>
        <w:t xml:space="preserve"> K+ channel was insufficient to calculate an IC50, but is estimated to be greater than 100 </w:t>
      </w:r>
      <w:proofErr w:type="spellStart"/>
      <w:r>
        <w:t>μM</w:t>
      </w:r>
      <w:proofErr w:type="spellEnd"/>
      <w:r>
        <w:t>.</w:t>
      </w:r>
    </w:p>
    <w:p w:rsidR="000B21A0" w:rsidRDefault="00672CAE">
      <w:pPr>
        <w:pStyle w:val="1"/>
        <w:numPr>
          <w:ilvl w:val="1"/>
          <w:numId w:val="14"/>
        </w:numPr>
        <w:tabs>
          <w:tab w:val="left" w:pos="1164"/>
          <w:tab w:val="left" w:pos="1165"/>
        </w:tabs>
        <w:spacing w:before="98"/>
      </w:pPr>
      <w:bookmarkStart w:id="2" w:name="4.3_Pharmacokinetics_and_Product_Metabol"/>
      <w:bookmarkStart w:id="3" w:name="_bookmark67"/>
      <w:bookmarkStart w:id="4" w:name="4.4_Toxicology"/>
      <w:bookmarkStart w:id="5" w:name="_bookmark74"/>
      <w:bookmarkEnd w:id="2"/>
      <w:bookmarkEnd w:id="3"/>
      <w:bookmarkEnd w:id="4"/>
      <w:bookmarkEnd w:id="5"/>
      <w:r>
        <w:t>Toxicology</w:t>
      </w:r>
    </w:p>
    <w:p w:rsidR="000B21A0" w:rsidRDefault="00672CAE">
      <w:pPr>
        <w:pStyle w:val="2"/>
        <w:numPr>
          <w:ilvl w:val="2"/>
          <w:numId w:val="14"/>
        </w:numPr>
        <w:tabs>
          <w:tab w:val="left" w:pos="1164"/>
          <w:tab w:val="left" w:pos="1165"/>
        </w:tabs>
        <w:spacing w:before="145"/>
      </w:pPr>
      <w:bookmarkStart w:id="6" w:name="4.4.1_Single-dose_Toxicity"/>
      <w:bookmarkStart w:id="7" w:name="_bookmark75"/>
      <w:bookmarkEnd w:id="6"/>
      <w:bookmarkEnd w:id="7"/>
      <w:r>
        <w:t>Single-dose</w:t>
      </w:r>
      <w:r>
        <w:rPr>
          <w:spacing w:val="-2"/>
        </w:rPr>
        <w:t xml:space="preserve"> </w:t>
      </w:r>
      <w:r>
        <w:t>Toxicity</w:t>
      </w:r>
    </w:p>
    <w:p w:rsidR="000B21A0" w:rsidRDefault="00672CAE">
      <w:pPr>
        <w:pStyle w:val="a3"/>
        <w:spacing w:before="139" w:line="261" w:lineRule="auto"/>
        <w:ind w:left="312" w:right="1216"/>
      </w:pPr>
      <w:bookmarkStart w:id="8" w:name="_GoBack"/>
      <w:r>
        <w:t>As p</w:t>
      </w:r>
      <w:bookmarkEnd w:id="8"/>
      <w:r>
        <w:t xml:space="preserve">art of the exploratory dose-range finding study in monkeys (Study No. 20053122), monkeys were given a single dose of </w:t>
      </w:r>
      <w:r w:rsidR="00113E1E">
        <w:t>PROJECT 16-1</w:t>
      </w:r>
      <w:r>
        <w:t>. The results of that study are described in Sec</w:t>
      </w:r>
      <w:hyperlink w:anchor="_bookmark60" w:history="1">
        <w:r>
          <w:t>tion 4.1.1.3.</w:t>
        </w:r>
      </w:hyperlink>
    </w:p>
    <w:p w:rsidR="000B21A0" w:rsidRDefault="00672CAE">
      <w:pPr>
        <w:pStyle w:val="2"/>
        <w:numPr>
          <w:ilvl w:val="2"/>
          <w:numId w:val="14"/>
        </w:numPr>
        <w:tabs>
          <w:tab w:val="left" w:pos="1164"/>
          <w:tab w:val="left" w:pos="1165"/>
        </w:tabs>
        <w:spacing w:before="123"/>
      </w:pPr>
      <w:bookmarkStart w:id="9" w:name="4.4.2_Repeat-dose_Toxicity"/>
      <w:bookmarkStart w:id="10" w:name="_bookmark76"/>
      <w:bookmarkEnd w:id="9"/>
      <w:bookmarkEnd w:id="10"/>
      <w:r>
        <w:t>Repeat-dose</w:t>
      </w:r>
      <w:r>
        <w:rPr>
          <w:spacing w:val="-2"/>
        </w:rPr>
        <w:t xml:space="preserve"> </w:t>
      </w:r>
      <w:r>
        <w:t>Toxicity</w:t>
      </w:r>
    </w:p>
    <w:p w:rsidR="000B21A0" w:rsidRDefault="00672CAE">
      <w:pPr>
        <w:pStyle w:val="a3"/>
        <w:spacing w:before="139" w:line="261" w:lineRule="auto"/>
        <w:ind w:left="312" w:right="729"/>
      </w:pPr>
      <w:r>
        <w:t xml:space="preserve">One GLP study in rats (20043365) and two repeat-dose studies in cynomolgus monkeys were conducted – one exploratory (20053122) and one pivotal GLP study (20043367) to characterize the safety of </w:t>
      </w:r>
      <w:r w:rsidR="00113E1E">
        <w:t>PROJECT 16-1</w:t>
      </w:r>
      <w:r>
        <w:t xml:space="preserve"> in support of initiating a Phase 1 clinical trial in patients with hematopoietic cancers associated with CD37 expression. Cynomolgus monkeys were considered the relevant toxicology species based on similarity of a variety of immunohistochemistry and flow cytometry-based binding characteristics to human CD37.</w:t>
      </w:r>
    </w:p>
    <w:p w:rsidR="000B21A0" w:rsidRDefault="00113E1E">
      <w:pPr>
        <w:pStyle w:val="a3"/>
        <w:spacing w:line="261" w:lineRule="auto"/>
        <w:ind w:left="312" w:right="1462"/>
      </w:pPr>
      <w:r>
        <w:t>PROJECT 16-1</w:t>
      </w:r>
      <w:r w:rsidR="00672CAE">
        <w:t xml:space="preserve"> did not bind to the rat </w:t>
      </w:r>
      <w:proofErr w:type="gramStart"/>
      <w:r w:rsidR="00672CAE">
        <w:t>ortholog,</w:t>
      </w:r>
      <w:proofErr w:type="gramEnd"/>
      <w:r w:rsidR="00672CAE">
        <w:t xml:space="preserve"> however, a study was conducted with rats to characterize target independent toxicity attributed to</w:t>
      </w:r>
      <w:r w:rsidR="00672CAE">
        <w:rPr>
          <w:spacing w:val="-8"/>
        </w:rPr>
        <w:t xml:space="preserve"> </w:t>
      </w:r>
      <w:r>
        <w:t>PROJECT 16-1</w:t>
      </w:r>
      <w:r w:rsidR="00672CAE">
        <w:t>.</w:t>
      </w:r>
    </w:p>
    <w:p w:rsidR="000B21A0" w:rsidRDefault="00672CAE">
      <w:pPr>
        <w:pStyle w:val="a3"/>
        <w:spacing w:before="113"/>
        <w:ind w:left="312"/>
      </w:pPr>
      <w:r>
        <w:t xml:space="preserve">A list of toxicology studies conducted is provided </w:t>
      </w:r>
      <w:hyperlink w:anchor="_bookmark77" w:history="1">
        <w:r>
          <w:t>in Table</w:t>
        </w:r>
        <w:r>
          <w:rPr>
            <w:spacing w:val="-14"/>
          </w:rPr>
          <w:t xml:space="preserve"> </w:t>
        </w:r>
        <w:r>
          <w:t>11.</w:t>
        </w:r>
      </w:hyperlink>
    </w:p>
    <w:p w:rsidR="000B21A0" w:rsidRDefault="000B21A0">
      <w:pPr>
        <w:sectPr w:rsidR="000B21A0">
          <w:headerReference w:type="default" r:id="rId7"/>
          <w:footerReference w:type="default" r:id="rId8"/>
          <w:pgSz w:w="12240" w:h="15840"/>
          <w:pgMar w:top="1560" w:right="900" w:bottom="940" w:left="1300" w:header="578" w:footer="748" w:gutter="0"/>
          <w:cols w:space="720"/>
        </w:sectPr>
      </w:pPr>
    </w:p>
    <w:p w:rsidR="000B21A0" w:rsidRDefault="000B21A0">
      <w:pPr>
        <w:pStyle w:val="a3"/>
        <w:spacing w:before="6"/>
        <w:rPr>
          <w:sz w:val="22"/>
        </w:rPr>
      </w:pPr>
    </w:p>
    <w:p w:rsidR="000B21A0" w:rsidRDefault="00672CAE">
      <w:pPr>
        <w:pStyle w:val="2"/>
        <w:tabs>
          <w:tab w:val="left" w:pos="1995"/>
        </w:tabs>
        <w:spacing w:before="90"/>
        <w:ind w:left="577" w:firstLine="0"/>
      </w:pPr>
      <w:bookmarkStart w:id="11" w:name="_bookmark77"/>
      <w:bookmarkEnd w:id="11"/>
      <w:r>
        <w:t>Table</w:t>
      </w:r>
      <w:r>
        <w:rPr>
          <w:spacing w:val="-2"/>
        </w:rPr>
        <w:t xml:space="preserve"> </w:t>
      </w:r>
      <w:r>
        <w:t>11.</w:t>
      </w:r>
      <w:r>
        <w:tab/>
        <w:t xml:space="preserve">Toxicology Studies Conducted with </w:t>
      </w:r>
      <w:r w:rsidR="00113E1E">
        <w:t>PROJECT 16-1</w:t>
      </w:r>
      <w:r>
        <w:t xml:space="preserve"> and/or</w:t>
      </w:r>
      <w:r>
        <w:rPr>
          <w:spacing w:val="-2"/>
        </w:rPr>
        <w:t xml:space="preserve"> </w:t>
      </w:r>
      <w:r>
        <w:t>MMAE</w:t>
      </w:r>
    </w:p>
    <w:p w:rsidR="000B21A0" w:rsidRDefault="000B21A0">
      <w:pPr>
        <w:pStyle w:val="a3"/>
        <w:spacing w:before="6"/>
        <w:rPr>
          <w:b/>
          <w:sz w:val="5"/>
        </w:rPr>
      </w:pPr>
    </w:p>
    <w:tbl>
      <w:tblPr>
        <w:tblStyle w:val="TableNormal"/>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051"/>
        <w:gridCol w:w="1531"/>
        <w:gridCol w:w="1800"/>
        <w:gridCol w:w="1135"/>
        <w:gridCol w:w="1310"/>
        <w:gridCol w:w="1063"/>
        <w:gridCol w:w="1308"/>
        <w:gridCol w:w="1310"/>
      </w:tblGrid>
      <w:tr w:rsidR="000B21A0">
        <w:trPr>
          <w:trHeight w:val="506"/>
        </w:trPr>
        <w:tc>
          <w:tcPr>
            <w:tcW w:w="4051" w:type="dxa"/>
            <w:tcBorders>
              <w:bottom w:val="single" w:sz="2" w:space="0" w:color="000000"/>
              <w:right w:val="single" w:sz="2" w:space="0" w:color="000000"/>
            </w:tcBorders>
            <w:shd w:val="clear" w:color="auto" w:fill="C6D9F1"/>
          </w:tcPr>
          <w:p w:rsidR="000B21A0" w:rsidRDefault="00672CAE">
            <w:pPr>
              <w:pStyle w:val="TableParagraph"/>
              <w:spacing w:before="125"/>
              <w:ind w:left="1345" w:right="1334"/>
              <w:jc w:val="center"/>
              <w:rPr>
                <w:b/>
              </w:rPr>
            </w:pPr>
            <w:r>
              <w:rPr>
                <w:b/>
              </w:rPr>
              <w:t>Type of Study</w:t>
            </w:r>
          </w:p>
        </w:tc>
        <w:tc>
          <w:tcPr>
            <w:tcW w:w="1531" w:type="dxa"/>
            <w:tcBorders>
              <w:left w:val="single" w:sz="2" w:space="0" w:color="000000"/>
              <w:bottom w:val="single" w:sz="2" w:space="0" w:color="000000"/>
              <w:right w:val="single" w:sz="2" w:space="0" w:color="000000"/>
            </w:tcBorders>
            <w:shd w:val="clear" w:color="auto" w:fill="C6D9F1"/>
          </w:tcPr>
          <w:p w:rsidR="000B21A0" w:rsidRDefault="00672CAE">
            <w:pPr>
              <w:pStyle w:val="TableParagraph"/>
              <w:spacing w:line="254" w:lineRule="exact"/>
              <w:ind w:left="475" w:right="191" w:hanging="255"/>
              <w:rPr>
                <w:b/>
              </w:rPr>
            </w:pPr>
            <w:r>
              <w:rPr>
                <w:b/>
              </w:rPr>
              <w:t>Species and Strain</w:t>
            </w:r>
          </w:p>
        </w:tc>
        <w:tc>
          <w:tcPr>
            <w:tcW w:w="1800" w:type="dxa"/>
            <w:tcBorders>
              <w:left w:val="single" w:sz="2" w:space="0" w:color="000000"/>
              <w:bottom w:val="single" w:sz="2" w:space="0" w:color="000000"/>
              <w:right w:val="single" w:sz="2" w:space="0" w:color="000000"/>
            </w:tcBorders>
            <w:shd w:val="clear" w:color="auto" w:fill="C6D9F1"/>
          </w:tcPr>
          <w:p w:rsidR="000B21A0" w:rsidRDefault="00672CAE">
            <w:pPr>
              <w:pStyle w:val="TableParagraph"/>
              <w:spacing w:line="254" w:lineRule="exact"/>
              <w:ind w:left="182" w:right="150" w:firstLine="235"/>
              <w:rPr>
                <w:b/>
              </w:rPr>
            </w:pPr>
            <w:r>
              <w:rPr>
                <w:b/>
              </w:rPr>
              <w:t>Method of Administration</w:t>
            </w:r>
          </w:p>
        </w:tc>
        <w:tc>
          <w:tcPr>
            <w:tcW w:w="1135" w:type="dxa"/>
            <w:tcBorders>
              <w:left w:val="single" w:sz="2" w:space="0" w:color="000000"/>
              <w:bottom w:val="single" w:sz="2" w:space="0" w:color="000000"/>
              <w:right w:val="single" w:sz="2" w:space="0" w:color="000000"/>
            </w:tcBorders>
            <w:shd w:val="clear" w:color="auto" w:fill="C6D9F1"/>
          </w:tcPr>
          <w:p w:rsidR="000B21A0" w:rsidRDefault="00672CAE">
            <w:pPr>
              <w:pStyle w:val="TableParagraph"/>
              <w:spacing w:line="254" w:lineRule="exact"/>
              <w:ind w:left="129" w:right="94" w:firstLine="14"/>
              <w:rPr>
                <w:b/>
              </w:rPr>
            </w:pPr>
            <w:r>
              <w:rPr>
                <w:b/>
              </w:rPr>
              <w:t>Duration of Dosing</w:t>
            </w:r>
          </w:p>
        </w:tc>
        <w:tc>
          <w:tcPr>
            <w:tcW w:w="1310" w:type="dxa"/>
            <w:tcBorders>
              <w:left w:val="single" w:sz="2" w:space="0" w:color="000000"/>
              <w:bottom w:val="single" w:sz="2" w:space="0" w:color="000000"/>
              <w:right w:val="single" w:sz="2" w:space="0" w:color="000000"/>
            </w:tcBorders>
            <w:shd w:val="clear" w:color="auto" w:fill="C6D9F1"/>
          </w:tcPr>
          <w:p w:rsidR="000B21A0" w:rsidRDefault="00672CAE">
            <w:pPr>
              <w:pStyle w:val="TableParagraph"/>
              <w:spacing w:before="125"/>
              <w:ind w:left="326"/>
              <w:rPr>
                <w:b/>
              </w:rPr>
            </w:pPr>
            <w:r>
              <w:rPr>
                <w:b/>
              </w:rPr>
              <w:t xml:space="preserve">Doses </w:t>
            </w:r>
            <w:r>
              <w:rPr>
                <w:b/>
                <w:vertAlign w:val="superscript"/>
              </w:rPr>
              <w:t>a</w:t>
            </w:r>
          </w:p>
        </w:tc>
        <w:tc>
          <w:tcPr>
            <w:tcW w:w="1063" w:type="dxa"/>
            <w:tcBorders>
              <w:left w:val="single" w:sz="2" w:space="0" w:color="000000"/>
              <w:bottom w:val="single" w:sz="2" w:space="0" w:color="000000"/>
              <w:right w:val="single" w:sz="2" w:space="0" w:color="000000"/>
            </w:tcBorders>
            <w:shd w:val="clear" w:color="auto" w:fill="C6D9F1"/>
          </w:tcPr>
          <w:p w:rsidR="000B21A0" w:rsidRDefault="00672CAE">
            <w:pPr>
              <w:pStyle w:val="TableParagraph"/>
              <w:spacing w:before="125"/>
              <w:ind w:left="0" w:right="293"/>
              <w:jc w:val="right"/>
              <w:rPr>
                <w:b/>
              </w:rPr>
            </w:pPr>
            <w:r>
              <w:rPr>
                <w:b/>
              </w:rPr>
              <w:t>GLP</w:t>
            </w:r>
          </w:p>
        </w:tc>
        <w:tc>
          <w:tcPr>
            <w:tcW w:w="1308" w:type="dxa"/>
            <w:tcBorders>
              <w:left w:val="single" w:sz="2" w:space="0" w:color="000000"/>
              <w:bottom w:val="single" w:sz="2" w:space="0" w:color="000000"/>
              <w:right w:val="single" w:sz="2" w:space="0" w:color="000000"/>
            </w:tcBorders>
            <w:shd w:val="clear" w:color="auto" w:fill="C6D9F1"/>
          </w:tcPr>
          <w:p w:rsidR="000B21A0" w:rsidRDefault="00672CAE">
            <w:pPr>
              <w:pStyle w:val="TableParagraph"/>
              <w:spacing w:line="254" w:lineRule="exact"/>
              <w:ind w:left="305" w:right="269" w:firstLine="4"/>
              <w:rPr>
                <w:b/>
              </w:rPr>
            </w:pPr>
            <w:r>
              <w:rPr>
                <w:b/>
              </w:rPr>
              <w:t>Testing Facility</w:t>
            </w:r>
          </w:p>
        </w:tc>
        <w:tc>
          <w:tcPr>
            <w:tcW w:w="1310" w:type="dxa"/>
            <w:tcBorders>
              <w:left w:val="single" w:sz="2" w:space="0" w:color="000000"/>
              <w:bottom w:val="single" w:sz="2" w:space="0" w:color="000000"/>
            </w:tcBorders>
            <w:shd w:val="clear" w:color="auto" w:fill="C6D9F1"/>
          </w:tcPr>
          <w:p w:rsidR="000B21A0" w:rsidRDefault="00672CAE">
            <w:pPr>
              <w:pStyle w:val="TableParagraph"/>
              <w:spacing w:before="125"/>
              <w:ind w:left="178" w:right="152"/>
              <w:jc w:val="center"/>
              <w:rPr>
                <w:b/>
              </w:rPr>
            </w:pPr>
            <w:r>
              <w:rPr>
                <w:b/>
              </w:rPr>
              <w:t>Study No.</w:t>
            </w:r>
          </w:p>
        </w:tc>
      </w:tr>
      <w:tr w:rsidR="000B21A0">
        <w:trPr>
          <w:trHeight w:val="252"/>
        </w:trPr>
        <w:tc>
          <w:tcPr>
            <w:tcW w:w="4051" w:type="dxa"/>
            <w:tcBorders>
              <w:top w:val="single" w:sz="2" w:space="0" w:color="000000"/>
              <w:bottom w:val="single" w:sz="2" w:space="0" w:color="000000"/>
              <w:right w:val="single" w:sz="2" w:space="0" w:color="000000"/>
            </w:tcBorders>
            <w:shd w:val="clear" w:color="auto" w:fill="FDE9D9"/>
          </w:tcPr>
          <w:p w:rsidR="000B21A0" w:rsidRDefault="00672CAE">
            <w:pPr>
              <w:pStyle w:val="TableParagraph"/>
              <w:spacing w:line="232" w:lineRule="exact"/>
              <w:ind w:left="1019"/>
              <w:rPr>
                <w:b/>
              </w:rPr>
            </w:pPr>
            <w:r>
              <w:rPr>
                <w:b/>
              </w:rPr>
              <w:t>Repeat-Dose Toxicity</w:t>
            </w:r>
          </w:p>
        </w:tc>
        <w:tc>
          <w:tcPr>
            <w:tcW w:w="1531"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18"/>
              </w:rPr>
            </w:pPr>
          </w:p>
        </w:tc>
        <w:tc>
          <w:tcPr>
            <w:tcW w:w="1800"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18"/>
              </w:rPr>
            </w:pPr>
          </w:p>
        </w:tc>
        <w:tc>
          <w:tcPr>
            <w:tcW w:w="1135"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18"/>
              </w:rPr>
            </w:pPr>
          </w:p>
        </w:tc>
        <w:tc>
          <w:tcPr>
            <w:tcW w:w="1310"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18"/>
              </w:rPr>
            </w:pPr>
          </w:p>
        </w:tc>
        <w:tc>
          <w:tcPr>
            <w:tcW w:w="1063"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18"/>
              </w:rPr>
            </w:pPr>
          </w:p>
        </w:tc>
        <w:tc>
          <w:tcPr>
            <w:tcW w:w="1308"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18"/>
              </w:rPr>
            </w:pPr>
          </w:p>
        </w:tc>
        <w:tc>
          <w:tcPr>
            <w:tcW w:w="1310" w:type="dxa"/>
            <w:tcBorders>
              <w:top w:val="single" w:sz="2" w:space="0" w:color="000000"/>
              <w:left w:val="single" w:sz="2" w:space="0" w:color="000000"/>
              <w:bottom w:val="single" w:sz="2" w:space="0" w:color="000000"/>
            </w:tcBorders>
            <w:shd w:val="clear" w:color="auto" w:fill="FDE9D9"/>
          </w:tcPr>
          <w:p w:rsidR="000B21A0" w:rsidRDefault="000B21A0">
            <w:pPr>
              <w:pStyle w:val="TableParagraph"/>
              <w:ind w:left="0"/>
              <w:rPr>
                <w:sz w:val="18"/>
              </w:rPr>
            </w:pPr>
          </w:p>
        </w:tc>
      </w:tr>
      <w:tr w:rsidR="000B21A0">
        <w:trPr>
          <w:trHeight w:val="1010"/>
        </w:trPr>
        <w:tc>
          <w:tcPr>
            <w:tcW w:w="4051" w:type="dxa"/>
            <w:tcBorders>
              <w:top w:val="single" w:sz="2" w:space="0" w:color="000000"/>
              <w:bottom w:val="single" w:sz="2" w:space="0" w:color="000000"/>
              <w:right w:val="single" w:sz="2" w:space="0" w:color="000000"/>
            </w:tcBorders>
          </w:tcPr>
          <w:p w:rsidR="000B21A0" w:rsidRDefault="00672CAE">
            <w:pPr>
              <w:pStyle w:val="TableParagraph"/>
              <w:ind w:left="110" w:right="208"/>
            </w:pPr>
            <w:r>
              <w:t xml:space="preserve">A Multiple Dose Toxicity Study of </w:t>
            </w:r>
            <w:r w:rsidR="00113E1E">
              <w:t>PROJECT 16-1</w:t>
            </w:r>
            <w:r>
              <w:t xml:space="preserve"> and </w:t>
            </w:r>
            <w:r w:rsidR="00113E1E">
              <w:t>PROJECT 16-2</w:t>
            </w:r>
            <w:r>
              <w:t xml:space="preserve"> Administered by IV Injection to Sprague Dawley Rats with</w:t>
            </w:r>
          </w:p>
          <w:p w:rsidR="000B21A0" w:rsidRDefault="00672CAE">
            <w:pPr>
              <w:pStyle w:val="TableParagraph"/>
              <w:spacing w:line="238" w:lineRule="exact"/>
              <w:ind w:left="110"/>
            </w:pPr>
            <w:r>
              <w:t>a 6-Week Recovery Period</w:t>
            </w:r>
          </w:p>
        </w:tc>
        <w:tc>
          <w:tcPr>
            <w:tcW w:w="1531"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4"/>
              <w:ind w:left="0"/>
              <w:rPr>
                <w:b/>
                <w:sz w:val="32"/>
              </w:rPr>
            </w:pPr>
          </w:p>
          <w:p w:rsidR="000B21A0" w:rsidRDefault="00672CAE">
            <w:pPr>
              <w:pStyle w:val="TableParagraph"/>
              <w:spacing w:before="1"/>
              <w:ind w:left="448"/>
            </w:pPr>
            <w:r>
              <w:t>SD Rat</w:t>
            </w:r>
          </w:p>
        </w:tc>
        <w:tc>
          <w:tcPr>
            <w:tcW w:w="1800"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4"/>
              <w:ind w:left="0"/>
              <w:rPr>
                <w:b/>
                <w:sz w:val="32"/>
              </w:rPr>
            </w:pPr>
          </w:p>
          <w:p w:rsidR="000B21A0" w:rsidRDefault="00672CAE">
            <w:pPr>
              <w:pStyle w:val="TableParagraph"/>
              <w:spacing w:before="1"/>
              <w:ind w:left="106" w:right="89"/>
              <w:jc w:val="center"/>
            </w:pPr>
            <w:r>
              <w:t>IV bolus</w:t>
            </w:r>
          </w:p>
        </w:tc>
        <w:tc>
          <w:tcPr>
            <w:tcW w:w="1135"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4"/>
              <w:ind w:left="0"/>
              <w:rPr>
                <w:b/>
                <w:sz w:val="32"/>
              </w:rPr>
            </w:pPr>
          </w:p>
          <w:p w:rsidR="000B21A0" w:rsidRDefault="00672CAE">
            <w:pPr>
              <w:pStyle w:val="TableParagraph"/>
              <w:spacing w:before="1"/>
              <w:ind w:left="130" w:right="113"/>
              <w:jc w:val="center"/>
            </w:pPr>
            <w:r>
              <w:t>4 weeks</w:t>
            </w:r>
          </w:p>
        </w:tc>
        <w:tc>
          <w:tcPr>
            <w:tcW w:w="1310"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4"/>
              <w:ind w:left="0"/>
              <w:rPr>
                <w:b/>
                <w:sz w:val="21"/>
              </w:rPr>
            </w:pPr>
          </w:p>
          <w:p w:rsidR="000B21A0" w:rsidRDefault="00672CAE">
            <w:pPr>
              <w:pStyle w:val="TableParagraph"/>
              <w:ind w:left="197"/>
            </w:pPr>
            <w:r>
              <w:t>0, 1, 3 and</w:t>
            </w:r>
          </w:p>
          <w:p w:rsidR="000B21A0" w:rsidRDefault="00672CAE">
            <w:pPr>
              <w:pStyle w:val="TableParagraph"/>
              <w:spacing w:before="1"/>
              <w:ind w:left="240"/>
            </w:pPr>
            <w:r>
              <w:t>10 mg/kg</w:t>
            </w:r>
          </w:p>
        </w:tc>
        <w:tc>
          <w:tcPr>
            <w:tcW w:w="1063"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4"/>
              <w:ind w:left="0"/>
              <w:rPr>
                <w:b/>
                <w:sz w:val="32"/>
              </w:rPr>
            </w:pPr>
          </w:p>
          <w:p w:rsidR="000B21A0" w:rsidRDefault="00672CAE">
            <w:pPr>
              <w:pStyle w:val="TableParagraph"/>
              <w:spacing w:before="1"/>
              <w:ind w:left="0" w:right="347"/>
              <w:jc w:val="right"/>
            </w:pPr>
            <w:r>
              <w:t>Yes</w:t>
            </w:r>
          </w:p>
        </w:tc>
        <w:tc>
          <w:tcPr>
            <w:tcW w:w="1308"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4"/>
              <w:ind w:left="0"/>
              <w:rPr>
                <w:b/>
                <w:sz w:val="21"/>
              </w:rPr>
            </w:pPr>
          </w:p>
          <w:p w:rsidR="000B21A0" w:rsidRDefault="00672CAE">
            <w:pPr>
              <w:pStyle w:val="TableParagraph"/>
              <w:ind w:left="409"/>
            </w:pPr>
            <w:r>
              <w:t>CRL-</w:t>
            </w:r>
          </w:p>
          <w:p w:rsidR="000B21A0" w:rsidRDefault="00672CAE">
            <w:pPr>
              <w:pStyle w:val="TableParagraph"/>
              <w:spacing w:before="1"/>
              <w:ind w:left="322"/>
            </w:pPr>
            <w:r>
              <w:t>Nevada</w:t>
            </w:r>
          </w:p>
        </w:tc>
        <w:tc>
          <w:tcPr>
            <w:tcW w:w="1310" w:type="dxa"/>
            <w:tcBorders>
              <w:top w:val="single" w:sz="2" w:space="0" w:color="000000"/>
              <w:left w:val="single" w:sz="2" w:space="0" w:color="000000"/>
              <w:bottom w:val="single" w:sz="2" w:space="0" w:color="000000"/>
            </w:tcBorders>
          </w:tcPr>
          <w:p w:rsidR="000B21A0" w:rsidRDefault="000B21A0">
            <w:pPr>
              <w:pStyle w:val="TableParagraph"/>
              <w:spacing w:before="4"/>
              <w:ind w:left="0"/>
              <w:rPr>
                <w:b/>
                <w:sz w:val="32"/>
              </w:rPr>
            </w:pPr>
          </w:p>
          <w:p w:rsidR="000B21A0" w:rsidRDefault="00672CAE">
            <w:pPr>
              <w:pStyle w:val="TableParagraph"/>
              <w:spacing w:before="1"/>
              <w:ind w:left="178" w:right="151"/>
              <w:jc w:val="center"/>
            </w:pPr>
            <w:r>
              <w:t>20043365</w:t>
            </w:r>
          </w:p>
        </w:tc>
      </w:tr>
      <w:tr w:rsidR="000B21A0">
        <w:trPr>
          <w:trHeight w:val="1007"/>
        </w:trPr>
        <w:tc>
          <w:tcPr>
            <w:tcW w:w="4051" w:type="dxa"/>
            <w:tcBorders>
              <w:top w:val="single" w:sz="2" w:space="0" w:color="000000"/>
              <w:bottom w:val="single" w:sz="2" w:space="0" w:color="000000"/>
              <w:right w:val="single" w:sz="2" w:space="0" w:color="000000"/>
            </w:tcBorders>
          </w:tcPr>
          <w:p w:rsidR="000B21A0" w:rsidRDefault="00672CAE">
            <w:pPr>
              <w:pStyle w:val="TableParagraph"/>
              <w:spacing w:before="118"/>
              <w:ind w:left="110" w:right="79"/>
            </w:pPr>
            <w:r>
              <w:t xml:space="preserve">An Exploratory Toxicity Study of </w:t>
            </w:r>
            <w:r w:rsidR="00113E1E">
              <w:t>PROJECT 16-1</w:t>
            </w:r>
            <w:r>
              <w:t xml:space="preserve"> Administered by IV Infusion to Cynomolgus Monkeys</w:t>
            </w:r>
          </w:p>
        </w:tc>
        <w:tc>
          <w:tcPr>
            <w:tcW w:w="1531"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4"/>
              <w:ind w:left="0"/>
              <w:rPr>
                <w:b/>
                <w:sz w:val="21"/>
              </w:rPr>
            </w:pPr>
          </w:p>
          <w:p w:rsidR="000B21A0" w:rsidRDefault="00672CAE">
            <w:pPr>
              <w:pStyle w:val="TableParagraph"/>
              <w:ind w:left="360" w:right="175" w:hanging="154"/>
            </w:pPr>
            <w:r>
              <w:t>Cynomolgus Monkeys</w:t>
            </w:r>
          </w:p>
        </w:tc>
        <w:tc>
          <w:tcPr>
            <w:tcW w:w="1800"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4"/>
              <w:ind w:left="0"/>
              <w:rPr>
                <w:b/>
                <w:sz w:val="21"/>
              </w:rPr>
            </w:pPr>
          </w:p>
          <w:p w:rsidR="000B21A0" w:rsidRDefault="00672CAE">
            <w:pPr>
              <w:pStyle w:val="TableParagraph"/>
              <w:ind w:left="598" w:right="192" w:hanging="372"/>
            </w:pPr>
            <w:r>
              <w:t>IV infusion- 30 minute</w:t>
            </w:r>
          </w:p>
        </w:tc>
        <w:tc>
          <w:tcPr>
            <w:tcW w:w="1135"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4"/>
              <w:ind w:left="0"/>
              <w:rPr>
                <w:b/>
                <w:sz w:val="32"/>
              </w:rPr>
            </w:pPr>
          </w:p>
          <w:p w:rsidR="000B21A0" w:rsidRDefault="00672CAE">
            <w:pPr>
              <w:pStyle w:val="TableParagraph"/>
              <w:spacing w:before="1"/>
              <w:ind w:left="130" w:right="113"/>
              <w:jc w:val="center"/>
            </w:pPr>
            <w:r>
              <w:t>8 weeks</w:t>
            </w:r>
          </w:p>
        </w:tc>
        <w:tc>
          <w:tcPr>
            <w:tcW w:w="1310" w:type="dxa"/>
            <w:tcBorders>
              <w:top w:val="single" w:sz="2" w:space="0" w:color="000000"/>
              <w:left w:val="single" w:sz="2" w:space="0" w:color="000000"/>
              <w:bottom w:val="single" w:sz="2" w:space="0" w:color="000000"/>
              <w:right w:val="single" w:sz="2" w:space="0" w:color="000000"/>
            </w:tcBorders>
          </w:tcPr>
          <w:p w:rsidR="000B21A0" w:rsidRDefault="00672CAE">
            <w:pPr>
              <w:pStyle w:val="TableParagraph"/>
              <w:spacing w:before="118"/>
              <w:ind w:left="135"/>
            </w:pPr>
            <w:r>
              <w:t>0.4, 0.8, 2.4</w:t>
            </w:r>
          </w:p>
          <w:p w:rsidR="000B21A0" w:rsidRDefault="00672CAE">
            <w:pPr>
              <w:pStyle w:val="TableParagraph"/>
              <w:spacing w:before="2"/>
              <w:ind w:left="146" w:right="130"/>
              <w:jc w:val="center"/>
            </w:pPr>
            <w:r>
              <w:t>and 4.8 mg/kg</w:t>
            </w:r>
          </w:p>
        </w:tc>
        <w:tc>
          <w:tcPr>
            <w:tcW w:w="1063"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4"/>
              <w:ind w:left="0"/>
              <w:rPr>
                <w:b/>
                <w:sz w:val="32"/>
              </w:rPr>
            </w:pPr>
          </w:p>
          <w:p w:rsidR="000B21A0" w:rsidRDefault="00672CAE">
            <w:pPr>
              <w:pStyle w:val="TableParagraph"/>
              <w:spacing w:before="1"/>
              <w:ind w:left="0" w:right="386"/>
              <w:jc w:val="right"/>
            </w:pPr>
            <w:r>
              <w:t>No</w:t>
            </w:r>
          </w:p>
        </w:tc>
        <w:tc>
          <w:tcPr>
            <w:tcW w:w="1308"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4"/>
              <w:ind w:left="0"/>
              <w:rPr>
                <w:b/>
                <w:sz w:val="21"/>
              </w:rPr>
            </w:pPr>
          </w:p>
          <w:p w:rsidR="000B21A0" w:rsidRDefault="00672CAE">
            <w:pPr>
              <w:pStyle w:val="TableParagraph"/>
              <w:spacing w:line="252" w:lineRule="exact"/>
              <w:ind w:left="409"/>
            </w:pPr>
            <w:r>
              <w:t>CRL-</w:t>
            </w:r>
          </w:p>
          <w:p w:rsidR="000B21A0" w:rsidRDefault="00672CAE">
            <w:pPr>
              <w:pStyle w:val="TableParagraph"/>
              <w:spacing w:line="252" w:lineRule="exact"/>
              <w:ind w:left="322"/>
            </w:pPr>
            <w:r>
              <w:t>Nevada</w:t>
            </w:r>
          </w:p>
        </w:tc>
        <w:tc>
          <w:tcPr>
            <w:tcW w:w="1310" w:type="dxa"/>
            <w:tcBorders>
              <w:top w:val="single" w:sz="2" w:space="0" w:color="000000"/>
              <w:left w:val="single" w:sz="2" w:space="0" w:color="000000"/>
              <w:bottom w:val="single" w:sz="2" w:space="0" w:color="000000"/>
            </w:tcBorders>
          </w:tcPr>
          <w:p w:rsidR="000B21A0" w:rsidRDefault="000B21A0">
            <w:pPr>
              <w:pStyle w:val="TableParagraph"/>
              <w:spacing w:before="4"/>
              <w:ind w:left="0"/>
              <w:rPr>
                <w:b/>
                <w:sz w:val="32"/>
              </w:rPr>
            </w:pPr>
          </w:p>
          <w:p w:rsidR="000B21A0" w:rsidRDefault="00672CAE">
            <w:pPr>
              <w:pStyle w:val="TableParagraph"/>
              <w:spacing w:before="1"/>
              <w:ind w:left="178" w:right="152"/>
              <w:jc w:val="center"/>
            </w:pPr>
            <w:r>
              <w:t>20035122</w:t>
            </w:r>
          </w:p>
        </w:tc>
      </w:tr>
      <w:tr w:rsidR="000B21A0">
        <w:trPr>
          <w:trHeight w:val="1012"/>
        </w:trPr>
        <w:tc>
          <w:tcPr>
            <w:tcW w:w="4051" w:type="dxa"/>
            <w:tcBorders>
              <w:top w:val="single" w:sz="2" w:space="0" w:color="000000"/>
              <w:bottom w:val="single" w:sz="2" w:space="0" w:color="000000"/>
              <w:right w:val="single" w:sz="2" w:space="0" w:color="000000"/>
            </w:tcBorders>
          </w:tcPr>
          <w:p w:rsidR="000B21A0" w:rsidRDefault="00672CAE">
            <w:pPr>
              <w:pStyle w:val="TableParagraph"/>
              <w:ind w:left="110" w:right="164"/>
            </w:pPr>
            <w:r>
              <w:t xml:space="preserve">A Multiple Dose Toxicity Study of </w:t>
            </w:r>
            <w:r w:rsidR="00113E1E">
              <w:t>PROJECT 16-1</w:t>
            </w:r>
            <w:r>
              <w:t xml:space="preserve"> and </w:t>
            </w:r>
            <w:r w:rsidR="00113E1E">
              <w:t>PROJECT 16-2</w:t>
            </w:r>
            <w:r>
              <w:t xml:space="preserve"> Administered by IV Infusion to Cynomolgus Monkeys with</w:t>
            </w:r>
          </w:p>
          <w:p w:rsidR="000B21A0" w:rsidRDefault="00672CAE">
            <w:pPr>
              <w:pStyle w:val="TableParagraph"/>
              <w:spacing w:line="238" w:lineRule="exact"/>
              <w:ind w:left="110"/>
            </w:pPr>
            <w:r>
              <w:t>a 6-Week Recovery Period</w:t>
            </w:r>
          </w:p>
        </w:tc>
        <w:tc>
          <w:tcPr>
            <w:tcW w:w="1531"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6"/>
              <w:ind w:left="0"/>
              <w:rPr>
                <w:b/>
                <w:sz w:val="21"/>
              </w:rPr>
            </w:pPr>
          </w:p>
          <w:p w:rsidR="000B21A0" w:rsidRDefault="00672CAE">
            <w:pPr>
              <w:pStyle w:val="TableParagraph"/>
              <w:ind w:left="400" w:right="176" w:hanging="195"/>
            </w:pPr>
            <w:r>
              <w:t>Cynomolgus Monkey</w:t>
            </w:r>
          </w:p>
        </w:tc>
        <w:tc>
          <w:tcPr>
            <w:tcW w:w="1800"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6"/>
              <w:ind w:left="0"/>
              <w:rPr>
                <w:b/>
                <w:sz w:val="21"/>
              </w:rPr>
            </w:pPr>
          </w:p>
          <w:p w:rsidR="000B21A0" w:rsidRDefault="00672CAE">
            <w:pPr>
              <w:pStyle w:val="TableParagraph"/>
              <w:ind w:left="597" w:right="193" w:hanging="372"/>
            </w:pPr>
            <w:r>
              <w:t>IV infusion- 30 minute</w:t>
            </w:r>
          </w:p>
        </w:tc>
        <w:tc>
          <w:tcPr>
            <w:tcW w:w="1135"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7"/>
              <w:ind w:left="0"/>
              <w:rPr>
                <w:b/>
                <w:sz w:val="32"/>
              </w:rPr>
            </w:pPr>
          </w:p>
          <w:p w:rsidR="000B21A0" w:rsidRDefault="00672CAE">
            <w:pPr>
              <w:pStyle w:val="TableParagraph"/>
              <w:ind w:left="130" w:right="114"/>
              <w:jc w:val="center"/>
            </w:pPr>
            <w:r>
              <w:t>4 weeks</w:t>
            </w:r>
          </w:p>
        </w:tc>
        <w:tc>
          <w:tcPr>
            <w:tcW w:w="1310" w:type="dxa"/>
            <w:tcBorders>
              <w:top w:val="single" w:sz="2" w:space="0" w:color="000000"/>
              <w:left w:val="single" w:sz="2" w:space="0" w:color="000000"/>
              <w:bottom w:val="single" w:sz="2" w:space="0" w:color="000000"/>
              <w:right w:val="single" w:sz="2" w:space="0" w:color="000000"/>
            </w:tcBorders>
          </w:tcPr>
          <w:p w:rsidR="000B21A0" w:rsidRDefault="00672CAE">
            <w:pPr>
              <w:pStyle w:val="TableParagraph"/>
              <w:spacing w:line="249" w:lineRule="exact"/>
              <w:ind w:left="326"/>
            </w:pPr>
            <w:r>
              <w:t>0, 0.25,</w:t>
            </w:r>
          </w:p>
          <w:p w:rsidR="000B21A0" w:rsidRDefault="00672CAE">
            <w:pPr>
              <w:pStyle w:val="TableParagraph"/>
              <w:spacing w:line="252" w:lineRule="exact"/>
              <w:ind w:left="158"/>
            </w:pPr>
            <w:r>
              <w:t>0.5b 1/0.75</w:t>
            </w:r>
          </w:p>
          <w:p w:rsidR="000B21A0" w:rsidRDefault="00672CAE">
            <w:pPr>
              <w:pStyle w:val="TableParagraph"/>
              <w:spacing w:before="1" w:line="254" w:lineRule="exact"/>
              <w:ind w:left="377" w:right="345" w:firstLine="38"/>
            </w:pPr>
            <w:r>
              <w:t>and 3 mg/kg</w:t>
            </w:r>
          </w:p>
        </w:tc>
        <w:tc>
          <w:tcPr>
            <w:tcW w:w="1063"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7"/>
              <w:ind w:left="0"/>
              <w:rPr>
                <w:b/>
                <w:sz w:val="32"/>
              </w:rPr>
            </w:pPr>
          </w:p>
          <w:p w:rsidR="000B21A0" w:rsidRDefault="00672CAE">
            <w:pPr>
              <w:pStyle w:val="TableParagraph"/>
              <w:ind w:left="0" w:right="347"/>
              <w:jc w:val="right"/>
            </w:pPr>
            <w:r>
              <w:t>Yes</w:t>
            </w:r>
          </w:p>
        </w:tc>
        <w:tc>
          <w:tcPr>
            <w:tcW w:w="1308"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6"/>
              <w:ind w:left="0"/>
              <w:rPr>
                <w:b/>
                <w:sz w:val="21"/>
              </w:rPr>
            </w:pPr>
          </w:p>
          <w:p w:rsidR="000B21A0" w:rsidRDefault="00672CAE">
            <w:pPr>
              <w:pStyle w:val="TableParagraph"/>
              <w:spacing w:line="252" w:lineRule="exact"/>
              <w:ind w:left="409"/>
            </w:pPr>
            <w:r>
              <w:t>CRL-</w:t>
            </w:r>
          </w:p>
          <w:p w:rsidR="000B21A0" w:rsidRDefault="00672CAE">
            <w:pPr>
              <w:pStyle w:val="TableParagraph"/>
              <w:spacing w:line="252" w:lineRule="exact"/>
              <w:ind w:left="322"/>
            </w:pPr>
            <w:r>
              <w:t>Nevada</w:t>
            </w:r>
          </w:p>
        </w:tc>
        <w:tc>
          <w:tcPr>
            <w:tcW w:w="1310" w:type="dxa"/>
            <w:tcBorders>
              <w:top w:val="single" w:sz="2" w:space="0" w:color="000000"/>
              <w:left w:val="single" w:sz="2" w:space="0" w:color="000000"/>
              <w:bottom w:val="single" w:sz="2" w:space="0" w:color="000000"/>
            </w:tcBorders>
          </w:tcPr>
          <w:p w:rsidR="000B21A0" w:rsidRDefault="000B21A0">
            <w:pPr>
              <w:pStyle w:val="TableParagraph"/>
              <w:spacing w:before="7"/>
              <w:ind w:left="0"/>
              <w:rPr>
                <w:b/>
                <w:sz w:val="32"/>
              </w:rPr>
            </w:pPr>
          </w:p>
          <w:p w:rsidR="000B21A0" w:rsidRDefault="00672CAE">
            <w:pPr>
              <w:pStyle w:val="TableParagraph"/>
              <w:ind w:left="178" w:right="151"/>
              <w:jc w:val="center"/>
            </w:pPr>
            <w:r>
              <w:t>20043367</w:t>
            </w:r>
          </w:p>
        </w:tc>
      </w:tr>
      <w:tr w:rsidR="000B21A0">
        <w:trPr>
          <w:trHeight w:val="254"/>
        </w:trPr>
        <w:tc>
          <w:tcPr>
            <w:tcW w:w="4051" w:type="dxa"/>
            <w:tcBorders>
              <w:top w:val="single" w:sz="2" w:space="0" w:color="000000"/>
              <w:bottom w:val="single" w:sz="2" w:space="0" w:color="000000"/>
              <w:right w:val="single" w:sz="2" w:space="0" w:color="000000"/>
            </w:tcBorders>
            <w:shd w:val="clear" w:color="auto" w:fill="FDE9D9"/>
          </w:tcPr>
          <w:p w:rsidR="000B21A0" w:rsidRDefault="00672CAE">
            <w:pPr>
              <w:pStyle w:val="TableParagraph"/>
              <w:spacing w:line="234" w:lineRule="exact"/>
              <w:ind w:left="1345" w:right="1331"/>
              <w:jc w:val="center"/>
              <w:rPr>
                <w:b/>
              </w:rPr>
            </w:pPr>
            <w:r>
              <w:rPr>
                <w:b/>
              </w:rPr>
              <w:t>Genotoxicity</w:t>
            </w:r>
          </w:p>
        </w:tc>
        <w:tc>
          <w:tcPr>
            <w:tcW w:w="1531"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18"/>
              </w:rPr>
            </w:pPr>
          </w:p>
        </w:tc>
        <w:tc>
          <w:tcPr>
            <w:tcW w:w="1800"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18"/>
              </w:rPr>
            </w:pPr>
          </w:p>
        </w:tc>
        <w:tc>
          <w:tcPr>
            <w:tcW w:w="1135"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18"/>
              </w:rPr>
            </w:pPr>
          </w:p>
        </w:tc>
        <w:tc>
          <w:tcPr>
            <w:tcW w:w="1310"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18"/>
              </w:rPr>
            </w:pPr>
          </w:p>
        </w:tc>
        <w:tc>
          <w:tcPr>
            <w:tcW w:w="1063"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18"/>
              </w:rPr>
            </w:pPr>
          </w:p>
        </w:tc>
        <w:tc>
          <w:tcPr>
            <w:tcW w:w="1308"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18"/>
              </w:rPr>
            </w:pPr>
          </w:p>
        </w:tc>
        <w:tc>
          <w:tcPr>
            <w:tcW w:w="1310" w:type="dxa"/>
            <w:tcBorders>
              <w:top w:val="single" w:sz="2" w:space="0" w:color="000000"/>
              <w:left w:val="single" w:sz="2" w:space="0" w:color="000000"/>
              <w:bottom w:val="single" w:sz="2" w:space="0" w:color="000000"/>
            </w:tcBorders>
            <w:shd w:val="clear" w:color="auto" w:fill="FDE9D9"/>
          </w:tcPr>
          <w:p w:rsidR="000B21A0" w:rsidRDefault="000B21A0">
            <w:pPr>
              <w:pStyle w:val="TableParagraph"/>
              <w:ind w:left="0"/>
              <w:rPr>
                <w:sz w:val="18"/>
              </w:rPr>
            </w:pPr>
          </w:p>
        </w:tc>
      </w:tr>
      <w:tr w:rsidR="000B21A0">
        <w:trPr>
          <w:trHeight w:val="2299"/>
        </w:trPr>
        <w:tc>
          <w:tcPr>
            <w:tcW w:w="4051" w:type="dxa"/>
            <w:tcBorders>
              <w:top w:val="single" w:sz="2" w:space="0" w:color="000000"/>
              <w:bottom w:val="single" w:sz="2" w:space="0" w:color="000000"/>
              <w:right w:val="single" w:sz="2" w:space="0" w:color="000000"/>
            </w:tcBorders>
          </w:tcPr>
          <w:p w:rsidR="000B21A0" w:rsidRDefault="000B21A0">
            <w:pPr>
              <w:pStyle w:val="TableParagraph"/>
              <w:ind w:left="0"/>
              <w:rPr>
                <w:b/>
                <w:sz w:val="24"/>
              </w:rPr>
            </w:pPr>
          </w:p>
          <w:p w:rsidR="000B21A0" w:rsidRDefault="000B21A0">
            <w:pPr>
              <w:pStyle w:val="TableParagraph"/>
              <w:ind w:left="0"/>
              <w:rPr>
                <w:b/>
                <w:sz w:val="24"/>
              </w:rPr>
            </w:pPr>
          </w:p>
          <w:p w:rsidR="000B21A0" w:rsidRDefault="000B21A0">
            <w:pPr>
              <w:pStyle w:val="TableParagraph"/>
              <w:ind w:left="0"/>
              <w:rPr>
                <w:b/>
                <w:sz w:val="24"/>
              </w:rPr>
            </w:pPr>
          </w:p>
          <w:p w:rsidR="000B21A0" w:rsidRDefault="00672CAE">
            <w:pPr>
              <w:pStyle w:val="TableParagraph"/>
              <w:spacing w:before="188"/>
              <w:ind w:left="110"/>
            </w:pPr>
            <w:r>
              <w:t>Reverse mutation assay</w:t>
            </w:r>
          </w:p>
        </w:tc>
        <w:tc>
          <w:tcPr>
            <w:tcW w:w="1531" w:type="dxa"/>
            <w:tcBorders>
              <w:top w:val="single" w:sz="2" w:space="0" w:color="000000"/>
              <w:left w:val="single" w:sz="2" w:space="0" w:color="000000"/>
              <w:bottom w:val="single" w:sz="2" w:space="0" w:color="000000"/>
              <w:right w:val="single" w:sz="2" w:space="0" w:color="000000"/>
            </w:tcBorders>
          </w:tcPr>
          <w:p w:rsidR="000B21A0" w:rsidRDefault="00672CAE">
            <w:pPr>
              <w:pStyle w:val="TableParagraph"/>
              <w:spacing w:line="223" w:lineRule="exact"/>
              <w:ind w:left="873"/>
              <w:rPr>
                <w:i/>
                <w:sz w:val="20"/>
              </w:rPr>
            </w:pPr>
            <w:r>
              <w:rPr>
                <w:i/>
                <w:sz w:val="20"/>
              </w:rPr>
              <w:t>S.</w:t>
            </w:r>
          </w:p>
          <w:p w:rsidR="000B21A0" w:rsidRDefault="00672CAE">
            <w:pPr>
              <w:pStyle w:val="TableParagraph"/>
              <w:ind w:left="845" w:right="110" w:firstLine="11"/>
              <w:jc w:val="both"/>
              <w:rPr>
                <w:sz w:val="20"/>
              </w:rPr>
            </w:pPr>
            <w:proofErr w:type="spellStart"/>
            <w:r>
              <w:rPr>
                <w:i/>
                <w:sz w:val="20"/>
              </w:rPr>
              <w:t>typhim</w:t>
            </w:r>
            <w:proofErr w:type="spellEnd"/>
            <w:r>
              <w:rPr>
                <w:i/>
                <w:sz w:val="20"/>
              </w:rPr>
              <w:t xml:space="preserve"> </w:t>
            </w:r>
            <w:proofErr w:type="spellStart"/>
            <w:r>
              <w:rPr>
                <w:i/>
                <w:sz w:val="20"/>
              </w:rPr>
              <w:t>urium</w:t>
            </w:r>
            <w:proofErr w:type="spellEnd"/>
            <w:r>
              <w:rPr>
                <w:i/>
                <w:sz w:val="20"/>
              </w:rPr>
              <w:t xml:space="preserve"> </w:t>
            </w:r>
            <w:r>
              <w:rPr>
                <w:sz w:val="20"/>
              </w:rPr>
              <w:t>TA98, TA100</w:t>
            </w:r>
          </w:p>
          <w:p w:rsidR="000B21A0" w:rsidRDefault="00672CAE">
            <w:pPr>
              <w:pStyle w:val="TableParagraph"/>
              <w:ind w:left="410" w:right="369" w:firstLine="693"/>
              <w:jc w:val="both"/>
              <w:rPr>
                <w:sz w:val="20"/>
              </w:rPr>
            </w:pPr>
            <w:r>
              <w:rPr>
                <w:sz w:val="20"/>
              </w:rPr>
              <w:t>, TA1535, TA1537</w:t>
            </w:r>
          </w:p>
          <w:p w:rsidR="000B21A0" w:rsidRDefault="00672CAE">
            <w:pPr>
              <w:pStyle w:val="TableParagraph"/>
              <w:spacing w:line="229" w:lineRule="exact"/>
              <w:ind w:left="130" w:right="120"/>
              <w:jc w:val="center"/>
              <w:rPr>
                <w:i/>
                <w:sz w:val="20"/>
              </w:rPr>
            </w:pPr>
            <w:r>
              <w:rPr>
                <w:i/>
                <w:sz w:val="20"/>
              </w:rPr>
              <w:t>E. coli</w:t>
            </w:r>
          </w:p>
          <w:p w:rsidR="000B21A0" w:rsidRDefault="00672CAE">
            <w:pPr>
              <w:pStyle w:val="TableParagraph"/>
              <w:spacing w:line="217" w:lineRule="exact"/>
              <w:ind w:left="130" w:right="120"/>
              <w:jc w:val="center"/>
              <w:rPr>
                <w:i/>
                <w:sz w:val="20"/>
              </w:rPr>
            </w:pPr>
            <w:r>
              <w:rPr>
                <w:sz w:val="20"/>
              </w:rPr>
              <w:t>WP2</w:t>
            </w:r>
            <w:r>
              <w:rPr>
                <w:i/>
                <w:sz w:val="20"/>
              </w:rPr>
              <w:t>uvrA</w:t>
            </w:r>
          </w:p>
        </w:tc>
        <w:tc>
          <w:tcPr>
            <w:tcW w:w="1800"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ind w:left="0"/>
              <w:rPr>
                <w:b/>
              </w:rPr>
            </w:pPr>
          </w:p>
          <w:p w:rsidR="000B21A0" w:rsidRDefault="000B21A0">
            <w:pPr>
              <w:pStyle w:val="TableParagraph"/>
              <w:ind w:left="0"/>
              <w:rPr>
                <w:b/>
              </w:rPr>
            </w:pPr>
          </w:p>
          <w:p w:rsidR="000B21A0" w:rsidRDefault="000B21A0">
            <w:pPr>
              <w:pStyle w:val="TableParagraph"/>
              <w:ind w:left="0"/>
              <w:rPr>
                <w:b/>
              </w:rPr>
            </w:pPr>
          </w:p>
          <w:p w:rsidR="000B21A0" w:rsidRDefault="000B21A0">
            <w:pPr>
              <w:pStyle w:val="TableParagraph"/>
              <w:spacing w:before="4"/>
              <w:ind w:left="0"/>
              <w:rPr>
                <w:b/>
                <w:sz w:val="23"/>
              </w:rPr>
            </w:pPr>
          </w:p>
          <w:p w:rsidR="000B21A0" w:rsidRDefault="00672CAE">
            <w:pPr>
              <w:pStyle w:val="TableParagraph"/>
              <w:ind w:left="106" w:right="95"/>
              <w:jc w:val="center"/>
              <w:rPr>
                <w:sz w:val="20"/>
              </w:rPr>
            </w:pPr>
            <w:r>
              <w:rPr>
                <w:sz w:val="20"/>
              </w:rPr>
              <w:t>In vitro</w:t>
            </w:r>
          </w:p>
        </w:tc>
        <w:tc>
          <w:tcPr>
            <w:tcW w:w="1135"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ind w:left="0"/>
              <w:rPr>
                <w:b/>
              </w:rPr>
            </w:pPr>
          </w:p>
          <w:p w:rsidR="000B21A0" w:rsidRDefault="000B21A0">
            <w:pPr>
              <w:pStyle w:val="TableParagraph"/>
              <w:ind w:left="0"/>
              <w:rPr>
                <w:b/>
              </w:rPr>
            </w:pPr>
          </w:p>
          <w:p w:rsidR="000B21A0" w:rsidRDefault="000B21A0">
            <w:pPr>
              <w:pStyle w:val="TableParagraph"/>
              <w:ind w:left="0"/>
              <w:rPr>
                <w:b/>
              </w:rPr>
            </w:pPr>
          </w:p>
          <w:p w:rsidR="000B21A0" w:rsidRDefault="000B21A0">
            <w:pPr>
              <w:pStyle w:val="TableParagraph"/>
              <w:spacing w:before="4"/>
              <w:ind w:left="0"/>
              <w:rPr>
                <w:b/>
                <w:sz w:val="23"/>
              </w:rPr>
            </w:pPr>
          </w:p>
          <w:p w:rsidR="000B21A0" w:rsidRDefault="00672CAE">
            <w:pPr>
              <w:pStyle w:val="TableParagraph"/>
              <w:ind w:left="17"/>
              <w:jc w:val="center"/>
              <w:rPr>
                <w:sz w:val="20"/>
              </w:rPr>
            </w:pPr>
            <w:r>
              <w:rPr>
                <w:w w:val="99"/>
                <w:sz w:val="20"/>
              </w:rPr>
              <w:t>-</w:t>
            </w:r>
          </w:p>
        </w:tc>
        <w:tc>
          <w:tcPr>
            <w:tcW w:w="1310"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ind w:left="0"/>
              <w:rPr>
                <w:b/>
              </w:rPr>
            </w:pPr>
          </w:p>
          <w:p w:rsidR="000B21A0" w:rsidRDefault="000B21A0">
            <w:pPr>
              <w:pStyle w:val="TableParagraph"/>
              <w:spacing w:before="3"/>
              <w:ind w:left="0"/>
              <w:rPr>
                <w:b/>
                <w:sz w:val="17"/>
              </w:rPr>
            </w:pPr>
          </w:p>
          <w:p w:rsidR="000B21A0" w:rsidRDefault="00672CAE">
            <w:pPr>
              <w:pStyle w:val="TableParagraph"/>
              <w:ind w:left="141" w:right="132"/>
              <w:jc w:val="center"/>
              <w:rPr>
                <w:sz w:val="20"/>
              </w:rPr>
            </w:pPr>
            <w:r>
              <w:rPr>
                <w:sz w:val="20"/>
              </w:rPr>
              <w:t>-S9: 0.25 to</w:t>
            </w:r>
          </w:p>
          <w:p w:rsidR="000B21A0" w:rsidRDefault="00672CAE">
            <w:pPr>
              <w:pStyle w:val="TableParagraph"/>
              <w:ind w:left="142" w:right="132"/>
              <w:jc w:val="center"/>
              <w:rPr>
                <w:sz w:val="20"/>
              </w:rPr>
            </w:pPr>
            <w:r>
              <w:rPr>
                <w:sz w:val="20"/>
              </w:rPr>
              <w:t>5000</w:t>
            </w:r>
          </w:p>
          <w:p w:rsidR="000B21A0" w:rsidRDefault="00672CAE">
            <w:pPr>
              <w:pStyle w:val="TableParagraph"/>
              <w:spacing w:before="1"/>
              <w:ind w:left="144" w:right="132"/>
              <w:jc w:val="center"/>
              <w:rPr>
                <w:sz w:val="20"/>
              </w:rPr>
            </w:pPr>
            <w:proofErr w:type="spellStart"/>
            <w:r>
              <w:rPr>
                <w:sz w:val="20"/>
              </w:rPr>
              <w:t>μg</w:t>
            </w:r>
            <w:proofErr w:type="spellEnd"/>
            <w:r>
              <w:rPr>
                <w:sz w:val="20"/>
              </w:rPr>
              <w:t>/plate</w:t>
            </w:r>
          </w:p>
          <w:p w:rsidR="000B21A0" w:rsidRDefault="00672CAE">
            <w:pPr>
              <w:pStyle w:val="TableParagraph"/>
              <w:ind w:left="146" w:right="132"/>
              <w:jc w:val="center"/>
              <w:rPr>
                <w:sz w:val="20"/>
              </w:rPr>
            </w:pPr>
            <w:r>
              <w:rPr>
                <w:sz w:val="20"/>
              </w:rPr>
              <w:t>+S9: 0.25 to</w:t>
            </w:r>
          </w:p>
          <w:p w:rsidR="000B21A0" w:rsidRDefault="00672CAE">
            <w:pPr>
              <w:pStyle w:val="TableParagraph"/>
              <w:spacing w:before="1" w:line="229" w:lineRule="exact"/>
              <w:ind w:left="143" w:right="132"/>
              <w:jc w:val="center"/>
              <w:rPr>
                <w:sz w:val="20"/>
              </w:rPr>
            </w:pPr>
            <w:r>
              <w:rPr>
                <w:sz w:val="20"/>
              </w:rPr>
              <w:t>5000</w:t>
            </w:r>
          </w:p>
          <w:p w:rsidR="000B21A0" w:rsidRDefault="00672CAE">
            <w:pPr>
              <w:pStyle w:val="TableParagraph"/>
              <w:spacing w:line="229" w:lineRule="exact"/>
              <w:ind w:left="145" w:right="132"/>
              <w:jc w:val="center"/>
              <w:rPr>
                <w:sz w:val="20"/>
              </w:rPr>
            </w:pPr>
            <w:proofErr w:type="spellStart"/>
            <w:r>
              <w:rPr>
                <w:sz w:val="20"/>
              </w:rPr>
              <w:t>μg</w:t>
            </w:r>
            <w:proofErr w:type="spellEnd"/>
            <w:r>
              <w:rPr>
                <w:sz w:val="20"/>
              </w:rPr>
              <w:t>/plate</w:t>
            </w:r>
          </w:p>
        </w:tc>
        <w:tc>
          <w:tcPr>
            <w:tcW w:w="1063"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ind w:left="0"/>
              <w:rPr>
                <w:b/>
              </w:rPr>
            </w:pPr>
          </w:p>
          <w:p w:rsidR="000B21A0" w:rsidRDefault="000B21A0">
            <w:pPr>
              <w:pStyle w:val="TableParagraph"/>
              <w:ind w:left="0"/>
              <w:rPr>
                <w:b/>
              </w:rPr>
            </w:pPr>
          </w:p>
          <w:p w:rsidR="000B21A0" w:rsidRDefault="000B21A0">
            <w:pPr>
              <w:pStyle w:val="TableParagraph"/>
              <w:ind w:left="0"/>
              <w:rPr>
                <w:b/>
              </w:rPr>
            </w:pPr>
          </w:p>
          <w:p w:rsidR="000B21A0" w:rsidRDefault="000B21A0">
            <w:pPr>
              <w:pStyle w:val="TableParagraph"/>
              <w:spacing w:before="4"/>
              <w:ind w:left="0"/>
              <w:rPr>
                <w:b/>
                <w:sz w:val="23"/>
              </w:rPr>
            </w:pPr>
          </w:p>
          <w:p w:rsidR="000B21A0" w:rsidRDefault="00672CAE">
            <w:pPr>
              <w:pStyle w:val="TableParagraph"/>
              <w:ind w:left="0" w:right="365"/>
              <w:jc w:val="right"/>
              <w:rPr>
                <w:sz w:val="20"/>
              </w:rPr>
            </w:pPr>
            <w:r>
              <w:rPr>
                <w:w w:val="95"/>
                <w:sz w:val="20"/>
              </w:rPr>
              <w:t>Yes</w:t>
            </w:r>
          </w:p>
        </w:tc>
        <w:tc>
          <w:tcPr>
            <w:tcW w:w="1308"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ind w:left="0"/>
              <w:rPr>
                <w:b/>
              </w:rPr>
            </w:pPr>
          </w:p>
          <w:p w:rsidR="000B21A0" w:rsidRDefault="000B21A0">
            <w:pPr>
              <w:pStyle w:val="TableParagraph"/>
              <w:ind w:left="0"/>
              <w:rPr>
                <w:b/>
              </w:rPr>
            </w:pPr>
          </w:p>
          <w:p w:rsidR="000B21A0" w:rsidRDefault="000B21A0">
            <w:pPr>
              <w:pStyle w:val="TableParagraph"/>
              <w:ind w:left="0"/>
              <w:rPr>
                <w:b/>
              </w:rPr>
            </w:pPr>
          </w:p>
          <w:p w:rsidR="000B21A0" w:rsidRDefault="000B21A0">
            <w:pPr>
              <w:pStyle w:val="TableParagraph"/>
              <w:spacing w:before="4"/>
              <w:ind w:left="0"/>
              <w:rPr>
                <w:b/>
                <w:sz w:val="23"/>
              </w:rPr>
            </w:pPr>
          </w:p>
          <w:p w:rsidR="000B21A0" w:rsidRDefault="00672CAE">
            <w:pPr>
              <w:pStyle w:val="TableParagraph"/>
              <w:ind w:left="164"/>
              <w:rPr>
                <w:sz w:val="20"/>
              </w:rPr>
            </w:pPr>
            <w:proofErr w:type="spellStart"/>
            <w:r>
              <w:rPr>
                <w:sz w:val="20"/>
              </w:rPr>
              <w:t>BioReliance</w:t>
            </w:r>
            <w:proofErr w:type="spellEnd"/>
          </w:p>
        </w:tc>
        <w:tc>
          <w:tcPr>
            <w:tcW w:w="1310" w:type="dxa"/>
            <w:tcBorders>
              <w:top w:val="single" w:sz="2" w:space="0" w:color="000000"/>
              <w:left w:val="single" w:sz="2" w:space="0" w:color="000000"/>
              <w:bottom w:val="single" w:sz="2" w:space="0" w:color="000000"/>
            </w:tcBorders>
          </w:tcPr>
          <w:p w:rsidR="000B21A0" w:rsidRDefault="000B21A0">
            <w:pPr>
              <w:pStyle w:val="TableParagraph"/>
              <w:ind w:left="0"/>
              <w:rPr>
                <w:b/>
                <w:sz w:val="24"/>
              </w:rPr>
            </w:pPr>
          </w:p>
          <w:p w:rsidR="000B21A0" w:rsidRDefault="000B21A0">
            <w:pPr>
              <w:pStyle w:val="TableParagraph"/>
              <w:ind w:left="0"/>
              <w:rPr>
                <w:b/>
                <w:sz w:val="24"/>
              </w:rPr>
            </w:pPr>
          </w:p>
          <w:p w:rsidR="000B21A0" w:rsidRDefault="000B21A0">
            <w:pPr>
              <w:pStyle w:val="TableParagraph"/>
              <w:spacing w:before="3"/>
              <w:ind w:left="0"/>
              <w:rPr>
                <w:b/>
                <w:sz w:val="29"/>
              </w:rPr>
            </w:pPr>
          </w:p>
          <w:p w:rsidR="000B21A0" w:rsidRDefault="00672CAE">
            <w:pPr>
              <w:pStyle w:val="TableParagraph"/>
              <w:ind w:left="317" w:right="120" w:hanging="154"/>
            </w:pPr>
            <w:r>
              <w:t>AA66EH.5 03.BTL</w:t>
            </w:r>
          </w:p>
        </w:tc>
      </w:tr>
      <w:tr w:rsidR="000B21A0">
        <w:trPr>
          <w:trHeight w:val="1840"/>
        </w:trPr>
        <w:tc>
          <w:tcPr>
            <w:tcW w:w="4051" w:type="dxa"/>
            <w:tcBorders>
              <w:top w:val="single" w:sz="2" w:space="0" w:color="000000"/>
              <w:right w:val="single" w:sz="2" w:space="0" w:color="000000"/>
            </w:tcBorders>
          </w:tcPr>
          <w:p w:rsidR="000B21A0" w:rsidRDefault="000B21A0">
            <w:pPr>
              <w:pStyle w:val="TableParagraph"/>
              <w:ind w:left="0"/>
              <w:rPr>
                <w:b/>
                <w:sz w:val="24"/>
              </w:rPr>
            </w:pPr>
          </w:p>
          <w:p w:rsidR="000B21A0" w:rsidRDefault="000B21A0">
            <w:pPr>
              <w:pStyle w:val="TableParagraph"/>
              <w:ind w:left="0"/>
              <w:rPr>
                <w:b/>
                <w:sz w:val="24"/>
              </w:rPr>
            </w:pPr>
          </w:p>
          <w:p w:rsidR="000B21A0" w:rsidRDefault="000B21A0">
            <w:pPr>
              <w:pStyle w:val="TableParagraph"/>
              <w:spacing w:before="6"/>
              <w:ind w:left="0"/>
              <w:rPr>
                <w:b/>
                <w:sz w:val="20"/>
              </w:rPr>
            </w:pPr>
          </w:p>
          <w:p w:rsidR="000B21A0" w:rsidRDefault="00672CAE">
            <w:pPr>
              <w:pStyle w:val="TableParagraph"/>
              <w:ind w:left="110"/>
            </w:pPr>
            <w:r>
              <w:t>Forward mutation assay</w:t>
            </w:r>
          </w:p>
        </w:tc>
        <w:tc>
          <w:tcPr>
            <w:tcW w:w="1531" w:type="dxa"/>
            <w:tcBorders>
              <w:top w:val="single" w:sz="2" w:space="0" w:color="000000"/>
              <w:left w:val="single" w:sz="2" w:space="0" w:color="000000"/>
              <w:right w:val="single" w:sz="2" w:space="0" w:color="000000"/>
            </w:tcBorders>
          </w:tcPr>
          <w:p w:rsidR="000B21A0" w:rsidRDefault="000B21A0">
            <w:pPr>
              <w:pStyle w:val="TableParagraph"/>
              <w:spacing w:before="5"/>
              <w:ind w:left="0"/>
              <w:rPr>
                <w:b/>
                <w:sz w:val="29"/>
              </w:rPr>
            </w:pPr>
          </w:p>
          <w:p w:rsidR="000B21A0" w:rsidRDefault="00672CAE">
            <w:pPr>
              <w:pStyle w:val="TableParagraph"/>
              <w:ind w:left="158" w:right="144" w:hanging="2"/>
              <w:jc w:val="center"/>
              <w:rPr>
                <w:sz w:val="20"/>
              </w:rPr>
            </w:pPr>
            <w:r>
              <w:rPr>
                <w:sz w:val="20"/>
              </w:rPr>
              <w:t>Mouse lymphoma L5178Y TK+/-</w:t>
            </w:r>
          </w:p>
          <w:p w:rsidR="000B21A0" w:rsidRDefault="00672CAE">
            <w:pPr>
              <w:pStyle w:val="TableParagraph"/>
              <w:ind w:left="619" w:right="607"/>
              <w:jc w:val="center"/>
              <w:rPr>
                <w:sz w:val="20"/>
              </w:rPr>
            </w:pPr>
            <w:r>
              <w:rPr>
                <w:sz w:val="20"/>
              </w:rPr>
              <w:t>cell line</w:t>
            </w:r>
          </w:p>
        </w:tc>
        <w:tc>
          <w:tcPr>
            <w:tcW w:w="1800" w:type="dxa"/>
            <w:tcBorders>
              <w:top w:val="single" w:sz="2" w:space="0" w:color="000000"/>
              <w:left w:val="single" w:sz="2" w:space="0" w:color="000000"/>
              <w:right w:val="single" w:sz="2" w:space="0" w:color="000000"/>
            </w:tcBorders>
          </w:tcPr>
          <w:p w:rsidR="000B21A0" w:rsidRDefault="000B21A0">
            <w:pPr>
              <w:pStyle w:val="TableParagraph"/>
              <w:ind w:left="0"/>
              <w:rPr>
                <w:b/>
              </w:rPr>
            </w:pPr>
          </w:p>
          <w:p w:rsidR="000B21A0" w:rsidRDefault="000B21A0">
            <w:pPr>
              <w:pStyle w:val="TableParagraph"/>
              <w:ind w:left="0"/>
              <w:rPr>
                <w:b/>
              </w:rPr>
            </w:pPr>
          </w:p>
          <w:p w:rsidR="000B21A0" w:rsidRDefault="000B21A0">
            <w:pPr>
              <w:pStyle w:val="TableParagraph"/>
              <w:spacing w:before="4"/>
              <w:ind w:left="0"/>
              <w:rPr>
                <w:b/>
                <w:sz w:val="25"/>
              </w:rPr>
            </w:pPr>
          </w:p>
          <w:p w:rsidR="000B21A0" w:rsidRDefault="00672CAE">
            <w:pPr>
              <w:pStyle w:val="TableParagraph"/>
              <w:ind w:left="106" w:right="96"/>
              <w:jc w:val="center"/>
              <w:rPr>
                <w:sz w:val="20"/>
              </w:rPr>
            </w:pPr>
            <w:r>
              <w:rPr>
                <w:sz w:val="20"/>
              </w:rPr>
              <w:t>In vitro</w:t>
            </w:r>
          </w:p>
        </w:tc>
        <w:tc>
          <w:tcPr>
            <w:tcW w:w="1135" w:type="dxa"/>
            <w:tcBorders>
              <w:top w:val="single" w:sz="2" w:space="0" w:color="000000"/>
              <w:left w:val="single" w:sz="2" w:space="0" w:color="000000"/>
              <w:right w:val="single" w:sz="2" w:space="0" w:color="000000"/>
            </w:tcBorders>
          </w:tcPr>
          <w:p w:rsidR="000B21A0" w:rsidRDefault="000B21A0">
            <w:pPr>
              <w:pStyle w:val="TableParagraph"/>
              <w:ind w:left="0"/>
              <w:rPr>
                <w:b/>
              </w:rPr>
            </w:pPr>
          </w:p>
          <w:p w:rsidR="000B21A0" w:rsidRDefault="000B21A0">
            <w:pPr>
              <w:pStyle w:val="TableParagraph"/>
              <w:ind w:left="0"/>
              <w:rPr>
                <w:b/>
              </w:rPr>
            </w:pPr>
          </w:p>
          <w:p w:rsidR="000B21A0" w:rsidRDefault="000B21A0">
            <w:pPr>
              <w:pStyle w:val="TableParagraph"/>
              <w:spacing w:before="4"/>
              <w:ind w:left="0"/>
              <w:rPr>
                <w:b/>
                <w:sz w:val="25"/>
              </w:rPr>
            </w:pPr>
          </w:p>
          <w:p w:rsidR="000B21A0" w:rsidRDefault="00672CAE">
            <w:pPr>
              <w:pStyle w:val="TableParagraph"/>
              <w:ind w:left="16"/>
              <w:jc w:val="center"/>
              <w:rPr>
                <w:sz w:val="20"/>
              </w:rPr>
            </w:pPr>
            <w:r>
              <w:rPr>
                <w:w w:val="99"/>
                <w:sz w:val="20"/>
              </w:rPr>
              <w:t>-</w:t>
            </w:r>
          </w:p>
        </w:tc>
        <w:tc>
          <w:tcPr>
            <w:tcW w:w="1310" w:type="dxa"/>
            <w:tcBorders>
              <w:top w:val="single" w:sz="2" w:space="0" w:color="000000"/>
              <w:left w:val="single" w:sz="2" w:space="0" w:color="000000"/>
              <w:right w:val="single" w:sz="2" w:space="0" w:color="000000"/>
            </w:tcBorders>
          </w:tcPr>
          <w:p w:rsidR="000B21A0" w:rsidRDefault="00672CAE">
            <w:pPr>
              <w:pStyle w:val="TableParagraph"/>
              <w:spacing w:line="223" w:lineRule="exact"/>
              <w:ind w:left="343"/>
              <w:rPr>
                <w:sz w:val="20"/>
              </w:rPr>
            </w:pPr>
            <w:r>
              <w:rPr>
                <w:sz w:val="20"/>
              </w:rPr>
              <w:t>-S9, 4h;</w:t>
            </w:r>
          </w:p>
          <w:p w:rsidR="000B21A0" w:rsidRDefault="00672CAE">
            <w:pPr>
              <w:pStyle w:val="TableParagraph"/>
              <w:ind w:left="391" w:right="176" w:hanging="188"/>
              <w:rPr>
                <w:sz w:val="20"/>
              </w:rPr>
            </w:pPr>
            <w:r>
              <w:rPr>
                <w:sz w:val="20"/>
              </w:rPr>
              <w:t>0.005 to 50 ng/mL</w:t>
            </w:r>
          </w:p>
          <w:p w:rsidR="000B21A0" w:rsidRDefault="00672CAE">
            <w:pPr>
              <w:pStyle w:val="TableParagraph"/>
              <w:spacing w:before="1" w:line="229" w:lineRule="exact"/>
              <w:ind w:left="118"/>
              <w:rPr>
                <w:sz w:val="20"/>
              </w:rPr>
            </w:pPr>
            <w:r>
              <w:rPr>
                <w:sz w:val="20"/>
              </w:rPr>
              <w:t>+S9, 4h;</w:t>
            </w:r>
            <w:r>
              <w:rPr>
                <w:spacing w:val="-1"/>
                <w:sz w:val="20"/>
              </w:rPr>
              <w:t xml:space="preserve"> </w:t>
            </w:r>
            <w:r>
              <w:rPr>
                <w:sz w:val="20"/>
              </w:rPr>
              <w:t>0.05</w:t>
            </w:r>
          </w:p>
          <w:p w:rsidR="000B21A0" w:rsidRDefault="00672CAE">
            <w:pPr>
              <w:pStyle w:val="TableParagraph"/>
              <w:spacing w:line="229" w:lineRule="exact"/>
              <w:ind w:left="113"/>
              <w:rPr>
                <w:sz w:val="20"/>
              </w:rPr>
            </w:pPr>
            <w:r>
              <w:rPr>
                <w:sz w:val="20"/>
              </w:rPr>
              <w:t>to 100</w:t>
            </w:r>
            <w:r>
              <w:rPr>
                <w:spacing w:val="-5"/>
                <w:sz w:val="20"/>
              </w:rPr>
              <w:t xml:space="preserve"> </w:t>
            </w:r>
            <w:r>
              <w:rPr>
                <w:sz w:val="20"/>
              </w:rPr>
              <w:t>ng/mL</w:t>
            </w:r>
          </w:p>
          <w:p w:rsidR="000B21A0" w:rsidRDefault="00672CAE">
            <w:pPr>
              <w:pStyle w:val="TableParagraph"/>
              <w:ind w:left="293"/>
              <w:rPr>
                <w:sz w:val="20"/>
              </w:rPr>
            </w:pPr>
            <w:r>
              <w:rPr>
                <w:sz w:val="20"/>
              </w:rPr>
              <w:t>-S9, 24h;</w:t>
            </w:r>
          </w:p>
          <w:p w:rsidR="000B21A0" w:rsidRDefault="00672CAE">
            <w:pPr>
              <w:pStyle w:val="TableParagraph"/>
              <w:spacing w:before="1" w:line="230" w:lineRule="atLeast"/>
              <w:ind w:left="391" w:right="199" w:hanging="161"/>
              <w:rPr>
                <w:sz w:val="20"/>
              </w:rPr>
            </w:pPr>
            <w:r>
              <w:rPr>
                <w:sz w:val="20"/>
              </w:rPr>
              <w:t>0.05 to 6.0 ng/mL</w:t>
            </w:r>
          </w:p>
        </w:tc>
        <w:tc>
          <w:tcPr>
            <w:tcW w:w="1063" w:type="dxa"/>
            <w:tcBorders>
              <w:top w:val="single" w:sz="2" w:space="0" w:color="000000"/>
              <w:left w:val="single" w:sz="2" w:space="0" w:color="000000"/>
              <w:right w:val="single" w:sz="2" w:space="0" w:color="000000"/>
            </w:tcBorders>
          </w:tcPr>
          <w:p w:rsidR="000B21A0" w:rsidRDefault="000B21A0">
            <w:pPr>
              <w:pStyle w:val="TableParagraph"/>
              <w:ind w:left="0"/>
              <w:rPr>
                <w:b/>
              </w:rPr>
            </w:pPr>
          </w:p>
          <w:p w:rsidR="000B21A0" w:rsidRDefault="000B21A0">
            <w:pPr>
              <w:pStyle w:val="TableParagraph"/>
              <w:ind w:left="0"/>
              <w:rPr>
                <w:b/>
              </w:rPr>
            </w:pPr>
          </w:p>
          <w:p w:rsidR="000B21A0" w:rsidRDefault="000B21A0">
            <w:pPr>
              <w:pStyle w:val="TableParagraph"/>
              <w:spacing w:before="3"/>
              <w:ind w:left="0"/>
              <w:rPr>
                <w:b/>
                <w:sz w:val="25"/>
              </w:rPr>
            </w:pPr>
          </w:p>
          <w:p w:rsidR="000B21A0" w:rsidRDefault="00672CAE">
            <w:pPr>
              <w:pStyle w:val="TableParagraph"/>
              <w:ind w:left="0" w:right="365"/>
              <w:jc w:val="right"/>
              <w:rPr>
                <w:sz w:val="20"/>
              </w:rPr>
            </w:pPr>
            <w:r>
              <w:rPr>
                <w:w w:val="95"/>
                <w:sz w:val="20"/>
              </w:rPr>
              <w:t>Yes</w:t>
            </w:r>
          </w:p>
        </w:tc>
        <w:tc>
          <w:tcPr>
            <w:tcW w:w="1308" w:type="dxa"/>
            <w:tcBorders>
              <w:top w:val="single" w:sz="2" w:space="0" w:color="000000"/>
              <w:left w:val="single" w:sz="2" w:space="0" w:color="000000"/>
              <w:right w:val="single" w:sz="2" w:space="0" w:color="000000"/>
            </w:tcBorders>
          </w:tcPr>
          <w:p w:rsidR="000B21A0" w:rsidRDefault="000B21A0">
            <w:pPr>
              <w:pStyle w:val="TableParagraph"/>
              <w:ind w:left="0"/>
              <w:rPr>
                <w:b/>
              </w:rPr>
            </w:pPr>
          </w:p>
          <w:p w:rsidR="000B21A0" w:rsidRDefault="000B21A0">
            <w:pPr>
              <w:pStyle w:val="TableParagraph"/>
              <w:spacing w:before="5"/>
              <w:ind w:left="0"/>
              <w:rPr>
                <w:b/>
                <w:sz w:val="27"/>
              </w:rPr>
            </w:pPr>
          </w:p>
          <w:p w:rsidR="000B21A0" w:rsidRDefault="00672CAE">
            <w:pPr>
              <w:pStyle w:val="TableParagraph"/>
              <w:ind w:left="128" w:right="112" w:hanging="2"/>
              <w:jc w:val="center"/>
              <w:rPr>
                <w:sz w:val="20"/>
              </w:rPr>
            </w:pPr>
            <w:r>
              <w:rPr>
                <w:sz w:val="20"/>
              </w:rPr>
              <w:t xml:space="preserve">Covance </w:t>
            </w:r>
            <w:r>
              <w:rPr>
                <w:w w:val="95"/>
                <w:sz w:val="20"/>
              </w:rPr>
              <w:t xml:space="preserve">Laboratories, </w:t>
            </w:r>
            <w:r>
              <w:rPr>
                <w:sz w:val="20"/>
              </w:rPr>
              <w:t>Inc.</w:t>
            </w:r>
          </w:p>
        </w:tc>
        <w:tc>
          <w:tcPr>
            <w:tcW w:w="1310" w:type="dxa"/>
            <w:tcBorders>
              <w:top w:val="single" w:sz="2" w:space="0" w:color="000000"/>
              <w:left w:val="single" w:sz="2" w:space="0" w:color="000000"/>
            </w:tcBorders>
          </w:tcPr>
          <w:p w:rsidR="000B21A0" w:rsidRDefault="000B21A0">
            <w:pPr>
              <w:pStyle w:val="TableParagraph"/>
              <w:ind w:left="0"/>
              <w:rPr>
                <w:b/>
                <w:sz w:val="24"/>
              </w:rPr>
            </w:pPr>
          </w:p>
          <w:p w:rsidR="000B21A0" w:rsidRDefault="000B21A0">
            <w:pPr>
              <w:pStyle w:val="TableParagraph"/>
              <w:ind w:left="0"/>
              <w:rPr>
                <w:b/>
                <w:sz w:val="24"/>
              </w:rPr>
            </w:pPr>
          </w:p>
          <w:p w:rsidR="000B21A0" w:rsidRDefault="000B21A0">
            <w:pPr>
              <w:pStyle w:val="TableParagraph"/>
              <w:spacing w:before="6"/>
              <w:ind w:left="0"/>
              <w:rPr>
                <w:b/>
                <w:sz w:val="20"/>
              </w:rPr>
            </w:pPr>
          </w:p>
          <w:p w:rsidR="000B21A0" w:rsidRDefault="00672CAE">
            <w:pPr>
              <w:pStyle w:val="TableParagraph"/>
              <w:ind w:left="176" w:right="152"/>
              <w:jc w:val="center"/>
            </w:pPr>
            <w:r>
              <w:t>8204-155</w:t>
            </w:r>
          </w:p>
        </w:tc>
      </w:tr>
    </w:tbl>
    <w:p w:rsidR="000B21A0" w:rsidRDefault="000B21A0">
      <w:pPr>
        <w:jc w:val="center"/>
        <w:sectPr w:rsidR="000B21A0">
          <w:headerReference w:type="default" r:id="rId9"/>
          <w:footerReference w:type="default" r:id="rId10"/>
          <w:pgSz w:w="15840" w:h="12240" w:orient="landscape"/>
          <w:pgMar w:top="1260" w:right="1520" w:bottom="940" w:left="560" w:header="578" w:footer="748" w:gutter="0"/>
          <w:pgNumType w:start="45"/>
          <w:cols w:space="720"/>
        </w:sectPr>
      </w:pPr>
    </w:p>
    <w:p w:rsidR="000B21A0" w:rsidRDefault="000B21A0">
      <w:pPr>
        <w:pStyle w:val="a3"/>
        <w:rPr>
          <w:b/>
          <w:sz w:val="20"/>
        </w:rPr>
      </w:pPr>
    </w:p>
    <w:p w:rsidR="000B21A0" w:rsidRDefault="000B21A0">
      <w:pPr>
        <w:pStyle w:val="a3"/>
        <w:spacing w:before="7"/>
        <w:rPr>
          <w:b/>
          <w:sz w:val="10"/>
        </w:rPr>
      </w:pPr>
    </w:p>
    <w:tbl>
      <w:tblPr>
        <w:tblStyle w:val="TableNormal"/>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051"/>
        <w:gridCol w:w="1531"/>
        <w:gridCol w:w="1800"/>
        <w:gridCol w:w="1135"/>
        <w:gridCol w:w="1310"/>
        <w:gridCol w:w="1063"/>
        <w:gridCol w:w="1308"/>
        <w:gridCol w:w="1310"/>
      </w:tblGrid>
      <w:tr w:rsidR="000B21A0">
        <w:trPr>
          <w:trHeight w:val="712"/>
        </w:trPr>
        <w:tc>
          <w:tcPr>
            <w:tcW w:w="4051" w:type="dxa"/>
            <w:tcBorders>
              <w:bottom w:val="single" w:sz="2" w:space="0" w:color="000000"/>
              <w:right w:val="single" w:sz="2" w:space="0" w:color="000000"/>
            </w:tcBorders>
          </w:tcPr>
          <w:p w:rsidR="000B21A0" w:rsidRDefault="000B21A0">
            <w:pPr>
              <w:pStyle w:val="TableParagraph"/>
              <w:spacing w:before="5"/>
              <w:ind w:left="0"/>
              <w:rPr>
                <w:b/>
                <w:sz w:val="19"/>
              </w:rPr>
            </w:pPr>
          </w:p>
          <w:p w:rsidR="000B21A0" w:rsidRDefault="00672CAE">
            <w:pPr>
              <w:pStyle w:val="TableParagraph"/>
              <w:ind w:left="110"/>
            </w:pPr>
            <w:r>
              <w:t>In vivo micronucleus test</w:t>
            </w:r>
          </w:p>
        </w:tc>
        <w:tc>
          <w:tcPr>
            <w:tcW w:w="1531" w:type="dxa"/>
            <w:tcBorders>
              <w:left w:val="single" w:sz="2" w:space="0" w:color="000000"/>
              <w:bottom w:val="single" w:sz="2" w:space="0" w:color="000000"/>
              <w:right w:val="single" w:sz="2" w:space="0" w:color="000000"/>
            </w:tcBorders>
          </w:tcPr>
          <w:p w:rsidR="000B21A0" w:rsidRDefault="000B21A0">
            <w:pPr>
              <w:pStyle w:val="TableParagraph"/>
              <w:spacing w:before="5"/>
              <w:ind w:left="0"/>
              <w:rPr>
                <w:b/>
                <w:sz w:val="20"/>
              </w:rPr>
            </w:pPr>
          </w:p>
          <w:p w:rsidR="000B21A0" w:rsidRDefault="00672CAE">
            <w:pPr>
              <w:pStyle w:val="TableParagraph"/>
              <w:ind w:left="130" w:right="122"/>
              <w:jc w:val="center"/>
              <w:rPr>
                <w:sz w:val="20"/>
              </w:rPr>
            </w:pPr>
            <w:r>
              <w:rPr>
                <w:sz w:val="20"/>
              </w:rPr>
              <w:t>Male SD rats</w:t>
            </w:r>
          </w:p>
        </w:tc>
        <w:tc>
          <w:tcPr>
            <w:tcW w:w="1800" w:type="dxa"/>
            <w:tcBorders>
              <w:left w:val="single" w:sz="2" w:space="0" w:color="000000"/>
              <w:bottom w:val="single" w:sz="2" w:space="0" w:color="000000"/>
              <w:right w:val="single" w:sz="2" w:space="0" w:color="000000"/>
            </w:tcBorders>
          </w:tcPr>
          <w:p w:rsidR="000B21A0" w:rsidRDefault="000B21A0">
            <w:pPr>
              <w:pStyle w:val="TableParagraph"/>
              <w:spacing w:before="5"/>
              <w:ind w:left="0"/>
              <w:rPr>
                <w:b/>
                <w:sz w:val="20"/>
              </w:rPr>
            </w:pPr>
          </w:p>
          <w:p w:rsidR="000B21A0" w:rsidRDefault="00672CAE">
            <w:pPr>
              <w:pStyle w:val="TableParagraph"/>
              <w:ind w:left="106" w:right="93"/>
              <w:jc w:val="center"/>
              <w:rPr>
                <w:sz w:val="20"/>
              </w:rPr>
            </w:pPr>
            <w:r>
              <w:rPr>
                <w:sz w:val="20"/>
              </w:rPr>
              <w:t>IV bolus</w:t>
            </w:r>
          </w:p>
        </w:tc>
        <w:tc>
          <w:tcPr>
            <w:tcW w:w="1135" w:type="dxa"/>
            <w:tcBorders>
              <w:left w:val="single" w:sz="2" w:space="0" w:color="000000"/>
              <w:bottom w:val="single" w:sz="2" w:space="0" w:color="000000"/>
              <w:right w:val="single" w:sz="2" w:space="0" w:color="000000"/>
            </w:tcBorders>
          </w:tcPr>
          <w:p w:rsidR="000B21A0" w:rsidRDefault="00672CAE">
            <w:pPr>
              <w:pStyle w:val="TableParagraph"/>
              <w:spacing w:before="120"/>
              <w:ind w:left="388" w:right="94" w:hanging="70"/>
              <w:rPr>
                <w:sz w:val="20"/>
              </w:rPr>
            </w:pPr>
            <w:r>
              <w:rPr>
                <w:w w:val="95"/>
                <w:sz w:val="20"/>
              </w:rPr>
              <w:t xml:space="preserve">Single </w:t>
            </w:r>
            <w:r>
              <w:rPr>
                <w:sz w:val="20"/>
              </w:rPr>
              <w:t>dose</w:t>
            </w:r>
          </w:p>
        </w:tc>
        <w:tc>
          <w:tcPr>
            <w:tcW w:w="1310" w:type="dxa"/>
            <w:tcBorders>
              <w:left w:val="single" w:sz="2" w:space="0" w:color="000000"/>
              <w:bottom w:val="single" w:sz="2" w:space="0" w:color="000000"/>
              <w:right w:val="single" w:sz="2" w:space="0" w:color="000000"/>
            </w:tcBorders>
          </w:tcPr>
          <w:p w:rsidR="000B21A0" w:rsidRDefault="00672CAE">
            <w:pPr>
              <w:pStyle w:val="TableParagraph"/>
              <w:spacing w:before="120"/>
              <w:ind w:left="199"/>
              <w:rPr>
                <w:sz w:val="20"/>
              </w:rPr>
            </w:pPr>
            <w:r>
              <w:rPr>
                <w:sz w:val="20"/>
              </w:rPr>
              <w:t>0.01, 0.1 or</w:t>
            </w:r>
          </w:p>
          <w:p w:rsidR="000B21A0" w:rsidRDefault="00672CAE">
            <w:pPr>
              <w:pStyle w:val="TableParagraph"/>
              <w:ind w:left="252"/>
              <w:rPr>
                <w:sz w:val="20"/>
              </w:rPr>
            </w:pPr>
            <w:r>
              <w:rPr>
                <w:sz w:val="20"/>
              </w:rPr>
              <w:t>0.2 mg/kg</w:t>
            </w:r>
          </w:p>
        </w:tc>
        <w:tc>
          <w:tcPr>
            <w:tcW w:w="1063" w:type="dxa"/>
            <w:tcBorders>
              <w:left w:val="single" w:sz="2" w:space="0" w:color="000000"/>
              <w:bottom w:val="single" w:sz="2" w:space="0" w:color="000000"/>
              <w:right w:val="single" w:sz="2" w:space="0" w:color="000000"/>
            </w:tcBorders>
          </w:tcPr>
          <w:p w:rsidR="000B21A0" w:rsidRDefault="000B21A0">
            <w:pPr>
              <w:pStyle w:val="TableParagraph"/>
              <w:spacing w:before="5"/>
              <w:ind w:left="0"/>
              <w:rPr>
                <w:b/>
                <w:sz w:val="20"/>
              </w:rPr>
            </w:pPr>
          </w:p>
          <w:p w:rsidR="000B21A0" w:rsidRDefault="00672CAE">
            <w:pPr>
              <w:pStyle w:val="TableParagraph"/>
              <w:ind w:left="359" w:right="347"/>
              <w:jc w:val="center"/>
              <w:rPr>
                <w:sz w:val="20"/>
              </w:rPr>
            </w:pPr>
            <w:r>
              <w:rPr>
                <w:sz w:val="20"/>
              </w:rPr>
              <w:t>Yes</w:t>
            </w:r>
          </w:p>
        </w:tc>
        <w:tc>
          <w:tcPr>
            <w:tcW w:w="1308" w:type="dxa"/>
            <w:tcBorders>
              <w:left w:val="single" w:sz="2" w:space="0" w:color="000000"/>
              <w:bottom w:val="single" w:sz="2" w:space="0" w:color="000000"/>
              <w:right w:val="single" w:sz="2" w:space="0" w:color="000000"/>
            </w:tcBorders>
          </w:tcPr>
          <w:p w:rsidR="000B21A0" w:rsidRDefault="00672CAE">
            <w:pPr>
              <w:pStyle w:val="TableParagraph"/>
              <w:spacing w:before="5" w:line="230" w:lineRule="atLeast"/>
              <w:ind w:left="128" w:right="112" w:hanging="2"/>
              <w:jc w:val="center"/>
              <w:rPr>
                <w:sz w:val="20"/>
              </w:rPr>
            </w:pPr>
            <w:r>
              <w:rPr>
                <w:sz w:val="20"/>
              </w:rPr>
              <w:t xml:space="preserve">Covance </w:t>
            </w:r>
            <w:r>
              <w:rPr>
                <w:w w:val="95"/>
                <w:sz w:val="20"/>
              </w:rPr>
              <w:t xml:space="preserve">Laboratories, </w:t>
            </w:r>
            <w:r>
              <w:rPr>
                <w:sz w:val="20"/>
              </w:rPr>
              <w:t>Inc.</w:t>
            </w:r>
          </w:p>
        </w:tc>
        <w:tc>
          <w:tcPr>
            <w:tcW w:w="1310" w:type="dxa"/>
            <w:tcBorders>
              <w:left w:val="single" w:sz="2" w:space="0" w:color="000000"/>
              <w:bottom w:val="single" w:sz="2" w:space="0" w:color="000000"/>
            </w:tcBorders>
          </w:tcPr>
          <w:p w:rsidR="000B21A0" w:rsidRDefault="000B21A0">
            <w:pPr>
              <w:pStyle w:val="TableParagraph"/>
              <w:spacing w:before="5"/>
              <w:ind w:left="0"/>
              <w:rPr>
                <w:b/>
                <w:sz w:val="19"/>
              </w:rPr>
            </w:pPr>
          </w:p>
          <w:p w:rsidR="000B21A0" w:rsidRDefault="00672CAE">
            <w:pPr>
              <w:pStyle w:val="TableParagraph"/>
              <w:ind w:left="176" w:right="152"/>
              <w:jc w:val="center"/>
            </w:pPr>
            <w:r>
              <w:t>8204-151</w:t>
            </w:r>
          </w:p>
        </w:tc>
      </w:tr>
      <w:tr w:rsidR="000B21A0">
        <w:trPr>
          <w:trHeight w:val="506"/>
        </w:trPr>
        <w:tc>
          <w:tcPr>
            <w:tcW w:w="4051" w:type="dxa"/>
            <w:tcBorders>
              <w:top w:val="single" w:sz="2" w:space="0" w:color="000000"/>
              <w:bottom w:val="single" w:sz="2" w:space="0" w:color="000000"/>
              <w:right w:val="single" w:sz="2" w:space="0" w:color="000000"/>
            </w:tcBorders>
            <w:shd w:val="clear" w:color="auto" w:fill="FDE9D9"/>
          </w:tcPr>
          <w:p w:rsidR="000B21A0" w:rsidRDefault="00672CAE">
            <w:pPr>
              <w:pStyle w:val="TableParagraph"/>
              <w:spacing w:line="254" w:lineRule="exact"/>
              <w:ind w:left="110" w:right="770"/>
              <w:rPr>
                <w:b/>
              </w:rPr>
            </w:pPr>
            <w:r>
              <w:rPr>
                <w:b/>
              </w:rPr>
              <w:t>Reproductive and Developmental Toxicity</w:t>
            </w:r>
          </w:p>
        </w:tc>
        <w:tc>
          <w:tcPr>
            <w:tcW w:w="1531"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20"/>
              </w:rPr>
            </w:pPr>
          </w:p>
        </w:tc>
        <w:tc>
          <w:tcPr>
            <w:tcW w:w="1800"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20"/>
              </w:rPr>
            </w:pPr>
          </w:p>
        </w:tc>
        <w:tc>
          <w:tcPr>
            <w:tcW w:w="1135"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20"/>
              </w:rPr>
            </w:pPr>
          </w:p>
        </w:tc>
        <w:tc>
          <w:tcPr>
            <w:tcW w:w="1310"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20"/>
              </w:rPr>
            </w:pPr>
          </w:p>
        </w:tc>
        <w:tc>
          <w:tcPr>
            <w:tcW w:w="1063"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20"/>
              </w:rPr>
            </w:pPr>
          </w:p>
        </w:tc>
        <w:tc>
          <w:tcPr>
            <w:tcW w:w="1308"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20"/>
              </w:rPr>
            </w:pPr>
          </w:p>
        </w:tc>
        <w:tc>
          <w:tcPr>
            <w:tcW w:w="1310" w:type="dxa"/>
            <w:tcBorders>
              <w:top w:val="single" w:sz="2" w:space="0" w:color="000000"/>
              <w:left w:val="single" w:sz="2" w:space="0" w:color="000000"/>
              <w:bottom w:val="single" w:sz="2" w:space="0" w:color="000000"/>
            </w:tcBorders>
            <w:shd w:val="clear" w:color="auto" w:fill="FDE9D9"/>
          </w:tcPr>
          <w:p w:rsidR="000B21A0" w:rsidRDefault="000B21A0">
            <w:pPr>
              <w:pStyle w:val="TableParagraph"/>
              <w:ind w:left="0"/>
              <w:rPr>
                <w:sz w:val="20"/>
              </w:rPr>
            </w:pPr>
          </w:p>
        </w:tc>
      </w:tr>
      <w:tr w:rsidR="000B21A0">
        <w:trPr>
          <w:trHeight w:val="689"/>
        </w:trPr>
        <w:tc>
          <w:tcPr>
            <w:tcW w:w="4051" w:type="dxa"/>
            <w:tcBorders>
              <w:top w:val="single" w:sz="2" w:space="0" w:color="000000"/>
              <w:bottom w:val="single" w:sz="2" w:space="0" w:color="000000"/>
              <w:right w:val="single" w:sz="2" w:space="0" w:color="000000"/>
            </w:tcBorders>
          </w:tcPr>
          <w:p w:rsidR="000B21A0" w:rsidRDefault="00672CAE">
            <w:pPr>
              <w:pStyle w:val="TableParagraph"/>
              <w:spacing w:before="210"/>
              <w:ind w:left="110"/>
            </w:pPr>
            <w:r>
              <w:t>Embryo-fetal Development</w:t>
            </w:r>
          </w:p>
        </w:tc>
        <w:tc>
          <w:tcPr>
            <w:tcW w:w="1531"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3"/>
              <w:ind w:left="0"/>
              <w:rPr>
                <w:b/>
                <w:sz w:val="19"/>
              </w:rPr>
            </w:pPr>
          </w:p>
          <w:p w:rsidR="000B21A0" w:rsidRDefault="00672CAE">
            <w:pPr>
              <w:pStyle w:val="TableParagraph"/>
              <w:ind w:left="130" w:right="122"/>
              <w:jc w:val="center"/>
              <w:rPr>
                <w:sz w:val="20"/>
              </w:rPr>
            </w:pPr>
            <w:r>
              <w:rPr>
                <w:sz w:val="20"/>
              </w:rPr>
              <w:t>Female SD rats</w:t>
            </w:r>
          </w:p>
        </w:tc>
        <w:tc>
          <w:tcPr>
            <w:tcW w:w="1800"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3"/>
              <w:ind w:left="0"/>
              <w:rPr>
                <w:b/>
                <w:sz w:val="19"/>
              </w:rPr>
            </w:pPr>
          </w:p>
          <w:p w:rsidR="000B21A0" w:rsidRDefault="00672CAE">
            <w:pPr>
              <w:pStyle w:val="TableParagraph"/>
              <w:ind w:left="106" w:right="93"/>
              <w:jc w:val="center"/>
              <w:rPr>
                <w:sz w:val="20"/>
              </w:rPr>
            </w:pPr>
            <w:r>
              <w:rPr>
                <w:sz w:val="20"/>
              </w:rPr>
              <w:t>IV bolus</w:t>
            </w:r>
          </w:p>
        </w:tc>
        <w:tc>
          <w:tcPr>
            <w:tcW w:w="1135" w:type="dxa"/>
            <w:tcBorders>
              <w:top w:val="single" w:sz="2" w:space="0" w:color="000000"/>
              <w:left w:val="single" w:sz="2" w:space="0" w:color="000000"/>
              <w:bottom w:val="single" w:sz="2" w:space="0" w:color="000000"/>
              <w:right w:val="single" w:sz="2" w:space="0" w:color="000000"/>
            </w:tcBorders>
          </w:tcPr>
          <w:p w:rsidR="000B21A0" w:rsidRDefault="00672CAE">
            <w:pPr>
              <w:pStyle w:val="TableParagraph"/>
              <w:spacing w:line="221" w:lineRule="exact"/>
              <w:ind w:left="130" w:right="113"/>
              <w:jc w:val="center"/>
              <w:rPr>
                <w:sz w:val="20"/>
              </w:rPr>
            </w:pPr>
            <w:r>
              <w:rPr>
                <w:sz w:val="20"/>
              </w:rPr>
              <w:t>1 week</w:t>
            </w:r>
          </w:p>
          <w:p w:rsidR="000B21A0" w:rsidRDefault="00672CAE">
            <w:pPr>
              <w:pStyle w:val="TableParagraph"/>
              <w:ind w:left="130" w:right="114"/>
              <w:jc w:val="center"/>
              <w:rPr>
                <w:sz w:val="20"/>
              </w:rPr>
            </w:pPr>
            <w:r>
              <w:rPr>
                <w:sz w:val="20"/>
              </w:rPr>
              <w:t>(GD 6 and</w:t>
            </w:r>
          </w:p>
          <w:p w:rsidR="000B21A0" w:rsidRDefault="00672CAE">
            <w:pPr>
              <w:pStyle w:val="TableParagraph"/>
              <w:spacing w:before="1" w:line="217" w:lineRule="exact"/>
              <w:ind w:left="130" w:right="112"/>
              <w:jc w:val="center"/>
              <w:rPr>
                <w:sz w:val="20"/>
              </w:rPr>
            </w:pPr>
            <w:r>
              <w:rPr>
                <w:sz w:val="20"/>
              </w:rPr>
              <w:t>13)</w:t>
            </w:r>
          </w:p>
        </w:tc>
        <w:tc>
          <w:tcPr>
            <w:tcW w:w="1310"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3"/>
              <w:ind w:left="0"/>
              <w:rPr>
                <w:b/>
                <w:sz w:val="19"/>
              </w:rPr>
            </w:pPr>
          </w:p>
          <w:p w:rsidR="000B21A0" w:rsidRDefault="00672CAE">
            <w:pPr>
              <w:pStyle w:val="TableParagraph"/>
              <w:ind w:left="252"/>
              <w:rPr>
                <w:sz w:val="20"/>
              </w:rPr>
            </w:pPr>
            <w:r>
              <w:rPr>
                <w:sz w:val="20"/>
              </w:rPr>
              <w:t>0.2 mg/kg</w:t>
            </w:r>
          </w:p>
        </w:tc>
        <w:tc>
          <w:tcPr>
            <w:tcW w:w="1063" w:type="dxa"/>
            <w:tcBorders>
              <w:top w:val="single" w:sz="2" w:space="0" w:color="000000"/>
              <w:left w:val="single" w:sz="2" w:space="0" w:color="000000"/>
              <w:bottom w:val="single" w:sz="2" w:space="0" w:color="000000"/>
              <w:right w:val="single" w:sz="2" w:space="0" w:color="000000"/>
            </w:tcBorders>
          </w:tcPr>
          <w:p w:rsidR="000B21A0" w:rsidRDefault="000B21A0">
            <w:pPr>
              <w:pStyle w:val="TableParagraph"/>
              <w:spacing w:before="3"/>
              <w:ind w:left="0"/>
              <w:rPr>
                <w:b/>
                <w:sz w:val="19"/>
              </w:rPr>
            </w:pPr>
          </w:p>
          <w:p w:rsidR="000B21A0" w:rsidRDefault="00672CAE">
            <w:pPr>
              <w:pStyle w:val="TableParagraph"/>
              <w:ind w:left="359" w:right="346"/>
              <w:jc w:val="center"/>
              <w:rPr>
                <w:sz w:val="20"/>
              </w:rPr>
            </w:pPr>
            <w:r>
              <w:rPr>
                <w:sz w:val="20"/>
              </w:rPr>
              <w:t>No</w:t>
            </w:r>
          </w:p>
        </w:tc>
        <w:tc>
          <w:tcPr>
            <w:tcW w:w="1308" w:type="dxa"/>
            <w:tcBorders>
              <w:top w:val="single" w:sz="2" w:space="0" w:color="000000"/>
              <w:left w:val="single" w:sz="2" w:space="0" w:color="000000"/>
              <w:bottom w:val="single" w:sz="2" w:space="0" w:color="000000"/>
              <w:right w:val="single" w:sz="2" w:space="0" w:color="000000"/>
            </w:tcBorders>
          </w:tcPr>
          <w:p w:rsidR="000B21A0" w:rsidRDefault="00672CAE">
            <w:pPr>
              <w:pStyle w:val="TableParagraph"/>
              <w:spacing w:line="221" w:lineRule="exact"/>
              <w:ind w:left="128" w:firstLine="180"/>
              <w:rPr>
                <w:sz w:val="20"/>
              </w:rPr>
            </w:pPr>
            <w:r>
              <w:rPr>
                <w:sz w:val="20"/>
              </w:rPr>
              <w:t>Covance</w:t>
            </w:r>
          </w:p>
          <w:p w:rsidR="000B21A0" w:rsidRDefault="00672CAE">
            <w:pPr>
              <w:pStyle w:val="TableParagraph"/>
              <w:spacing w:line="230" w:lineRule="atLeast"/>
              <w:ind w:left="135" w:right="119"/>
              <w:jc w:val="center"/>
              <w:rPr>
                <w:sz w:val="20"/>
              </w:rPr>
            </w:pPr>
            <w:r>
              <w:rPr>
                <w:w w:val="95"/>
                <w:sz w:val="20"/>
              </w:rPr>
              <w:t xml:space="preserve">Laboratories, </w:t>
            </w:r>
            <w:r>
              <w:rPr>
                <w:sz w:val="20"/>
              </w:rPr>
              <w:t>Inc.</w:t>
            </w:r>
          </w:p>
        </w:tc>
        <w:tc>
          <w:tcPr>
            <w:tcW w:w="1310" w:type="dxa"/>
            <w:tcBorders>
              <w:top w:val="single" w:sz="2" w:space="0" w:color="000000"/>
              <w:left w:val="single" w:sz="2" w:space="0" w:color="000000"/>
              <w:bottom w:val="single" w:sz="2" w:space="0" w:color="000000"/>
            </w:tcBorders>
          </w:tcPr>
          <w:p w:rsidR="000B21A0" w:rsidRDefault="00672CAE">
            <w:pPr>
              <w:pStyle w:val="TableParagraph"/>
              <w:spacing w:before="210"/>
              <w:ind w:left="176" w:right="152"/>
              <w:jc w:val="center"/>
            </w:pPr>
            <w:r>
              <w:t>8204-397</w:t>
            </w:r>
          </w:p>
        </w:tc>
      </w:tr>
      <w:tr w:rsidR="000B21A0">
        <w:trPr>
          <w:trHeight w:val="275"/>
        </w:trPr>
        <w:tc>
          <w:tcPr>
            <w:tcW w:w="4051" w:type="dxa"/>
            <w:tcBorders>
              <w:top w:val="single" w:sz="2" w:space="0" w:color="000000"/>
              <w:bottom w:val="single" w:sz="2" w:space="0" w:color="000000"/>
              <w:right w:val="single" w:sz="2" w:space="0" w:color="000000"/>
            </w:tcBorders>
            <w:shd w:val="clear" w:color="auto" w:fill="FDE9D9"/>
          </w:tcPr>
          <w:p w:rsidR="000B21A0" w:rsidRDefault="00672CAE">
            <w:pPr>
              <w:pStyle w:val="TableParagraph"/>
              <w:spacing w:line="256" w:lineRule="exact"/>
              <w:ind w:left="110"/>
              <w:rPr>
                <w:b/>
                <w:sz w:val="24"/>
              </w:rPr>
            </w:pPr>
            <w:r>
              <w:rPr>
                <w:b/>
                <w:sz w:val="24"/>
              </w:rPr>
              <w:t>Other</w:t>
            </w:r>
          </w:p>
        </w:tc>
        <w:tc>
          <w:tcPr>
            <w:tcW w:w="1531"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20"/>
              </w:rPr>
            </w:pPr>
          </w:p>
        </w:tc>
        <w:tc>
          <w:tcPr>
            <w:tcW w:w="1800"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20"/>
              </w:rPr>
            </w:pPr>
          </w:p>
        </w:tc>
        <w:tc>
          <w:tcPr>
            <w:tcW w:w="1135"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20"/>
              </w:rPr>
            </w:pPr>
          </w:p>
        </w:tc>
        <w:tc>
          <w:tcPr>
            <w:tcW w:w="1310"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20"/>
              </w:rPr>
            </w:pPr>
          </w:p>
        </w:tc>
        <w:tc>
          <w:tcPr>
            <w:tcW w:w="1063"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20"/>
              </w:rPr>
            </w:pPr>
          </w:p>
        </w:tc>
        <w:tc>
          <w:tcPr>
            <w:tcW w:w="1308" w:type="dxa"/>
            <w:tcBorders>
              <w:top w:val="single" w:sz="2" w:space="0" w:color="000000"/>
              <w:left w:val="single" w:sz="2" w:space="0" w:color="000000"/>
              <w:bottom w:val="single" w:sz="2" w:space="0" w:color="000000"/>
              <w:right w:val="single" w:sz="2" w:space="0" w:color="000000"/>
            </w:tcBorders>
            <w:shd w:val="clear" w:color="auto" w:fill="FDE9D9"/>
          </w:tcPr>
          <w:p w:rsidR="000B21A0" w:rsidRDefault="000B21A0">
            <w:pPr>
              <w:pStyle w:val="TableParagraph"/>
              <w:ind w:left="0"/>
              <w:rPr>
                <w:sz w:val="20"/>
              </w:rPr>
            </w:pPr>
          </w:p>
        </w:tc>
        <w:tc>
          <w:tcPr>
            <w:tcW w:w="1310" w:type="dxa"/>
            <w:tcBorders>
              <w:top w:val="single" w:sz="2" w:space="0" w:color="000000"/>
              <w:left w:val="single" w:sz="2" w:space="0" w:color="000000"/>
              <w:bottom w:val="single" w:sz="2" w:space="0" w:color="000000"/>
            </w:tcBorders>
            <w:shd w:val="clear" w:color="auto" w:fill="FDE9D9"/>
          </w:tcPr>
          <w:p w:rsidR="000B21A0" w:rsidRDefault="000B21A0">
            <w:pPr>
              <w:pStyle w:val="TableParagraph"/>
              <w:ind w:left="0"/>
              <w:rPr>
                <w:sz w:val="20"/>
              </w:rPr>
            </w:pPr>
          </w:p>
        </w:tc>
      </w:tr>
      <w:tr w:rsidR="000B21A0">
        <w:trPr>
          <w:trHeight w:val="1012"/>
        </w:trPr>
        <w:tc>
          <w:tcPr>
            <w:tcW w:w="4051" w:type="dxa"/>
            <w:tcBorders>
              <w:top w:val="single" w:sz="2" w:space="0" w:color="000000"/>
              <w:right w:val="single" w:sz="2" w:space="0" w:color="000000"/>
            </w:tcBorders>
          </w:tcPr>
          <w:p w:rsidR="000B21A0" w:rsidRDefault="00672CAE">
            <w:pPr>
              <w:pStyle w:val="TableParagraph"/>
              <w:ind w:left="110" w:right="140"/>
            </w:pPr>
            <w:r>
              <w:t xml:space="preserve">Assessment of the Potential Cross Reactivity of </w:t>
            </w:r>
            <w:r w:rsidR="00113E1E">
              <w:t>PROJECT 16-1</w:t>
            </w:r>
            <w:r>
              <w:t xml:space="preserve"> with a Selected Panel of Human and Cynomolgus Monkey</w:t>
            </w:r>
          </w:p>
          <w:p w:rsidR="000B21A0" w:rsidRDefault="00672CAE">
            <w:pPr>
              <w:pStyle w:val="TableParagraph"/>
              <w:spacing w:line="240" w:lineRule="exact"/>
              <w:ind w:left="110"/>
            </w:pPr>
            <w:r>
              <w:t>Tissues</w:t>
            </w:r>
          </w:p>
        </w:tc>
        <w:tc>
          <w:tcPr>
            <w:tcW w:w="1531" w:type="dxa"/>
            <w:tcBorders>
              <w:top w:val="single" w:sz="2" w:space="0" w:color="000000"/>
              <w:left w:val="single" w:sz="2" w:space="0" w:color="000000"/>
              <w:right w:val="single" w:sz="2" w:space="0" w:color="000000"/>
            </w:tcBorders>
          </w:tcPr>
          <w:p w:rsidR="000B21A0" w:rsidRDefault="000B21A0">
            <w:pPr>
              <w:pStyle w:val="TableParagraph"/>
              <w:ind w:left="0"/>
              <w:rPr>
                <w:b/>
              </w:rPr>
            </w:pPr>
          </w:p>
          <w:p w:rsidR="000B21A0" w:rsidRDefault="00672CAE">
            <w:pPr>
              <w:pStyle w:val="TableParagraph"/>
              <w:spacing w:before="131"/>
              <w:ind w:left="130" w:right="120"/>
              <w:jc w:val="center"/>
              <w:rPr>
                <w:sz w:val="20"/>
              </w:rPr>
            </w:pPr>
            <w:r>
              <w:rPr>
                <w:sz w:val="20"/>
              </w:rPr>
              <w:t>NA</w:t>
            </w:r>
          </w:p>
        </w:tc>
        <w:tc>
          <w:tcPr>
            <w:tcW w:w="1800" w:type="dxa"/>
            <w:tcBorders>
              <w:top w:val="single" w:sz="2" w:space="0" w:color="000000"/>
              <w:left w:val="single" w:sz="2" w:space="0" w:color="000000"/>
              <w:right w:val="single" w:sz="2" w:space="0" w:color="000000"/>
            </w:tcBorders>
          </w:tcPr>
          <w:p w:rsidR="000B21A0" w:rsidRDefault="000B21A0">
            <w:pPr>
              <w:pStyle w:val="TableParagraph"/>
              <w:spacing w:before="4"/>
              <w:ind w:left="0"/>
              <w:rPr>
                <w:b/>
                <w:sz w:val="23"/>
              </w:rPr>
            </w:pPr>
          </w:p>
          <w:p w:rsidR="000B21A0" w:rsidRDefault="00672CAE">
            <w:pPr>
              <w:pStyle w:val="TableParagraph"/>
              <w:ind w:left="396" w:right="235" w:hanging="128"/>
              <w:rPr>
                <w:sz w:val="20"/>
              </w:rPr>
            </w:pPr>
            <w:r>
              <w:rPr>
                <w:sz w:val="20"/>
              </w:rPr>
              <w:t>Tissue titration- frozen tissue</w:t>
            </w:r>
          </w:p>
        </w:tc>
        <w:tc>
          <w:tcPr>
            <w:tcW w:w="1135" w:type="dxa"/>
            <w:tcBorders>
              <w:top w:val="single" w:sz="2" w:space="0" w:color="000000"/>
              <w:left w:val="single" w:sz="2" w:space="0" w:color="000000"/>
              <w:right w:val="single" w:sz="2" w:space="0" w:color="000000"/>
            </w:tcBorders>
          </w:tcPr>
          <w:p w:rsidR="000B21A0" w:rsidRDefault="000B21A0">
            <w:pPr>
              <w:pStyle w:val="TableParagraph"/>
              <w:ind w:left="0"/>
              <w:rPr>
                <w:b/>
              </w:rPr>
            </w:pPr>
          </w:p>
          <w:p w:rsidR="000B21A0" w:rsidRDefault="00672CAE">
            <w:pPr>
              <w:pStyle w:val="TableParagraph"/>
              <w:spacing w:before="131"/>
              <w:ind w:left="130" w:right="113"/>
              <w:jc w:val="center"/>
              <w:rPr>
                <w:sz w:val="20"/>
              </w:rPr>
            </w:pPr>
            <w:r>
              <w:rPr>
                <w:sz w:val="20"/>
              </w:rPr>
              <w:t>NA</w:t>
            </w:r>
          </w:p>
        </w:tc>
        <w:tc>
          <w:tcPr>
            <w:tcW w:w="1310" w:type="dxa"/>
            <w:tcBorders>
              <w:top w:val="single" w:sz="2" w:space="0" w:color="000000"/>
              <w:left w:val="single" w:sz="2" w:space="0" w:color="000000"/>
              <w:right w:val="single" w:sz="2" w:space="0" w:color="000000"/>
            </w:tcBorders>
          </w:tcPr>
          <w:p w:rsidR="000B21A0" w:rsidRDefault="00672CAE">
            <w:pPr>
              <w:pStyle w:val="TableParagraph"/>
              <w:spacing w:before="154"/>
              <w:ind w:left="156"/>
              <w:rPr>
                <w:sz w:val="20"/>
              </w:rPr>
            </w:pPr>
            <w:r>
              <w:rPr>
                <w:sz w:val="20"/>
              </w:rPr>
              <w:t>0, 0.16, 0.31</w:t>
            </w:r>
          </w:p>
          <w:p w:rsidR="000B21A0" w:rsidRDefault="00672CAE">
            <w:pPr>
              <w:pStyle w:val="TableParagraph"/>
              <w:ind w:left="145" w:right="132"/>
              <w:jc w:val="center"/>
              <w:rPr>
                <w:sz w:val="20"/>
              </w:rPr>
            </w:pPr>
            <w:r>
              <w:rPr>
                <w:sz w:val="20"/>
              </w:rPr>
              <w:t>and 0.63 ug/mL</w:t>
            </w:r>
          </w:p>
        </w:tc>
        <w:tc>
          <w:tcPr>
            <w:tcW w:w="1063" w:type="dxa"/>
            <w:tcBorders>
              <w:top w:val="single" w:sz="2" w:space="0" w:color="000000"/>
              <w:left w:val="single" w:sz="2" w:space="0" w:color="000000"/>
              <w:right w:val="single" w:sz="2" w:space="0" w:color="000000"/>
            </w:tcBorders>
          </w:tcPr>
          <w:p w:rsidR="000B21A0" w:rsidRDefault="000B21A0">
            <w:pPr>
              <w:pStyle w:val="TableParagraph"/>
              <w:ind w:left="0"/>
              <w:rPr>
                <w:b/>
              </w:rPr>
            </w:pPr>
          </w:p>
          <w:p w:rsidR="000B21A0" w:rsidRDefault="00672CAE">
            <w:pPr>
              <w:pStyle w:val="TableParagraph"/>
              <w:spacing w:before="131"/>
              <w:ind w:left="359" w:right="347"/>
              <w:jc w:val="center"/>
              <w:rPr>
                <w:sz w:val="20"/>
              </w:rPr>
            </w:pPr>
            <w:r>
              <w:rPr>
                <w:sz w:val="20"/>
              </w:rPr>
              <w:t>Yes</w:t>
            </w:r>
          </w:p>
        </w:tc>
        <w:tc>
          <w:tcPr>
            <w:tcW w:w="1308" w:type="dxa"/>
            <w:tcBorders>
              <w:top w:val="single" w:sz="2" w:space="0" w:color="000000"/>
              <w:left w:val="single" w:sz="2" w:space="0" w:color="000000"/>
              <w:right w:val="single" w:sz="2" w:space="0" w:color="000000"/>
            </w:tcBorders>
          </w:tcPr>
          <w:p w:rsidR="000B21A0" w:rsidRDefault="000B21A0">
            <w:pPr>
              <w:pStyle w:val="TableParagraph"/>
              <w:spacing w:before="4"/>
              <w:ind w:left="0"/>
              <w:rPr>
                <w:b/>
                <w:sz w:val="23"/>
              </w:rPr>
            </w:pPr>
          </w:p>
          <w:p w:rsidR="000B21A0" w:rsidRDefault="00672CAE">
            <w:pPr>
              <w:pStyle w:val="TableParagraph"/>
              <w:spacing w:before="1"/>
              <w:ind w:left="259" w:right="241" w:firstLine="16"/>
              <w:rPr>
                <w:sz w:val="20"/>
              </w:rPr>
            </w:pPr>
            <w:r>
              <w:rPr>
                <w:sz w:val="20"/>
              </w:rPr>
              <w:t xml:space="preserve">Covance- </w:t>
            </w:r>
            <w:r>
              <w:rPr>
                <w:w w:val="95"/>
                <w:sz w:val="20"/>
              </w:rPr>
              <w:t>Harrogate</w:t>
            </w:r>
          </w:p>
        </w:tc>
        <w:tc>
          <w:tcPr>
            <w:tcW w:w="1310" w:type="dxa"/>
            <w:tcBorders>
              <w:top w:val="single" w:sz="2" w:space="0" w:color="000000"/>
              <w:left w:val="single" w:sz="2" w:space="0" w:color="000000"/>
            </w:tcBorders>
          </w:tcPr>
          <w:p w:rsidR="000B21A0" w:rsidRDefault="000B21A0">
            <w:pPr>
              <w:pStyle w:val="TableParagraph"/>
              <w:spacing w:before="4"/>
              <w:ind w:left="0"/>
              <w:rPr>
                <w:b/>
                <w:sz w:val="32"/>
              </w:rPr>
            </w:pPr>
          </w:p>
          <w:p w:rsidR="000B21A0" w:rsidRDefault="00672CAE">
            <w:pPr>
              <w:pStyle w:val="TableParagraph"/>
              <w:spacing w:before="1"/>
              <w:ind w:left="178" w:right="151"/>
              <w:jc w:val="center"/>
            </w:pPr>
            <w:r>
              <w:t>8287084</w:t>
            </w:r>
          </w:p>
        </w:tc>
      </w:tr>
    </w:tbl>
    <w:p w:rsidR="000B21A0" w:rsidRDefault="00672CAE">
      <w:pPr>
        <w:pStyle w:val="a3"/>
        <w:spacing w:before="138"/>
        <w:ind w:left="577"/>
      </w:pPr>
      <w:r>
        <w:t>CRL: Charles River Laboratories; GD: gestational day; GLP: Good Laboratory Practice; NA: not applicable; SD: Sprague Dawley</w:t>
      </w:r>
    </w:p>
    <w:p w:rsidR="000B21A0" w:rsidRDefault="00672CAE">
      <w:pPr>
        <w:pStyle w:val="a3"/>
        <w:spacing w:before="109"/>
        <w:ind w:left="577"/>
      </w:pPr>
      <w:r>
        <w:rPr>
          <w:position w:val="11"/>
          <w:sz w:val="16"/>
        </w:rPr>
        <w:t xml:space="preserve">a </w:t>
      </w:r>
      <w:r>
        <w:t>Underline doses represent NOAEL dose</w:t>
      </w:r>
    </w:p>
    <w:p w:rsidR="000B21A0" w:rsidRDefault="00672CAE">
      <w:pPr>
        <w:pStyle w:val="a3"/>
        <w:spacing w:before="108"/>
        <w:ind w:left="577"/>
      </w:pPr>
      <w:r>
        <w:rPr>
          <w:position w:val="11"/>
          <w:sz w:val="16"/>
        </w:rPr>
        <w:t xml:space="preserve">b </w:t>
      </w:r>
      <w:r>
        <w:t xml:space="preserve">Dose was considered to be the </w:t>
      </w:r>
      <w:r>
        <w:rPr>
          <w:sz w:val="22"/>
        </w:rPr>
        <w:t xml:space="preserve">HNSTD </w:t>
      </w:r>
      <w:r>
        <w:t>under the conditions of this study</w:t>
      </w:r>
    </w:p>
    <w:p w:rsidR="000B21A0" w:rsidRDefault="000B21A0">
      <w:pPr>
        <w:sectPr w:rsidR="000B21A0">
          <w:pgSz w:w="15840" w:h="12240" w:orient="landscape"/>
          <w:pgMar w:top="1260" w:right="1520" w:bottom="940" w:left="560" w:header="578" w:footer="748" w:gutter="0"/>
          <w:cols w:space="720"/>
        </w:sectPr>
      </w:pPr>
    </w:p>
    <w:p w:rsidR="000B21A0" w:rsidRDefault="000B21A0">
      <w:pPr>
        <w:pStyle w:val="a3"/>
        <w:rPr>
          <w:sz w:val="20"/>
        </w:rPr>
      </w:pPr>
    </w:p>
    <w:p w:rsidR="000B21A0" w:rsidRDefault="000B21A0">
      <w:pPr>
        <w:pStyle w:val="a3"/>
        <w:spacing w:before="7"/>
        <w:rPr>
          <w:sz w:val="21"/>
        </w:rPr>
      </w:pPr>
    </w:p>
    <w:p w:rsidR="000B21A0" w:rsidRDefault="00672CAE">
      <w:pPr>
        <w:pStyle w:val="2"/>
        <w:numPr>
          <w:ilvl w:val="3"/>
          <w:numId w:val="14"/>
        </w:numPr>
        <w:tabs>
          <w:tab w:val="left" w:pos="1085"/>
        </w:tabs>
        <w:spacing w:before="90" w:line="261" w:lineRule="auto"/>
        <w:ind w:right="1898"/>
      </w:pPr>
      <w:bookmarkStart w:id="12" w:name="4.4.2.1_A_Multiple_Dose_Toxicity_Study_o"/>
      <w:bookmarkEnd w:id="12"/>
      <w:r>
        <w:t xml:space="preserve">A Multiple Dose Toxicity Study of </w:t>
      </w:r>
      <w:r w:rsidR="00113E1E">
        <w:t>PROJECT 16-1</w:t>
      </w:r>
      <w:r>
        <w:t xml:space="preserve"> and </w:t>
      </w:r>
      <w:r w:rsidR="00113E1E">
        <w:t>PROJECT 16-2</w:t>
      </w:r>
      <w:r>
        <w:t xml:space="preserve"> In Sprague Dawley Rats</w:t>
      </w:r>
    </w:p>
    <w:p w:rsidR="000B21A0" w:rsidRDefault="00672CAE">
      <w:pPr>
        <w:pStyle w:val="a3"/>
        <w:spacing w:before="113" w:line="261" w:lineRule="auto"/>
        <w:ind w:left="232" w:right="1696"/>
      </w:pPr>
      <w:r>
        <w:t xml:space="preserve">A Multiple Dose Toxicity Study of </w:t>
      </w:r>
      <w:r w:rsidR="00113E1E">
        <w:t>PROJECT 16-1</w:t>
      </w:r>
      <w:r>
        <w:t xml:space="preserve"> and </w:t>
      </w:r>
      <w:r w:rsidR="00113E1E">
        <w:t>PROJECT 16-2</w:t>
      </w:r>
      <w:r>
        <w:t xml:space="preserve"> Administered by IV Injection to Sprague Dawley Rats with a 6-Week Recovery Period (Charles River Study No. 20043365).</w:t>
      </w:r>
    </w:p>
    <w:p w:rsidR="000B21A0" w:rsidRDefault="00672CAE">
      <w:pPr>
        <w:pStyle w:val="2"/>
        <w:numPr>
          <w:ilvl w:val="4"/>
          <w:numId w:val="14"/>
        </w:numPr>
        <w:tabs>
          <w:tab w:val="left" w:pos="1365"/>
          <w:tab w:val="left" w:pos="1366"/>
        </w:tabs>
        <w:spacing w:before="123"/>
      </w:pPr>
      <w:bookmarkStart w:id="13" w:name="4.4.2.1.1_Objective"/>
      <w:bookmarkEnd w:id="13"/>
      <w:r>
        <w:t>Objective</w:t>
      </w:r>
    </w:p>
    <w:p w:rsidR="000B21A0" w:rsidRDefault="00672CAE">
      <w:pPr>
        <w:pStyle w:val="a3"/>
        <w:spacing w:before="140" w:line="261" w:lineRule="auto"/>
        <w:ind w:left="232" w:right="1719"/>
      </w:pPr>
      <w:r>
        <w:t xml:space="preserve">The objectives of this GLP study were to determine the potential toxicity and toxicokinetic (TK) profiles of </w:t>
      </w:r>
      <w:r w:rsidR="00113E1E">
        <w:t>PROJECT 16-1</w:t>
      </w:r>
      <w:r>
        <w:t xml:space="preserve"> when administered once every week for a total of 4 doses by IV bolus injection to Sprague Dawley rats, and to evaluate recovery from any effects over a dose-free period of 6 weeks. Since </w:t>
      </w:r>
      <w:r w:rsidR="00113E1E">
        <w:t>PROJECT 16-1</w:t>
      </w:r>
      <w:r>
        <w:t xml:space="preserve"> does not cross react with rat, the findings in this study address potential target independent toxicities of </w:t>
      </w:r>
      <w:r w:rsidR="00113E1E">
        <w:t>PROJECT 16-1</w:t>
      </w:r>
      <w:r>
        <w:t>.</w:t>
      </w:r>
    </w:p>
    <w:p w:rsidR="000B21A0" w:rsidRDefault="00672CAE">
      <w:pPr>
        <w:pStyle w:val="a3"/>
        <w:spacing w:before="115" w:line="261" w:lineRule="auto"/>
        <w:ind w:left="232" w:right="1696"/>
      </w:pPr>
      <w:r>
        <w:t>To aid in determination of the ADC toxicity, the unconjugated antibody (</w:t>
      </w:r>
      <w:r w:rsidR="00113E1E">
        <w:t>PROJECT 16-2</w:t>
      </w:r>
      <w:r>
        <w:t xml:space="preserve">) was dosed at the equivalent of the high dose of the ADC, </w:t>
      </w:r>
      <w:r w:rsidR="00113E1E">
        <w:t>PROJECT 16-1</w:t>
      </w:r>
      <w:r>
        <w:t>.</w:t>
      </w:r>
    </w:p>
    <w:p w:rsidR="000B21A0" w:rsidRDefault="00672CAE">
      <w:pPr>
        <w:pStyle w:val="2"/>
        <w:numPr>
          <w:ilvl w:val="4"/>
          <w:numId w:val="14"/>
        </w:numPr>
        <w:tabs>
          <w:tab w:val="left" w:pos="1365"/>
          <w:tab w:val="left" w:pos="1366"/>
        </w:tabs>
        <w:spacing w:before="124"/>
      </w:pPr>
      <w:bookmarkStart w:id="14" w:name="4.4.2.1.2_Methods"/>
      <w:bookmarkEnd w:id="14"/>
      <w:r>
        <w:t>Methods</w:t>
      </w:r>
    </w:p>
    <w:p w:rsidR="000B21A0" w:rsidRDefault="00672CAE">
      <w:pPr>
        <w:pStyle w:val="a3"/>
        <w:spacing w:before="139"/>
        <w:ind w:left="232"/>
      </w:pPr>
      <w:r>
        <w:t xml:space="preserve">The study design is </w:t>
      </w:r>
      <w:proofErr w:type="gramStart"/>
      <w:r>
        <w:t>summarize</w:t>
      </w:r>
      <w:proofErr w:type="gramEnd"/>
      <w:r w:rsidR="0036140F">
        <w:fldChar w:fldCharType="begin"/>
      </w:r>
      <w:r w:rsidR="0036140F">
        <w:instrText xml:space="preserve"> HYPERLINK \l "_bookmark78" </w:instrText>
      </w:r>
      <w:r w:rsidR="0036140F">
        <w:fldChar w:fldCharType="separate"/>
      </w:r>
      <w:r>
        <w:t>d in Table 12</w:t>
      </w:r>
      <w:r w:rsidR="0036140F">
        <w:fldChar w:fldCharType="end"/>
      </w:r>
      <w:r>
        <w:t xml:space="preserve"> below.</w:t>
      </w:r>
    </w:p>
    <w:p w:rsidR="000B21A0" w:rsidRDefault="00672CAE">
      <w:pPr>
        <w:pStyle w:val="2"/>
        <w:tabs>
          <w:tab w:val="left" w:pos="1651"/>
        </w:tabs>
        <w:ind w:left="232" w:firstLine="0"/>
      </w:pPr>
      <w:bookmarkStart w:id="15" w:name="_bookmark78"/>
      <w:bookmarkEnd w:id="15"/>
      <w:r>
        <w:t>Table</w:t>
      </w:r>
      <w:r>
        <w:rPr>
          <w:spacing w:val="-2"/>
        </w:rPr>
        <w:t xml:space="preserve"> </w:t>
      </w:r>
      <w:r>
        <w:t>12.</w:t>
      </w:r>
      <w:r>
        <w:tab/>
        <w:t>Experimental Design for Study</w:t>
      </w:r>
      <w:r>
        <w:rPr>
          <w:spacing w:val="-1"/>
        </w:rPr>
        <w:t xml:space="preserve"> </w:t>
      </w:r>
      <w:r>
        <w:t>20043365</w:t>
      </w:r>
    </w:p>
    <w:p w:rsidR="000B21A0" w:rsidRDefault="000B21A0">
      <w:pPr>
        <w:pStyle w:val="a3"/>
        <w:spacing w:before="6"/>
        <w:rPr>
          <w:b/>
          <w:sz w:val="5"/>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7"/>
        <w:gridCol w:w="1301"/>
        <w:gridCol w:w="1260"/>
        <w:gridCol w:w="991"/>
        <w:gridCol w:w="1064"/>
        <w:gridCol w:w="1009"/>
        <w:gridCol w:w="1056"/>
        <w:gridCol w:w="765"/>
        <w:gridCol w:w="996"/>
      </w:tblGrid>
      <w:tr w:rsidR="000B21A0">
        <w:trPr>
          <w:trHeight w:val="229"/>
        </w:trPr>
        <w:tc>
          <w:tcPr>
            <w:tcW w:w="787" w:type="dxa"/>
            <w:vMerge w:val="restart"/>
            <w:shd w:val="clear" w:color="auto" w:fill="C6D9F1"/>
          </w:tcPr>
          <w:p w:rsidR="000B21A0" w:rsidRDefault="00672CAE">
            <w:pPr>
              <w:pStyle w:val="TableParagraph"/>
              <w:spacing w:before="122"/>
              <w:ind w:left="244" w:hanging="135"/>
              <w:rPr>
                <w:b/>
                <w:sz w:val="20"/>
              </w:rPr>
            </w:pPr>
            <w:r>
              <w:rPr>
                <w:b/>
                <w:w w:val="95"/>
                <w:sz w:val="20"/>
              </w:rPr>
              <w:t xml:space="preserve">Group </w:t>
            </w:r>
            <w:r>
              <w:rPr>
                <w:b/>
                <w:sz w:val="20"/>
              </w:rPr>
              <w:t>No.</w:t>
            </w:r>
          </w:p>
        </w:tc>
        <w:tc>
          <w:tcPr>
            <w:tcW w:w="1301" w:type="dxa"/>
            <w:vMerge w:val="restart"/>
            <w:shd w:val="clear" w:color="auto" w:fill="C6D9F1"/>
          </w:tcPr>
          <w:p w:rsidR="000B21A0" w:rsidRDefault="00672CAE">
            <w:pPr>
              <w:pStyle w:val="TableParagraph"/>
              <w:spacing w:before="122"/>
              <w:ind w:left="278" w:right="248" w:firstLine="189"/>
              <w:rPr>
                <w:b/>
                <w:sz w:val="20"/>
              </w:rPr>
            </w:pPr>
            <w:r>
              <w:rPr>
                <w:b/>
                <w:sz w:val="20"/>
              </w:rPr>
              <w:t>Test Material</w:t>
            </w:r>
          </w:p>
        </w:tc>
        <w:tc>
          <w:tcPr>
            <w:tcW w:w="1260" w:type="dxa"/>
            <w:vMerge w:val="restart"/>
            <w:shd w:val="clear" w:color="auto" w:fill="C6D9F1"/>
          </w:tcPr>
          <w:p w:rsidR="000B21A0" w:rsidRDefault="00672CAE">
            <w:pPr>
              <w:pStyle w:val="TableParagraph"/>
              <w:spacing w:before="122"/>
              <w:ind w:left="141" w:firstLine="24"/>
              <w:rPr>
                <w:b/>
                <w:sz w:val="20"/>
              </w:rPr>
            </w:pPr>
            <w:r>
              <w:rPr>
                <w:b/>
                <w:sz w:val="20"/>
              </w:rPr>
              <w:t xml:space="preserve">Dose Level </w:t>
            </w:r>
            <w:r>
              <w:rPr>
                <w:b/>
                <w:w w:val="95"/>
                <w:sz w:val="20"/>
              </w:rPr>
              <w:t>(mg/kg/</w:t>
            </w:r>
            <w:proofErr w:type="spellStart"/>
            <w:r>
              <w:rPr>
                <w:b/>
                <w:w w:val="95"/>
                <w:sz w:val="20"/>
              </w:rPr>
              <w:t>wk</w:t>
            </w:r>
            <w:proofErr w:type="spellEnd"/>
            <w:r>
              <w:rPr>
                <w:b/>
                <w:w w:val="95"/>
                <w:sz w:val="20"/>
              </w:rPr>
              <w:t>)</w:t>
            </w:r>
          </w:p>
        </w:tc>
        <w:tc>
          <w:tcPr>
            <w:tcW w:w="991" w:type="dxa"/>
            <w:vMerge w:val="restart"/>
            <w:shd w:val="clear" w:color="auto" w:fill="C6D9F1"/>
          </w:tcPr>
          <w:p w:rsidR="000B21A0" w:rsidRDefault="00672CAE">
            <w:pPr>
              <w:pStyle w:val="TableParagraph"/>
              <w:spacing w:before="7" w:line="230" w:lineRule="atLeast"/>
              <w:ind w:left="143" w:firstLine="146"/>
              <w:rPr>
                <w:b/>
                <w:sz w:val="20"/>
              </w:rPr>
            </w:pPr>
            <w:r>
              <w:rPr>
                <w:b/>
                <w:sz w:val="20"/>
              </w:rPr>
              <w:t xml:space="preserve">Dose Volume </w:t>
            </w:r>
            <w:r>
              <w:rPr>
                <w:b/>
                <w:w w:val="95"/>
                <w:sz w:val="20"/>
              </w:rPr>
              <w:t>(mL/kg)</w:t>
            </w:r>
          </w:p>
        </w:tc>
        <w:tc>
          <w:tcPr>
            <w:tcW w:w="1064" w:type="dxa"/>
            <w:vMerge w:val="restart"/>
            <w:shd w:val="clear" w:color="auto" w:fill="C6D9F1"/>
          </w:tcPr>
          <w:p w:rsidR="000B21A0" w:rsidRDefault="00672CAE">
            <w:pPr>
              <w:pStyle w:val="TableParagraph"/>
              <w:spacing w:before="7" w:line="230" w:lineRule="atLeast"/>
              <w:ind w:left="151" w:right="148" w:firstLine="3"/>
              <w:jc w:val="center"/>
              <w:rPr>
                <w:b/>
                <w:sz w:val="20"/>
              </w:rPr>
            </w:pPr>
            <w:r>
              <w:rPr>
                <w:b/>
                <w:sz w:val="20"/>
              </w:rPr>
              <w:t xml:space="preserve">Dose Conc. </w:t>
            </w:r>
            <w:r>
              <w:rPr>
                <w:b/>
                <w:spacing w:val="-1"/>
                <w:sz w:val="20"/>
              </w:rPr>
              <w:t>(mg/mL)</w:t>
            </w:r>
          </w:p>
        </w:tc>
        <w:tc>
          <w:tcPr>
            <w:tcW w:w="3826" w:type="dxa"/>
            <w:gridSpan w:val="4"/>
            <w:shd w:val="clear" w:color="auto" w:fill="C6D9F1"/>
          </w:tcPr>
          <w:p w:rsidR="000B21A0" w:rsidRDefault="00672CAE">
            <w:pPr>
              <w:pStyle w:val="TableParagraph"/>
              <w:spacing w:line="210" w:lineRule="exact"/>
              <w:ind w:left="1276"/>
              <w:rPr>
                <w:b/>
                <w:sz w:val="20"/>
              </w:rPr>
            </w:pPr>
            <w:r>
              <w:rPr>
                <w:b/>
                <w:sz w:val="20"/>
              </w:rPr>
              <w:t>No. of Animals</w:t>
            </w:r>
          </w:p>
        </w:tc>
      </w:tr>
      <w:tr w:rsidR="000B21A0">
        <w:trPr>
          <w:trHeight w:val="230"/>
        </w:trPr>
        <w:tc>
          <w:tcPr>
            <w:tcW w:w="787" w:type="dxa"/>
            <w:vMerge/>
            <w:tcBorders>
              <w:top w:val="nil"/>
            </w:tcBorders>
            <w:shd w:val="clear" w:color="auto" w:fill="C6D9F1"/>
          </w:tcPr>
          <w:p w:rsidR="000B21A0" w:rsidRDefault="000B21A0">
            <w:pPr>
              <w:rPr>
                <w:sz w:val="2"/>
                <w:szCs w:val="2"/>
              </w:rPr>
            </w:pPr>
          </w:p>
        </w:tc>
        <w:tc>
          <w:tcPr>
            <w:tcW w:w="1301" w:type="dxa"/>
            <w:vMerge/>
            <w:tcBorders>
              <w:top w:val="nil"/>
            </w:tcBorders>
            <w:shd w:val="clear" w:color="auto" w:fill="C6D9F1"/>
          </w:tcPr>
          <w:p w:rsidR="000B21A0" w:rsidRDefault="000B21A0">
            <w:pPr>
              <w:rPr>
                <w:sz w:val="2"/>
                <w:szCs w:val="2"/>
              </w:rPr>
            </w:pPr>
          </w:p>
        </w:tc>
        <w:tc>
          <w:tcPr>
            <w:tcW w:w="1260" w:type="dxa"/>
            <w:vMerge/>
            <w:tcBorders>
              <w:top w:val="nil"/>
            </w:tcBorders>
            <w:shd w:val="clear" w:color="auto" w:fill="C6D9F1"/>
          </w:tcPr>
          <w:p w:rsidR="000B21A0" w:rsidRDefault="000B21A0">
            <w:pPr>
              <w:rPr>
                <w:sz w:val="2"/>
                <w:szCs w:val="2"/>
              </w:rPr>
            </w:pPr>
          </w:p>
        </w:tc>
        <w:tc>
          <w:tcPr>
            <w:tcW w:w="991" w:type="dxa"/>
            <w:vMerge/>
            <w:tcBorders>
              <w:top w:val="nil"/>
            </w:tcBorders>
            <w:shd w:val="clear" w:color="auto" w:fill="C6D9F1"/>
          </w:tcPr>
          <w:p w:rsidR="000B21A0" w:rsidRDefault="000B21A0">
            <w:pPr>
              <w:rPr>
                <w:sz w:val="2"/>
                <w:szCs w:val="2"/>
              </w:rPr>
            </w:pPr>
          </w:p>
        </w:tc>
        <w:tc>
          <w:tcPr>
            <w:tcW w:w="1064" w:type="dxa"/>
            <w:vMerge/>
            <w:tcBorders>
              <w:top w:val="nil"/>
            </w:tcBorders>
            <w:shd w:val="clear" w:color="auto" w:fill="C6D9F1"/>
          </w:tcPr>
          <w:p w:rsidR="000B21A0" w:rsidRDefault="000B21A0">
            <w:pPr>
              <w:rPr>
                <w:sz w:val="2"/>
                <w:szCs w:val="2"/>
              </w:rPr>
            </w:pPr>
          </w:p>
        </w:tc>
        <w:tc>
          <w:tcPr>
            <w:tcW w:w="2065" w:type="dxa"/>
            <w:gridSpan w:val="2"/>
            <w:shd w:val="clear" w:color="auto" w:fill="C6D9F1"/>
          </w:tcPr>
          <w:p w:rsidR="000B21A0" w:rsidRDefault="00672CAE">
            <w:pPr>
              <w:pStyle w:val="TableParagraph"/>
              <w:spacing w:line="210" w:lineRule="exact"/>
              <w:ind w:left="529"/>
              <w:rPr>
                <w:b/>
                <w:sz w:val="20"/>
              </w:rPr>
            </w:pPr>
            <w:r>
              <w:rPr>
                <w:b/>
                <w:sz w:val="20"/>
              </w:rPr>
              <w:t>Main Study</w:t>
            </w:r>
          </w:p>
        </w:tc>
        <w:tc>
          <w:tcPr>
            <w:tcW w:w="1761" w:type="dxa"/>
            <w:gridSpan w:val="2"/>
            <w:shd w:val="clear" w:color="auto" w:fill="C6D9F1"/>
          </w:tcPr>
          <w:p w:rsidR="000B21A0" w:rsidRDefault="00672CAE">
            <w:pPr>
              <w:pStyle w:val="TableParagraph"/>
              <w:spacing w:line="210" w:lineRule="exact"/>
              <w:ind w:left="209"/>
              <w:rPr>
                <w:b/>
                <w:sz w:val="20"/>
              </w:rPr>
            </w:pPr>
            <w:r>
              <w:rPr>
                <w:b/>
                <w:sz w:val="20"/>
              </w:rPr>
              <w:t>Recovery Study</w:t>
            </w:r>
          </w:p>
        </w:tc>
      </w:tr>
      <w:tr w:rsidR="000B21A0">
        <w:trPr>
          <w:trHeight w:val="230"/>
        </w:trPr>
        <w:tc>
          <w:tcPr>
            <w:tcW w:w="787" w:type="dxa"/>
            <w:vMerge/>
            <w:tcBorders>
              <w:top w:val="nil"/>
            </w:tcBorders>
            <w:shd w:val="clear" w:color="auto" w:fill="C6D9F1"/>
          </w:tcPr>
          <w:p w:rsidR="000B21A0" w:rsidRDefault="000B21A0">
            <w:pPr>
              <w:rPr>
                <w:sz w:val="2"/>
                <w:szCs w:val="2"/>
              </w:rPr>
            </w:pPr>
          </w:p>
        </w:tc>
        <w:tc>
          <w:tcPr>
            <w:tcW w:w="1301" w:type="dxa"/>
            <w:vMerge/>
            <w:tcBorders>
              <w:top w:val="nil"/>
            </w:tcBorders>
            <w:shd w:val="clear" w:color="auto" w:fill="C6D9F1"/>
          </w:tcPr>
          <w:p w:rsidR="000B21A0" w:rsidRDefault="000B21A0">
            <w:pPr>
              <w:rPr>
                <w:sz w:val="2"/>
                <w:szCs w:val="2"/>
              </w:rPr>
            </w:pPr>
          </w:p>
        </w:tc>
        <w:tc>
          <w:tcPr>
            <w:tcW w:w="1260" w:type="dxa"/>
            <w:vMerge/>
            <w:tcBorders>
              <w:top w:val="nil"/>
            </w:tcBorders>
            <w:shd w:val="clear" w:color="auto" w:fill="C6D9F1"/>
          </w:tcPr>
          <w:p w:rsidR="000B21A0" w:rsidRDefault="000B21A0">
            <w:pPr>
              <w:rPr>
                <w:sz w:val="2"/>
                <w:szCs w:val="2"/>
              </w:rPr>
            </w:pPr>
          </w:p>
        </w:tc>
        <w:tc>
          <w:tcPr>
            <w:tcW w:w="991" w:type="dxa"/>
            <w:vMerge/>
            <w:tcBorders>
              <w:top w:val="nil"/>
            </w:tcBorders>
            <w:shd w:val="clear" w:color="auto" w:fill="C6D9F1"/>
          </w:tcPr>
          <w:p w:rsidR="000B21A0" w:rsidRDefault="000B21A0">
            <w:pPr>
              <w:rPr>
                <w:sz w:val="2"/>
                <w:szCs w:val="2"/>
              </w:rPr>
            </w:pPr>
          </w:p>
        </w:tc>
        <w:tc>
          <w:tcPr>
            <w:tcW w:w="1064" w:type="dxa"/>
            <w:vMerge/>
            <w:tcBorders>
              <w:top w:val="nil"/>
            </w:tcBorders>
            <w:shd w:val="clear" w:color="auto" w:fill="C6D9F1"/>
          </w:tcPr>
          <w:p w:rsidR="000B21A0" w:rsidRDefault="000B21A0">
            <w:pPr>
              <w:rPr>
                <w:sz w:val="2"/>
                <w:szCs w:val="2"/>
              </w:rPr>
            </w:pPr>
          </w:p>
        </w:tc>
        <w:tc>
          <w:tcPr>
            <w:tcW w:w="1009" w:type="dxa"/>
            <w:shd w:val="clear" w:color="auto" w:fill="C6D9F1"/>
          </w:tcPr>
          <w:p w:rsidR="000B21A0" w:rsidRDefault="00672CAE">
            <w:pPr>
              <w:pStyle w:val="TableParagraph"/>
              <w:spacing w:line="210" w:lineRule="exact"/>
              <w:ind w:left="226" w:right="221"/>
              <w:jc w:val="center"/>
              <w:rPr>
                <w:b/>
                <w:sz w:val="20"/>
              </w:rPr>
            </w:pPr>
            <w:r>
              <w:rPr>
                <w:b/>
                <w:sz w:val="20"/>
              </w:rPr>
              <w:t>Males</w:t>
            </w:r>
          </w:p>
        </w:tc>
        <w:tc>
          <w:tcPr>
            <w:tcW w:w="1056" w:type="dxa"/>
            <w:shd w:val="clear" w:color="auto" w:fill="C6D9F1"/>
          </w:tcPr>
          <w:p w:rsidR="000B21A0" w:rsidRDefault="00672CAE">
            <w:pPr>
              <w:pStyle w:val="TableParagraph"/>
              <w:spacing w:line="210" w:lineRule="exact"/>
              <w:ind w:left="161" w:right="145"/>
              <w:jc w:val="center"/>
              <w:rPr>
                <w:b/>
                <w:sz w:val="20"/>
              </w:rPr>
            </w:pPr>
            <w:r>
              <w:rPr>
                <w:b/>
                <w:sz w:val="20"/>
              </w:rPr>
              <w:t>Females</w:t>
            </w:r>
          </w:p>
        </w:tc>
        <w:tc>
          <w:tcPr>
            <w:tcW w:w="765" w:type="dxa"/>
            <w:shd w:val="clear" w:color="auto" w:fill="C6D9F1"/>
          </w:tcPr>
          <w:p w:rsidR="000B21A0" w:rsidRDefault="00672CAE">
            <w:pPr>
              <w:pStyle w:val="TableParagraph"/>
              <w:spacing w:line="210" w:lineRule="exact"/>
              <w:ind w:left="110" w:right="93"/>
              <w:jc w:val="center"/>
              <w:rPr>
                <w:b/>
                <w:sz w:val="20"/>
              </w:rPr>
            </w:pPr>
            <w:r>
              <w:rPr>
                <w:b/>
                <w:sz w:val="20"/>
              </w:rPr>
              <w:t>Males</w:t>
            </w:r>
          </w:p>
        </w:tc>
        <w:tc>
          <w:tcPr>
            <w:tcW w:w="996" w:type="dxa"/>
            <w:shd w:val="clear" w:color="auto" w:fill="C6D9F1"/>
          </w:tcPr>
          <w:p w:rsidR="000B21A0" w:rsidRDefault="00672CAE">
            <w:pPr>
              <w:pStyle w:val="TableParagraph"/>
              <w:spacing w:line="210" w:lineRule="exact"/>
              <w:ind w:left="128" w:right="118"/>
              <w:jc w:val="center"/>
              <w:rPr>
                <w:b/>
                <w:sz w:val="20"/>
              </w:rPr>
            </w:pPr>
            <w:r>
              <w:rPr>
                <w:b/>
                <w:sz w:val="20"/>
              </w:rPr>
              <w:t>Females</w:t>
            </w:r>
          </w:p>
        </w:tc>
      </w:tr>
      <w:tr w:rsidR="000B21A0">
        <w:trPr>
          <w:trHeight w:val="251"/>
        </w:trPr>
        <w:tc>
          <w:tcPr>
            <w:tcW w:w="787" w:type="dxa"/>
          </w:tcPr>
          <w:p w:rsidR="000B21A0" w:rsidRDefault="00672CAE">
            <w:pPr>
              <w:pStyle w:val="TableParagraph"/>
              <w:spacing w:line="232" w:lineRule="exact"/>
              <w:ind w:left="9"/>
              <w:jc w:val="center"/>
            </w:pPr>
            <w:r>
              <w:t>1</w:t>
            </w:r>
          </w:p>
        </w:tc>
        <w:tc>
          <w:tcPr>
            <w:tcW w:w="1301" w:type="dxa"/>
          </w:tcPr>
          <w:p w:rsidR="000B21A0" w:rsidRDefault="00672CAE">
            <w:pPr>
              <w:pStyle w:val="TableParagraph"/>
              <w:spacing w:line="232" w:lineRule="exact"/>
              <w:ind w:left="0" w:right="292"/>
              <w:jc w:val="right"/>
            </w:pPr>
            <w:r>
              <w:t>Vehicle</w:t>
            </w:r>
          </w:p>
        </w:tc>
        <w:tc>
          <w:tcPr>
            <w:tcW w:w="1260" w:type="dxa"/>
          </w:tcPr>
          <w:p w:rsidR="000B21A0" w:rsidRDefault="00672CAE">
            <w:pPr>
              <w:pStyle w:val="TableParagraph"/>
              <w:spacing w:line="232" w:lineRule="exact"/>
              <w:ind w:left="7"/>
              <w:jc w:val="center"/>
            </w:pPr>
            <w:r>
              <w:t>0</w:t>
            </w:r>
          </w:p>
        </w:tc>
        <w:tc>
          <w:tcPr>
            <w:tcW w:w="991" w:type="dxa"/>
          </w:tcPr>
          <w:p w:rsidR="000B21A0" w:rsidRDefault="00672CAE">
            <w:pPr>
              <w:pStyle w:val="TableParagraph"/>
              <w:spacing w:line="232" w:lineRule="exact"/>
              <w:ind w:left="7"/>
              <w:jc w:val="center"/>
            </w:pPr>
            <w:r>
              <w:t>5</w:t>
            </w:r>
          </w:p>
        </w:tc>
        <w:tc>
          <w:tcPr>
            <w:tcW w:w="1064" w:type="dxa"/>
          </w:tcPr>
          <w:p w:rsidR="000B21A0" w:rsidRDefault="00672CAE">
            <w:pPr>
              <w:pStyle w:val="TableParagraph"/>
              <w:spacing w:line="232" w:lineRule="exact"/>
              <w:ind w:left="6"/>
              <w:jc w:val="center"/>
            </w:pPr>
            <w:r>
              <w:t>0</w:t>
            </w:r>
          </w:p>
        </w:tc>
        <w:tc>
          <w:tcPr>
            <w:tcW w:w="1009" w:type="dxa"/>
          </w:tcPr>
          <w:p w:rsidR="000B21A0" w:rsidRDefault="00672CAE">
            <w:pPr>
              <w:pStyle w:val="TableParagraph"/>
              <w:spacing w:line="232" w:lineRule="exact"/>
              <w:ind w:left="226" w:right="219"/>
              <w:jc w:val="center"/>
            </w:pPr>
            <w:r>
              <w:t>10</w:t>
            </w:r>
          </w:p>
        </w:tc>
        <w:tc>
          <w:tcPr>
            <w:tcW w:w="1056" w:type="dxa"/>
          </w:tcPr>
          <w:p w:rsidR="000B21A0" w:rsidRDefault="00672CAE">
            <w:pPr>
              <w:pStyle w:val="TableParagraph"/>
              <w:spacing w:line="232" w:lineRule="exact"/>
              <w:ind w:left="161" w:right="145"/>
              <w:jc w:val="center"/>
            </w:pPr>
            <w:r>
              <w:t>10</w:t>
            </w:r>
          </w:p>
        </w:tc>
        <w:tc>
          <w:tcPr>
            <w:tcW w:w="765" w:type="dxa"/>
          </w:tcPr>
          <w:p w:rsidR="000B21A0" w:rsidRDefault="00672CAE">
            <w:pPr>
              <w:pStyle w:val="TableParagraph"/>
              <w:spacing w:line="232" w:lineRule="exact"/>
              <w:ind w:left="14"/>
              <w:jc w:val="center"/>
            </w:pPr>
            <w:r>
              <w:t>5</w:t>
            </w:r>
          </w:p>
        </w:tc>
        <w:tc>
          <w:tcPr>
            <w:tcW w:w="996" w:type="dxa"/>
          </w:tcPr>
          <w:p w:rsidR="000B21A0" w:rsidRDefault="00672CAE">
            <w:pPr>
              <w:pStyle w:val="TableParagraph"/>
              <w:spacing w:line="232" w:lineRule="exact"/>
              <w:ind w:left="10"/>
              <w:jc w:val="center"/>
            </w:pPr>
            <w:r>
              <w:t>5</w:t>
            </w:r>
          </w:p>
        </w:tc>
      </w:tr>
      <w:tr w:rsidR="000B21A0">
        <w:trPr>
          <w:trHeight w:val="254"/>
        </w:trPr>
        <w:tc>
          <w:tcPr>
            <w:tcW w:w="787" w:type="dxa"/>
          </w:tcPr>
          <w:p w:rsidR="000B21A0" w:rsidRDefault="00672CAE">
            <w:pPr>
              <w:pStyle w:val="TableParagraph"/>
              <w:spacing w:line="234" w:lineRule="exact"/>
              <w:ind w:left="9"/>
              <w:jc w:val="center"/>
            </w:pPr>
            <w:r>
              <w:t>2</w:t>
            </w:r>
          </w:p>
        </w:tc>
        <w:tc>
          <w:tcPr>
            <w:tcW w:w="1301" w:type="dxa"/>
          </w:tcPr>
          <w:p w:rsidR="000B21A0" w:rsidRDefault="00113E1E">
            <w:pPr>
              <w:pStyle w:val="TableParagraph"/>
              <w:spacing w:line="234" w:lineRule="exact"/>
              <w:ind w:left="0" w:right="239"/>
              <w:jc w:val="right"/>
            </w:pPr>
            <w:r>
              <w:t>PROJECT 16-1</w:t>
            </w:r>
          </w:p>
        </w:tc>
        <w:tc>
          <w:tcPr>
            <w:tcW w:w="1260" w:type="dxa"/>
          </w:tcPr>
          <w:p w:rsidR="000B21A0" w:rsidRDefault="00672CAE">
            <w:pPr>
              <w:pStyle w:val="TableParagraph"/>
              <w:spacing w:line="234" w:lineRule="exact"/>
              <w:ind w:left="7"/>
              <w:jc w:val="center"/>
            </w:pPr>
            <w:r>
              <w:t>1</w:t>
            </w:r>
          </w:p>
        </w:tc>
        <w:tc>
          <w:tcPr>
            <w:tcW w:w="991" w:type="dxa"/>
          </w:tcPr>
          <w:p w:rsidR="000B21A0" w:rsidRDefault="00672CAE">
            <w:pPr>
              <w:pStyle w:val="TableParagraph"/>
              <w:spacing w:line="234" w:lineRule="exact"/>
              <w:ind w:left="7"/>
              <w:jc w:val="center"/>
            </w:pPr>
            <w:r>
              <w:t>5</w:t>
            </w:r>
          </w:p>
        </w:tc>
        <w:tc>
          <w:tcPr>
            <w:tcW w:w="1064" w:type="dxa"/>
          </w:tcPr>
          <w:p w:rsidR="000B21A0" w:rsidRDefault="00672CAE">
            <w:pPr>
              <w:pStyle w:val="TableParagraph"/>
              <w:spacing w:line="234" w:lineRule="exact"/>
              <w:ind w:left="371" w:right="367"/>
              <w:jc w:val="center"/>
            </w:pPr>
            <w:r>
              <w:t>0.2</w:t>
            </w:r>
          </w:p>
        </w:tc>
        <w:tc>
          <w:tcPr>
            <w:tcW w:w="1009" w:type="dxa"/>
          </w:tcPr>
          <w:p w:rsidR="000B21A0" w:rsidRDefault="00672CAE">
            <w:pPr>
              <w:pStyle w:val="TableParagraph"/>
              <w:spacing w:line="234" w:lineRule="exact"/>
              <w:ind w:left="226" w:right="219"/>
              <w:jc w:val="center"/>
            </w:pPr>
            <w:r>
              <w:t>10</w:t>
            </w:r>
          </w:p>
        </w:tc>
        <w:tc>
          <w:tcPr>
            <w:tcW w:w="1056" w:type="dxa"/>
          </w:tcPr>
          <w:p w:rsidR="000B21A0" w:rsidRDefault="00672CAE">
            <w:pPr>
              <w:pStyle w:val="TableParagraph"/>
              <w:spacing w:line="234" w:lineRule="exact"/>
              <w:ind w:left="161" w:right="145"/>
              <w:jc w:val="center"/>
            </w:pPr>
            <w:r>
              <w:t>10</w:t>
            </w:r>
          </w:p>
        </w:tc>
        <w:tc>
          <w:tcPr>
            <w:tcW w:w="765" w:type="dxa"/>
          </w:tcPr>
          <w:p w:rsidR="000B21A0" w:rsidRDefault="00672CAE">
            <w:pPr>
              <w:pStyle w:val="TableParagraph"/>
              <w:spacing w:line="234" w:lineRule="exact"/>
              <w:ind w:left="14"/>
              <w:jc w:val="center"/>
            </w:pPr>
            <w:r>
              <w:t>5</w:t>
            </w:r>
          </w:p>
        </w:tc>
        <w:tc>
          <w:tcPr>
            <w:tcW w:w="996" w:type="dxa"/>
          </w:tcPr>
          <w:p w:rsidR="000B21A0" w:rsidRDefault="00672CAE">
            <w:pPr>
              <w:pStyle w:val="TableParagraph"/>
              <w:spacing w:line="234" w:lineRule="exact"/>
              <w:ind w:left="10"/>
              <w:jc w:val="center"/>
            </w:pPr>
            <w:r>
              <w:t>5</w:t>
            </w:r>
          </w:p>
        </w:tc>
      </w:tr>
      <w:tr w:rsidR="000B21A0">
        <w:trPr>
          <w:trHeight w:val="254"/>
        </w:trPr>
        <w:tc>
          <w:tcPr>
            <w:tcW w:w="787" w:type="dxa"/>
          </w:tcPr>
          <w:p w:rsidR="000B21A0" w:rsidRDefault="00672CAE">
            <w:pPr>
              <w:pStyle w:val="TableParagraph"/>
              <w:spacing w:line="234" w:lineRule="exact"/>
              <w:ind w:left="9"/>
              <w:jc w:val="center"/>
            </w:pPr>
            <w:r>
              <w:t>3</w:t>
            </w:r>
          </w:p>
        </w:tc>
        <w:tc>
          <w:tcPr>
            <w:tcW w:w="1301" w:type="dxa"/>
          </w:tcPr>
          <w:p w:rsidR="000B21A0" w:rsidRDefault="00113E1E">
            <w:pPr>
              <w:pStyle w:val="TableParagraph"/>
              <w:spacing w:line="234" w:lineRule="exact"/>
              <w:ind w:left="0" w:right="239"/>
              <w:jc w:val="right"/>
            </w:pPr>
            <w:r>
              <w:t>PROJECT 16-1</w:t>
            </w:r>
          </w:p>
        </w:tc>
        <w:tc>
          <w:tcPr>
            <w:tcW w:w="1260" w:type="dxa"/>
          </w:tcPr>
          <w:p w:rsidR="000B21A0" w:rsidRDefault="00672CAE">
            <w:pPr>
              <w:pStyle w:val="TableParagraph"/>
              <w:spacing w:line="234" w:lineRule="exact"/>
              <w:ind w:left="7"/>
              <w:jc w:val="center"/>
            </w:pPr>
            <w:r>
              <w:t>3</w:t>
            </w:r>
          </w:p>
        </w:tc>
        <w:tc>
          <w:tcPr>
            <w:tcW w:w="991" w:type="dxa"/>
          </w:tcPr>
          <w:p w:rsidR="000B21A0" w:rsidRDefault="00672CAE">
            <w:pPr>
              <w:pStyle w:val="TableParagraph"/>
              <w:spacing w:line="234" w:lineRule="exact"/>
              <w:ind w:left="7"/>
              <w:jc w:val="center"/>
            </w:pPr>
            <w:r>
              <w:t>5</w:t>
            </w:r>
          </w:p>
        </w:tc>
        <w:tc>
          <w:tcPr>
            <w:tcW w:w="1064" w:type="dxa"/>
          </w:tcPr>
          <w:p w:rsidR="000B21A0" w:rsidRDefault="00672CAE">
            <w:pPr>
              <w:pStyle w:val="TableParagraph"/>
              <w:spacing w:line="234" w:lineRule="exact"/>
              <w:ind w:left="371" w:right="367"/>
              <w:jc w:val="center"/>
            </w:pPr>
            <w:r>
              <w:t>0.6</w:t>
            </w:r>
          </w:p>
        </w:tc>
        <w:tc>
          <w:tcPr>
            <w:tcW w:w="1009" w:type="dxa"/>
          </w:tcPr>
          <w:p w:rsidR="000B21A0" w:rsidRDefault="00672CAE">
            <w:pPr>
              <w:pStyle w:val="TableParagraph"/>
              <w:spacing w:line="234" w:lineRule="exact"/>
              <w:ind w:left="226" w:right="219"/>
              <w:jc w:val="center"/>
            </w:pPr>
            <w:r>
              <w:t>10</w:t>
            </w:r>
          </w:p>
        </w:tc>
        <w:tc>
          <w:tcPr>
            <w:tcW w:w="1056" w:type="dxa"/>
          </w:tcPr>
          <w:p w:rsidR="000B21A0" w:rsidRDefault="00672CAE">
            <w:pPr>
              <w:pStyle w:val="TableParagraph"/>
              <w:spacing w:line="234" w:lineRule="exact"/>
              <w:ind w:left="161" w:right="145"/>
              <w:jc w:val="center"/>
            </w:pPr>
            <w:r>
              <w:t>10</w:t>
            </w:r>
          </w:p>
        </w:tc>
        <w:tc>
          <w:tcPr>
            <w:tcW w:w="765" w:type="dxa"/>
          </w:tcPr>
          <w:p w:rsidR="000B21A0" w:rsidRDefault="00672CAE">
            <w:pPr>
              <w:pStyle w:val="TableParagraph"/>
              <w:spacing w:line="234" w:lineRule="exact"/>
              <w:ind w:left="14"/>
              <w:jc w:val="center"/>
            </w:pPr>
            <w:r>
              <w:t>5</w:t>
            </w:r>
          </w:p>
        </w:tc>
        <w:tc>
          <w:tcPr>
            <w:tcW w:w="996" w:type="dxa"/>
          </w:tcPr>
          <w:p w:rsidR="000B21A0" w:rsidRDefault="00672CAE">
            <w:pPr>
              <w:pStyle w:val="TableParagraph"/>
              <w:spacing w:line="234" w:lineRule="exact"/>
              <w:ind w:left="10"/>
              <w:jc w:val="center"/>
            </w:pPr>
            <w:r>
              <w:t>5</w:t>
            </w:r>
          </w:p>
        </w:tc>
      </w:tr>
      <w:tr w:rsidR="000B21A0">
        <w:trPr>
          <w:trHeight w:val="251"/>
        </w:trPr>
        <w:tc>
          <w:tcPr>
            <w:tcW w:w="787" w:type="dxa"/>
          </w:tcPr>
          <w:p w:rsidR="000B21A0" w:rsidRDefault="00672CAE">
            <w:pPr>
              <w:pStyle w:val="TableParagraph"/>
              <w:spacing w:line="232" w:lineRule="exact"/>
              <w:ind w:left="9"/>
              <w:jc w:val="center"/>
            </w:pPr>
            <w:r>
              <w:t>4</w:t>
            </w:r>
          </w:p>
        </w:tc>
        <w:tc>
          <w:tcPr>
            <w:tcW w:w="1301" w:type="dxa"/>
          </w:tcPr>
          <w:p w:rsidR="000B21A0" w:rsidRDefault="00113E1E">
            <w:pPr>
              <w:pStyle w:val="TableParagraph"/>
              <w:spacing w:line="232" w:lineRule="exact"/>
              <w:ind w:left="0" w:right="239"/>
              <w:jc w:val="right"/>
            </w:pPr>
            <w:r>
              <w:t>PROJECT 16-1</w:t>
            </w:r>
          </w:p>
        </w:tc>
        <w:tc>
          <w:tcPr>
            <w:tcW w:w="1260" w:type="dxa"/>
          </w:tcPr>
          <w:p w:rsidR="000B21A0" w:rsidRDefault="00672CAE">
            <w:pPr>
              <w:pStyle w:val="TableParagraph"/>
              <w:spacing w:line="232" w:lineRule="exact"/>
              <w:ind w:left="87" w:right="80"/>
              <w:jc w:val="center"/>
            </w:pPr>
            <w:r>
              <w:t>10</w:t>
            </w:r>
          </w:p>
        </w:tc>
        <w:tc>
          <w:tcPr>
            <w:tcW w:w="991" w:type="dxa"/>
          </w:tcPr>
          <w:p w:rsidR="000B21A0" w:rsidRDefault="00672CAE">
            <w:pPr>
              <w:pStyle w:val="TableParagraph"/>
              <w:spacing w:line="232" w:lineRule="exact"/>
              <w:ind w:left="7"/>
              <w:jc w:val="center"/>
            </w:pPr>
            <w:r>
              <w:t>5</w:t>
            </w:r>
          </w:p>
        </w:tc>
        <w:tc>
          <w:tcPr>
            <w:tcW w:w="1064" w:type="dxa"/>
          </w:tcPr>
          <w:p w:rsidR="000B21A0" w:rsidRDefault="00672CAE">
            <w:pPr>
              <w:pStyle w:val="TableParagraph"/>
              <w:spacing w:line="232" w:lineRule="exact"/>
              <w:ind w:left="6"/>
              <w:jc w:val="center"/>
            </w:pPr>
            <w:r>
              <w:t>2</w:t>
            </w:r>
          </w:p>
        </w:tc>
        <w:tc>
          <w:tcPr>
            <w:tcW w:w="1009" w:type="dxa"/>
          </w:tcPr>
          <w:p w:rsidR="000B21A0" w:rsidRDefault="00672CAE">
            <w:pPr>
              <w:pStyle w:val="TableParagraph"/>
              <w:spacing w:line="232" w:lineRule="exact"/>
              <w:ind w:left="226" w:right="219"/>
              <w:jc w:val="center"/>
            </w:pPr>
            <w:r>
              <w:t>10</w:t>
            </w:r>
          </w:p>
        </w:tc>
        <w:tc>
          <w:tcPr>
            <w:tcW w:w="1056" w:type="dxa"/>
          </w:tcPr>
          <w:p w:rsidR="000B21A0" w:rsidRDefault="00672CAE">
            <w:pPr>
              <w:pStyle w:val="TableParagraph"/>
              <w:spacing w:line="232" w:lineRule="exact"/>
              <w:ind w:left="161" w:right="145"/>
              <w:jc w:val="center"/>
            </w:pPr>
            <w:r>
              <w:t>10</w:t>
            </w:r>
          </w:p>
        </w:tc>
        <w:tc>
          <w:tcPr>
            <w:tcW w:w="765" w:type="dxa"/>
          </w:tcPr>
          <w:p w:rsidR="000B21A0" w:rsidRDefault="00672CAE">
            <w:pPr>
              <w:pStyle w:val="TableParagraph"/>
              <w:spacing w:line="232" w:lineRule="exact"/>
              <w:ind w:left="14"/>
              <w:jc w:val="center"/>
            </w:pPr>
            <w:r>
              <w:t>5</w:t>
            </w:r>
          </w:p>
        </w:tc>
        <w:tc>
          <w:tcPr>
            <w:tcW w:w="996" w:type="dxa"/>
          </w:tcPr>
          <w:p w:rsidR="000B21A0" w:rsidRDefault="00672CAE">
            <w:pPr>
              <w:pStyle w:val="TableParagraph"/>
              <w:spacing w:line="232" w:lineRule="exact"/>
              <w:ind w:left="10"/>
              <w:jc w:val="center"/>
            </w:pPr>
            <w:r>
              <w:t>5</w:t>
            </w:r>
          </w:p>
        </w:tc>
      </w:tr>
      <w:tr w:rsidR="000B21A0">
        <w:trPr>
          <w:trHeight w:val="253"/>
        </w:trPr>
        <w:tc>
          <w:tcPr>
            <w:tcW w:w="787" w:type="dxa"/>
          </w:tcPr>
          <w:p w:rsidR="000B21A0" w:rsidRDefault="00672CAE">
            <w:pPr>
              <w:pStyle w:val="TableParagraph"/>
              <w:spacing w:line="234" w:lineRule="exact"/>
              <w:ind w:left="9"/>
              <w:jc w:val="center"/>
            </w:pPr>
            <w:r>
              <w:t>5</w:t>
            </w:r>
          </w:p>
        </w:tc>
        <w:tc>
          <w:tcPr>
            <w:tcW w:w="1301" w:type="dxa"/>
          </w:tcPr>
          <w:p w:rsidR="000B21A0" w:rsidRDefault="00113E1E">
            <w:pPr>
              <w:pStyle w:val="TableParagraph"/>
              <w:spacing w:line="234" w:lineRule="exact"/>
              <w:ind w:left="0" w:right="234"/>
              <w:jc w:val="right"/>
            </w:pPr>
            <w:r>
              <w:t>PROJECT 16-2</w:t>
            </w:r>
          </w:p>
        </w:tc>
        <w:tc>
          <w:tcPr>
            <w:tcW w:w="1260" w:type="dxa"/>
          </w:tcPr>
          <w:p w:rsidR="000B21A0" w:rsidRDefault="00672CAE">
            <w:pPr>
              <w:pStyle w:val="TableParagraph"/>
              <w:spacing w:line="234" w:lineRule="exact"/>
              <w:ind w:left="87" w:right="80"/>
              <w:jc w:val="center"/>
            </w:pPr>
            <w:r>
              <w:t>10</w:t>
            </w:r>
          </w:p>
        </w:tc>
        <w:tc>
          <w:tcPr>
            <w:tcW w:w="991" w:type="dxa"/>
          </w:tcPr>
          <w:p w:rsidR="000B21A0" w:rsidRDefault="00672CAE">
            <w:pPr>
              <w:pStyle w:val="TableParagraph"/>
              <w:spacing w:line="234" w:lineRule="exact"/>
              <w:ind w:left="7"/>
              <w:jc w:val="center"/>
            </w:pPr>
            <w:r>
              <w:t>5</w:t>
            </w:r>
          </w:p>
        </w:tc>
        <w:tc>
          <w:tcPr>
            <w:tcW w:w="1064" w:type="dxa"/>
          </w:tcPr>
          <w:p w:rsidR="000B21A0" w:rsidRDefault="00672CAE">
            <w:pPr>
              <w:pStyle w:val="TableParagraph"/>
              <w:spacing w:line="234" w:lineRule="exact"/>
              <w:ind w:left="6"/>
              <w:jc w:val="center"/>
            </w:pPr>
            <w:r>
              <w:t>2</w:t>
            </w:r>
          </w:p>
        </w:tc>
        <w:tc>
          <w:tcPr>
            <w:tcW w:w="1009" w:type="dxa"/>
          </w:tcPr>
          <w:p w:rsidR="000B21A0" w:rsidRDefault="00672CAE">
            <w:pPr>
              <w:pStyle w:val="TableParagraph"/>
              <w:spacing w:line="234" w:lineRule="exact"/>
              <w:ind w:left="226" w:right="219"/>
              <w:jc w:val="center"/>
            </w:pPr>
            <w:r>
              <w:t>10</w:t>
            </w:r>
          </w:p>
        </w:tc>
        <w:tc>
          <w:tcPr>
            <w:tcW w:w="1056" w:type="dxa"/>
          </w:tcPr>
          <w:p w:rsidR="000B21A0" w:rsidRDefault="00672CAE">
            <w:pPr>
              <w:pStyle w:val="TableParagraph"/>
              <w:spacing w:line="234" w:lineRule="exact"/>
              <w:ind w:left="161" w:right="145"/>
              <w:jc w:val="center"/>
            </w:pPr>
            <w:r>
              <w:t>10</w:t>
            </w:r>
          </w:p>
        </w:tc>
        <w:tc>
          <w:tcPr>
            <w:tcW w:w="765" w:type="dxa"/>
          </w:tcPr>
          <w:p w:rsidR="000B21A0" w:rsidRDefault="00672CAE">
            <w:pPr>
              <w:pStyle w:val="TableParagraph"/>
              <w:spacing w:line="234" w:lineRule="exact"/>
              <w:ind w:left="14"/>
              <w:jc w:val="center"/>
            </w:pPr>
            <w:r>
              <w:t>5</w:t>
            </w:r>
          </w:p>
        </w:tc>
        <w:tc>
          <w:tcPr>
            <w:tcW w:w="996" w:type="dxa"/>
          </w:tcPr>
          <w:p w:rsidR="000B21A0" w:rsidRDefault="00672CAE">
            <w:pPr>
              <w:pStyle w:val="TableParagraph"/>
              <w:spacing w:line="234" w:lineRule="exact"/>
              <w:ind w:left="10"/>
              <w:jc w:val="center"/>
            </w:pPr>
            <w:r>
              <w:t>5</w:t>
            </w:r>
          </w:p>
        </w:tc>
      </w:tr>
      <w:tr w:rsidR="000B21A0">
        <w:trPr>
          <w:trHeight w:val="251"/>
        </w:trPr>
        <w:tc>
          <w:tcPr>
            <w:tcW w:w="9229" w:type="dxa"/>
            <w:gridSpan w:val="9"/>
            <w:shd w:val="clear" w:color="auto" w:fill="DADADA"/>
          </w:tcPr>
          <w:p w:rsidR="000B21A0" w:rsidRDefault="00672CAE">
            <w:pPr>
              <w:pStyle w:val="TableParagraph"/>
              <w:spacing w:line="232" w:lineRule="exact"/>
              <w:ind w:left="3916" w:right="3906"/>
              <w:jc w:val="center"/>
              <w:rPr>
                <w:b/>
              </w:rPr>
            </w:pPr>
            <w:r>
              <w:rPr>
                <w:b/>
              </w:rPr>
              <w:t>Toxicokinetics</w:t>
            </w:r>
          </w:p>
        </w:tc>
      </w:tr>
      <w:tr w:rsidR="000B21A0">
        <w:trPr>
          <w:trHeight w:val="253"/>
        </w:trPr>
        <w:tc>
          <w:tcPr>
            <w:tcW w:w="787" w:type="dxa"/>
          </w:tcPr>
          <w:p w:rsidR="000B21A0" w:rsidRDefault="00672CAE">
            <w:pPr>
              <w:pStyle w:val="TableParagraph"/>
              <w:spacing w:line="234" w:lineRule="exact"/>
              <w:ind w:left="9"/>
              <w:jc w:val="center"/>
            </w:pPr>
            <w:r>
              <w:t>6</w:t>
            </w:r>
          </w:p>
        </w:tc>
        <w:tc>
          <w:tcPr>
            <w:tcW w:w="1301" w:type="dxa"/>
          </w:tcPr>
          <w:p w:rsidR="000B21A0" w:rsidRDefault="00672CAE">
            <w:pPr>
              <w:pStyle w:val="TableParagraph"/>
              <w:spacing w:line="234" w:lineRule="exact"/>
              <w:ind w:left="0" w:right="292"/>
              <w:jc w:val="right"/>
            </w:pPr>
            <w:r>
              <w:t>Vehicle</w:t>
            </w:r>
          </w:p>
        </w:tc>
        <w:tc>
          <w:tcPr>
            <w:tcW w:w="1260" w:type="dxa"/>
          </w:tcPr>
          <w:p w:rsidR="000B21A0" w:rsidRDefault="00672CAE">
            <w:pPr>
              <w:pStyle w:val="TableParagraph"/>
              <w:spacing w:line="234" w:lineRule="exact"/>
              <w:ind w:left="7"/>
              <w:jc w:val="center"/>
            </w:pPr>
            <w:r>
              <w:t>0</w:t>
            </w:r>
          </w:p>
        </w:tc>
        <w:tc>
          <w:tcPr>
            <w:tcW w:w="991" w:type="dxa"/>
          </w:tcPr>
          <w:p w:rsidR="000B21A0" w:rsidRDefault="00672CAE">
            <w:pPr>
              <w:pStyle w:val="TableParagraph"/>
              <w:spacing w:line="234" w:lineRule="exact"/>
              <w:ind w:left="7"/>
              <w:jc w:val="center"/>
            </w:pPr>
            <w:r>
              <w:t>5</w:t>
            </w:r>
          </w:p>
        </w:tc>
        <w:tc>
          <w:tcPr>
            <w:tcW w:w="1064" w:type="dxa"/>
          </w:tcPr>
          <w:p w:rsidR="000B21A0" w:rsidRDefault="00672CAE">
            <w:pPr>
              <w:pStyle w:val="TableParagraph"/>
              <w:spacing w:line="234" w:lineRule="exact"/>
              <w:ind w:left="6"/>
              <w:jc w:val="center"/>
            </w:pPr>
            <w:r>
              <w:t>0</w:t>
            </w:r>
          </w:p>
        </w:tc>
        <w:tc>
          <w:tcPr>
            <w:tcW w:w="1009" w:type="dxa"/>
          </w:tcPr>
          <w:p w:rsidR="000B21A0" w:rsidRDefault="00672CAE">
            <w:pPr>
              <w:pStyle w:val="TableParagraph"/>
              <w:spacing w:line="234" w:lineRule="exact"/>
              <w:ind w:left="7"/>
              <w:jc w:val="center"/>
            </w:pPr>
            <w:r>
              <w:t>9</w:t>
            </w:r>
          </w:p>
        </w:tc>
        <w:tc>
          <w:tcPr>
            <w:tcW w:w="1056" w:type="dxa"/>
          </w:tcPr>
          <w:p w:rsidR="000B21A0" w:rsidRDefault="00672CAE">
            <w:pPr>
              <w:pStyle w:val="TableParagraph"/>
              <w:spacing w:line="234" w:lineRule="exact"/>
              <w:ind w:left="16"/>
              <w:jc w:val="center"/>
            </w:pPr>
            <w:r>
              <w:t>9</w:t>
            </w:r>
          </w:p>
        </w:tc>
        <w:tc>
          <w:tcPr>
            <w:tcW w:w="1761" w:type="dxa"/>
            <w:gridSpan w:val="2"/>
            <w:vMerge w:val="restart"/>
          </w:tcPr>
          <w:p w:rsidR="000B21A0" w:rsidRDefault="000B21A0">
            <w:pPr>
              <w:pStyle w:val="TableParagraph"/>
              <w:ind w:left="0"/>
            </w:pPr>
          </w:p>
        </w:tc>
      </w:tr>
      <w:tr w:rsidR="000B21A0">
        <w:trPr>
          <w:trHeight w:val="251"/>
        </w:trPr>
        <w:tc>
          <w:tcPr>
            <w:tcW w:w="787" w:type="dxa"/>
          </w:tcPr>
          <w:p w:rsidR="000B21A0" w:rsidRDefault="00672CAE">
            <w:pPr>
              <w:pStyle w:val="TableParagraph"/>
              <w:spacing w:line="232" w:lineRule="exact"/>
              <w:ind w:left="9"/>
              <w:jc w:val="center"/>
            </w:pPr>
            <w:r>
              <w:t>7</w:t>
            </w:r>
          </w:p>
        </w:tc>
        <w:tc>
          <w:tcPr>
            <w:tcW w:w="1301" w:type="dxa"/>
          </w:tcPr>
          <w:p w:rsidR="000B21A0" w:rsidRDefault="00113E1E">
            <w:pPr>
              <w:pStyle w:val="TableParagraph"/>
              <w:spacing w:line="232" w:lineRule="exact"/>
              <w:ind w:left="0" w:right="239"/>
              <w:jc w:val="right"/>
            </w:pPr>
            <w:r>
              <w:t>PROJECT 16-1</w:t>
            </w:r>
          </w:p>
        </w:tc>
        <w:tc>
          <w:tcPr>
            <w:tcW w:w="1260" w:type="dxa"/>
          </w:tcPr>
          <w:p w:rsidR="000B21A0" w:rsidRDefault="00672CAE">
            <w:pPr>
              <w:pStyle w:val="TableParagraph"/>
              <w:spacing w:line="232" w:lineRule="exact"/>
              <w:ind w:left="7"/>
              <w:jc w:val="center"/>
            </w:pPr>
            <w:r>
              <w:t>1</w:t>
            </w:r>
          </w:p>
        </w:tc>
        <w:tc>
          <w:tcPr>
            <w:tcW w:w="991" w:type="dxa"/>
          </w:tcPr>
          <w:p w:rsidR="000B21A0" w:rsidRDefault="00672CAE">
            <w:pPr>
              <w:pStyle w:val="TableParagraph"/>
              <w:spacing w:line="232" w:lineRule="exact"/>
              <w:ind w:left="7"/>
              <w:jc w:val="center"/>
            </w:pPr>
            <w:r>
              <w:t>5</w:t>
            </w:r>
          </w:p>
        </w:tc>
        <w:tc>
          <w:tcPr>
            <w:tcW w:w="1064" w:type="dxa"/>
          </w:tcPr>
          <w:p w:rsidR="000B21A0" w:rsidRDefault="00672CAE">
            <w:pPr>
              <w:pStyle w:val="TableParagraph"/>
              <w:spacing w:line="232" w:lineRule="exact"/>
              <w:ind w:left="371" w:right="367"/>
              <w:jc w:val="center"/>
            </w:pPr>
            <w:r>
              <w:t>0.2</w:t>
            </w:r>
          </w:p>
        </w:tc>
        <w:tc>
          <w:tcPr>
            <w:tcW w:w="1009" w:type="dxa"/>
          </w:tcPr>
          <w:p w:rsidR="000B21A0" w:rsidRDefault="00672CAE">
            <w:pPr>
              <w:pStyle w:val="TableParagraph"/>
              <w:spacing w:line="232" w:lineRule="exact"/>
              <w:ind w:left="7"/>
              <w:jc w:val="center"/>
            </w:pPr>
            <w:r>
              <w:t>9</w:t>
            </w:r>
          </w:p>
        </w:tc>
        <w:tc>
          <w:tcPr>
            <w:tcW w:w="1056" w:type="dxa"/>
          </w:tcPr>
          <w:p w:rsidR="000B21A0" w:rsidRDefault="00672CAE">
            <w:pPr>
              <w:pStyle w:val="TableParagraph"/>
              <w:spacing w:line="232" w:lineRule="exact"/>
              <w:ind w:left="16"/>
              <w:jc w:val="center"/>
            </w:pPr>
            <w:r>
              <w:t>9</w:t>
            </w:r>
          </w:p>
        </w:tc>
        <w:tc>
          <w:tcPr>
            <w:tcW w:w="1761" w:type="dxa"/>
            <w:gridSpan w:val="2"/>
            <w:vMerge/>
            <w:tcBorders>
              <w:top w:val="nil"/>
            </w:tcBorders>
          </w:tcPr>
          <w:p w:rsidR="000B21A0" w:rsidRDefault="000B21A0">
            <w:pPr>
              <w:rPr>
                <w:sz w:val="2"/>
                <w:szCs w:val="2"/>
              </w:rPr>
            </w:pPr>
          </w:p>
        </w:tc>
      </w:tr>
      <w:tr w:rsidR="000B21A0">
        <w:trPr>
          <w:trHeight w:val="253"/>
        </w:trPr>
        <w:tc>
          <w:tcPr>
            <w:tcW w:w="787" w:type="dxa"/>
          </w:tcPr>
          <w:p w:rsidR="000B21A0" w:rsidRDefault="00672CAE">
            <w:pPr>
              <w:pStyle w:val="TableParagraph"/>
              <w:spacing w:line="234" w:lineRule="exact"/>
              <w:ind w:left="9"/>
              <w:jc w:val="center"/>
            </w:pPr>
            <w:r>
              <w:t>8</w:t>
            </w:r>
          </w:p>
        </w:tc>
        <w:tc>
          <w:tcPr>
            <w:tcW w:w="1301" w:type="dxa"/>
          </w:tcPr>
          <w:p w:rsidR="000B21A0" w:rsidRDefault="00113E1E">
            <w:pPr>
              <w:pStyle w:val="TableParagraph"/>
              <w:spacing w:line="234" w:lineRule="exact"/>
              <w:ind w:left="0" w:right="239"/>
              <w:jc w:val="right"/>
            </w:pPr>
            <w:r>
              <w:t>PROJECT 16-1</w:t>
            </w:r>
          </w:p>
        </w:tc>
        <w:tc>
          <w:tcPr>
            <w:tcW w:w="1260" w:type="dxa"/>
          </w:tcPr>
          <w:p w:rsidR="000B21A0" w:rsidRDefault="00672CAE">
            <w:pPr>
              <w:pStyle w:val="TableParagraph"/>
              <w:spacing w:line="234" w:lineRule="exact"/>
              <w:ind w:left="7"/>
              <w:jc w:val="center"/>
            </w:pPr>
            <w:r>
              <w:t>3</w:t>
            </w:r>
          </w:p>
        </w:tc>
        <w:tc>
          <w:tcPr>
            <w:tcW w:w="991" w:type="dxa"/>
          </w:tcPr>
          <w:p w:rsidR="000B21A0" w:rsidRDefault="00672CAE">
            <w:pPr>
              <w:pStyle w:val="TableParagraph"/>
              <w:spacing w:line="234" w:lineRule="exact"/>
              <w:ind w:left="7"/>
              <w:jc w:val="center"/>
            </w:pPr>
            <w:r>
              <w:t>5</w:t>
            </w:r>
          </w:p>
        </w:tc>
        <w:tc>
          <w:tcPr>
            <w:tcW w:w="1064" w:type="dxa"/>
          </w:tcPr>
          <w:p w:rsidR="000B21A0" w:rsidRDefault="00672CAE">
            <w:pPr>
              <w:pStyle w:val="TableParagraph"/>
              <w:spacing w:line="234" w:lineRule="exact"/>
              <w:ind w:left="371" w:right="367"/>
              <w:jc w:val="center"/>
            </w:pPr>
            <w:r>
              <w:t>0.6</w:t>
            </w:r>
          </w:p>
        </w:tc>
        <w:tc>
          <w:tcPr>
            <w:tcW w:w="1009" w:type="dxa"/>
          </w:tcPr>
          <w:p w:rsidR="000B21A0" w:rsidRDefault="00672CAE">
            <w:pPr>
              <w:pStyle w:val="TableParagraph"/>
              <w:spacing w:line="234" w:lineRule="exact"/>
              <w:ind w:left="7"/>
              <w:jc w:val="center"/>
            </w:pPr>
            <w:r>
              <w:t>9</w:t>
            </w:r>
          </w:p>
        </w:tc>
        <w:tc>
          <w:tcPr>
            <w:tcW w:w="1056" w:type="dxa"/>
          </w:tcPr>
          <w:p w:rsidR="000B21A0" w:rsidRDefault="00672CAE">
            <w:pPr>
              <w:pStyle w:val="TableParagraph"/>
              <w:spacing w:line="234" w:lineRule="exact"/>
              <w:ind w:left="16"/>
              <w:jc w:val="center"/>
            </w:pPr>
            <w:r>
              <w:t>9</w:t>
            </w:r>
          </w:p>
        </w:tc>
        <w:tc>
          <w:tcPr>
            <w:tcW w:w="1761" w:type="dxa"/>
            <w:gridSpan w:val="2"/>
            <w:vMerge/>
            <w:tcBorders>
              <w:top w:val="nil"/>
            </w:tcBorders>
          </w:tcPr>
          <w:p w:rsidR="000B21A0" w:rsidRDefault="000B21A0">
            <w:pPr>
              <w:rPr>
                <w:sz w:val="2"/>
                <w:szCs w:val="2"/>
              </w:rPr>
            </w:pPr>
          </w:p>
        </w:tc>
      </w:tr>
      <w:tr w:rsidR="000B21A0">
        <w:trPr>
          <w:trHeight w:val="253"/>
        </w:trPr>
        <w:tc>
          <w:tcPr>
            <w:tcW w:w="787" w:type="dxa"/>
          </w:tcPr>
          <w:p w:rsidR="000B21A0" w:rsidRDefault="00672CAE">
            <w:pPr>
              <w:pStyle w:val="TableParagraph"/>
              <w:spacing w:line="234" w:lineRule="exact"/>
              <w:ind w:left="9"/>
              <w:jc w:val="center"/>
            </w:pPr>
            <w:r>
              <w:t>9</w:t>
            </w:r>
          </w:p>
        </w:tc>
        <w:tc>
          <w:tcPr>
            <w:tcW w:w="1301" w:type="dxa"/>
          </w:tcPr>
          <w:p w:rsidR="000B21A0" w:rsidRDefault="00113E1E">
            <w:pPr>
              <w:pStyle w:val="TableParagraph"/>
              <w:spacing w:line="234" w:lineRule="exact"/>
              <w:ind w:left="0" w:right="239"/>
              <w:jc w:val="right"/>
            </w:pPr>
            <w:r>
              <w:t>PROJECT 16-1</w:t>
            </w:r>
          </w:p>
        </w:tc>
        <w:tc>
          <w:tcPr>
            <w:tcW w:w="1260" w:type="dxa"/>
          </w:tcPr>
          <w:p w:rsidR="000B21A0" w:rsidRDefault="00672CAE">
            <w:pPr>
              <w:pStyle w:val="TableParagraph"/>
              <w:spacing w:line="234" w:lineRule="exact"/>
              <w:ind w:left="87" w:right="80"/>
              <w:jc w:val="center"/>
            </w:pPr>
            <w:r>
              <w:t>10</w:t>
            </w:r>
          </w:p>
        </w:tc>
        <w:tc>
          <w:tcPr>
            <w:tcW w:w="991" w:type="dxa"/>
          </w:tcPr>
          <w:p w:rsidR="000B21A0" w:rsidRDefault="00672CAE">
            <w:pPr>
              <w:pStyle w:val="TableParagraph"/>
              <w:spacing w:line="234" w:lineRule="exact"/>
              <w:ind w:left="7"/>
              <w:jc w:val="center"/>
            </w:pPr>
            <w:r>
              <w:t>5</w:t>
            </w:r>
          </w:p>
        </w:tc>
        <w:tc>
          <w:tcPr>
            <w:tcW w:w="1064" w:type="dxa"/>
          </w:tcPr>
          <w:p w:rsidR="000B21A0" w:rsidRDefault="00672CAE">
            <w:pPr>
              <w:pStyle w:val="TableParagraph"/>
              <w:spacing w:line="234" w:lineRule="exact"/>
              <w:ind w:left="6"/>
              <w:jc w:val="center"/>
            </w:pPr>
            <w:r>
              <w:t>2</w:t>
            </w:r>
          </w:p>
        </w:tc>
        <w:tc>
          <w:tcPr>
            <w:tcW w:w="1009" w:type="dxa"/>
          </w:tcPr>
          <w:p w:rsidR="000B21A0" w:rsidRDefault="00672CAE">
            <w:pPr>
              <w:pStyle w:val="TableParagraph"/>
              <w:spacing w:line="234" w:lineRule="exact"/>
              <w:ind w:left="7"/>
              <w:jc w:val="center"/>
            </w:pPr>
            <w:r>
              <w:t>9</w:t>
            </w:r>
          </w:p>
        </w:tc>
        <w:tc>
          <w:tcPr>
            <w:tcW w:w="1056" w:type="dxa"/>
          </w:tcPr>
          <w:p w:rsidR="000B21A0" w:rsidRDefault="00672CAE">
            <w:pPr>
              <w:pStyle w:val="TableParagraph"/>
              <w:spacing w:line="234" w:lineRule="exact"/>
              <w:ind w:left="16"/>
              <w:jc w:val="center"/>
            </w:pPr>
            <w:r>
              <w:t>9</w:t>
            </w:r>
          </w:p>
        </w:tc>
        <w:tc>
          <w:tcPr>
            <w:tcW w:w="1761" w:type="dxa"/>
            <w:gridSpan w:val="2"/>
            <w:vMerge/>
            <w:tcBorders>
              <w:top w:val="nil"/>
            </w:tcBorders>
          </w:tcPr>
          <w:p w:rsidR="000B21A0" w:rsidRDefault="000B21A0">
            <w:pPr>
              <w:rPr>
                <w:sz w:val="2"/>
                <w:szCs w:val="2"/>
              </w:rPr>
            </w:pPr>
          </w:p>
        </w:tc>
      </w:tr>
      <w:tr w:rsidR="000B21A0">
        <w:trPr>
          <w:trHeight w:val="251"/>
        </w:trPr>
        <w:tc>
          <w:tcPr>
            <w:tcW w:w="787" w:type="dxa"/>
          </w:tcPr>
          <w:p w:rsidR="000B21A0" w:rsidRDefault="00672CAE">
            <w:pPr>
              <w:pStyle w:val="TableParagraph"/>
              <w:spacing w:line="232" w:lineRule="exact"/>
              <w:ind w:left="263" w:right="254"/>
              <w:jc w:val="center"/>
            </w:pPr>
            <w:r>
              <w:t>10</w:t>
            </w:r>
          </w:p>
        </w:tc>
        <w:tc>
          <w:tcPr>
            <w:tcW w:w="1301" w:type="dxa"/>
          </w:tcPr>
          <w:p w:rsidR="000B21A0" w:rsidRDefault="00113E1E">
            <w:pPr>
              <w:pStyle w:val="TableParagraph"/>
              <w:spacing w:line="232" w:lineRule="exact"/>
              <w:ind w:left="0" w:right="234"/>
              <w:jc w:val="right"/>
            </w:pPr>
            <w:r>
              <w:t>PROJECT 16-2</w:t>
            </w:r>
          </w:p>
        </w:tc>
        <w:tc>
          <w:tcPr>
            <w:tcW w:w="1260" w:type="dxa"/>
          </w:tcPr>
          <w:p w:rsidR="000B21A0" w:rsidRDefault="00672CAE">
            <w:pPr>
              <w:pStyle w:val="TableParagraph"/>
              <w:spacing w:line="232" w:lineRule="exact"/>
              <w:ind w:left="87" w:right="80"/>
              <w:jc w:val="center"/>
            </w:pPr>
            <w:r>
              <w:t>10</w:t>
            </w:r>
          </w:p>
        </w:tc>
        <w:tc>
          <w:tcPr>
            <w:tcW w:w="991" w:type="dxa"/>
          </w:tcPr>
          <w:p w:rsidR="000B21A0" w:rsidRDefault="00672CAE">
            <w:pPr>
              <w:pStyle w:val="TableParagraph"/>
              <w:spacing w:line="232" w:lineRule="exact"/>
              <w:ind w:left="7"/>
              <w:jc w:val="center"/>
            </w:pPr>
            <w:r>
              <w:t>5</w:t>
            </w:r>
          </w:p>
        </w:tc>
        <w:tc>
          <w:tcPr>
            <w:tcW w:w="1064" w:type="dxa"/>
          </w:tcPr>
          <w:p w:rsidR="000B21A0" w:rsidRDefault="00672CAE">
            <w:pPr>
              <w:pStyle w:val="TableParagraph"/>
              <w:spacing w:line="232" w:lineRule="exact"/>
              <w:ind w:left="6"/>
              <w:jc w:val="center"/>
            </w:pPr>
            <w:r>
              <w:t>2</w:t>
            </w:r>
          </w:p>
        </w:tc>
        <w:tc>
          <w:tcPr>
            <w:tcW w:w="1009" w:type="dxa"/>
          </w:tcPr>
          <w:p w:rsidR="000B21A0" w:rsidRDefault="00672CAE">
            <w:pPr>
              <w:pStyle w:val="TableParagraph"/>
              <w:spacing w:line="232" w:lineRule="exact"/>
              <w:ind w:left="7"/>
              <w:jc w:val="center"/>
            </w:pPr>
            <w:r>
              <w:t>9</w:t>
            </w:r>
          </w:p>
        </w:tc>
        <w:tc>
          <w:tcPr>
            <w:tcW w:w="1056" w:type="dxa"/>
          </w:tcPr>
          <w:p w:rsidR="000B21A0" w:rsidRDefault="00672CAE">
            <w:pPr>
              <w:pStyle w:val="TableParagraph"/>
              <w:spacing w:line="232" w:lineRule="exact"/>
              <w:ind w:left="16"/>
              <w:jc w:val="center"/>
            </w:pPr>
            <w:r>
              <w:t>9</w:t>
            </w:r>
          </w:p>
        </w:tc>
        <w:tc>
          <w:tcPr>
            <w:tcW w:w="1761" w:type="dxa"/>
            <w:gridSpan w:val="2"/>
            <w:vMerge/>
            <w:tcBorders>
              <w:top w:val="nil"/>
            </w:tcBorders>
          </w:tcPr>
          <w:p w:rsidR="000B21A0" w:rsidRDefault="000B21A0">
            <w:pPr>
              <w:rPr>
                <w:sz w:val="2"/>
                <w:szCs w:val="2"/>
              </w:rPr>
            </w:pPr>
          </w:p>
        </w:tc>
      </w:tr>
    </w:tbl>
    <w:p w:rsidR="000B21A0" w:rsidRDefault="00113E1E">
      <w:pPr>
        <w:spacing w:before="53"/>
        <w:ind w:left="232"/>
        <w:rPr>
          <w:sz w:val="20"/>
        </w:rPr>
      </w:pPr>
      <w:r>
        <w:rPr>
          <w:sz w:val="20"/>
        </w:rPr>
        <w:t>PROJECT 16-1</w:t>
      </w:r>
      <w:r w:rsidR="00672CAE">
        <w:rPr>
          <w:sz w:val="20"/>
        </w:rPr>
        <w:t xml:space="preserve"> – ADC; </w:t>
      </w:r>
      <w:r>
        <w:rPr>
          <w:sz w:val="20"/>
        </w:rPr>
        <w:t>PROJECT 16-2</w:t>
      </w:r>
      <w:r w:rsidR="00672CAE">
        <w:rPr>
          <w:sz w:val="20"/>
        </w:rPr>
        <w:t xml:space="preserve"> – unconjugated antibody</w:t>
      </w:r>
    </w:p>
    <w:p w:rsidR="000B21A0" w:rsidRDefault="000B21A0">
      <w:pPr>
        <w:pStyle w:val="a3"/>
        <w:spacing w:before="10"/>
        <w:rPr>
          <w:sz w:val="17"/>
        </w:rPr>
      </w:pPr>
    </w:p>
    <w:p w:rsidR="000B21A0" w:rsidRDefault="00672CAE">
      <w:pPr>
        <w:pStyle w:val="a3"/>
        <w:spacing w:line="261" w:lineRule="auto"/>
        <w:ind w:left="232" w:right="1696"/>
      </w:pPr>
      <w:r>
        <w:t>The following parameters and end points were evaluated in this study: clinical signs, body weights, food consumption, ophthalmology, clinical pathology parameters (hematology and clinical chemistry), TK parameters, ADA analysis, gross necropsy findings, organ weights, and histopathology evaluation.</w:t>
      </w:r>
    </w:p>
    <w:p w:rsidR="000B21A0" w:rsidRDefault="00672CAE">
      <w:pPr>
        <w:pStyle w:val="2"/>
        <w:numPr>
          <w:ilvl w:val="4"/>
          <w:numId w:val="14"/>
        </w:numPr>
        <w:tabs>
          <w:tab w:val="left" w:pos="1365"/>
          <w:tab w:val="left" w:pos="1366"/>
        </w:tabs>
      </w:pPr>
      <w:bookmarkStart w:id="16" w:name="4.4.2.1.3_Results"/>
      <w:bookmarkEnd w:id="16"/>
      <w:r>
        <w:lastRenderedPageBreak/>
        <w:t>Results</w:t>
      </w:r>
    </w:p>
    <w:p w:rsidR="000B21A0" w:rsidRDefault="00113E1E">
      <w:pPr>
        <w:pStyle w:val="a3"/>
        <w:spacing w:before="139" w:line="261" w:lineRule="auto"/>
        <w:ind w:left="232" w:right="2437"/>
        <w:jc w:val="both"/>
      </w:pPr>
      <w:r>
        <w:t>PROJECT 16-1</w:t>
      </w:r>
      <w:r w:rsidR="00672CAE">
        <w:t xml:space="preserve"> at 1 and 3 mg/kg/week and </w:t>
      </w:r>
      <w:r>
        <w:t>PROJECT 16-2</w:t>
      </w:r>
      <w:r w:rsidR="00672CAE">
        <w:t xml:space="preserve"> at 10 mg/kg/week were generally</w:t>
      </w:r>
      <w:r w:rsidR="00672CAE">
        <w:rPr>
          <w:spacing w:val="-25"/>
        </w:rPr>
        <w:t xml:space="preserve"> </w:t>
      </w:r>
      <w:r w:rsidR="00672CAE">
        <w:t xml:space="preserve">well tolerated. There were 9 animals (4 controls [Group 6-TK], and 5 </w:t>
      </w:r>
      <w:r>
        <w:t>PROJECT 16-1</w:t>
      </w:r>
      <w:r w:rsidR="00672CAE">
        <w:t xml:space="preserve"> animals at 10 mg/kg/week [Groups 4/9]) that were found dead or euthanized prior to</w:t>
      </w:r>
      <w:r w:rsidR="00672CAE">
        <w:rPr>
          <w:spacing w:val="-15"/>
        </w:rPr>
        <w:t xml:space="preserve"> </w:t>
      </w:r>
      <w:r w:rsidR="00672CAE">
        <w:t>scheduled</w:t>
      </w:r>
    </w:p>
    <w:p w:rsidR="000B21A0" w:rsidRDefault="00672CAE">
      <w:pPr>
        <w:pStyle w:val="a3"/>
        <w:spacing w:line="274" w:lineRule="exact"/>
        <w:ind w:left="232"/>
      </w:pPr>
      <w:r>
        <w:t xml:space="preserve">necropsy. Two of the early mortalities at 10 mg/kg/week were considered related to </w:t>
      </w:r>
      <w:r w:rsidR="00113E1E">
        <w:t>PROJECT 16-1</w:t>
      </w:r>
    </w:p>
    <w:p w:rsidR="000B21A0" w:rsidRDefault="000B21A0">
      <w:pPr>
        <w:spacing w:line="274" w:lineRule="exact"/>
        <w:sectPr w:rsidR="000B21A0">
          <w:headerReference w:type="default" r:id="rId11"/>
          <w:footerReference w:type="default" r:id="rId12"/>
          <w:pgSz w:w="12240" w:h="15840"/>
          <w:pgMar w:top="1560" w:right="0" w:bottom="940" w:left="1380" w:header="578" w:footer="748" w:gutter="0"/>
          <w:pgNumType w:start="47"/>
          <w:cols w:space="720"/>
        </w:sectPr>
      </w:pPr>
    </w:p>
    <w:p w:rsidR="000B21A0" w:rsidRDefault="00672CAE">
      <w:pPr>
        <w:pStyle w:val="a3"/>
        <w:spacing w:before="143" w:line="261" w:lineRule="auto"/>
        <w:ind w:left="232" w:right="1651"/>
      </w:pPr>
      <w:r>
        <w:lastRenderedPageBreak/>
        <w:t xml:space="preserve">administration, and the remaining mortalities were considered procedure related. One of the early mortality animals was noted with generalized pale appearance and/or decreased activity starting on day 21, and was noted with 68 g body weight loss on day 28 (compared to day 21). On day 29, this animal had marked changes in hematology parameters that included decreases in indicators of erythrocyte mass, reticulocytes, erythrocytes indices, leukocytes, and platelets. There were mild changes in clinical chemistry parameters including increases in alanine </w:t>
      </w:r>
      <w:proofErr w:type="spellStart"/>
      <w:r>
        <w:t>aminotansferase</w:t>
      </w:r>
      <w:proofErr w:type="spellEnd"/>
      <w:r>
        <w:t xml:space="preserve"> (ALT), aspartate aminotransferase (AST), and moderate increases in blood urea nitrogen (BUN) and total bilirubin on day 29. In general, these changes correlated with histopathological observation of single cell necrosis of hepatocytes and decreased erythroid and myeloid cellularity of the bone marrow. The other early death occurred on day 30 in a TK animal from the high dose group (10 mg/kg). No clinical pathology data were available on this animal; however, it was noted to have lost 58 g of body weight.</w:t>
      </w:r>
    </w:p>
    <w:p w:rsidR="000B21A0" w:rsidRDefault="00113E1E">
      <w:pPr>
        <w:pStyle w:val="a3"/>
        <w:spacing w:before="110" w:line="261" w:lineRule="auto"/>
        <w:ind w:left="232" w:right="1696"/>
      </w:pPr>
      <w:r>
        <w:t>PROJECT 16-1</w:t>
      </w:r>
      <w:r w:rsidR="00672CAE">
        <w:t xml:space="preserve">-related clinical signs in animals surviving to scheduled necropsy at the 10 mg/kg/week dose level included pale skin, thin fur cover and skin lesions. Pale skin was first noted on day 21 and the last observed occurrence was on day 42. </w:t>
      </w:r>
      <w:r>
        <w:t>PROJECT 16-1</w:t>
      </w:r>
      <w:r w:rsidR="00672CAE">
        <w:t xml:space="preserve">-related decreases in body weight were observed in 10 mg/kg/week males starting from week 4 and continuing through week 7. The average food consumption was minimally lower in males at the 10 mg/kg/week dose level between weeks 3-4. </w:t>
      </w:r>
      <w:r>
        <w:t>PROJECT 16-1</w:t>
      </w:r>
      <w:r w:rsidR="00672CAE">
        <w:t>-related ocular findings included pale retina/choroid in a majority of the 10 mg/kg/week animals at week 4.</w:t>
      </w:r>
    </w:p>
    <w:p w:rsidR="000B21A0" w:rsidRDefault="00672CAE">
      <w:pPr>
        <w:pStyle w:val="a3"/>
        <w:spacing w:before="114" w:line="261" w:lineRule="auto"/>
        <w:ind w:left="232" w:right="1692"/>
      </w:pPr>
      <w:r>
        <w:t xml:space="preserve">Hematology changes at 10 mg/kg/week included decreases in indicators of erythrocyte mass, reticulocytes, erythrocytes indices, leukocytes, and platelets. In general, these changes correlated with histopathological observation of minimal to marked decreased erythroid and myeloid cellularity of the bone marrow on day 29. At 3 mg/kg/week there were minimal, non-adverse </w:t>
      </w:r>
      <w:r w:rsidR="00113E1E">
        <w:t>PROJECT 16-1</w:t>
      </w:r>
      <w:r>
        <w:t xml:space="preserve">-related decreases in erythrocyte mass. There </w:t>
      </w:r>
      <w:proofErr w:type="gramStart"/>
      <w:r>
        <w:t>were</w:t>
      </w:r>
      <w:proofErr w:type="gramEnd"/>
      <w:r>
        <w:t xml:space="preserve"> no test article- related changes in hematology parameters at 1 mg/kg/week.</w:t>
      </w:r>
    </w:p>
    <w:p w:rsidR="000B21A0" w:rsidRDefault="00672CAE">
      <w:pPr>
        <w:pStyle w:val="a3"/>
        <w:spacing w:before="115" w:line="261" w:lineRule="auto"/>
        <w:ind w:left="232" w:right="1597"/>
      </w:pPr>
      <w:r>
        <w:t xml:space="preserve">There were mild to moderate, </w:t>
      </w:r>
      <w:proofErr w:type="spellStart"/>
      <w:r>
        <w:t>nonadverse</w:t>
      </w:r>
      <w:proofErr w:type="spellEnd"/>
      <w:r>
        <w:t xml:space="preserve"> </w:t>
      </w:r>
      <w:r w:rsidR="00113E1E">
        <w:t>PROJECT 16-1</w:t>
      </w:r>
      <w:r>
        <w:t>-related changes in clinical chemistry parameters at 10 mg/kg/week including increases in ALT, AST, Alkaline phosphatase (ALP), and Gamma-</w:t>
      </w:r>
      <w:proofErr w:type="spellStart"/>
      <w:r>
        <w:t>Glutamyltransferase</w:t>
      </w:r>
      <w:proofErr w:type="spellEnd"/>
      <w:r>
        <w:t xml:space="preserve"> (GGT) on day 29 and in some animals following the 6- week recovery. BUN was also minimally increased on day 29. At 3 mg/kg/week, ALT and AST were increased during the 6-week recovery period in 2 females. There were no</w:t>
      </w:r>
    </w:p>
    <w:p w:rsidR="000B21A0" w:rsidRDefault="00113E1E">
      <w:pPr>
        <w:pStyle w:val="a3"/>
        <w:spacing w:line="272" w:lineRule="exact"/>
        <w:ind w:left="232"/>
      </w:pPr>
      <w:r>
        <w:t>PROJECT 16-1</w:t>
      </w:r>
      <w:r w:rsidR="00672CAE">
        <w:t>-related changes in clinical chemistry parameters at 1 mg/kg/week.</w:t>
      </w:r>
    </w:p>
    <w:p w:rsidR="000B21A0" w:rsidRDefault="00672CAE">
      <w:pPr>
        <w:pStyle w:val="a3"/>
        <w:spacing w:before="144" w:line="261" w:lineRule="auto"/>
        <w:ind w:left="232" w:right="1627"/>
      </w:pPr>
      <w:r>
        <w:t xml:space="preserve">Maximum serum </w:t>
      </w:r>
      <w:r w:rsidR="00113E1E">
        <w:t>PROJECT 16-1</w:t>
      </w:r>
      <w:r>
        <w:t xml:space="preserve"> concentration was generally attained instantaneously at the end of the IV injection and showed a bi-exponential decline thereafter. Serum </w:t>
      </w:r>
      <w:r w:rsidR="00113E1E">
        <w:t>PROJECT 16-1</w:t>
      </w:r>
      <w:r>
        <w:t xml:space="preserve"> concentrations were generally higher than the ADC concentrations. Dose linear toxicokinetics (TK) was observed at doses of 1, 3 and 10 mg/kg/week. The </w:t>
      </w:r>
      <w:proofErr w:type="spellStart"/>
      <w:r>
        <w:t>C</w:t>
      </w:r>
      <w:r>
        <w:rPr>
          <w:vertAlign w:val="subscript"/>
        </w:rPr>
        <w:t>max</w:t>
      </w:r>
      <w:proofErr w:type="spellEnd"/>
      <w:r>
        <w:t xml:space="preserve"> values for both ADC and </w:t>
      </w:r>
      <w:proofErr w:type="spellStart"/>
      <w:r>
        <w:t>TAb</w:t>
      </w:r>
      <w:proofErr w:type="spellEnd"/>
      <w:r>
        <w:t xml:space="preserve"> after the first and last dose suggested that there is accumulation (1.5 – 2 fold) of the test article when administered weekly and this is attributed to a long half-life (T½) of the drug (T½ for ADC after the last dose calculated as 9.35, 9.35 and 8.98 days for 1, 3 and 10 mg/kg dose groups, respectively and for </w:t>
      </w:r>
      <w:proofErr w:type="spellStart"/>
      <w:r>
        <w:t>TAb</w:t>
      </w:r>
      <w:proofErr w:type="spellEnd"/>
      <w:r>
        <w:t xml:space="preserve"> calculated as 12.7, 12.8 and 12.1 days for 1, 3 and 10 mg/kg dose groups, respectively). Maximum MMAE</w:t>
      </w:r>
      <w:r>
        <w:rPr>
          <w:spacing w:val="-8"/>
        </w:rPr>
        <w:t xml:space="preserve"> </w:t>
      </w:r>
      <w:r>
        <w:t>metabolite</w:t>
      </w:r>
    </w:p>
    <w:p w:rsidR="000B21A0" w:rsidRDefault="000B21A0">
      <w:pPr>
        <w:spacing w:line="261" w:lineRule="auto"/>
        <w:sectPr w:rsidR="000B21A0">
          <w:pgSz w:w="12240" w:h="15840"/>
          <w:pgMar w:top="1560" w:right="0" w:bottom="940" w:left="1380" w:header="578" w:footer="748" w:gutter="0"/>
          <w:cols w:space="720"/>
        </w:sectPr>
      </w:pPr>
    </w:p>
    <w:p w:rsidR="000B21A0" w:rsidRDefault="00672CAE">
      <w:pPr>
        <w:pStyle w:val="a3"/>
        <w:spacing w:before="143" w:line="254" w:lineRule="auto"/>
        <w:ind w:left="232" w:right="1644"/>
      </w:pPr>
      <w:r>
        <w:lastRenderedPageBreak/>
        <w:t>concentrations (</w:t>
      </w:r>
      <w:proofErr w:type="spellStart"/>
      <w:r>
        <w:t>C</w:t>
      </w:r>
      <w:r>
        <w:rPr>
          <w:vertAlign w:val="subscript"/>
        </w:rPr>
        <w:t>max</w:t>
      </w:r>
      <w:proofErr w:type="spellEnd"/>
      <w:r>
        <w:t>) were attained at 24 hours post-</w:t>
      </w:r>
      <w:r w:rsidR="00113E1E">
        <w:t>PROJECT 16-1</w:t>
      </w:r>
      <w:r>
        <w:t xml:space="preserve"> dose injection. The elimination half-life (T½ </w:t>
      </w:r>
      <w:r>
        <w:rPr>
          <w:rFonts w:ascii="Symbol" w:hAnsi="Symbol"/>
        </w:rPr>
        <w:t></w:t>
      </w:r>
      <w:r>
        <w:t>z) after the last dose was calculated as 2.96, 6.55 and 7.25 days at 1, 3 and 10 mg/kg dose levels, respectively. Blood samples for monitoring immunogenicity were collected from Groups 1 to 5 and the overall incidences of seroconversion were 0%, 0%, 0%,</w:t>
      </w:r>
    </w:p>
    <w:p w:rsidR="000B21A0" w:rsidRDefault="00672CAE">
      <w:pPr>
        <w:pStyle w:val="a3"/>
        <w:spacing w:before="11"/>
        <w:ind w:left="232"/>
      </w:pPr>
      <w:r>
        <w:t>0%, and 3.33% for Dose Groups 1, 2, 3, 4 and 5 respectively.</w:t>
      </w:r>
    </w:p>
    <w:p w:rsidR="000B21A0" w:rsidRDefault="00672CAE">
      <w:pPr>
        <w:pStyle w:val="a3"/>
        <w:spacing w:before="144" w:line="261" w:lineRule="auto"/>
        <w:ind w:left="232" w:right="1618"/>
      </w:pPr>
      <w:r>
        <w:t xml:space="preserve">At the end of the dosing phase (day 29), </w:t>
      </w:r>
      <w:r w:rsidR="00113E1E">
        <w:t>PROJECT 16-1</w:t>
      </w:r>
      <w:r>
        <w:t xml:space="preserve">-related organ weight changes were observed at 3 and 10 mg/kg/week. At the 3 and 10 mg/kg/week dose levels, thymus and testis weights (absolute and relative) were decreased, while at 10 mg/kg/week organ weight changes (absolute and relative) consisted of increased lung weights and decreased epididymis and prostate gland weights. Macroscopic findings present at 3 and 10 mg/kg/week at the end of the dosing phase (day 29) included small testes and reduced size of the </w:t>
      </w:r>
      <w:proofErr w:type="spellStart"/>
      <w:r>
        <w:t>epididymides</w:t>
      </w:r>
      <w:proofErr w:type="spellEnd"/>
      <w:r>
        <w:t xml:space="preserve"> and seminal vesicles. At 10 mg/kg, several l tissues (bone marrow, brain, pituitary gland, prostate gland, thyroid gland, kidneys, liver, lung, pancreas, and uterus) were noted to have pale discoloration which correlated with decreased Red blood cell (RBC) clinical pathology indices.</w:t>
      </w:r>
    </w:p>
    <w:p w:rsidR="000B21A0" w:rsidRDefault="00113E1E">
      <w:pPr>
        <w:pStyle w:val="a3"/>
        <w:spacing w:before="112" w:line="261" w:lineRule="auto"/>
        <w:ind w:left="232" w:right="1683"/>
      </w:pPr>
      <w:r>
        <w:t>PROJECT 16-1</w:t>
      </w:r>
      <w:r w:rsidR="00672CAE">
        <w:t xml:space="preserve">-related microscopic findings were present in males at all dose levels and in males and females at 3 and 10 mg/kg/week. At 1, 3 and 10 mg/kg/week, minimal to severe degeneration of the seminiferous tubules were noted in the testes. At 3 and 10 mg/kg/week, test article-related findings included: mild to marked cellular debris within the </w:t>
      </w:r>
      <w:proofErr w:type="spellStart"/>
      <w:r w:rsidR="00672CAE">
        <w:t>epididymides</w:t>
      </w:r>
      <w:proofErr w:type="spellEnd"/>
      <w:r w:rsidR="00672CAE">
        <w:t xml:space="preserve">; minimal to moderate single cell necrosis of centrilobular hepatocytes of the liver; minimal to moderate type 2 pneumocyte hyperplasia and increased numbers of alveolar macrophages within the lung; and minimal to severe </w:t>
      </w:r>
      <w:proofErr w:type="spellStart"/>
      <w:r w:rsidR="00672CAE">
        <w:t>hypospermatogenesis</w:t>
      </w:r>
      <w:proofErr w:type="spellEnd"/>
      <w:r w:rsidR="00672CAE">
        <w:t xml:space="preserve"> within the testes. At</w:t>
      </w:r>
    </w:p>
    <w:p w:rsidR="000B21A0" w:rsidRDefault="00672CAE">
      <w:pPr>
        <w:pStyle w:val="a3"/>
        <w:spacing w:line="261" w:lineRule="auto"/>
        <w:ind w:left="232" w:right="1696"/>
      </w:pPr>
      <w:r>
        <w:t xml:space="preserve">10 mg/kg/week, </w:t>
      </w:r>
      <w:r w:rsidR="00113E1E">
        <w:t>PROJECT 16-1</w:t>
      </w:r>
      <w:r>
        <w:t>-related findings were: minimal to marked decreased erythroid and myeloid cellularity of the bone marrow; minimal to moderate decreased lymphocyte cellularity within the lymph nodes and Gut associated lymphoid tissue (GALT); marked thymic lymphoid depletion; minimal to mild decreased cellularity within the red pulp of the spleen; and marked atrophy of the seminiferous tubules of the testes.</w:t>
      </w:r>
    </w:p>
    <w:p w:rsidR="000B21A0" w:rsidRDefault="00672CAE">
      <w:pPr>
        <w:pStyle w:val="a3"/>
        <w:spacing w:before="110" w:line="261" w:lineRule="auto"/>
        <w:ind w:left="232" w:right="1651"/>
      </w:pPr>
      <w:r>
        <w:t>At the end of the recovery period (day 64), epididymis and testes weights were decreased in males which was consistent with macroscopic evidence of small, soft testes at 1 and 3</w:t>
      </w:r>
      <w:r>
        <w:rPr>
          <w:spacing w:val="-24"/>
        </w:rPr>
        <w:t xml:space="preserve"> </w:t>
      </w:r>
      <w:r>
        <w:t xml:space="preserve">mg/kg, and reduced size of the </w:t>
      </w:r>
      <w:proofErr w:type="spellStart"/>
      <w:r>
        <w:t>epididymides</w:t>
      </w:r>
      <w:proofErr w:type="spellEnd"/>
      <w:r>
        <w:t xml:space="preserve"> at 3 mg/kg/week. </w:t>
      </w:r>
      <w:r w:rsidR="00113E1E">
        <w:t>PROJECT 16-1</w:t>
      </w:r>
      <w:r>
        <w:t xml:space="preserve">-related microscopic findings at the end of the recovery period (day 64) included: minimal to moderate cellular debris within the </w:t>
      </w:r>
      <w:proofErr w:type="spellStart"/>
      <w:r>
        <w:t>epididymides</w:t>
      </w:r>
      <w:proofErr w:type="spellEnd"/>
      <w:r>
        <w:t xml:space="preserve">, minimal to severe degeneration of the seminiferous tubules of the testes, and minimal to severe </w:t>
      </w:r>
      <w:proofErr w:type="spellStart"/>
      <w:r>
        <w:t>hypospermatogenesis</w:t>
      </w:r>
      <w:proofErr w:type="spellEnd"/>
      <w:r>
        <w:t xml:space="preserve"> at all doses; marked atrophy of the seminiferous tubules at 3 and 10 mg/kg/week; minimal to mild alveolar macrophage aggregation within the lung of females at 10 mg/kg/week; and minimal single cell necrosis of centrilobular hepatocytes in the liver of 1 male at 10</w:t>
      </w:r>
      <w:r>
        <w:rPr>
          <w:spacing w:val="-5"/>
        </w:rPr>
        <w:t xml:space="preserve"> </w:t>
      </w:r>
      <w:r>
        <w:t>mg/kg/week.</w:t>
      </w:r>
    </w:p>
    <w:p w:rsidR="000B21A0" w:rsidRDefault="00672CAE">
      <w:pPr>
        <w:pStyle w:val="2"/>
        <w:numPr>
          <w:ilvl w:val="4"/>
          <w:numId w:val="14"/>
        </w:numPr>
        <w:tabs>
          <w:tab w:val="left" w:pos="1365"/>
          <w:tab w:val="left" w:pos="1366"/>
        </w:tabs>
        <w:spacing w:before="118"/>
      </w:pPr>
      <w:bookmarkStart w:id="17" w:name="4.4.2.1.4_Conclusion"/>
      <w:bookmarkEnd w:id="17"/>
      <w:r>
        <w:t>Conclusion</w:t>
      </w:r>
    </w:p>
    <w:p w:rsidR="000B21A0" w:rsidRDefault="00672CAE">
      <w:pPr>
        <w:pStyle w:val="a3"/>
        <w:spacing w:before="139" w:line="261" w:lineRule="auto"/>
        <w:ind w:left="232" w:right="1642"/>
      </w:pPr>
      <w:r>
        <w:t xml:space="preserve">Based on the bone marrow hypocellularity and hematology changes at 10 mg/kg/week, the NOAEL for females is considered to be 3 mg/kg/week. Although in males, a NOAEL could not be strictly determined due to histopathology findings of the testis and </w:t>
      </w:r>
      <w:proofErr w:type="spellStart"/>
      <w:r>
        <w:t>epididymides</w:t>
      </w:r>
      <w:proofErr w:type="spellEnd"/>
      <w:r>
        <w:t xml:space="preserve"> noted at all doses at the terminal and recovery necropsies, these findings are not unexpected given</w:t>
      </w:r>
    </w:p>
    <w:p w:rsidR="000B21A0" w:rsidRDefault="000B21A0">
      <w:pPr>
        <w:spacing w:line="261" w:lineRule="auto"/>
        <w:sectPr w:rsidR="000B21A0">
          <w:pgSz w:w="12240" w:h="15840"/>
          <w:pgMar w:top="1560" w:right="0" w:bottom="940" w:left="1380" w:header="578" w:footer="748" w:gutter="0"/>
          <w:cols w:space="720"/>
        </w:sectPr>
      </w:pPr>
    </w:p>
    <w:p w:rsidR="000B21A0" w:rsidRDefault="00672CAE">
      <w:pPr>
        <w:pStyle w:val="a3"/>
        <w:spacing w:before="143" w:line="261" w:lineRule="auto"/>
        <w:ind w:left="232" w:right="1696"/>
      </w:pPr>
      <w:r>
        <w:lastRenderedPageBreak/>
        <w:t>the mechanism of action of MMAE which is a microtubule disrupting agent. The bone marrow and testis lesions are consistent with the cytotoxicity associated with the free drug (MMAE) that typically targets rapidly dividing cells and has been previously observed with other MMAE-related antibody conjugates.</w:t>
      </w:r>
    </w:p>
    <w:p w:rsidR="000B21A0" w:rsidRDefault="00672CAE">
      <w:pPr>
        <w:pStyle w:val="2"/>
        <w:numPr>
          <w:ilvl w:val="3"/>
          <w:numId w:val="13"/>
        </w:numPr>
        <w:tabs>
          <w:tab w:val="left" w:pos="1085"/>
        </w:tabs>
      </w:pPr>
      <w:bookmarkStart w:id="18" w:name="4.4.2.2_An_Exploratory_Toxicity_Study_of"/>
      <w:bookmarkEnd w:id="18"/>
      <w:r>
        <w:t xml:space="preserve">An Exploratory Toxicity Study of </w:t>
      </w:r>
      <w:r w:rsidR="00113E1E">
        <w:t>PROJECT 16-1</w:t>
      </w:r>
      <w:r>
        <w:t xml:space="preserve"> in Cynomolgus</w:t>
      </w:r>
      <w:r>
        <w:rPr>
          <w:spacing w:val="-4"/>
        </w:rPr>
        <w:t xml:space="preserve"> </w:t>
      </w:r>
      <w:r>
        <w:t>Monkeys</w:t>
      </w:r>
    </w:p>
    <w:p w:rsidR="000B21A0" w:rsidRDefault="00672CAE">
      <w:pPr>
        <w:pStyle w:val="a3"/>
        <w:spacing w:before="139" w:line="261" w:lineRule="auto"/>
        <w:ind w:left="232" w:right="2055"/>
      </w:pPr>
      <w:r>
        <w:t xml:space="preserve">An Exploratory Toxicity Study of </w:t>
      </w:r>
      <w:r w:rsidR="00113E1E">
        <w:t>PROJECT 16-1</w:t>
      </w:r>
      <w:r>
        <w:t xml:space="preserve"> Administered by IV Infusion to Cynomolgus Monkeys (Charles River Study No. 20035122)</w:t>
      </w:r>
    </w:p>
    <w:p w:rsidR="000B21A0" w:rsidRDefault="00672CAE">
      <w:pPr>
        <w:pStyle w:val="2"/>
        <w:numPr>
          <w:ilvl w:val="4"/>
          <w:numId w:val="13"/>
        </w:numPr>
        <w:tabs>
          <w:tab w:val="left" w:pos="1365"/>
          <w:tab w:val="left" w:pos="1366"/>
        </w:tabs>
        <w:spacing w:before="123"/>
      </w:pPr>
      <w:bookmarkStart w:id="19" w:name="4.4.2.2.1_Objective"/>
      <w:bookmarkEnd w:id="19"/>
      <w:r>
        <w:t>Objective</w:t>
      </w:r>
    </w:p>
    <w:p w:rsidR="000B21A0" w:rsidRDefault="00672CAE">
      <w:pPr>
        <w:pStyle w:val="a3"/>
        <w:spacing w:before="139" w:line="261" w:lineRule="auto"/>
        <w:ind w:left="232" w:right="1697"/>
      </w:pPr>
      <w:r>
        <w:t xml:space="preserve">The objectives of this exploratory (non-GLP) study were to evaluate the toxicity, TK profile, and pharmacodynamics of </w:t>
      </w:r>
      <w:r w:rsidR="00113E1E">
        <w:t>PROJECT 16-1</w:t>
      </w:r>
      <w:r>
        <w:t xml:space="preserve"> when administered via IV injection to cynomolgus monkeys.</w:t>
      </w:r>
    </w:p>
    <w:p w:rsidR="000B21A0" w:rsidRDefault="00672CAE">
      <w:pPr>
        <w:pStyle w:val="2"/>
        <w:numPr>
          <w:ilvl w:val="4"/>
          <w:numId w:val="13"/>
        </w:numPr>
        <w:tabs>
          <w:tab w:val="left" w:pos="1365"/>
          <w:tab w:val="left" w:pos="1366"/>
        </w:tabs>
        <w:spacing w:before="123"/>
      </w:pPr>
      <w:bookmarkStart w:id="20" w:name="4.4.2.2.2_Methods"/>
      <w:bookmarkEnd w:id="20"/>
      <w:r>
        <w:t>Methods</w:t>
      </w:r>
    </w:p>
    <w:p w:rsidR="000B21A0" w:rsidRDefault="00672CAE">
      <w:pPr>
        <w:pStyle w:val="a3"/>
        <w:spacing w:before="139" w:line="261" w:lineRule="auto"/>
        <w:ind w:left="232" w:right="1936"/>
      </w:pPr>
      <w:r>
        <w:t xml:space="preserve">The study was conducted in 2 parts. Phase I was designed to determine the single dose PK and pharmacodynamics of </w:t>
      </w:r>
      <w:r w:rsidR="00113E1E">
        <w:t>PROJECT 16-1</w:t>
      </w:r>
      <w:r>
        <w:t xml:space="preserve"> and to evaluate single and multiple dose toxicity.</w:t>
      </w:r>
    </w:p>
    <w:p w:rsidR="000B21A0" w:rsidRDefault="00672CAE">
      <w:pPr>
        <w:pStyle w:val="a3"/>
        <w:spacing w:line="261" w:lineRule="auto"/>
        <w:ind w:left="232" w:right="1476"/>
      </w:pPr>
      <w:r>
        <w:t xml:space="preserve">Additional animals were added to the study for Phase II to evaluate lower doses and dose regimens based on findings from Phase I. The study design is </w:t>
      </w:r>
      <w:proofErr w:type="gramStart"/>
      <w:r>
        <w:t>summarize</w:t>
      </w:r>
      <w:proofErr w:type="gramEnd"/>
      <w:r w:rsidR="0036140F">
        <w:fldChar w:fldCharType="begin"/>
      </w:r>
      <w:r w:rsidR="0036140F">
        <w:instrText xml:space="preserve"> HYPERLINK \l "_bookmark79" </w:instrText>
      </w:r>
      <w:r w:rsidR="0036140F">
        <w:fldChar w:fldCharType="separate"/>
      </w:r>
      <w:r>
        <w:t>d in Table 13</w:t>
      </w:r>
      <w:r w:rsidR="0036140F">
        <w:fldChar w:fldCharType="end"/>
      </w:r>
      <w:r>
        <w:t xml:space="preserve"> below.</w:t>
      </w:r>
    </w:p>
    <w:p w:rsidR="000B21A0" w:rsidRDefault="00672CAE">
      <w:pPr>
        <w:pStyle w:val="2"/>
        <w:tabs>
          <w:tab w:val="left" w:pos="1651"/>
        </w:tabs>
        <w:spacing w:before="95"/>
        <w:ind w:left="232" w:firstLine="0"/>
      </w:pPr>
      <w:bookmarkStart w:id="21" w:name="_bookmark79"/>
      <w:bookmarkEnd w:id="21"/>
      <w:r>
        <w:t>Table</w:t>
      </w:r>
      <w:r>
        <w:rPr>
          <w:spacing w:val="-2"/>
        </w:rPr>
        <w:t xml:space="preserve"> </w:t>
      </w:r>
      <w:r>
        <w:t>13.</w:t>
      </w:r>
      <w:r>
        <w:tab/>
        <w:t>Experimental Design of Study</w:t>
      </w:r>
      <w:r>
        <w:rPr>
          <w:spacing w:val="2"/>
        </w:rPr>
        <w:t xml:space="preserve"> </w:t>
      </w:r>
      <w:r>
        <w:t>20035122</w:t>
      </w:r>
    </w:p>
    <w:p w:rsidR="000B21A0" w:rsidRDefault="000B21A0">
      <w:pPr>
        <w:pStyle w:val="a3"/>
        <w:spacing w:before="6"/>
        <w:rPr>
          <w:b/>
          <w:sz w:val="5"/>
        </w:rPr>
      </w:pPr>
    </w:p>
    <w:tbl>
      <w:tblPr>
        <w:tblStyle w:val="TableNormal"/>
        <w:tblW w:w="0" w:type="auto"/>
        <w:tblInd w:w="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17"/>
        <w:gridCol w:w="1433"/>
        <w:gridCol w:w="1404"/>
        <w:gridCol w:w="1366"/>
        <w:gridCol w:w="912"/>
        <w:gridCol w:w="1054"/>
        <w:gridCol w:w="900"/>
        <w:gridCol w:w="1138"/>
      </w:tblGrid>
      <w:tr w:rsidR="000B21A0">
        <w:trPr>
          <w:trHeight w:val="1000"/>
        </w:trPr>
        <w:tc>
          <w:tcPr>
            <w:tcW w:w="917" w:type="dxa"/>
            <w:shd w:val="clear" w:color="auto" w:fill="C6D9F1"/>
          </w:tcPr>
          <w:p w:rsidR="000B21A0" w:rsidRDefault="000B21A0">
            <w:pPr>
              <w:pStyle w:val="TableParagraph"/>
              <w:spacing w:before="4"/>
              <w:ind w:left="0"/>
              <w:rPr>
                <w:b/>
                <w:sz w:val="32"/>
              </w:rPr>
            </w:pPr>
          </w:p>
          <w:p w:rsidR="000B21A0" w:rsidRDefault="00672CAE">
            <w:pPr>
              <w:pStyle w:val="TableParagraph"/>
              <w:spacing w:before="1"/>
              <w:ind w:left="126" w:right="117"/>
              <w:jc w:val="center"/>
              <w:rPr>
                <w:b/>
              </w:rPr>
            </w:pPr>
            <w:r>
              <w:rPr>
                <w:b/>
              </w:rPr>
              <w:t>Group</w:t>
            </w:r>
          </w:p>
        </w:tc>
        <w:tc>
          <w:tcPr>
            <w:tcW w:w="1433" w:type="dxa"/>
            <w:shd w:val="clear" w:color="auto" w:fill="C6D9F1"/>
          </w:tcPr>
          <w:p w:rsidR="000B21A0" w:rsidRDefault="00672CAE">
            <w:pPr>
              <w:pStyle w:val="TableParagraph"/>
              <w:spacing w:before="118"/>
              <w:ind w:left="93" w:right="85" w:firstLine="5"/>
              <w:jc w:val="center"/>
              <w:rPr>
                <w:b/>
              </w:rPr>
            </w:pPr>
            <w:r>
              <w:rPr>
                <w:b/>
              </w:rPr>
              <w:t>No. of Males (Main Study/ Recovery)</w:t>
            </w:r>
          </w:p>
        </w:tc>
        <w:tc>
          <w:tcPr>
            <w:tcW w:w="1404" w:type="dxa"/>
            <w:shd w:val="clear" w:color="auto" w:fill="C6D9F1"/>
          </w:tcPr>
          <w:p w:rsidR="000B21A0" w:rsidRDefault="000B21A0">
            <w:pPr>
              <w:pStyle w:val="TableParagraph"/>
              <w:spacing w:before="4"/>
              <w:ind w:left="0"/>
              <w:rPr>
                <w:b/>
                <w:sz w:val="32"/>
              </w:rPr>
            </w:pPr>
          </w:p>
          <w:p w:rsidR="000B21A0" w:rsidRDefault="00672CAE">
            <w:pPr>
              <w:pStyle w:val="TableParagraph"/>
              <w:spacing w:before="1"/>
              <w:ind w:left="129" w:right="119"/>
              <w:jc w:val="center"/>
              <w:rPr>
                <w:b/>
              </w:rPr>
            </w:pPr>
            <w:r>
              <w:rPr>
                <w:b/>
              </w:rPr>
              <w:t>Test Article</w:t>
            </w:r>
          </w:p>
        </w:tc>
        <w:tc>
          <w:tcPr>
            <w:tcW w:w="1366" w:type="dxa"/>
            <w:shd w:val="clear" w:color="auto" w:fill="C6D9F1"/>
          </w:tcPr>
          <w:p w:rsidR="000B21A0" w:rsidRDefault="00672CAE">
            <w:pPr>
              <w:pStyle w:val="TableParagraph"/>
              <w:spacing w:before="118"/>
              <w:ind w:left="121" w:right="112"/>
              <w:jc w:val="center"/>
              <w:rPr>
                <w:b/>
              </w:rPr>
            </w:pPr>
            <w:r>
              <w:rPr>
                <w:b/>
              </w:rPr>
              <w:t>Dose (mg/kg; actual dose)</w:t>
            </w:r>
          </w:p>
        </w:tc>
        <w:tc>
          <w:tcPr>
            <w:tcW w:w="912" w:type="dxa"/>
            <w:shd w:val="clear" w:color="auto" w:fill="C6D9F1"/>
          </w:tcPr>
          <w:p w:rsidR="000B21A0" w:rsidRDefault="00672CAE">
            <w:pPr>
              <w:pStyle w:val="TableParagraph"/>
              <w:spacing w:before="118"/>
              <w:ind w:left="71" w:right="41" w:firstLine="158"/>
              <w:rPr>
                <w:b/>
              </w:rPr>
            </w:pPr>
            <w:r>
              <w:rPr>
                <w:b/>
              </w:rPr>
              <w:t>Dose Volume (mL/kg)</w:t>
            </w:r>
          </w:p>
        </w:tc>
        <w:tc>
          <w:tcPr>
            <w:tcW w:w="1054" w:type="dxa"/>
            <w:shd w:val="clear" w:color="auto" w:fill="C6D9F1"/>
          </w:tcPr>
          <w:p w:rsidR="000B21A0" w:rsidRDefault="000B21A0">
            <w:pPr>
              <w:pStyle w:val="TableParagraph"/>
              <w:spacing w:before="4"/>
              <w:ind w:left="0"/>
              <w:rPr>
                <w:b/>
                <w:sz w:val="21"/>
              </w:rPr>
            </w:pPr>
          </w:p>
          <w:p w:rsidR="000B21A0" w:rsidRDefault="00672CAE">
            <w:pPr>
              <w:pStyle w:val="TableParagraph"/>
              <w:ind w:left="111" w:right="82" w:firstLine="144"/>
              <w:rPr>
                <w:b/>
              </w:rPr>
            </w:pPr>
            <w:r>
              <w:rPr>
                <w:b/>
              </w:rPr>
              <w:t>Conc. (mg/mL)</w:t>
            </w:r>
          </w:p>
        </w:tc>
        <w:tc>
          <w:tcPr>
            <w:tcW w:w="900" w:type="dxa"/>
            <w:shd w:val="clear" w:color="auto" w:fill="C6D9F1"/>
          </w:tcPr>
          <w:p w:rsidR="000B21A0" w:rsidRDefault="000B21A0">
            <w:pPr>
              <w:pStyle w:val="TableParagraph"/>
              <w:spacing w:before="4"/>
              <w:ind w:left="0"/>
              <w:rPr>
                <w:b/>
                <w:sz w:val="32"/>
              </w:rPr>
            </w:pPr>
          </w:p>
          <w:p w:rsidR="000B21A0" w:rsidRDefault="00672CAE">
            <w:pPr>
              <w:pStyle w:val="TableParagraph"/>
              <w:spacing w:before="1"/>
              <w:ind w:left="146" w:right="140"/>
              <w:jc w:val="center"/>
              <w:rPr>
                <w:b/>
              </w:rPr>
            </w:pPr>
            <w:r>
              <w:rPr>
                <w:b/>
              </w:rPr>
              <w:t>Route</w:t>
            </w:r>
          </w:p>
        </w:tc>
        <w:tc>
          <w:tcPr>
            <w:tcW w:w="1138" w:type="dxa"/>
            <w:shd w:val="clear" w:color="auto" w:fill="C6D9F1"/>
          </w:tcPr>
          <w:p w:rsidR="000B21A0" w:rsidRDefault="00672CAE">
            <w:pPr>
              <w:pStyle w:val="TableParagraph"/>
              <w:spacing w:before="118"/>
              <w:ind w:left="125" w:right="116"/>
              <w:jc w:val="center"/>
              <w:rPr>
                <w:b/>
              </w:rPr>
            </w:pPr>
            <w:r>
              <w:rPr>
                <w:b/>
              </w:rPr>
              <w:t>Necropsy (No. of Males)</w:t>
            </w:r>
            <w:r>
              <w:rPr>
                <w:b/>
                <w:vertAlign w:val="superscript"/>
              </w:rPr>
              <w:t>a</w:t>
            </w:r>
          </w:p>
        </w:tc>
      </w:tr>
      <w:tr w:rsidR="000B21A0">
        <w:trPr>
          <w:trHeight w:val="287"/>
        </w:trPr>
        <w:tc>
          <w:tcPr>
            <w:tcW w:w="9124" w:type="dxa"/>
            <w:gridSpan w:val="8"/>
            <w:shd w:val="clear" w:color="auto" w:fill="DADADA"/>
          </w:tcPr>
          <w:p w:rsidR="000B21A0" w:rsidRDefault="00672CAE">
            <w:pPr>
              <w:pStyle w:val="TableParagraph"/>
              <w:spacing w:before="32" w:line="236" w:lineRule="exact"/>
              <w:ind w:left="4152" w:right="4140"/>
              <w:jc w:val="center"/>
              <w:rPr>
                <w:b/>
              </w:rPr>
            </w:pPr>
            <w:r>
              <w:rPr>
                <w:b/>
              </w:rPr>
              <w:t>Phase I</w:t>
            </w:r>
          </w:p>
        </w:tc>
      </w:tr>
      <w:tr w:rsidR="000B21A0">
        <w:trPr>
          <w:trHeight w:val="287"/>
        </w:trPr>
        <w:tc>
          <w:tcPr>
            <w:tcW w:w="917" w:type="dxa"/>
          </w:tcPr>
          <w:p w:rsidR="000B21A0" w:rsidRDefault="00672CAE">
            <w:pPr>
              <w:pStyle w:val="TableParagraph"/>
              <w:spacing w:before="10"/>
              <w:ind w:left="9"/>
              <w:jc w:val="center"/>
            </w:pPr>
            <w:r>
              <w:t>1</w:t>
            </w:r>
          </w:p>
        </w:tc>
        <w:tc>
          <w:tcPr>
            <w:tcW w:w="1433" w:type="dxa"/>
          </w:tcPr>
          <w:p w:rsidR="000B21A0" w:rsidRDefault="00672CAE">
            <w:pPr>
              <w:pStyle w:val="TableParagraph"/>
              <w:spacing w:before="10"/>
              <w:ind w:left="556" w:right="545"/>
              <w:jc w:val="center"/>
            </w:pPr>
            <w:r>
              <w:t>3/0</w:t>
            </w:r>
          </w:p>
        </w:tc>
        <w:tc>
          <w:tcPr>
            <w:tcW w:w="1404" w:type="dxa"/>
          </w:tcPr>
          <w:p w:rsidR="000B21A0" w:rsidRDefault="00113E1E">
            <w:pPr>
              <w:pStyle w:val="TableParagraph"/>
              <w:spacing w:before="10"/>
              <w:ind w:left="128" w:right="119"/>
              <w:jc w:val="center"/>
            </w:pPr>
            <w:r>
              <w:t>PROJECT 16-1</w:t>
            </w:r>
          </w:p>
        </w:tc>
        <w:tc>
          <w:tcPr>
            <w:tcW w:w="1366" w:type="dxa"/>
          </w:tcPr>
          <w:p w:rsidR="000B21A0" w:rsidRDefault="00672CAE">
            <w:pPr>
              <w:pStyle w:val="TableParagraph"/>
              <w:spacing w:before="10"/>
              <w:ind w:left="119" w:right="112"/>
              <w:jc w:val="center"/>
            </w:pPr>
            <w:r>
              <w:t>1</w:t>
            </w:r>
            <w:r>
              <w:rPr>
                <w:vertAlign w:val="superscript"/>
              </w:rPr>
              <w:t>d</w:t>
            </w:r>
            <w:r>
              <w:t xml:space="preserve"> (0.8)</w:t>
            </w:r>
          </w:p>
        </w:tc>
        <w:tc>
          <w:tcPr>
            <w:tcW w:w="912" w:type="dxa"/>
          </w:tcPr>
          <w:p w:rsidR="000B21A0" w:rsidRDefault="00672CAE">
            <w:pPr>
              <w:pStyle w:val="TableParagraph"/>
              <w:spacing w:before="10"/>
              <w:ind w:left="8"/>
              <w:jc w:val="center"/>
            </w:pPr>
            <w:r>
              <w:t>5</w:t>
            </w:r>
          </w:p>
        </w:tc>
        <w:tc>
          <w:tcPr>
            <w:tcW w:w="1054" w:type="dxa"/>
          </w:tcPr>
          <w:p w:rsidR="000B21A0" w:rsidRDefault="00672CAE">
            <w:pPr>
              <w:pStyle w:val="TableParagraph"/>
              <w:spacing w:before="10"/>
              <w:ind w:left="390"/>
            </w:pPr>
            <w:r>
              <w:t>0.2</w:t>
            </w:r>
          </w:p>
        </w:tc>
        <w:tc>
          <w:tcPr>
            <w:tcW w:w="900" w:type="dxa"/>
          </w:tcPr>
          <w:p w:rsidR="000B21A0" w:rsidRDefault="00672CAE">
            <w:pPr>
              <w:pStyle w:val="TableParagraph"/>
              <w:spacing w:before="10"/>
              <w:ind w:left="140" w:right="140"/>
              <w:jc w:val="center"/>
            </w:pPr>
            <w:r>
              <w:t>IV</w:t>
            </w:r>
          </w:p>
        </w:tc>
        <w:tc>
          <w:tcPr>
            <w:tcW w:w="1138" w:type="dxa"/>
          </w:tcPr>
          <w:p w:rsidR="000B21A0" w:rsidRDefault="00672CAE">
            <w:pPr>
              <w:pStyle w:val="TableParagraph"/>
              <w:spacing w:before="30" w:line="134" w:lineRule="auto"/>
              <w:ind w:left="464"/>
              <w:rPr>
                <w:sz w:val="14"/>
              </w:rPr>
            </w:pPr>
            <w:r>
              <w:rPr>
                <w:position w:val="-9"/>
              </w:rPr>
              <w:t xml:space="preserve">3 </w:t>
            </w:r>
            <w:r>
              <w:rPr>
                <w:sz w:val="14"/>
              </w:rPr>
              <w:t>a</w:t>
            </w:r>
          </w:p>
        </w:tc>
      </w:tr>
      <w:tr w:rsidR="000B21A0">
        <w:trPr>
          <w:trHeight w:val="287"/>
        </w:trPr>
        <w:tc>
          <w:tcPr>
            <w:tcW w:w="917" w:type="dxa"/>
          </w:tcPr>
          <w:p w:rsidR="000B21A0" w:rsidRDefault="00672CAE">
            <w:pPr>
              <w:pStyle w:val="TableParagraph"/>
              <w:spacing w:before="13"/>
              <w:ind w:left="9"/>
              <w:jc w:val="center"/>
            </w:pPr>
            <w:r>
              <w:t>2</w:t>
            </w:r>
          </w:p>
        </w:tc>
        <w:tc>
          <w:tcPr>
            <w:tcW w:w="1433" w:type="dxa"/>
          </w:tcPr>
          <w:p w:rsidR="000B21A0" w:rsidRDefault="00672CAE">
            <w:pPr>
              <w:pStyle w:val="TableParagraph"/>
              <w:spacing w:before="13"/>
              <w:ind w:left="556" w:right="545"/>
              <w:jc w:val="center"/>
            </w:pPr>
            <w:r>
              <w:t>3/0</w:t>
            </w:r>
          </w:p>
        </w:tc>
        <w:tc>
          <w:tcPr>
            <w:tcW w:w="1404" w:type="dxa"/>
          </w:tcPr>
          <w:p w:rsidR="000B21A0" w:rsidRDefault="00113E1E">
            <w:pPr>
              <w:pStyle w:val="TableParagraph"/>
              <w:spacing w:before="13"/>
              <w:ind w:left="128" w:right="119"/>
              <w:jc w:val="center"/>
            </w:pPr>
            <w:r>
              <w:t>PROJECT 16-1</w:t>
            </w:r>
          </w:p>
        </w:tc>
        <w:tc>
          <w:tcPr>
            <w:tcW w:w="1366" w:type="dxa"/>
          </w:tcPr>
          <w:p w:rsidR="000B21A0" w:rsidRDefault="00672CAE">
            <w:pPr>
              <w:pStyle w:val="TableParagraph"/>
              <w:spacing w:before="13"/>
              <w:ind w:left="121" w:right="112"/>
              <w:jc w:val="center"/>
            </w:pPr>
            <w:r>
              <w:t>3</w:t>
            </w:r>
            <w:r>
              <w:rPr>
                <w:vertAlign w:val="superscript"/>
              </w:rPr>
              <w:t>d</w:t>
            </w:r>
            <w:r>
              <w:t xml:space="preserve"> (2.4)</w:t>
            </w:r>
          </w:p>
        </w:tc>
        <w:tc>
          <w:tcPr>
            <w:tcW w:w="912" w:type="dxa"/>
          </w:tcPr>
          <w:p w:rsidR="000B21A0" w:rsidRDefault="00672CAE">
            <w:pPr>
              <w:pStyle w:val="TableParagraph"/>
              <w:spacing w:before="13"/>
              <w:ind w:left="8"/>
              <w:jc w:val="center"/>
            </w:pPr>
            <w:r>
              <w:t>5</w:t>
            </w:r>
          </w:p>
        </w:tc>
        <w:tc>
          <w:tcPr>
            <w:tcW w:w="1054" w:type="dxa"/>
          </w:tcPr>
          <w:p w:rsidR="000B21A0" w:rsidRDefault="00672CAE">
            <w:pPr>
              <w:pStyle w:val="TableParagraph"/>
              <w:spacing w:before="13"/>
              <w:ind w:left="390"/>
            </w:pPr>
            <w:r>
              <w:t>0.6</w:t>
            </w:r>
          </w:p>
        </w:tc>
        <w:tc>
          <w:tcPr>
            <w:tcW w:w="900" w:type="dxa"/>
          </w:tcPr>
          <w:p w:rsidR="000B21A0" w:rsidRDefault="00672CAE">
            <w:pPr>
              <w:pStyle w:val="TableParagraph"/>
              <w:spacing w:before="13"/>
              <w:ind w:left="140" w:right="140"/>
              <w:jc w:val="center"/>
            </w:pPr>
            <w:r>
              <w:t>IV</w:t>
            </w:r>
          </w:p>
        </w:tc>
        <w:tc>
          <w:tcPr>
            <w:tcW w:w="1138" w:type="dxa"/>
          </w:tcPr>
          <w:p w:rsidR="000B21A0" w:rsidRDefault="00672CAE">
            <w:pPr>
              <w:pStyle w:val="TableParagraph"/>
              <w:spacing w:before="32" w:line="136" w:lineRule="auto"/>
              <w:ind w:left="464"/>
              <w:rPr>
                <w:sz w:val="14"/>
              </w:rPr>
            </w:pPr>
            <w:r>
              <w:rPr>
                <w:position w:val="-9"/>
              </w:rPr>
              <w:t xml:space="preserve">3 </w:t>
            </w:r>
            <w:r>
              <w:rPr>
                <w:sz w:val="14"/>
              </w:rPr>
              <w:t>a</w:t>
            </w:r>
          </w:p>
        </w:tc>
      </w:tr>
      <w:tr w:rsidR="000B21A0">
        <w:trPr>
          <w:trHeight w:val="287"/>
        </w:trPr>
        <w:tc>
          <w:tcPr>
            <w:tcW w:w="917" w:type="dxa"/>
          </w:tcPr>
          <w:p w:rsidR="000B21A0" w:rsidRDefault="00672CAE">
            <w:pPr>
              <w:pStyle w:val="TableParagraph"/>
              <w:spacing w:before="13"/>
              <w:ind w:left="9"/>
              <w:jc w:val="center"/>
            </w:pPr>
            <w:r>
              <w:t>3</w:t>
            </w:r>
          </w:p>
        </w:tc>
        <w:tc>
          <w:tcPr>
            <w:tcW w:w="1433" w:type="dxa"/>
          </w:tcPr>
          <w:p w:rsidR="000B21A0" w:rsidRDefault="00672CAE">
            <w:pPr>
              <w:pStyle w:val="TableParagraph"/>
              <w:spacing w:before="13"/>
              <w:ind w:left="556" w:right="545"/>
              <w:jc w:val="center"/>
            </w:pPr>
            <w:r>
              <w:t>3/0</w:t>
            </w:r>
          </w:p>
        </w:tc>
        <w:tc>
          <w:tcPr>
            <w:tcW w:w="1404" w:type="dxa"/>
          </w:tcPr>
          <w:p w:rsidR="000B21A0" w:rsidRDefault="00113E1E">
            <w:pPr>
              <w:pStyle w:val="TableParagraph"/>
              <w:spacing w:before="13"/>
              <w:ind w:left="128" w:right="119"/>
              <w:jc w:val="center"/>
            </w:pPr>
            <w:r>
              <w:t>PROJECT 16-1</w:t>
            </w:r>
          </w:p>
        </w:tc>
        <w:tc>
          <w:tcPr>
            <w:tcW w:w="1366" w:type="dxa"/>
          </w:tcPr>
          <w:p w:rsidR="000B21A0" w:rsidRDefault="00672CAE">
            <w:pPr>
              <w:pStyle w:val="TableParagraph"/>
              <w:spacing w:before="13"/>
              <w:ind w:left="121" w:right="112"/>
              <w:jc w:val="center"/>
            </w:pPr>
            <w:r>
              <w:t>6</w:t>
            </w:r>
            <w:r>
              <w:rPr>
                <w:vertAlign w:val="superscript"/>
              </w:rPr>
              <w:t>d</w:t>
            </w:r>
            <w:r>
              <w:t xml:space="preserve"> (4.8)</w:t>
            </w:r>
          </w:p>
        </w:tc>
        <w:tc>
          <w:tcPr>
            <w:tcW w:w="912" w:type="dxa"/>
          </w:tcPr>
          <w:p w:rsidR="000B21A0" w:rsidRDefault="00672CAE">
            <w:pPr>
              <w:pStyle w:val="TableParagraph"/>
              <w:spacing w:before="13"/>
              <w:ind w:left="8"/>
              <w:jc w:val="center"/>
            </w:pPr>
            <w:r>
              <w:t>5</w:t>
            </w:r>
          </w:p>
        </w:tc>
        <w:tc>
          <w:tcPr>
            <w:tcW w:w="1054" w:type="dxa"/>
          </w:tcPr>
          <w:p w:rsidR="000B21A0" w:rsidRDefault="00672CAE">
            <w:pPr>
              <w:pStyle w:val="TableParagraph"/>
              <w:spacing w:before="13"/>
              <w:ind w:left="390"/>
            </w:pPr>
            <w:r>
              <w:t>1.2</w:t>
            </w:r>
          </w:p>
        </w:tc>
        <w:tc>
          <w:tcPr>
            <w:tcW w:w="900" w:type="dxa"/>
          </w:tcPr>
          <w:p w:rsidR="000B21A0" w:rsidRDefault="00672CAE">
            <w:pPr>
              <w:pStyle w:val="TableParagraph"/>
              <w:spacing w:before="13"/>
              <w:ind w:left="140" w:right="140"/>
              <w:jc w:val="center"/>
            </w:pPr>
            <w:r>
              <w:t>IV</w:t>
            </w:r>
          </w:p>
        </w:tc>
        <w:tc>
          <w:tcPr>
            <w:tcW w:w="1138" w:type="dxa"/>
          </w:tcPr>
          <w:p w:rsidR="000B21A0" w:rsidRDefault="00672CAE">
            <w:pPr>
              <w:pStyle w:val="TableParagraph"/>
              <w:spacing w:before="32" w:line="136" w:lineRule="auto"/>
              <w:ind w:left="464"/>
              <w:rPr>
                <w:sz w:val="14"/>
              </w:rPr>
            </w:pPr>
            <w:r>
              <w:rPr>
                <w:position w:val="-9"/>
              </w:rPr>
              <w:t xml:space="preserve">3 </w:t>
            </w:r>
            <w:r>
              <w:rPr>
                <w:sz w:val="14"/>
              </w:rPr>
              <w:t>a</w:t>
            </w:r>
          </w:p>
        </w:tc>
      </w:tr>
      <w:tr w:rsidR="000B21A0">
        <w:trPr>
          <w:trHeight w:val="289"/>
        </w:trPr>
        <w:tc>
          <w:tcPr>
            <w:tcW w:w="917" w:type="dxa"/>
          </w:tcPr>
          <w:p w:rsidR="000B21A0" w:rsidRDefault="00672CAE">
            <w:pPr>
              <w:pStyle w:val="TableParagraph"/>
              <w:spacing w:before="32" w:line="136" w:lineRule="auto"/>
              <w:ind w:left="126" w:right="115"/>
              <w:jc w:val="center"/>
              <w:rPr>
                <w:sz w:val="14"/>
              </w:rPr>
            </w:pPr>
            <w:r>
              <w:rPr>
                <w:position w:val="-9"/>
              </w:rPr>
              <w:t xml:space="preserve">4 </w:t>
            </w:r>
            <w:r>
              <w:rPr>
                <w:sz w:val="14"/>
              </w:rPr>
              <w:t>e</w:t>
            </w:r>
          </w:p>
        </w:tc>
        <w:tc>
          <w:tcPr>
            <w:tcW w:w="1433" w:type="dxa"/>
          </w:tcPr>
          <w:p w:rsidR="000B21A0" w:rsidRDefault="00672CAE">
            <w:pPr>
              <w:pStyle w:val="TableParagraph"/>
              <w:spacing w:before="13"/>
              <w:ind w:left="556" w:right="545"/>
              <w:jc w:val="center"/>
            </w:pPr>
            <w:r>
              <w:t>2/2</w:t>
            </w:r>
          </w:p>
        </w:tc>
        <w:tc>
          <w:tcPr>
            <w:tcW w:w="1404" w:type="dxa"/>
          </w:tcPr>
          <w:p w:rsidR="000B21A0" w:rsidRDefault="00113E1E">
            <w:pPr>
              <w:pStyle w:val="TableParagraph"/>
              <w:spacing w:before="13"/>
              <w:ind w:left="128" w:right="119"/>
              <w:jc w:val="center"/>
            </w:pPr>
            <w:r>
              <w:t>PROJECT 16-1</w:t>
            </w:r>
          </w:p>
        </w:tc>
        <w:tc>
          <w:tcPr>
            <w:tcW w:w="1366" w:type="dxa"/>
          </w:tcPr>
          <w:p w:rsidR="000B21A0" w:rsidRDefault="00672CAE">
            <w:pPr>
              <w:pStyle w:val="TableParagraph"/>
              <w:spacing w:before="13"/>
              <w:ind w:left="121" w:right="112"/>
              <w:jc w:val="center"/>
            </w:pPr>
            <w:r>
              <w:t>3</w:t>
            </w:r>
            <w:r>
              <w:rPr>
                <w:vertAlign w:val="superscript"/>
              </w:rPr>
              <w:t>d</w:t>
            </w:r>
            <w:r>
              <w:t xml:space="preserve"> (2.4)</w:t>
            </w:r>
          </w:p>
        </w:tc>
        <w:tc>
          <w:tcPr>
            <w:tcW w:w="912" w:type="dxa"/>
          </w:tcPr>
          <w:p w:rsidR="000B21A0" w:rsidRDefault="00672CAE">
            <w:pPr>
              <w:pStyle w:val="TableParagraph"/>
              <w:spacing w:before="13"/>
              <w:ind w:left="8"/>
              <w:jc w:val="center"/>
            </w:pPr>
            <w:r>
              <w:t>5</w:t>
            </w:r>
          </w:p>
        </w:tc>
        <w:tc>
          <w:tcPr>
            <w:tcW w:w="1054" w:type="dxa"/>
          </w:tcPr>
          <w:p w:rsidR="000B21A0" w:rsidRDefault="00672CAE">
            <w:pPr>
              <w:pStyle w:val="TableParagraph"/>
              <w:spacing w:before="13"/>
              <w:ind w:left="390"/>
            </w:pPr>
            <w:r>
              <w:t>0.6</w:t>
            </w:r>
          </w:p>
        </w:tc>
        <w:tc>
          <w:tcPr>
            <w:tcW w:w="900" w:type="dxa"/>
          </w:tcPr>
          <w:p w:rsidR="000B21A0" w:rsidRDefault="00672CAE">
            <w:pPr>
              <w:pStyle w:val="TableParagraph"/>
              <w:spacing w:before="13"/>
              <w:ind w:left="140" w:right="140"/>
              <w:jc w:val="center"/>
            </w:pPr>
            <w:r>
              <w:t>IV</w:t>
            </w:r>
          </w:p>
        </w:tc>
        <w:tc>
          <w:tcPr>
            <w:tcW w:w="1138" w:type="dxa"/>
          </w:tcPr>
          <w:p w:rsidR="000B21A0" w:rsidRDefault="00672CAE">
            <w:pPr>
              <w:pStyle w:val="TableParagraph"/>
              <w:spacing w:before="13"/>
              <w:ind w:left="512"/>
            </w:pPr>
            <w:r>
              <w:t>4</w:t>
            </w:r>
          </w:p>
        </w:tc>
      </w:tr>
      <w:tr w:rsidR="000B21A0">
        <w:trPr>
          <w:trHeight w:val="287"/>
        </w:trPr>
        <w:tc>
          <w:tcPr>
            <w:tcW w:w="917" w:type="dxa"/>
          </w:tcPr>
          <w:p w:rsidR="000B21A0" w:rsidRDefault="00672CAE">
            <w:pPr>
              <w:pStyle w:val="TableParagraph"/>
              <w:spacing w:before="30" w:line="134" w:lineRule="auto"/>
              <w:ind w:left="126" w:right="115"/>
              <w:jc w:val="center"/>
              <w:rPr>
                <w:sz w:val="14"/>
              </w:rPr>
            </w:pPr>
            <w:r>
              <w:rPr>
                <w:position w:val="-9"/>
              </w:rPr>
              <w:t xml:space="preserve">5 </w:t>
            </w:r>
            <w:r>
              <w:rPr>
                <w:sz w:val="14"/>
              </w:rPr>
              <w:t>e</w:t>
            </w:r>
          </w:p>
        </w:tc>
        <w:tc>
          <w:tcPr>
            <w:tcW w:w="1433" w:type="dxa"/>
          </w:tcPr>
          <w:p w:rsidR="000B21A0" w:rsidRDefault="00672CAE">
            <w:pPr>
              <w:pStyle w:val="TableParagraph"/>
              <w:spacing w:before="10"/>
              <w:ind w:left="556" w:right="545"/>
              <w:jc w:val="center"/>
            </w:pPr>
            <w:r>
              <w:t>2/2</w:t>
            </w:r>
          </w:p>
        </w:tc>
        <w:tc>
          <w:tcPr>
            <w:tcW w:w="1404" w:type="dxa"/>
          </w:tcPr>
          <w:p w:rsidR="000B21A0" w:rsidRDefault="00113E1E">
            <w:pPr>
              <w:pStyle w:val="TableParagraph"/>
              <w:spacing w:before="10"/>
              <w:ind w:left="128" w:right="119"/>
              <w:jc w:val="center"/>
            </w:pPr>
            <w:r>
              <w:t>PROJECT 16-1</w:t>
            </w:r>
          </w:p>
        </w:tc>
        <w:tc>
          <w:tcPr>
            <w:tcW w:w="1366" w:type="dxa"/>
          </w:tcPr>
          <w:p w:rsidR="000B21A0" w:rsidRDefault="00672CAE">
            <w:pPr>
              <w:pStyle w:val="TableParagraph"/>
              <w:spacing w:before="10"/>
              <w:ind w:left="121" w:right="112"/>
              <w:jc w:val="center"/>
            </w:pPr>
            <w:r>
              <w:t>6</w:t>
            </w:r>
            <w:r>
              <w:rPr>
                <w:vertAlign w:val="superscript"/>
              </w:rPr>
              <w:t>d</w:t>
            </w:r>
            <w:r>
              <w:t xml:space="preserve"> (4.8)</w:t>
            </w:r>
          </w:p>
        </w:tc>
        <w:tc>
          <w:tcPr>
            <w:tcW w:w="912" w:type="dxa"/>
          </w:tcPr>
          <w:p w:rsidR="000B21A0" w:rsidRDefault="00672CAE">
            <w:pPr>
              <w:pStyle w:val="TableParagraph"/>
              <w:spacing w:before="10"/>
              <w:ind w:left="8"/>
              <w:jc w:val="center"/>
            </w:pPr>
            <w:r>
              <w:t>5</w:t>
            </w:r>
          </w:p>
        </w:tc>
        <w:tc>
          <w:tcPr>
            <w:tcW w:w="1054" w:type="dxa"/>
          </w:tcPr>
          <w:p w:rsidR="000B21A0" w:rsidRDefault="00672CAE">
            <w:pPr>
              <w:pStyle w:val="TableParagraph"/>
              <w:spacing w:before="10"/>
              <w:ind w:left="390"/>
            </w:pPr>
            <w:r>
              <w:t>1.2</w:t>
            </w:r>
          </w:p>
        </w:tc>
        <w:tc>
          <w:tcPr>
            <w:tcW w:w="900" w:type="dxa"/>
          </w:tcPr>
          <w:p w:rsidR="000B21A0" w:rsidRDefault="00672CAE">
            <w:pPr>
              <w:pStyle w:val="TableParagraph"/>
              <w:spacing w:before="10"/>
              <w:ind w:left="140" w:right="140"/>
              <w:jc w:val="center"/>
            </w:pPr>
            <w:r>
              <w:t>IV</w:t>
            </w:r>
          </w:p>
        </w:tc>
        <w:tc>
          <w:tcPr>
            <w:tcW w:w="1138" w:type="dxa"/>
          </w:tcPr>
          <w:p w:rsidR="000B21A0" w:rsidRDefault="00672CAE">
            <w:pPr>
              <w:pStyle w:val="TableParagraph"/>
              <w:spacing w:before="10"/>
              <w:ind w:left="512"/>
            </w:pPr>
            <w:r>
              <w:t>4</w:t>
            </w:r>
          </w:p>
        </w:tc>
      </w:tr>
      <w:tr w:rsidR="000B21A0">
        <w:trPr>
          <w:trHeight w:val="287"/>
        </w:trPr>
        <w:tc>
          <w:tcPr>
            <w:tcW w:w="9124" w:type="dxa"/>
            <w:gridSpan w:val="8"/>
            <w:shd w:val="clear" w:color="auto" w:fill="DADADA"/>
          </w:tcPr>
          <w:p w:rsidR="000B21A0" w:rsidRDefault="00672CAE">
            <w:pPr>
              <w:pStyle w:val="TableParagraph"/>
              <w:spacing w:before="15" w:line="252" w:lineRule="exact"/>
              <w:ind w:left="4152" w:right="4145"/>
              <w:jc w:val="center"/>
              <w:rPr>
                <w:b/>
              </w:rPr>
            </w:pPr>
            <w:r>
              <w:rPr>
                <w:b/>
              </w:rPr>
              <w:t>Phase II</w:t>
            </w:r>
          </w:p>
        </w:tc>
      </w:tr>
      <w:tr w:rsidR="000B21A0">
        <w:trPr>
          <w:trHeight w:val="287"/>
        </w:trPr>
        <w:tc>
          <w:tcPr>
            <w:tcW w:w="917" w:type="dxa"/>
          </w:tcPr>
          <w:p w:rsidR="000B21A0" w:rsidRDefault="00672CAE">
            <w:pPr>
              <w:pStyle w:val="TableParagraph"/>
              <w:spacing w:before="30" w:line="134" w:lineRule="auto"/>
              <w:ind w:left="126" w:right="117"/>
              <w:jc w:val="center"/>
              <w:rPr>
                <w:sz w:val="14"/>
              </w:rPr>
            </w:pPr>
            <w:r>
              <w:rPr>
                <w:position w:val="-9"/>
              </w:rPr>
              <w:t xml:space="preserve">6 </w:t>
            </w:r>
            <w:r>
              <w:rPr>
                <w:sz w:val="14"/>
              </w:rPr>
              <w:t>b</w:t>
            </w:r>
          </w:p>
        </w:tc>
        <w:tc>
          <w:tcPr>
            <w:tcW w:w="1433" w:type="dxa"/>
          </w:tcPr>
          <w:p w:rsidR="000B21A0" w:rsidRDefault="00672CAE">
            <w:pPr>
              <w:pStyle w:val="TableParagraph"/>
              <w:spacing w:before="10"/>
              <w:ind w:left="556" w:right="545"/>
              <w:jc w:val="center"/>
            </w:pPr>
            <w:r>
              <w:t>3/0</w:t>
            </w:r>
          </w:p>
        </w:tc>
        <w:tc>
          <w:tcPr>
            <w:tcW w:w="1404" w:type="dxa"/>
          </w:tcPr>
          <w:p w:rsidR="000B21A0" w:rsidRDefault="00113E1E">
            <w:pPr>
              <w:pStyle w:val="TableParagraph"/>
              <w:spacing w:before="10"/>
              <w:ind w:left="128" w:right="119"/>
              <w:jc w:val="center"/>
            </w:pPr>
            <w:r>
              <w:t>PROJECT 16-1</w:t>
            </w:r>
          </w:p>
        </w:tc>
        <w:tc>
          <w:tcPr>
            <w:tcW w:w="1366" w:type="dxa"/>
          </w:tcPr>
          <w:p w:rsidR="000B21A0" w:rsidRDefault="00672CAE">
            <w:pPr>
              <w:pStyle w:val="TableParagraph"/>
              <w:spacing w:before="10"/>
              <w:ind w:left="120" w:right="112"/>
              <w:jc w:val="center"/>
            </w:pPr>
            <w:r>
              <w:t>0.4</w:t>
            </w:r>
          </w:p>
        </w:tc>
        <w:tc>
          <w:tcPr>
            <w:tcW w:w="912" w:type="dxa"/>
          </w:tcPr>
          <w:p w:rsidR="000B21A0" w:rsidRDefault="00672CAE">
            <w:pPr>
              <w:pStyle w:val="TableParagraph"/>
              <w:spacing w:before="10"/>
              <w:ind w:left="8"/>
              <w:jc w:val="center"/>
            </w:pPr>
            <w:r>
              <w:t>5</w:t>
            </w:r>
          </w:p>
        </w:tc>
        <w:tc>
          <w:tcPr>
            <w:tcW w:w="1054" w:type="dxa"/>
          </w:tcPr>
          <w:p w:rsidR="000B21A0" w:rsidRDefault="00672CAE">
            <w:pPr>
              <w:pStyle w:val="TableParagraph"/>
              <w:spacing w:before="10"/>
              <w:ind w:left="335"/>
            </w:pPr>
            <w:r>
              <w:t>0.08</w:t>
            </w:r>
          </w:p>
        </w:tc>
        <w:tc>
          <w:tcPr>
            <w:tcW w:w="900" w:type="dxa"/>
          </w:tcPr>
          <w:p w:rsidR="000B21A0" w:rsidRDefault="00672CAE">
            <w:pPr>
              <w:pStyle w:val="TableParagraph"/>
              <w:spacing w:before="10"/>
              <w:ind w:left="140" w:right="140"/>
              <w:jc w:val="center"/>
            </w:pPr>
            <w:r>
              <w:t>IV</w:t>
            </w:r>
          </w:p>
        </w:tc>
        <w:tc>
          <w:tcPr>
            <w:tcW w:w="1138" w:type="dxa"/>
          </w:tcPr>
          <w:p w:rsidR="000B21A0" w:rsidRDefault="00672CAE">
            <w:pPr>
              <w:pStyle w:val="TableParagraph"/>
              <w:spacing w:before="30" w:line="134" w:lineRule="auto"/>
              <w:ind w:left="476"/>
              <w:rPr>
                <w:sz w:val="14"/>
              </w:rPr>
            </w:pPr>
            <w:r>
              <w:rPr>
                <w:position w:val="-9"/>
              </w:rPr>
              <w:t>3</w:t>
            </w:r>
            <w:r>
              <w:rPr>
                <w:sz w:val="14"/>
              </w:rPr>
              <w:t>b</w:t>
            </w:r>
          </w:p>
        </w:tc>
      </w:tr>
      <w:tr w:rsidR="000B21A0">
        <w:trPr>
          <w:trHeight w:val="287"/>
        </w:trPr>
        <w:tc>
          <w:tcPr>
            <w:tcW w:w="917" w:type="dxa"/>
          </w:tcPr>
          <w:p w:rsidR="000B21A0" w:rsidRDefault="00672CAE">
            <w:pPr>
              <w:pStyle w:val="TableParagraph"/>
              <w:spacing w:before="32" w:line="136" w:lineRule="auto"/>
              <w:ind w:left="126" w:right="115"/>
              <w:jc w:val="center"/>
              <w:rPr>
                <w:sz w:val="14"/>
              </w:rPr>
            </w:pPr>
            <w:r>
              <w:rPr>
                <w:position w:val="-9"/>
              </w:rPr>
              <w:t xml:space="preserve">7 </w:t>
            </w:r>
            <w:r>
              <w:rPr>
                <w:sz w:val="14"/>
              </w:rPr>
              <w:t>c</w:t>
            </w:r>
          </w:p>
        </w:tc>
        <w:tc>
          <w:tcPr>
            <w:tcW w:w="1433" w:type="dxa"/>
          </w:tcPr>
          <w:p w:rsidR="000B21A0" w:rsidRDefault="00672CAE">
            <w:pPr>
              <w:pStyle w:val="TableParagraph"/>
              <w:spacing w:before="13"/>
              <w:ind w:left="556" w:right="545"/>
              <w:jc w:val="center"/>
            </w:pPr>
            <w:r>
              <w:t>3/0</w:t>
            </w:r>
          </w:p>
        </w:tc>
        <w:tc>
          <w:tcPr>
            <w:tcW w:w="1404" w:type="dxa"/>
          </w:tcPr>
          <w:p w:rsidR="000B21A0" w:rsidRDefault="00113E1E">
            <w:pPr>
              <w:pStyle w:val="TableParagraph"/>
              <w:spacing w:before="13"/>
              <w:ind w:left="128" w:right="119"/>
              <w:jc w:val="center"/>
            </w:pPr>
            <w:r>
              <w:t>PROJECT 16-1</w:t>
            </w:r>
          </w:p>
        </w:tc>
        <w:tc>
          <w:tcPr>
            <w:tcW w:w="1366" w:type="dxa"/>
          </w:tcPr>
          <w:p w:rsidR="000B21A0" w:rsidRDefault="00672CAE">
            <w:pPr>
              <w:pStyle w:val="TableParagraph"/>
              <w:spacing w:before="13"/>
              <w:ind w:left="120" w:right="112"/>
              <w:jc w:val="center"/>
            </w:pPr>
            <w:r>
              <w:t>0.8</w:t>
            </w:r>
          </w:p>
        </w:tc>
        <w:tc>
          <w:tcPr>
            <w:tcW w:w="912" w:type="dxa"/>
          </w:tcPr>
          <w:p w:rsidR="000B21A0" w:rsidRDefault="00672CAE">
            <w:pPr>
              <w:pStyle w:val="TableParagraph"/>
              <w:spacing w:before="13"/>
              <w:ind w:left="8"/>
              <w:jc w:val="center"/>
            </w:pPr>
            <w:r>
              <w:t>5</w:t>
            </w:r>
          </w:p>
        </w:tc>
        <w:tc>
          <w:tcPr>
            <w:tcW w:w="1054" w:type="dxa"/>
          </w:tcPr>
          <w:p w:rsidR="000B21A0" w:rsidRDefault="00672CAE">
            <w:pPr>
              <w:pStyle w:val="TableParagraph"/>
              <w:spacing w:before="13"/>
              <w:ind w:left="335"/>
            </w:pPr>
            <w:r>
              <w:t>0.16</w:t>
            </w:r>
          </w:p>
        </w:tc>
        <w:tc>
          <w:tcPr>
            <w:tcW w:w="900" w:type="dxa"/>
          </w:tcPr>
          <w:p w:rsidR="000B21A0" w:rsidRDefault="00672CAE">
            <w:pPr>
              <w:pStyle w:val="TableParagraph"/>
              <w:spacing w:before="13"/>
              <w:ind w:left="140" w:right="140"/>
              <w:jc w:val="center"/>
            </w:pPr>
            <w:r>
              <w:t>IV</w:t>
            </w:r>
          </w:p>
        </w:tc>
        <w:tc>
          <w:tcPr>
            <w:tcW w:w="1138" w:type="dxa"/>
          </w:tcPr>
          <w:p w:rsidR="000B21A0" w:rsidRDefault="00672CAE">
            <w:pPr>
              <w:pStyle w:val="TableParagraph"/>
              <w:spacing w:before="32" w:line="136" w:lineRule="auto"/>
              <w:ind w:left="481"/>
              <w:rPr>
                <w:sz w:val="14"/>
              </w:rPr>
            </w:pPr>
            <w:r>
              <w:rPr>
                <w:position w:val="-9"/>
              </w:rPr>
              <w:t>3</w:t>
            </w:r>
            <w:r>
              <w:rPr>
                <w:sz w:val="14"/>
              </w:rPr>
              <w:t>c</w:t>
            </w:r>
          </w:p>
        </w:tc>
      </w:tr>
      <w:tr w:rsidR="000B21A0">
        <w:trPr>
          <w:trHeight w:val="287"/>
        </w:trPr>
        <w:tc>
          <w:tcPr>
            <w:tcW w:w="917" w:type="dxa"/>
          </w:tcPr>
          <w:p w:rsidR="000B21A0" w:rsidRDefault="00672CAE">
            <w:pPr>
              <w:pStyle w:val="TableParagraph"/>
              <w:spacing w:before="32" w:line="136" w:lineRule="auto"/>
              <w:ind w:left="126" w:right="115"/>
              <w:jc w:val="center"/>
              <w:rPr>
                <w:sz w:val="14"/>
              </w:rPr>
            </w:pPr>
            <w:r>
              <w:rPr>
                <w:position w:val="-9"/>
              </w:rPr>
              <w:t xml:space="preserve">8 </w:t>
            </w:r>
            <w:r>
              <w:rPr>
                <w:sz w:val="14"/>
              </w:rPr>
              <w:t>c</w:t>
            </w:r>
          </w:p>
        </w:tc>
        <w:tc>
          <w:tcPr>
            <w:tcW w:w="1433" w:type="dxa"/>
          </w:tcPr>
          <w:p w:rsidR="000B21A0" w:rsidRDefault="00672CAE">
            <w:pPr>
              <w:pStyle w:val="TableParagraph"/>
              <w:spacing w:before="13"/>
              <w:ind w:left="556" w:right="545"/>
              <w:jc w:val="center"/>
            </w:pPr>
            <w:r>
              <w:t>3/0</w:t>
            </w:r>
          </w:p>
        </w:tc>
        <w:tc>
          <w:tcPr>
            <w:tcW w:w="1404" w:type="dxa"/>
          </w:tcPr>
          <w:p w:rsidR="000B21A0" w:rsidRDefault="00113E1E">
            <w:pPr>
              <w:pStyle w:val="TableParagraph"/>
              <w:spacing w:before="13"/>
              <w:ind w:left="128" w:right="119"/>
              <w:jc w:val="center"/>
            </w:pPr>
            <w:r>
              <w:t>PROJECT 16-1</w:t>
            </w:r>
          </w:p>
        </w:tc>
        <w:tc>
          <w:tcPr>
            <w:tcW w:w="1366" w:type="dxa"/>
          </w:tcPr>
          <w:p w:rsidR="000B21A0" w:rsidRDefault="00672CAE">
            <w:pPr>
              <w:pStyle w:val="TableParagraph"/>
              <w:spacing w:before="13"/>
              <w:ind w:left="120" w:right="112"/>
              <w:jc w:val="center"/>
            </w:pPr>
            <w:r>
              <w:t>2.4</w:t>
            </w:r>
          </w:p>
        </w:tc>
        <w:tc>
          <w:tcPr>
            <w:tcW w:w="912" w:type="dxa"/>
          </w:tcPr>
          <w:p w:rsidR="000B21A0" w:rsidRDefault="00672CAE">
            <w:pPr>
              <w:pStyle w:val="TableParagraph"/>
              <w:spacing w:before="13"/>
              <w:ind w:left="8"/>
              <w:jc w:val="center"/>
            </w:pPr>
            <w:r>
              <w:t>5</w:t>
            </w:r>
          </w:p>
        </w:tc>
        <w:tc>
          <w:tcPr>
            <w:tcW w:w="1054" w:type="dxa"/>
          </w:tcPr>
          <w:p w:rsidR="000B21A0" w:rsidRDefault="00672CAE">
            <w:pPr>
              <w:pStyle w:val="TableParagraph"/>
              <w:spacing w:before="13"/>
              <w:ind w:left="335"/>
            </w:pPr>
            <w:r>
              <w:t>0.48</w:t>
            </w:r>
          </w:p>
        </w:tc>
        <w:tc>
          <w:tcPr>
            <w:tcW w:w="900" w:type="dxa"/>
          </w:tcPr>
          <w:p w:rsidR="000B21A0" w:rsidRDefault="00672CAE">
            <w:pPr>
              <w:pStyle w:val="TableParagraph"/>
              <w:spacing w:before="13"/>
              <w:ind w:left="140" w:right="140"/>
              <w:jc w:val="center"/>
            </w:pPr>
            <w:r>
              <w:t>IV</w:t>
            </w:r>
          </w:p>
        </w:tc>
        <w:tc>
          <w:tcPr>
            <w:tcW w:w="1138" w:type="dxa"/>
          </w:tcPr>
          <w:p w:rsidR="000B21A0" w:rsidRDefault="00672CAE">
            <w:pPr>
              <w:pStyle w:val="TableParagraph"/>
              <w:spacing w:before="32" w:line="136" w:lineRule="auto"/>
              <w:ind w:left="481"/>
              <w:rPr>
                <w:sz w:val="14"/>
              </w:rPr>
            </w:pPr>
            <w:r>
              <w:rPr>
                <w:position w:val="-9"/>
              </w:rPr>
              <w:t>3</w:t>
            </w:r>
            <w:r>
              <w:rPr>
                <w:sz w:val="14"/>
              </w:rPr>
              <w:t>c</w:t>
            </w:r>
          </w:p>
        </w:tc>
      </w:tr>
    </w:tbl>
    <w:p w:rsidR="000B21A0" w:rsidRDefault="00672CAE">
      <w:pPr>
        <w:spacing w:before="56" w:line="217" w:lineRule="exact"/>
        <w:ind w:left="251"/>
        <w:rPr>
          <w:sz w:val="20"/>
        </w:rPr>
      </w:pPr>
      <w:r>
        <w:rPr>
          <w:sz w:val="20"/>
        </w:rPr>
        <w:t>No. = number, Conc. = concentration</w:t>
      </w:r>
    </w:p>
    <w:p w:rsidR="000B21A0" w:rsidRDefault="00672CAE">
      <w:pPr>
        <w:spacing w:before="14" w:line="230" w:lineRule="exact"/>
        <w:ind w:left="252" w:right="1651" w:hanging="1"/>
        <w:rPr>
          <w:sz w:val="20"/>
        </w:rPr>
      </w:pPr>
      <w:r>
        <w:rPr>
          <w:position w:val="9"/>
          <w:sz w:val="13"/>
        </w:rPr>
        <w:t xml:space="preserve">a </w:t>
      </w:r>
      <w:r>
        <w:rPr>
          <w:sz w:val="20"/>
        </w:rPr>
        <w:t xml:space="preserve">Group 1, 2 and 3 animals were continued on study and assigned to Phase II as Groups 6, 7, and 8, respectively after a </w:t>
      </w:r>
      <w:proofErr w:type="gramStart"/>
      <w:r>
        <w:rPr>
          <w:sz w:val="20"/>
        </w:rPr>
        <w:t>51 day</w:t>
      </w:r>
      <w:proofErr w:type="gramEnd"/>
      <w:r>
        <w:rPr>
          <w:sz w:val="20"/>
        </w:rPr>
        <w:t xml:space="preserve"> washout period.</w:t>
      </w:r>
    </w:p>
    <w:p w:rsidR="000B21A0" w:rsidRDefault="00672CAE">
      <w:pPr>
        <w:spacing w:line="216" w:lineRule="exact"/>
        <w:ind w:left="251"/>
        <w:rPr>
          <w:sz w:val="20"/>
        </w:rPr>
      </w:pPr>
      <w:r>
        <w:rPr>
          <w:position w:val="9"/>
          <w:sz w:val="13"/>
        </w:rPr>
        <w:t xml:space="preserve">b </w:t>
      </w:r>
      <w:r>
        <w:rPr>
          <w:sz w:val="20"/>
        </w:rPr>
        <w:t>Group 6 animals were necropsied on Day 29 (1 week after last dose).</w:t>
      </w:r>
    </w:p>
    <w:p w:rsidR="000B21A0" w:rsidRDefault="00672CAE">
      <w:pPr>
        <w:spacing w:line="230" w:lineRule="exact"/>
        <w:ind w:left="251"/>
        <w:rPr>
          <w:sz w:val="20"/>
        </w:rPr>
      </w:pPr>
      <w:r>
        <w:rPr>
          <w:position w:val="9"/>
          <w:sz w:val="13"/>
        </w:rPr>
        <w:lastRenderedPageBreak/>
        <w:t xml:space="preserve">c </w:t>
      </w:r>
      <w:r>
        <w:rPr>
          <w:sz w:val="20"/>
        </w:rPr>
        <w:t>Group 7 and 8 animals were necropsied on Day 50 (1 week after last dose).</w:t>
      </w:r>
    </w:p>
    <w:p w:rsidR="000B21A0" w:rsidRDefault="00672CAE">
      <w:pPr>
        <w:spacing w:before="15" w:line="230" w:lineRule="exact"/>
        <w:ind w:left="252" w:right="1954" w:hanging="1"/>
        <w:rPr>
          <w:sz w:val="20"/>
        </w:rPr>
      </w:pPr>
      <w:r>
        <w:rPr>
          <w:position w:val="9"/>
          <w:sz w:val="13"/>
        </w:rPr>
        <w:t xml:space="preserve">d </w:t>
      </w:r>
      <w:r>
        <w:rPr>
          <w:sz w:val="20"/>
        </w:rPr>
        <w:t>Nominal dose level and dose concentrations. Per Certificate of Testing provided by the Sponsor, the actual dose levels were 0.8, 2.4, 4.8, 2.4, and 4.8 mg/kg for Groups 1, 2, 3, 4, and 5 respectively.</w:t>
      </w:r>
    </w:p>
    <w:p w:rsidR="000B21A0" w:rsidRDefault="00672CAE">
      <w:pPr>
        <w:spacing w:line="226" w:lineRule="exact"/>
        <w:ind w:left="251"/>
        <w:rPr>
          <w:sz w:val="20"/>
        </w:rPr>
      </w:pPr>
      <w:proofErr w:type="spellStart"/>
      <w:r>
        <w:rPr>
          <w:position w:val="9"/>
          <w:sz w:val="13"/>
        </w:rPr>
        <w:t>e</w:t>
      </w:r>
      <w:proofErr w:type="spellEnd"/>
      <w:r>
        <w:rPr>
          <w:position w:val="9"/>
          <w:sz w:val="13"/>
        </w:rPr>
        <w:t xml:space="preserve"> </w:t>
      </w:r>
      <w:r>
        <w:rPr>
          <w:sz w:val="20"/>
        </w:rPr>
        <w:t>All Group 4 and 5 animals were euthanized early.</w:t>
      </w:r>
    </w:p>
    <w:p w:rsidR="000B21A0" w:rsidRDefault="000B21A0">
      <w:pPr>
        <w:pStyle w:val="a3"/>
        <w:rPr>
          <w:sz w:val="20"/>
        </w:rPr>
      </w:pPr>
    </w:p>
    <w:p w:rsidR="000B21A0" w:rsidRDefault="00672CAE">
      <w:pPr>
        <w:pStyle w:val="a3"/>
        <w:spacing w:before="206" w:line="261" w:lineRule="auto"/>
        <w:ind w:left="232" w:right="1597"/>
      </w:pPr>
      <w:r>
        <w:t xml:space="preserve">In Phase I, animals in Group 1-3 received a single dose of </w:t>
      </w:r>
      <w:r w:rsidR="00113E1E">
        <w:t>PROJECT 16-1</w:t>
      </w:r>
      <w:r>
        <w:t xml:space="preserve"> and were continued on study until day 51 and reassigned to Phase II. Group 4 and 5 animals were intended to receive</w:t>
      </w:r>
    </w:p>
    <w:p w:rsidR="000B21A0" w:rsidRDefault="000B21A0">
      <w:pPr>
        <w:spacing w:line="261" w:lineRule="auto"/>
        <w:sectPr w:rsidR="000B21A0">
          <w:pgSz w:w="12240" w:h="15840"/>
          <w:pgMar w:top="1560" w:right="0" w:bottom="940" w:left="1380" w:header="578" w:footer="748" w:gutter="0"/>
          <w:cols w:space="720"/>
        </w:sectPr>
      </w:pPr>
    </w:p>
    <w:p w:rsidR="000B21A0" w:rsidRDefault="00672CAE">
      <w:pPr>
        <w:pStyle w:val="a3"/>
        <w:spacing w:before="143" w:line="261" w:lineRule="auto"/>
        <w:ind w:left="232" w:right="1756"/>
      </w:pPr>
      <w:r>
        <w:lastRenderedPageBreak/>
        <w:t xml:space="preserve">weekly doses of </w:t>
      </w:r>
      <w:r w:rsidR="00113E1E">
        <w:t>PROJECT 16-1</w:t>
      </w:r>
      <w:r>
        <w:t xml:space="preserve"> for a total of 4 doses; however, due to toxicity, they only received 2 doses and were euthanized prior to scheduled necropsy.</w:t>
      </w:r>
    </w:p>
    <w:p w:rsidR="000B21A0" w:rsidRDefault="00672CAE">
      <w:pPr>
        <w:pStyle w:val="a3"/>
        <w:spacing w:before="119" w:line="261" w:lineRule="auto"/>
        <w:ind w:left="232" w:right="1616"/>
      </w:pPr>
      <w:r>
        <w:t xml:space="preserve">In Phase II, Group 6 animals received weekly doses of </w:t>
      </w:r>
      <w:r w:rsidR="00113E1E">
        <w:t>PROJECT 16-1</w:t>
      </w:r>
      <w:r>
        <w:t xml:space="preserve"> for a total of 4 doses on days 1, 8, 15, and 22. Group 7 and 8 animals received a total of 4 doses every other week on days</w:t>
      </w:r>
    </w:p>
    <w:p w:rsidR="000B21A0" w:rsidRDefault="00672CAE">
      <w:pPr>
        <w:pStyle w:val="a3"/>
        <w:spacing w:line="274" w:lineRule="exact"/>
        <w:ind w:left="232"/>
      </w:pPr>
      <w:r>
        <w:t>1, 15, 29, and 43.</w:t>
      </w:r>
    </w:p>
    <w:p w:rsidR="000B21A0" w:rsidRDefault="00672CAE">
      <w:pPr>
        <w:pStyle w:val="a3"/>
        <w:spacing w:before="144" w:line="261" w:lineRule="auto"/>
        <w:ind w:left="232" w:right="1703"/>
      </w:pPr>
      <w:r>
        <w:t>The following parameters and end points were evaluated in this study: clinical signs, body weights, food consumption, clinical pathology parameters (hematology, coagulation, clinical chemistry, and urinalysis), TK parameters, flow cytometry (immune cell subsets) and receptor occupancy parameters, gross necropsy findings, organ weights, and histopathologic examinations.</w:t>
      </w:r>
    </w:p>
    <w:p w:rsidR="000B21A0" w:rsidRDefault="00672CAE">
      <w:pPr>
        <w:pStyle w:val="2"/>
        <w:numPr>
          <w:ilvl w:val="4"/>
          <w:numId w:val="13"/>
        </w:numPr>
        <w:tabs>
          <w:tab w:val="left" w:pos="1365"/>
          <w:tab w:val="left" w:pos="1366"/>
        </w:tabs>
        <w:spacing w:before="120"/>
      </w:pPr>
      <w:bookmarkStart w:id="22" w:name="4.4.2.2.3_Results"/>
      <w:bookmarkEnd w:id="22"/>
      <w:r>
        <w:t>Results</w:t>
      </w:r>
    </w:p>
    <w:p w:rsidR="000B21A0" w:rsidRDefault="00672CAE">
      <w:pPr>
        <w:spacing w:before="84"/>
        <w:ind w:left="232"/>
        <w:rPr>
          <w:b/>
          <w:sz w:val="24"/>
        </w:rPr>
      </w:pPr>
      <w:r>
        <w:rPr>
          <w:b/>
          <w:sz w:val="24"/>
        </w:rPr>
        <w:t>Phase I of Study in Cynomolgus Monkeys</w:t>
      </w:r>
    </w:p>
    <w:p w:rsidR="000B21A0" w:rsidRDefault="00672CAE">
      <w:pPr>
        <w:pStyle w:val="a3"/>
        <w:spacing w:before="140" w:line="261" w:lineRule="auto"/>
        <w:ind w:left="232" w:right="1735"/>
      </w:pPr>
      <w:r>
        <w:t xml:space="preserve">There </w:t>
      </w:r>
      <w:proofErr w:type="gramStart"/>
      <w:r>
        <w:t>were</w:t>
      </w:r>
      <w:proofErr w:type="gramEnd"/>
      <w:r>
        <w:t xml:space="preserve"> no test article related changes in body weight or food consumption following a single dose of </w:t>
      </w:r>
      <w:r w:rsidR="00113E1E">
        <w:t>PROJECT 16-1</w:t>
      </w:r>
      <w:r>
        <w:t xml:space="preserve"> at 0.8, 2.4 or 4.8 mg/kg. </w:t>
      </w:r>
      <w:r w:rsidR="00113E1E">
        <w:t>PROJECT 16-1</w:t>
      </w:r>
      <w:r>
        <w:t>-related clinical signs at 4.8 mg/kg included skin lesions with scabs. Red cell mass was minimally decreased at all doses at day</w:t>
      </w:r>
    </w:p>
    <w:p w:rsidR="000B21A0" w:rsidRDefault="00672CAE">
      <w:pPr>
        <w:pStyle w:val="a3"/>
        <w:spacing w:line="261" w:lineRule="auto"/>
        <w:ind w:left="232" w:right="1645"/>
      </w:pPr>
      <w:r>
        <w:t xml:space="preserve">22. </w:t>
      </w:r>
      <w:r w:rsidR="00113E1E">
        <w:t>PROJECT 16-1</w:t>
      </w:r>
      <w:r>
        <w:t xml:space="preserve">-related, dose-independent, transient, and recoverable decreases were present for all lymphocyte subsets at the </w:t>
      </w:r>
      <w:proofErr w:type="gramStart"/>
      <w:r>
        <w:t>6 hour</w:t>
      </w:r>
      <w:proofErr w:type="gramEnd"/>
      <w:r>
        <w:t xml:space="preserve"> post-end of infusion (EOI) time point and for monocytes at the 24 hour post-EOI time point in Groups 1-3. The greatest decreases, listed in order of magnitude, were present for monocytes, B-lymphocytes, natural-killer (NK) cells, and T- lymphocytes.</w:t>
      </w:r>
    </w:p>
    <w:p w:rsidR="000B21A0" w:rsidRDefault="00672CAE">
      <w:pPr>
        <w:pStyle w:val="a3"/>
        <w:spacing w:before="113" w:line="259" w:lineRule="auto"/>
        <w:ind w:left="232" w:right="1696"/>
      </w:pPr>
      <w:r>
        <w:t>Maximum serum concentrations (</w:t>
      </w:r>
      <w:proofErr w:type="spellStart"/>
      <w:r>
        <w:t>Cmax</w:t>
      </w:r>
      <w:proofErr w:type="spellEnd"/>
      <w:r>
        <w:t xml:space="preserve">) for ADC and </w:t>
      </w:r>
      <w:proofErr w:type="spellStart"/>
      <w:r>
        <w:t>TAb</w:t>
      </w:r>
      <w:proofErr w:type="spellEnd"/>
      <w:r>
        <w:t xml:space="preserve"> upon administration of </w:t>
      </w:r>
      <w:r w:rsidR="00113E1E">
        <w:t>PROJECT 16-1</w:t>
      </w:r>
      <w:r>
        <w:t xml:space="preserve"> were attained between 5 minutes and </w:t>
      </w:r>
      <w:proofErr w:type="gramStart"/>
      <w:r>
        <w:t>one hour</w:t>
      </w:r>
      <w:proofErr w:type="gramEnd"/>
      <w:r>
        <w:t xml:space="preserve"> post end of 30- minute IV infusion. The </w:t>
      </w:r>
      <w:proofErr w:type="spellStart"/>
      <w:r>
        <w:t>TAb</w:t>
      </w:r>
      <w:proofErr w:type="spellEnd"/>
      <w:r>
        <w:t xml:space="preserve"> concentrations were generally higher in comparison to its corresponding ADC profiles. The area under the serum concentration curve [AUC</w:t>
      </w:r>
      <w:r>
        <w:rPr>
          <w:vertAlign w:val="subscript"/>
        </w:rPr>
        <w:t>(0-7days)</w:t>
      </w:r>
      <w:r>
        <w:t xml:space="preserve">] and </w:t>
      </w:r>
      <w:proofErr w:type="spellStart"/>
      <w:r>
        <w:t>C</w:t>
      </w:r>
      <w:r>
        <w:rPr>
          <w:vertAlign w:val="subscript"/>
        </w:rPr>
        <w:t>max</w:t>
      </w:r>
      <w:proofErr w:type="spellEnd"/>
      <w:r>
        <w:t xml:space="preserve"> for both ADC and </w:t>
      </w:r>
      <w:proofErr w:type="spellStart"/>
      <w:r>
        <w:t>TAb</w:t>
      </w:r>
      <w:proofErr w:type="spellEnd"/>
      <w:r>
        <w:t xml:space="preserve"> showed dose-dependent increases. The increase appeared to be approximately dose proportional at dose groups administered (0.8, 2.4 and 4.8 mg/kg). These early and limited data suggest dose linear TK; however, a definitive dose linearity relationship could not be concluded due to the limited amount of data obtained in this exploratory study. The elimination half-life (T½ </w:t>
      </w:r>
      <w:r>
        <w:rPr>
          <w:rFonts w:ascii="Symbol" w:hAnsi="Symbol"/>
        </w:rPr>
        <w:t></w:t>
      </w:r>
      <w:r>
        <w:t xml:space="preserve">z) for </w:t>
      </w:r>
      <w:r w:rsidR="00113E1E">
        <w:t>PROJECT 16-1</w:t>
      </w:r>
      <w:r>
        <w:t xml:space="preserve"> ADC and </w:t>
      </w:r>
      <w:proofErr w:type="spellStart"/>
      <w:r>
        <w:t>TAb</w:t>
      </w:r>
      <w:proofErr w:type="spellEnd"/>
      <w:r>
        <w:t xml:space="preserve"> was short and ranged from 1.37 –</w:t>
      </w:r>
    </w:p>
    <w:p w:rsidR="000B21A0" w:rsidRDefault="00672CAE">
      <w:pPr>
        <w:pStyle w:val="a3"/>
        <w:spacing w:line="274" w:lineRule="exact"/>
        <w:ind w:left="232"/>
      </w:pPr>
      <w:r>
        <w:t>2.83 days and 1.97 - 4.78 days across groups 1-5, respectively.</w:t>
      </w:r>
    </w:p>
    <w:p w:rsidR="000B21A0" w:rsidRDefault="00672CAE">
      <w:pPr>
        <w:pStyle w:val="a3"/>
        <w:spacing w:before="144" w:line="261" w:lineRule="auto"/>
        <w:ind w:left="232" w:right="1677"/>
      </w:pPr>
      <w:r>
        <w:t xml:space="preserve">Weekly doses of </w:t>
      </w:r>
      <w:r w:rsidR="00113E1E">
        <w:t>PROJECT 16-1</w:t>
      </w:r>
      <w:r>
        <w:t xml:space="preserve"> via IV administration at 2.4 and 4.8 mg/kg on days 1 and 8 resulted in mortality and morbidity. One 4.8 mg/kg/dose animal was found dead on day 10; the remaining animals were euthanized early on days 11 and 13 due to poor health condition.</w:t>
      </w:r>
    </w:p>
    <w:p w:rsidR="000B21A0" w:rsidRDefault="00113E1E">
      <w:pPr>
        <w:pStyle w:val="a3"/>
        <w:spacing w:before="118" w:line="261" w:lineRule="auto"/>
        <w:ind w:left="232" w:right="1696"/>
      </w:pPr>
      <w:r>
        <w:t>PROJECT 16-1</w:t>
      </w:r>
      <w:r w:rsidR="00672CAE">
        <w:t xml:space="preserve">-related clinical signs included skin lesions with scabs, hunched posture, decreased activities, starting on day 8. Changes in clinical pathology parameters included markedly decreased red cell mass, decreased reticulocyte, markedly decreased leukocytes, moderately decreased albumin and increased globulin resulting in a decreased </w:t>
      </w:r>
      <w:proofErr w:type="spellStart"/>
      <w:r w:rsidR="00672CAE">
        <w:t>albumin:globulin</w:t>
      </w:r>
      <w:proofErr w:type="spellEnd"/>
      <w:r w:rsidR="00672CAE">
        <w:t xml:space="preserve"> ratio, moderately increased fibrinogen in all group 4 (2.4 mg/kg) and </w:t>
      </w:r>
      <w:r w:rsidR="00672CAE">
        <w:lastRenderedPageBreak/>
        <w:t>group 5 (4.8 mg/kg) animals, and minimally increased ALT, AST, ALP, creatine kinase (CK), minimally prolonged prothrombin time and activated partial thromboplastin time in individual animals. Flow</w:t>
      </w:r>
    </w:p>
    <w:p w:rsidR="000B21A0" w:rsidRDefault="000B21A0">
      <w:pPr>
        <w:spacing w:line="261" w:lineRule="auto"/>
        <w:sectPr w:rsidR="000B21A0">
          <w:pgSz w:w="12240" w:h="15840"/>
          <w:pgMar w:top="1560" w:right="0" w:bottom="940" w:left="1380" w:header="578" w:footer="748" w:gutter="0"/>
          <w:cols w:space="720"/>
        </w:sectPr>
      </w:pPr>
    </w:p>
    <w:p w:rsidR="000B21A0" w:rsidRDefault="00672CAE">
      <w:pPr>
        <w:pStyle w:val="a3"/>
        <w:spacing w:before="143" w:line="261" w:lineRule="auto"/>
        <w:ind w:left="232" w:right="2490"/>
      </w:pPr>
      <w:r>
        <w:lastRenderedPageBreak/>
        <w:t>cytometry data indicated marked reductions in all lymphocyte subsets and monocyte populations.</w:t>
      </w:r>
    </w:p>
    <w:p w:rsidR="000B21A0" w:rsidRDefault="00672CAE">
      <w:pPr>
        <w:pStyle w:val="a3"/>
        <w:spacing w:before="119" w:line="261" w:lineRule="auto"/>
        <w:ind w:left="232" w:right="1830"/>
      </w:pPr>
      <w:r>
        <w:t>Histopathology findings included moderate to marked bone marrow hypocellularity (erythroid and myeloid), marked systemic lymphoid depletion characterized by a marked decrease in the number of lymphocytes in the thymus, spleen, mandibular lymph node, mesenteric lymphoid, and GALT (immunosuppression) and severe opportunistic bacterial infections. Bone marrow hypocellularity (erythroid and myeloid) was similar in incidence; however, slightly decreased in severity in Group 4 animals (moderate to marked) as compared to Group 5 animals (marked). All other macroscopic and microscopic findings in the early death animal were considered to be related to debilitation, inanition, bacterial infection, bacterial septicemia and/or circulatory failure/hypoxia (shock).</w:t>
      </w:r>
    </w:p>
    <w:p w:rsidR="000B21A0" w:rsidRDefault="00672CAE">
      <w:pPr>
        <w:pStyle w:val="2"/>
        <w:spacing w:before="117"/>
        <w:ind w:left="232" w:firstLine="0"/>
      </w:pPr>
      <w:r>
        <w:t>Phase II of Study in Cynomolgus Monkeys</w:t>
      </w:r>
    </w:p>
    <w:p w:rsidR="000B21A0" w:rsidRDefault="00672CAE">
      <w:pPr>
        <w:pStyle w:val="a3"/>
        <w:spacing w:before="139" w:line="261" w:lineRule="auto"/>
        <w:ind w:left="232" w:right="1876"/>
      </w:pPr>
      <w:r>
        <w:t xml:space="preserve">Following a 51-day washout period of the single dose animals from Phase I, additional dosing was conducted to further define dose and regimen. IV administration of </w:t>
      </w:r>
      <w:r w:rsidR="00113E1E">
        <w:t>PROJECT 16-1</w:t>
      </w:r>
      <w:r>
        <w:t xml:space="preserve"> at</w:t>
      </w:r>
    </w:p>
    <w:p w:rsidR="000B21A0" w:rsidRDefault="00672CAE">
      <w:pPr>
        <w:pStyle w:val="a3"/>
        <w:spacing w:line="274" w:lineRule="exact"/>
        <w:ind w:left="232"/>
      </w:pPr>
      <w:r>
        <w:t>0.4 mg/kg/weekly for a total of 4 doses or once every other week at 0.8 mg/kg/dose and</w:t>
      </w:r>
    </w:p>
    <w:p w:rsidR="000B21A0" w:rsidRDefault="00672CAE">
      <w:pPr>
        <w:pStyle w:val="a3"/>
        <w:spacing w:before="24"/>
        <w:ind w:left="232"/>
      </w:pPr>
      <w:r>
        <w:t>2.4 mg/kg/dose for a total of 4 doses was generally well-tolerated in cynomolgus monkeys.</w:t>
      </w:r>
    </w:p>
    <w:p w:rsidR="000B21A0" w:rsidRDefault="00672CAE">
      <w:pPr>
        <w:pStyle w:val="a3"/>
        <w:spacing w:before="144" w:line="261" w:lineRule="auto"/>
        <w:ind w:left="232" w:right="1618"/>
      </w:pPr>
      <w:r>
        <w:t xml:space="preserve">There were no </w:t>
      </w:r>
      <w:r w:rsidR="00113E1E">
        <w:t>PROJECT 16-1</w:t>
      </w:r>
      <w:r>
        <w:t xml:space="preserve">-related changes in body weight or food consumption. While no </w:t>
      </w:r>
      <w:r w:rsidR="00113E1E">
        <w:t>PROJECT 16-1</w:t>
      </w:r>
      <w:r>
        <w:t xml:space="preserve">-related clinical signs were present at 0.4 or 0.8 mg/kg, two group 8 (2.4 mg/kg) animals had skin lesions on day 9 (similar to Phase I animals). There </w:t>
      </w:r>
      <w:proofErr w:type="gramStart"/>
      <w:r>
        <w:t>were</w:t>
      </w:r>
      <w:proofErr w:type="gramEnd"/>
      <w:r>
        <w:t xml:space="preserve"> no </w:t>
      </w:r>
      <w:r w:rsidR="00113E1E">
        <w:t>PROJECT 16-1</w:t>
      </w:r>
      <w:r>
        <w:t xml:space="preserve">- related changes in clinical chemistry, coagulation, or urinalysis parameters. In animals treated with 0.8 mg/kg once every 2 weeks, changes in hematology parameters included minimal decreases in leukocyte counts on days 7 and 14. </w:t>
      </w:r>
      <w:r w:rsidR="00113E1E">
        <w:t>PROJECT 16-1</w:t>
      </w:r>
      <w:r>
        <w:t>-related changes in hematology parameters in the group 8 animals (2.4 mg/kg) included moderately decreased red cell mass, markedly decreased leukocytes at day 7 and 49.</w:t>
      </w:r>
    </w:p>
    <w:p w:rsidR="000B21A0" w:rsidRDefault="00113E1E">
      <w:pPr>
        <w:pStyle w:val="a3"/>
        <w:spacing w:before="114" w:line="261" w:lineRule="auto"/>
        <w:ind w:left="232" w:right="1651"/>
      </w:pPr>
      <w:r>
        <w:t>PROJECT 16-1</w:t>
      </w:r>
      <w:r w:rsidR="00672CAE">
        <w:t xml:space="preserve">-related, dose-dependent, and variable decreases were present for T- and B- lymphocyte subsets for 0.8 mg/kg and 2.4 mg/kg groups at the </w:t>
      </w:r>
      <w:proofErr w:type="gramStart"/>
      <w:r w:rsidR="00672CAE">
        <w:t>6 hour</w:t>
      </w:r>
      <w:proofErr w:type="gramEnd"/>
      <w:r w:rsidR="00672CAE">
        <w:t xml:space="preserve"> post-EOI time point and for the 2.4 mg/kg group at the 24 hour post-EOI time point. T- and B-lymphocyte values for Group 7 (0.8 mg/kg) generally recovered by the day 50 time point; however, group 8 (2.4 mg/kg) values were reduced at this time point. All dose levels demonstrated minor reduction in NK-cells at the day 1- </w:t>
      </w:r>
      <w:proofErr w:type="gramStart"/>
      <w:r w:rsidR="00672CAE">
        <w:t>6 hour</w:t>
      </w:r>
      <w:proofErr w:type="gramEnd"/>
      <w:r w:rsidR="00672CAE">
        <w:t xml:space="preserve"> time point. For the 0.4 mg/kg group NK cells returned to baseline by day 15 while values for the 0.8 mg/kg did not recover until day 50 and the NK- cells for 2.4 mg/kg remained decreased.</w:t>
      </w:r>
    </w:p>
    <w:p w:rsidR="000B21A0" w:rsidRDefault="00672CAE">
      <w:pPr>
        <w:pStyle w:val="a3"/>
        <w:spacing w:before="113" w:line="261" w:lineRule="auto"/>
        <w:ind w:left="232" w:right="1603"/>
      </w:pPr>
      <w:r>
        <w:t xml:space="preserve">The serum concentration data for </w:t>
      </w:r>
      <w:r w:rsidR="00113E1E">
        <w:t>PROJECT 16-1</w:t>
      </w:r>
      <w:r>
        <w:t xml:space="preserve"> ADC and </w:t>
      </w:r>
      <w:proofErr w:type="spellStart"/>
      <w:r>
        <w:t>TAb</w:t>
      </w:r>
      <w:proofErr w:type="spellEnd"/>
      <w:r>
        <w:t xml:space="preserve"> from Group 6 was below the lower limit of quantification (LLOQ). In </w:t>
      </w:r>
      <w:proofErr w:type="gramStart"/>
      <w:r>
        <w:t>addition</w:t>
      </w:r>
      <w:proofErr w:type="gramEnd"/>
      <w:r>
        <w:t xml:space="preserve"> serum concentration data for </w:t>
      </w:r>
      <w:r w:rsidR="00113E1E">
        <w:t>PROJECT 16-1</w:t>
      </w:r>
      <w:r>
        <w:t xml:space="preserve"> ADC and </w:t>
      </w:r>
      <w:proofErr w:type="spellStart"/>
      <w:r>
        <w:t>TAb</w:t>
      </w:r>
      <w:proofErr w:type="spellEnd"/>
      <w:r>
        <w:t xml:space="preserve"> from group 7 was below the LLOQ beyond day 1 (24 h) – day 1 (96 h). </w:t>
      </w:r>
      <w:proofErr w:type="gramStart"/>
      <w:r>
        <w:t>However</w:t>
      </w:r>
      <w:proofErr w:type="gramEnd"/>
      <w:r>
        <w:t xml:space="preserve"> serum concentration data for </w:t>
      </w:r>
      <w:r w:rsidR="00113E1E">
        <w:t>PROJECT 16-1</w:t>
      </w:r>
      <w:r>
        <w:t xml:space="preserve"> ADC and </w:t>
      </w:r>
      <w:proofErr w:type="spellStart"/>
      <w:r>
        <w:t>TAb</w:t>
      </w:r>
      <w:proofErr w:type="spellEnd"/>
      <w:r>
        <w:t xml:space="preserve"> from group 8 was above the LLOQ for the entire profile. These observations could be attributed to the incidence of immunogenicity in animals from groups 6 and 7. Since immunogenicity was not tested in this study, a definitive relationship between immunogenicity and serum concentrations could not be concluded. In group 8, maximum serum concentrations for ADC </w:t>
      </w:r>
      <w:r>
        <w:lastRenderedPageBreak/>
        <w:t xml:space="preserve">and </w:t>
      </w:r>
      <w:proofErr w:type="spellStart"/>
      <w:r>
        <w:t>TAb</w:t>
      </w:r>
      <w:proofErr w:type="spellEnd"/>
      <w:r>
        <w:t xml:space="preserve"> upon administration of </w:t>
      </w:r>
      <w:r w:rsidR="00113E1E">
        <w:t>PROJECT 16-1</w:t>
      </w:r>
    </w:p>
    <w:p w:rsidR="000B21A0" w:rsidRDefault="000B21A0">
      <w:pPr>
        <w:spacing w:line="261" w:lineRule="auto"/>
        <w:sectPr w:rsidR="000B21A0">
          <w:pgSz w:w="12240" w:h="15840"/>
          <w:pgMar w:top="1560" w:right="0" w:bottom="940" w:left="1380" w:header="578" w:footer="748" w:gutter="0"/>
          <w:cols w:space="720"/>
        </w:sectPr>
      </w:pPr>
    </w:p>
    <w:p w:rsidR="000B21A0" w:rsidRDefault="00672CAE">
      <w:pPr>
        <w:pStyle w:val="a3"/>
        <w:spacing w:before="143" w:line="254" w:lineRule="auto"/>
        <w:ind w:left="232" w:right="1723"/>
      </w:pPr>
      <w:r>
        <w:lastRenderedPageBreak/>
        <w:t xml:space="preserve">were attained between 5 minutes and </w:t>
      </w:r>
      <w:proofErr w:type="gramStart"/>
      <w:r>
        <w:t>one hour</w:t>
      </w:r>
      <w:proofErr w:type="gramEnd"/>
      <w:r>
        <w:t xml:space="preserve"> post end-of-30- minute IV infusion. The </w:t>
      </w:r>
      <w:proofErr w:type="spellStart"/>
      <w:r>
        <w:t>TAb</w:t>
      </w:r>
      <w:proofErr w:type="spellEnd"/>
      <w:r>
        <w:t xml:space="preserve"> concentrations were generally higher in comparison to its corresponding ADC profiles for both antibodies. The elimination half-life (T½ </w:t>
      </w:r>
      <w:r>
        <w:rPr>
          <w:rFonts w:ascii="Symbol" w:hAnsi="Symbol"/>
        </w:rPr>
        <w:t></w:t>
      </w:r>
      <w:r>
        <w:t xml:space="preserve">z) for </w:t>
      </w:r>
      <w:r w:rsidR="00113E1E">
        <w:t>PROJECT 16-1</w:t>
      </w:r>
      <w:r>
        <w:t xml:space="preserve"> ADC and </w:t>
      </w:r>
      <w:proofErr w:type="spellStart"/>
      <w:r>
        <w:t>TAb</w:t>
      </w:r>
      <w:proofErr w:type="spellEnd"/>
      <w:r>
        <w:t xml:space="preserve"> ranged from</w:t>
      </w:r>
    </w:p>
    <w:p w:rsidR="000B21A0" w:rsidRDefault="00672CAE">
      <w:pPr>
        <w:pStyle w:val="a3"/>
        <w:spacing w:before="4" w:line="261" w:lineRule="auto"/>
        <w:ind w:left="232" w:right="1887"/>
      </w:pPr>
      <w:r>
        <w:t xml:space="preserve">1.58 – 1.98 days and 1.65 – 2.13 days for group 8. The </w:t>
      </w:r>
      <w:proofErr w:type="spellStart"/>
      <w:r>
        <w:t>C</w:t>
      </w:r>
      <w:r>
        <w:rPr>
          <w:vertAlign w:val="subscript"/>
        </w:rPr>
        <w:t>max</w:t>
      </w:r>
      <w:proofErr w:type="spellEnd"/>
      <w:r>
        <w:t xml:space="preserve"> values for both ADC and </w:t>
      </w:r>
      <w:proofErr w:type="spellStart"/>
      <w:r>
        <w:t>TAb</w:t>
      </w:r>
      <w:proofErr w:type="spellEnd"/>
      <w:r>
        <w:t xml:space="preserve"> after the first and last dose suggested that there is no accumulation of the test article when administered every two weeks and this is attributed to a short half-life of the drug.</w:t>
      </w:r>
    </w:p>
    <w:p w:rsidR="000B21A0" w:rsidRDefault="00113E1E">
      <w:pPr>
        <w:pStyle w:val="a3"/>
        <w:spacing w:before="117"/>
        <w:ind w:left="232"/>
      </w:pPr>
      <w:r>
        <w:t>PROJECT 16-1</w:t>
      </w:r>
      <w:r w:rsidR="00672CAE">
        <w:t>-related organ weight changes were identified in the spleen and thymus at</w:t>
      </w:r>
    </w:p>
    <w:p w:rsidR="000B21A0" w:rsidRDefault="00672CAE">
      <w:pPr>
        <w:pStyle w:val="a3"/>
        <w:spacing w:before="24" w:line="261" w:lineRule="auto"/>
        <w:ind w:left="232" w:right="1611"/>
      </w:pPr>
      <w:r>
        <w:t>2.4 mg/kg. Mean spleen weight (absolute, percent of body and brain weights) as well as mean thymus weight (absolute, percent of body and brain weights) was slightly decreased in Group 8 animals as compared to the other dose groups. The decrease in spleen weight correlated with a marked decrease in number/size of lymphoid follicles/germinal centers in all animals. There was no consistent microscopic correlate for the decrease in mean thymus weight; however, minimal lymphoid necrosis was identified in 1 animal.</w:t>
      </w:r>
    </w:p>
    <w:p w:rsidR="000B21A0" w:rsidRDefault="00113E1E">
      <w:pPr>
        <w:pStyle w:val="a3"/>
        <w:spacing w:before="115" w:line="261" w:lineRule="auto"/>
        <w:ind w:left="232" w:right="1724"/>
      </w:pPr>
      <w:r>
        <w:t>PROJECT 16-1</w:t>
      </w:r>
      <w:r w:rsidR="00672CAE">
        <w:t>-related microscopic findings identified in the lymphoid tissues and bone marrow were similar yet often less severe than those described in the early death animals from Phase</w:t>
      </w:r>
    </w:p>
    <w:p w:rsidR="000B21A0" w:rsidRDefault="00672CAE">
      <w:pPr>
        <w:pStyle w:val="a3"/>
        <w:spacing w:line="261" w:lineRule="auto"/>
        <w:ind w:left="232" w:right="1618"/>
      </w:pPr>
      <w:r>
        <w:t>I. A mild or marked decrease in the number and size of lymphoid germinal centers (germinal center depletion) was identified in the spleen at ≥ 0.8 mg/kg (Groups 7 and 8); and in GALT, mandibular lymph node and mesenteric lymph node at 2.4 mg/kg (Group 8). In the spleen, the germinal center depletion increased in incidence and severity in a dose dependent</w:t>
      </w:r>
      <w:r>
        <w:rPr>
          <w:spacing w:val="-18"/>
        </w:rPr>
        <w:t xml:space="preserve"> </w:t>
      </w:r>
      <w:r>
        <w:t xml:space="preserve">fashion. In the thymus, minimal lymphoid necrosis was identified in 1 of 3 animals in the 2.4 mg/kg dose group. In the bone marrow, moderate or marked hypocellularity (myeloid and erythroid) and a minimal or mild increase in medullary macrophages (containing phagocytized cellular debris) were identified in all 2.4 mg/kg dose group animals. Potential </w:t>
      </w:r>
      <w:r w:rsidR="00113E1E">
        <w:t>PROJECT 16-1</w:t>
      </w:r>
      <w:r>
        <w:t xml:space="preserve">-related macroscopic findings were identified in the skin at 2.4 mg/kg. The gross observation of scales or scabs on the left forearm in two 2.4 mg/kg dose group correlated microscopically with focal ulcerative or non-ulcerative dermatitis characterized by focally extensive acanthosis (epidermal hyperplasia), hyperkeratosis, crust formation (with or without intralesional bacteria and epidermal ulceration), mixed or mononuclear perivascular inflammation and fibroplasias/fibrosis in the underlying dermis. </w:t>
      </w:r>
      <w:r>
        <w:rPr>
          <w:spacing w:val="-3"/>
        </w:rPr>
        <w:t xml:space="preserve">In </w:t>
      </w:r>
      <w:r>
        <w:t xml:space="preserve">both animals, hair  follicles were affected and rare individual apoptotic keratinocytes were present in epidermis in 1 of the 2 animals. The subcutaneous facial nodule noted in one 2.4 mg/kg dose group animal was characterized by focal epidermal necrosis overlying an area of moderate focal dermal necrosis with intralesional bacteria as well as deposition of abundant basophilic material surrounded by mixed inflammation and fibroplasias/fibrosis. Additional findings of uncertain relationship to </w:t>
      </w:r>
      <w:r w:rsidR="00113E1E">
        <w:t>PROJECT 16-1</w:t>
      </w:r>
      <w:r>
        <w:t xml:space="preserve"> administration were identified in the kidney (arteritis and glomerulonephritis) in all </w:t>
      </w:r>
      <w:r w:rsidR="00113E1E">
        <w:t>PROJECT 16-1</w:t>
      </w:r>
      <w:r>
        <w:t xml:space="preserve"> dose groups. These are relatively common background findings in cynomolgus monkeys; however, the high incidence in this study makes the relationship to test article uncertain.</w:t>
      </w:r>
    </w:p>
    <w:p w:rsidR="000B21A0" w:rsidRDefault="00672CAE">
      <w:pPr>
        <w:pStyle w:val="2"/>
        <w:numPr>
          <w:ilvl w:val="4"/>
          <w:numId w:val="12"/>
        </w:numPr>
        <w:tabs>
          <w:tab w:val="left" w:pos="1365"/>
          <w:tab w:val="left" w:pos="1366"/>
        </w:tabs>
        <w:spacing w:before="105"/>
      </w:pPr>
      <w:bookmarkStart w:id="23" w:name="4.4.2.2.4_Conclusions"/>
      <w:bookmarkEnd w:id="23"/>
      <w:r>
        <w:t>Conclusions</w:t>
      </w:r>
    </w:p>
    <w:p w:rsidR="000B21A0" w:rsidRDefault="00672CAE">
      <w:pPr>
        <w:pStyle w:val="a3"/>
        <w:spacing w:before="139" w:line="261" w:lineRule="auto"/>
        <w:ind w:left="232" w:right="1696"/>
      </w:pPr>
      <w:r>
        <w:t xml:space="preserve">The results of Phase I indicated that weekly administration at ≥ 2.4 mg/kg was not tolerated </w:t>
      </w:r>
      <w:r>
        <w:lastRenderedPageBreak/>
        <w:t>as a result of marked immunosuppression and development of bacterial opportunistic</w:t>
      </w:r>
    </w:p>
    <w:p w:rsidR="000B21A0" w:rsidRDefault="000B21A0">
      <w:pPr>
        <w:spacing w:line="261" w:lineRule="auto"/>
        <w:sectPr w:rsidR="000B21A0">
          <w:pgSz w:w="12240" w:h="15840"/>
          <w:pgMar w:top="1560" w:right="0" w:bottom="940" w:left="1380" w:header="578" w:footer="748" w:gutter="0"/>
          <w:cols w:space="720"/>
        </w:sectPr>
      </w:pPr>
    </w:p>
    <w:p w:rsidR="000B21A0" w:rsidRDefault="00672CAE">
      <w:pPr>
        <w:pStyle w:val="a3"/>
        <w:spacing w:before="143" w:line="261" w:lineRule="auto"/>
        <w:ind w:left="232" w:right="1596"/>
      </w:pPr>
      <w:r>
        <w:lastRenderedPageBreak/>
        <w:t xml:space="preserve">infection. In </w:t>
      </w:r>
      <w:proofErr w:type="gramStart"/>
      <w:r>
        <w:t>addition</w:t>
      </w:r>
      <w:proofErr w:type="gramEnd"/>
      <w:r>
        <w:t xml:space="preserve"> the skin lesions are likely secondary to immunosuppression as the target (CD37 for </w:t>
      </w:r>
      <w:r w:rsidR="00113E1E">
        <w:t>PROJECT 16-1</w:t>
      </w:r>
      <w:r>
        <w:t xml:space="preserve">) is not expressed in the skin. These results suggest that further studies should allow for recovery of lymphocyte subsets prior to further dose administration to avoid the possibility of developing opportunistic infections. </w:t>
      </w:r>
      <w:proofErr w:type="gramStart"/>
      <w:r>
        <w:t>Therefore</w:t>
      </w:r>
      <w:proofErr w:type="gramEnd"/>
      <w:r>
        <w:t xml:space="preserve"> for Phase II, a once every 2 week dose interval was chosen based on the data from the single dose arm of Phase I which demonstrated that the immune cells tended to recover between days 11 and 14 after dosing.</w:t>
      </w:r>
    </w:p>
    <w:p w:rsidR="000B21A0" w:rsidRDefault="00672CAE">
      <w:pPr>
        <w:pStyle w:val="a3"/>
        <w:spacing w:before="115" w:line="261" w:lineRule="auto"/>
        <w:ind w:left="232" w:right="1623"/>
      </w:pPr>
      <w:r>
        <w:t>In Phase II, weekly doses of 0.4 mg/kg or once every other week doses at 0.8 and 2.4 mg/kg were generally well tolerated. Hematologic changes similar to those observed in Phase I were noted but were less severe. Treatment-related, dose-dependent and variable decreases were present at the 0.8 and 2.4 mg/kg dose levels for T and B lymphocytes which generally recovered by day 50. In contrast NK cells remained decreased at the end of the treatment period. Microscopic findings in the lymphoid tissue and bone marrow were similar to Phase I animals but were less severe. Skin lesions were noted at the 2.4 mg/kg dose level but were likely associated with bacterial infection secondary to immune suppression and not a direct effect of the test article. The results from Phase II must take into consideration that animals had decreasing levels of exposure over the study period. Although immunogenicity was not assessed in this study, it is likely that these animals developed antidrug antibodies. Therefore, the results may be understated given the variable exposure. In general, this arm of the study suggested that for the best tolerability dosing in further studies should be based on allowing immune cells to recover between doses.</w:t>
      </w:r>
    </w:p>
    <w:p w:rsidR="000B21A0" w:rsidRPr="0036140F" w:rsidRDefault="00672CAE">
      <w:pPr>
        <w:pStyle w:val="2"/>
        <w:spacing w:before="114" w:line="261" w:lineRule="auto"/>
        <w:ind w:left="232" w:right="2088" w:firstLine="0"/>
        <w:rPr>
          <w:highlight w:val="cyan"/>
        </w:rPr>
      </w:pPr>
      <w:r w:rsidRPr="0036140F">
        <w:rPr>
          <w:highlight w:val="cyan"/>
        </w:rPr>
        <w:t xml:space="preserve">A Multiple Dose Toxicity Study </w:t>
      </w:r>
      <w:proofErr w:type="gramStart"/>
      <w:r w:rsidRPr="0036140F">
        <w:rPr>
          <w:highlight w:val="cyan"/>
        </w:rPr>
        <w:t>Of</w:t>
      </w:r>
      <w:proofErr w:type="gramEnd"/>
      <w:r w:rsidRPr="0036140F">
        <w:rPr>
          <w:highlight w:val="cyan"/>
        </w:rPr>
        <w:t xml:space="preserve"> </w:t>
      </w:r>
      <w:r w:rsidR="00113E1E">
        <w:rPr>
          <w:highlight w:val="cyan"/>
        </w:rPr>
        <w:t>PROJECT 16-1</w:t>
      </w:r>
      <w:r w:rsidRPr="0036140F">
        <w:rPr>
          <w:highlight w:val="cyan"/>
        </w:rPr>
        <w:t xml:space="preserve"> And </w:t>
      </w:r>
      <w:r w:rsidR="00113E1E">
        <w:rPr>
          <w:highlight w:val="cyan"/>
        </w:rPr>
        <w:t>PROJECT 16-2</w:t>
      </w:r>
      <w:r w:rsidRPr="0036140F">
        <w:rPr>
          <w:highlight w:val="cyan"/>
        </w:rPr>
        <w:t xml:space="preserve"> Administered By IV Infusion To Cynomolgus Monkeys With A 6-Week Recovery Period (Charles River Study No. 20043367)</w:t>
      </w:r>
    </w:p>
    <w:p w:rsidR="000B21A0" w:rsidRPr="0036140F" w:rsidRDefault="00672CAE">
      <w:pPr>
        <w:pStyle w:val="a4"/>
        <w:numPr>
          <w:ilvl w:val="4"/>
          <w:numId w:val="12"/>
        </w:numPr>
        <w:tabs>
          <w:tab w:val="left" w:pos="1365"/>
          <w:tab w:val="left" w:pos="1366"/>
        </w:tabs>
        <w:spacing w:before="117"/>
        <w:rPr>
          <w:b/>
          <w:sz w:val="24"/>
          <w:highlight w:val="cyan"/>
        </w:rPr>
      </w:pPr>
      <w:bookmarkStart w:id="24" w:name="4.4.2.2.5_Objective"/>
      <w:bookmarkEnd w:id="24"/>
      <w:r w:rsidRPr="0036140F">
        <w:rPr>
          <w:b/>
          <w:sz w:val="24"/>
          <w:highlight w:val="cyan"/>
        </w:rPr>
        <w:t>Objective</w:t>
      </w:r>
    </w:p>
    <w:p w:rsidR="000B21A0" w:rsidRPr="0036140F" w:rsidRDefault="00672CAE">
      <w:pPr>
        <w:pStyle w:val="a3"/>
        <w:spacing w:before="140" w:line="261" w:lineRule="auto"/>
        <w:ind w:left="232" w:right="1763"/>
        <w:rPr>
          <w:highlight w:val="cyan"/>
        </w:rPr>
      </w:pPr>
      <w:r w:rsidRPr="0036140F">
        <w:rPr>
          <w:highlight w:val="cyan"/>
        </w:rPr>
        <w:t xml:space="preserve">The objectives of this GLP study were to determine the potential toxicity and TK profiles of </w:t>
      </w:r>
      <w:r w:rsidR="00113E1E">
        <w:rPr>
          <w:highlight w:val="cyan"/>
        </w:rPr>
        <w:t>PROJECT 16-1</w:t>
      </w:r>
      <w:r w:rsidRPr="0036140F">
        <w:rPr>
          <w:highlight w:val="cyan"/>
        </w:rPr>
        <w:t xml:space="preserve"> when administered once every 2 weeks for a total of 4 doses (on Days 1, 15, 29, and 43) by a 30-minute IV infusion to cynomolgus monkeys, and to evaluate recovery from any effects over a dose-free period of 6 weeks. To aid in determination of the ADC toxicity, the antibody (</w:t>
      </w:r>
      <w:r w:rsidR="00113E1E">
        <w:rPr>
          <w:highlight w:val="cyan"/>
        </w:rPr>
        <w:t>PROJECT 16-2</w:t>
      </w:r>
      <w:r w:rsidRPr="0036140F">
        <w:rPr>
          <w:highlight w:val="cyan"/>
        </w:rPr>
        <w:t>) was dosed at the equivalent to the high dose of the ADC and the drug payload (the small molecule attached to the antibody, MMAE) was administered at the molar equivalent of the high dose ADC group.</w:t>
      </w:r>
    </w:p>
    <w:p w:rsidR="000B21A0" w:rsidRPr="0036140F" w:rsidRDefault="00672CAE">
      <w:pPr>
        <w:pStyle w:val="2"/>
        <w:numPr>
          <w:ilvl w:val="4"/>
          <w:numId w:val="12"/>
        </w:numPr>
        <w:tabs>
          <w:tab w:val="left" w:pos="1365"/>
          <w:tab w:val="left" w:pos="1366"/>
        </w:tabs>
        <w:spacing w:before="119"/>
        <w:rPr>
          <w:highlight w:val="cyan"/>
        </w:rPr>
      </w:pPr>
      <w:bookmarkStart w:id="25" w:name="4.4.2.2.6_Methods"/>
      <w:bookmarkEnd w:id="25"/>
      <w:r w:rsidRPr="0036140F">
        <w:rPr>
          <w:highlight w:val="cyan"/>
        </w:rPr>
        <w:t>Methods</w:t>
      </w:r>
    </w:p>
    <w:p w:rsidR="000B21A0" w:rsidRPr="0036140F" w:rsidRDefault="00672CAE">
      <w:pPr>
        <w:pStyle w:val="a3"/>
        <w:spacing w:before="139"/>
        <w:ind w:left="232"/>
        <w:rPr>
          <w:highlight w:val="cyan"/>
        </w:rPr>
      </w:pPr>
      <w:r w:rsidRPr="0036140F">
        <w:rPr>
          <w:highlight w:val="cyan"/>
        </w:rPr>
        <w:t xml:space="preserve">The study design is </w:t>
      </w:r>
      <w:proofErr w:type="gramStart"/>
      <w:r w:rsidRPr="0036140F">
        <w:rPr>
          <w:highlight w:val="cyan"/>
        </w:rPr>
        <w:t>summarize</w:t>
      </w:r>
      <w:proofErr w:type="gramEnd"/>
      <w:r w:rsidR="0036140F" w:rsidRPr="0036140F">
        <w:rPr>
          <w:highlight w:val="cyan"/>
        </w:rPr>
        <w:fldChar w:fldCharType="begin"/>
      </w:r>
      <w:r w:rsidR="0036140F" w:rsidRPr="0036140F">
        <w:rPr>
          <w:highlight w:val="cyan"/>
        </w:rPr>
        <w:instrText xml:space="preserve"> HYPERLINK \l "_bookmark80" </w:instrText>
      </w:r>
      <w:r w:rsidR="0036140F" w:rsidRPr="0036140F">
        <w:rPr>
          <w:highlight w:val="cyan"/>
        </w:rPr>
        <w:fldChar w:fldCharType="separate"/>
      </w:r>
      <w:r w:rsidRPr="0036140F">
        <w:rPr>
          <w:highlight w:val="cyan"/>
        </w:rPr>
        <w:t>d in Table 14.</w:t>
      </w:r>
      <w:r w:rsidR="0036140F" w:rsidRPr="0036140F">
        <w:rPr>
          <w:highlight w:val="cyan"/>
        </w:rPr>
        <w:fldChar w:fldCharType="end"/>
      </w:r>
    </w:p>
    <w:p w:rsidR="000B21A0" w:rsidRPr="0036140F" w:rsidRDefault="000B21A0">
      <w:pPr>
        <w:rPr>
          <w:highlight w:val="cyan"/>
        </w:rPr>
        <w:sectPr w:rsidR="000B21A0" w:rsidRPr="0036140F">
          <w:pgSz w:w="12240" w:h="15840"/>
          <w:pgMar w:top="1560" w:right="0" w:bottom="940" w:left="1380" w:header="578" w:footer="748" w:gutter="0"/>
          <w:cols w:space="720"/>
        </w:sectPr>
      </w:pPr>
    </w:p>
    <w:p w:rsidR="000B21A0" w:rsidRPr="0036140F" w:rsidRDefault="00672CAE">
      <w:pPr>
        <w:pStyle w:val="2"/>
        <w:tabs>
          <w:tab w:val="left" w:pos="1651"/>
        </w:tabs>
        <w:ind w:left="292" w:firstLine="0"/>
        <w:rPr>
          <w:highlight w:val="cyan"/>
        </w:rPr>
      </w:pPr>
      <w:bookmarkStart w:id="26" w:name="_bookmark80"/>
      <w:bookmarkEnd w:id="26"/>
      <w:r w:rsidRPr="0036140F">
        <w:rPr>
          <w:highlight w:val="cyan"/>
        </w:rPr>
        <w:lastRenderedPageBreak/>
        <w:t>Table</w:t>
      </w:r>
      <w:r w:rsidRPr="0036140F">
        <w:rPr>
          <w:spacing w:val="-2"/>
          <w:highlight w:val="cyan"/>
        </w:rPr>
        <w:t xml:space="preserve"> </w:t>
      </w:r>
      <w:r w:rsidRPr="0036140F">
        <w:rPr>
          <w:highlight w:val="cyan"/>
        </w:rPr>
        <w:t>14.</w:t>
      </w:r>
      <w:r w:rsidRPr="0036140F">
        <w:rPr>
          <w:highlight w:val="cyan"/>
        </w:rPr>
        <w:tab/>
        <w:t>Experimental Design for Study 20043367</w:t>
      </w:r>
    </w:p>
    <w:p w:rsidR="000B21A0" w:rsidRPr="0036140F" w:rsidRDefault="000B21A0">
      <w:pPr>
        <w:pStyle w:val="a3"/>
        <w:spacing w:before="5"/>
        <w:rPr>
          <w:b/>
          <w:sz w:val="5"/>
          <w:highlight w:val="cyan"/>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17"/>
        <w:gridCol w:w="1289"/>
        <w:gridCol w:w="1318"/>
        <w:gridCol w:w="980"/>
        <w:gridCol w:w="1227"/>
        <w:gridCol w:w="1033"/>
        <w:gridCol w:w="918"/>
        <w:gridCol w:w="772"/>
        <w:gridCol w:w="918"/>
      </w:tblGrid>
      <w:tr w:rsidR="000B21A0" w:rsidRPr="0036140F">
        <w:trPr>
          <w:trHeight w:val="230"/>
        </w:trPr>
        <w:tc>
          <w:tcPr>
            <w:tcW w:w="917" w:type="dxa"/>
            <w:vMerge w:val="restart"/>
            <w:shd w:val="clear" w:color="auto" w:fill="C6D9F1"/>
          </w:tcPr>
          <w:p w:rsidR="000B21A0" w:rsidRPr="0036140F" w:rsidRDefault="00672CAE">
            <w:pPr>
              <w:pStyle w:val="TableParagraph"/>
              <w:spacing w:before="122"/>
              <w:ind w:left="309" w:hanging="135"/>
              <w:rPr>
                <w:b/>
                <w:sz w:val="20"/>
                <w:highlight w:val="cyan"/>
              </w:rPr>
            </w:pPr>
            <w:r w:rsidRPr="0036140F">
              <w:rPr>
                <w:b/>
                <w:w w:val="95"/>
                <w:sz w:val="20"/>
                <w:highlight w:val="cyan"/>
              </w:rPr>
              <w:t xml:space="preserve">Group </w:t>
            </w:r>
            <w:r w:rsidRPr="0036140F">
              <w:rPr>
                <w:b/>
                <w:sz w:val="20"/>
                <w:highlight w:val="cyan"/>
              </w:rPr>
              <w:t>No.</w:t>
            </w:r>
          </w:p>
        </w:tc>
        <w:tc>
          <w:tcPr>
            <w:tcW w:w="1289" w:type="dxa"/>
            <w:vMerge w:val="restart"/>
            <w:shd w:val="clear" w:color="auto" w:fill="C6D9F1"/>
          </w:tcPr>
          <w:p w:rsidR="000B21A0" w:rsidRPr="0036140F" w:rsidRDefault="00672CAE">
            <w:pPr>
              <w:pStyle w:val="TableParagraph"/>
              <w:spacing w:before="122"/>
              <w:ind w:left="270" w:right="244" w:firstLine="189"/>
              <w:rPr>
                <w:b/>
                <w:sz w:val="20"/>
                <w:highlight w:val="cyan"/>
              </w:rPr>
            </w:pPr>
            <w:r w:rsidRPr="0036140F">
              <w:rPr>
                <w:b/>
                <w:sz w:val="20"/>
                <w:highlight w:val="cyan"/>
              </w:rPr>
              <w:t>Test Material</w:t>
            </w:r>
          </w:p>
        </w:tc>
        <w:tc>
          <w:tcPr>
            <w:tcW w:w="1318" w:type="dxa"/>
            <w:vMerge w:val="restart"/>
            <w:shd w:val="clear" w:color="auto" w:fill="C6D9F1"/>
          </w:tcPr>
          <w:p w:rsidR="000B21A0" w:rsidRPr="0036140F" w:rsidRDefault="00672CAE">
            <w:pPr>
              <w:pStyle w:val="TableParagraph"/>
              <w:spacing w:before="122"/>
              <w:ind w:firstLine="86"/>
              <w:rPr>
                <w:b/>
                <w:sz w:val="20"/>
                <w:highlight w:val="cyan"/>
              </w:rPr>
            </w:pPr>
            <w:r w:rsidRPr="0036140F">
              <w:rPr>
                <w:b/>
                <w:sz w:val="20"/>
                <w:highlight w:val="cyan"/>
              </w:rPr>
              <w:t xml:space="preserve">Dose Level </w:t>
            </w:r>
            <w:r w:rsidRPr="0036140F">
              <w:rPr>
                <w:b/>
                <w:w w:val="95"/>
                <w:sz w:val="20"/>
                <w:highlight w:val="cyan"/>
              </w:rPr>
              <w:t>(mg/kg/dose)</w:t>
            </w:r>
          </w:p>
        </w:tc>
        <w:tc>
          <w:tcPr>
            <w:tcW w:w="980" w:type="dxa"/>
            <w:vMerge w:val="restart"/>
            <w:shd w:val="clear" w:color="auto" w:fill="C6D9F1"/>
          </w:tcPr>
          <w:p w:rsidR="000B21A0" w:rsidRPr="0036140F" w:rsidRDefault="00672CAE">
            <w:pPr>
              <w:pStyle w:val="TableParagraph"/>
              <w:spacing w:before="7" w:line="230" w:lineRule="atLeast"/>
              <w:ind w:left="138" w:firstLine="144"/>
              <w:rPr>
                <w:b/>
                <w:sz w:val="20"/>
                <w:highlight w:val="cyan"/>
              </w:rPr>
            </w:pPr>
            <w:r w:rsidRPr="0036140F">
              <w:rPr>
                <w:b/>
                <w:sz w:val="20"/>
                <w:highlight w:val="cyan"/>
              </w:rPr>
              <w:t xml:space="preserve">Dose Volume </w:t>
            </w:r>
            <w:r w:rsidRPr="0036140F">
              <w:rPr>
                <w:b/>
                <w:w w:val="95"/>
                <w:sz w:val="20"/>
                <w:highlight w:val="cyan"/>
              </w:rPr>
              <w:t>(mL/kg)</w:t>
            </w:r>
          </w:p>
        </w:tc>
        <w:tc>
          <w:tcPr>
            <w:tcW w:w="1227" w:type="dxa"/>
            <w:vMerge w:val="restart"/>
            <w:shd w:val="clear" w:color="auto" w:fill="C6D9F1"/>
          </w:tcPr>
          <w:p w:rsidR="000B21A0" w:rsidRPr="0036140F" w:rsidRDefault="00672CAE">
            <w:pPr>
              <w:pStyle w:val="TableParagraph"/>
              <w:spacing w:before="122"/>
              <w:ind w:left="233" w:right="109" w:hanging="101"/>
              <w:rPr>
                <w:b/>
                <w:sz w:val="20"/>
                <w:highlight w:val="cyan"/>
              </w:rPr>
            </w:pPr>
            <w:r w:rsidRPr="0036140F">
              <w:rPr>
                <w:b/>
                <w:sz w:val="20"/>
                <w:highlight w:val="cyan"/>
              </w:rPr>
              <w:t>Dose Conc. (mg/mL)</w:t>
            </w:r>
          </w:p>
        </w:tc>
        <w:tc>
          <w:tcPr>
            <w:tcW w:w="3641" w:type="dxa"/>
            <w:gridSpan w:val="4"/>
            <w:shd w:val="clear" w:color="auto" w:fill="C6D9F1"/>
          </w:tcPr>
          <w:p w:rsidR="000B21A0" w:rsidRPr="0036140F" w:rsidRDefault="00672CAE">
            <w:pPr>
              <w:pStyle w:val="TableParagraph"/>
              <w:spacing w:line="210" w:lineRule="exact"/>
              <w:ind w:left="1178"/>
              <w:rPr>
                <w:b/>
                <w:sz w:val="20"/>
                <w:highlight w:val="cyan"/>
              </w:rPr>
            </w:pPr>
            <w:r w:rsidRPr="0036140F">
              <w:rPr>
                <w:b/>
                <w:sz w:val="20"/>
                <w:highlight w:val="cyan"/>
              </w:rPr>
              <w:t>No. of Animals</w:t>
            </w:r>
          </w:p>
        </w:tc>
      </w:tr>
      <w:tr w:rsidR="000B21A0" w:rsidRPr="0036140F">
        <w:trPr>
          <w:trHeight w:val="229"/>
        </w:trPr>
        <w:tc>
          <w:tcPr>
            <w:tcW w:w="917" w:type="dxa"/>
            <w:vMerge/>
            <w:tcBorders>
              <w:top w:val="nil"/>
            </w:tcBorders>
            <w:shd w:val="clear" w:color="auto" w:fill="C6D9F1"/>
          </w:tcPr>
          <w:p w:rsidR="000B21A0" w:rsidRPr="0036140F" w:rsidRDefault="000B21A0">
            <w:pPr>
              <w:rPr>
                <w:sz w:val="2"/>
                <w:szCs w:val="2"/>
                <w:highlight w:val="cyan"/>
              </w:rPr>
            </w:pPr>
          </w:p>
        </w:tc>
        <w:tc>
          <w:tcPr>
            <w:tcW w:w="1289" w:type="dxa"/>
            <w:vMerge/>
            <w:tcBorders>
              <w:top w:val="nil"/>
            </w:tcBorders>
            <w:shd w:val="clear" w:color="auto" w:fill="C6D9F1"/>
          </w:tcPr>
          <w:p w:rsidR="000B21A0" w:rsidRPr="0036140F" w:rsidRDefault="000B21A0">
            <w:pPr>
              <w:rPr>
                <w:sz w:val="2"/>
                <w:szCs w:val="2"/>
                <w:highlight w:val="cyan"/>
              </w:rPr>
            </w:pPr>
          </w:p>
        </w:tc>
        <w:tc>
          <w:tcPr>
            <w:tcW w:w="1318" w:type="dxa"/>
            <w:vMerge/>
            <w:tcBorders>
              <w:top w:val="nil"/>
            </w:tcBorders>
            <w:shd w:val="clear" w:color="auto" w:fill="C6D9F1"/>
          </w:tcPr>
          <w:p w:rsidR="000B21A0" w:rsidRPr="0036140F" w:rsidRDefault="000B21A0">
            <w:pPr>
              <w:rPr>
                <w:sz w:val="2"/>
                <w:szCs w:val="2"/>
                <w:highlight w:val="cyan"/>
              </w:rPr>
            </w:pPr>
          </w:p>
        </w:tc>
        <w:tc>
          <w:tcPr>
            <w:tcW w:w="980" w:type="dxa"/>
            <w:vMerge/>
            <w:tcBorders>
              <w:top w:val="nil"/>
            </w:tcBorders>
            <w:shd w:val="clear" w:color="auto" w:fill="C6D9F1"/>
          </w:tcPr>
          <w:p w:rsidR="000B21A0" w:rsidRPr="0036140F" w:rsidRDefault="000B21A0">
            <w:pPr>
              <w:rPr>
                <w:sz w:val="2"/>
                <w:szCs w:val="2"/>
                <w:highlight w:val="cyan"/>
              </w:rPr>
            </w:pPr>
          </w:p>
        </w:tc>
        <w:tc>
          <w:tcPr>
            <w:tcW w:w="1227" w:type="dxa"/>
            <w:vMerge/>
            <w:tcBorders>
              <w:top w:val="nil"/>
            </w:tcBorders>
            <w:shd w:val="clear" w:color="auto" w:fill="C6D9F1"/>
          </w:tcPr>
          <w:p w:rsidR="000B21A0" w:rsidRPr="0036140F" w:rsidRDefault="000B21A0">
            <w:pPr>
              <w:rPr>
                <w:sz w:val="2"/>
                <w:szCs w:val="2"/>
                <w:highlight w:val="cyan"/>
              </w:rPr>
            </w:pPr>
          </w:p>
        </w:tc>
        <w:tc>
          <w:tcPr>
            <w:tcW w:w="1951" w:type="dxa"/>
            <w:gridSpan w:val="2"/>
            <w:shd w:val="clear" w:color="auto" w:fill="C6D9F1"/>
          </w:tcPr>
          <w:p w:rsidR="000B21A0" w:rsidRPr="0036140F" w:rsidRDefault="00672CAE">
            <w:pPr>
              <w:pStyle w:val="TableParagraph"/>
              <w:spacing w:line="210" w:lineRule="exact"/>
              <w:ind w:left="467"/>
              <w:rPr>
                <w:b/>
                <w:sz w:val="20"/>
                <w:highlight w:val="cyan"/>
              </w:rPr>
            </w:pPr>
            <w:r w:rsidRPr="0036140F">
              <w:rPr>
                <w:b/>
                <w:sz w:val="20"/>
                <w:highlight w:val="cyan"/>
              </w:rPr>
              <w:t>Main Study</w:t>
            </w:r>
          </w:p>
        </w:tc>
        <w:tc>
          <w:tcPr>
            <w:tcW w:w="1690" w:type="dxa"/>
            <w:gridSpan w:val="2"/>
            <w:shd w:val="clear" w:color="auto" w:fill="C6D9F1"/>
          </w:tcPr>
          <w:p w:rsidR="000B21A0" w:rsidRPr="0036140F" w:rsidRDefault="00672CAE">
            <w:pPr>
              <w:pStyle w:val="TableParagraph"/>
              <w:spacing w:line="210" w:lineRule="exact"/>
              <w:ind w:left="163"/>
              <w:rPr>
                <w:b/>
                <w:sz w:val="20"/>
                <w:highlight w:val="cyan"/>
              </w:rPr>
            </w:pPr>
            <w:r w:rsidRPr="0036140F">
              <w:rPr>
                <w:b/>
                <w:sz w:val="20"/>
                <w:highlight w:val="cyan"/>
              </w:rPr>
              <w:t>Recovery Study</w:t>
            </w:r>
          </w:p>
        </w:tc>
      </w:tr>
      <w:tr w:rsidR="000B21A0" w:rsidRPr="0036140F">
        <w:trPr>
          <w:trHeight w:val="230"/>
        </w:trPr>
        <w:tc>
          <w:tcPr>
            <w:tcW w:w="917" w:type="dxa"/>
            <w:vMerge/>
            <w:tcBorders>
              <w:top w:val="nil"/>
            </w:tcBorders>
            <w:shd w:val="clear" w:color="auto" w:fill="C6D9F1"/>
          </w:tcPr>
          <w:p w:rsidR="000B21A0" w:rsidRPr="0036140F" w:rsidRDefault="000B21A0">
            <w:pPr>
              <w:rPr>
                <w:sz w:val="2"/>
                <w:szCs w:val="2"/>
                <w:highlight w:val="cyan"/>
              </w:rPr>
            </w:pPr>
          </w:p>
        </w:tc>
        <w:tc>
          <w:tcPr>
            <w:tcW w:w="1289" w:type="dxa"/>
            <w:vMerge/>
            <w:tcBorders>
              <w:top w:val="nil"/>
            </w:tcBorders>
            <w:shd w:val="clear" w:color="auto" w:fill="C6D9F1"/>
          </w:tcPr>
          <w:p w:rsidR="000B21A0" w:rsidRPr="0036140F" w:rsidRDefault="000B21A0">
            <w:pPr>
              <w:rPr>
                <w:sz w:val="2"/>
                <w:szCs w:val="2"/>
                <w:highlight w:val="cyan"/>
              </w:rPr>
            </w:pPr>
          </w:p>
        </w:tc>
        <w:tc>
          <w:tcPr>
            <w:tcW w:w="1318" w:type="dxa"/>
            <w:vMerge/>
            <w:tcBorders>
              <w:top w:val="nil"/>
            </w:tcBorders>
            <w:shd w:val="clear" w:color="auto" w:fill="C6D9F1"/>
          </w:tcPr>
          <w:p w:rsidR="000B21A0" w:rsidRPr="0036140F" w:rsidRDefault="000B21A0">
            <w:pPr>
              <w:rPr>
                <w:sz w:val="2"/>
                <w:szCs w:val="2"/>
                <w:highlight w:val="cyan"/>
              </w:rPr>
            </w:pPr>
          </w:p>
        </w:tc>
        <w:tc>
          <w:tcPr>
            <w:tcW w:w="980" w:type="dxa"/>
            <w:vMerge/>
            <w:tcBorders>
              <w:top w:val="nil"/>
            </w:tcBorders>
            <w:shd w:val="clear" w:color="auto" w:fill="C6D9F1"/>
          </w:tcPr>
          <w:p w:rsidR="000B21A0" w:rsidRPr="0036140F" w:rsidRDefault="000B21A0">
            <w:pPr>
              <w:rPr>
                <w:sz w:val="2"/>
                <w:szCs w:val="2"/>
                <w:highlight w:val="cyan"/>
              </w:rPr>
            </w:pPr>
          </w:p>
        </w:tc>
        <w:tc>
          <w:tcPr>
            <w:tcW w:w="1227" w:type="dxa"/>
            <w:vMerge/>
            <w:tcBorders>
              <w:top w:val="nil"/>
            </w:tcBorders>
            <w:shd w:val="clear" w:color="auto" w:fill="C6D9F1"/>
          </w:tcPr>
          <w:p w:rsidR="000B21A0" w:rsidRPr="0036140F" w:rsidRDefault="000B21A0">
            <w:pPr>
              <w:rPr>
                <w:sz w:val="2"/>
                <w:szCs w:val="2"/>
                <w:highlight w:val="cyan"/>
              </w:rPr>
            </w:pPr>
          </w:p>
        </w:tc>
        <w:tc>
          <w:tcPr>
            <w:tcW w:w="1033" w:type="dxa"/>
            <w:shd w:val="clear" w:color="auto" w:fill="C6D9F1"/>
          </w:tcPr>
          <w:p w:rsidR="000B21A0" w:rsidRPr="0036140F" w:rsidRDefault="00672CAE">
            <w:pPr>
              <w:pStyle w:val="TableParagraph"/>
              <w:spacing w:line="210" w:lineRule="exact"/>
              <w:ind w:left="237" w:right="235"/>
              <w:jc w:val="center"/>
              <w:rPr>
                <w:b/>
                <w:sz w:val="20"/>
                <w:highlight w:val="cyan"/>
              </w:rPr>
            </w:pPr>
            <w:r w:rsidRPr="0036140F">
              <w:rPr>
                <w:b/>
                <w:sz w:val="20"/>
                <w:highlight w:val="cyan"/>
              </w:rPr>
              <w:t>Males</w:t>
            </w:r>
          </w:p>
        </w:tc>
        <w:tc>
          <w:tcPr>
            <w:tcW w:w="918" w:type="dxa"/>
            <w:shd w:val="clear" w:color="auto" w:fill="C6D9F1"/>
          </w:tcPr>
          <w:p w:rsidR="000B21A0" w:rsidRPr="0036140F" w:rsidRDefault="00672CAE">
            <w:pPr>
              <w:pStyle w:val="TableParagraph"/>
              <w:spacing w:line="210" w:lineRule="exact"/>
              <w:ind w:left="84" w:right="82"/>
              <w:jc w:val="center"/>
              <w:rPr>
                <w:b/>
                <w:sz w:val="20"/>
                <w:highlight w:val="cyan"/>
              </w:rPr>
            </w:pPr>
            <w:r w:rsidRPr="0036140F">
              <w:rPr>
                <w:b/>
                <w:sz w:val="20"/>
                <w:highlight w:val="cyan"/>
              </w:rPr>
              <w:t>Females</w:t>
            </w:r>
          </w:p>
        </w:tc>
        <w:tc>
          <w:tcPr>
            <w:tcW w:w="772" w:type="dxa"/>
            <w:shd w:val="clear" w:color="auto" w:fill="C6D9F1"/>
          </w:tcPr>
          <w:p w:rsidR="000B21A0" w:rsidRPr="0036140F" w:rsidRDefault="00672CAE">
            <w:pPr>
              <w:pStyle w:val="TableParagraph"/>
              <w:spacing w:line="210" w:lineRule="exact"/>
              <w:ind w:left="105" w:right="105"/>
              <w:jc w:val="center"/>
              <w:rPr>
                <w:b/>
                <w:sz w:val="20"/>
                <w:highlight w:val="cyan"/>
              </w:rPr>
            </w:pPr>
            <w:r w:rsidRPr="0036140F">
              <w:rPr>
                <w:b/>
                <w:sz w:val="20"/>
                <w:highlight w:val="cyan"/>
              </w:rPr>
              <w:t>Males</w:t>
            </w:r>
          </w:p>
        </w:tc>
        <w:tc>
          <w:tcPr>
            <w:tcW w:w="918" w:type="dxa"/>
            <w:shd w:val="clear" w:color="auto" w:fill="C6D9F1"/>
          </w:tcPr>
          <w:p w:rsidR="000B21A0" w:rsidRPr="0036140F" w:rsidRDefault="00672CAE">
            <w:pPr>
              <w:pStyle w:val="TableParagraph"/>
              <w:spacing w:line="210" w:lineRule="exact"/>
              <w:ind w:left="83" w:right="83"/>
              <w:jc w:val="center"/>
              <w:rPr>
                <w:b/>
                <w:sz w:val="20"/>
                <w:highlight w:val="cyan"/>
              </w:rPr>
            </w:pPr>
            <w:r w:rsidRPr="0036140F">
              <w:rPr>
                <w:b/>
                <w:sz w:val="20"/>
                <w:highlight w:val="cyan"/>
              </w:rPr>
              <w:t>Females</w:t>
            </w:r>
          </w:p>
        </w:tc>
      </w:tr>
      <w:tr w:rsidR="000B21A0" w:rsidRPr="0036140F">
        <w:trPr>
          <w:trHeight w:val="251"/>
        </w:trPr>
        <w:tc>
          <w:tcPr>
            <w:tcW w:w="917" w:type="dxa"/>
          </w:tcPr>
          <w:p w:rsidR="000B21A0" w:rsidRPr="0036140F" w:rsidRDefault="00672CAE">
            <w:pPr>
              <w:pStyle w:val="TableParagraph"/>
              <w:spacing w:line="232" w:lineRule="exact"/>
              <w:ind w:left="403"/>
              <w:rPr>
                <w:highlight w:val="cyan"/>
              </w:rPr>
            </w:pPr>
            <w:r w:rsidRPr="0036140F">
              <w:rPr>
                <w:highlight w:val="cyan"/>
              </w:rPr>
              <w:t>1</w:t>
            </w:r>
          </w:p>
        </w:tc>
        <w:tc>
          <w:tcPr>
            <w:tcW w:w="1289" w:type="dxa"/>
          </w:tcPr>
          <w:p w:rsidR="000B21A0" w:rsidRPr="0036140F" w:rsidRDefault="00672CAE">
            <w:pPr>
              <w:pStyle w:val="TableParagraph"/>
              <w:spacing w:line="232" w:lineRule="exact"/>
              <w:ind w:left="219" w:right="207"/>
              <w:jc w:val="center"/>
              <w:rPr>
                <w:highlight w:val="cyan"/>
              </w:rPr>
            </w:pPr>
            <w:r w:rsidRPr="0036140F">
              <w:rPr>
                <w:highlight w:val="cyan"/>
              </w:rPr>
              <w:t>Vehicle</w:t>
            </w:r>
          </w:p>
        </w:tc>
        <w:tc>
          <w:tcPr>
            <w:tcW w:w="1318" w:type="dxa"/>
          </w:tcPr>
          <w:p w:rsidR="000B21A0" w:rsidRPr="0036140F" w:rsidRDefault="00672CAE">
            <w:pPr>
              <w:pStyle w:val="TableParagraph"/>
              <w:spacing w:line="232" w:lineRule="exact"/>
              <w:ind w:left="6"/>
              <w:jc w:val="center"/>
              <w:rPr>
                <w:highlight w:val="cyan"/>
              </w:rPr>
            </w:pPr>
            <w:r w:rsidRPr="0036140F">
              <w:rPr>
                <w:highlight w:val="cyan"/>
              </w:rPr>
              <w:t>0</w:t>
            </w:r>
          </w:p>
        </w:tc>
        <w:tc>
          <w:tcPr>
            <w:tcW w:w="980" w:type="dxa"/>
          </w:tcPr>
          <w:p w:rsidR="000B21A0" w:rsidRPr="0036140F" w:rsidRDefault="00672CAE">
            <w:pPr>
              <w:pStyle w:val="TableParagraph"/>
              <w:spacing w:line="232" w:lineRule="exact"/>
              <w:ind w:left="7"/>
              <w:jc w:val="center"/>
              <w:rPr>
                <w:highlight w:val="cyan"/>
              </w:rPr>
            </w:pPr>
            <w:r w:rsidRPr="0036140F">
              <w:rPr>
                <w:highlight w:val="cyan"/>
              </w:rPr>
              <w:t>5</w:t>
            </w:r>
          </w:p>
        </w:tc>
        <w:tc>
          <w:tcPr>
            <w:tcW w:w="1227" w:type="dxa"/>
          </w:tcPr>
          <w:p w:rsidR="000B21A0" w:rsidRPr="0036140F" w:rsidRDefault="00672CAE">
            <w:pPr>
              <w:pStyle w:val="TableParagraph"/>
              <w:spacing w:line="232" w:lineRule="exact"/>
              <w:ind w:left="3"/>
              <w:jc w:val="center"/>
              <w:rPr>
                <w:highlight w:val="cyan"/>
              </w:rPr>
            </w:pPr>
            <w:r w:rsidRPr="0036140F">
              <w:rPr>
                <w:highlight w:val="cyan"/>
              </w:rPr>
              <w:t>0</w:t>
            </w:r>
          </w:p>
        </w:tc>
        <w:tc>
          <w:tcPr>
            <w:tcW w:w="1033" w:type="dxa"/>
          </w:tcPr>
          <w:p w:rsidR="000B21A0" w:rsidRPr="0036140F" w:rsidRDefault="00672CAE">
            <w:pPr>
              <w:pStyle w:val="TableParagraph"/>
              <w:spacing w:line="232" w:lineRule="exact"/>
              <w:ind w:left="4"/>
              <w:jc w:val="center"/>
              <w:rPr>
                <w:highlight w:val="cyan"/>
              </w:rPr>
            </w:pPr>
            <w:r w:rsidRPr="0036140F">
              <w:rPr>
                <w:highlight w:val="cyan"/>
              </w:rPr>
              <w:t>3</w:t>
            </w:r>
          </w:p>
        </w:tc>
        <w:tc>
          <w:tcPr>
            <w:tcW w:w="918" w:type="dxa"/>
          </w:tcPr>
          <w:p w:rsidR="000B21A0" w:rsidRPr="0036140F" w:rsidRDefault="00672CAE">
            <w:pPr>
              <w:pStyle w:val="TableParagraph"/>
              <w:spacing w:line="232" w:lineRule="exact"/>
              <w:ind w:left="2"/>
              <w:jc w:val="center"/>
              <w:rPr>
                <w:highlight w:val="cyan"/>
              </w:rPr>
            </w:pPr>
            <w:r w:rsidRPr="0036140F">
              <w:rPr>
                <w:highlight w:val="cyan"/>
              </w:rPr>
              <w:t>3</w:t>
            </w:r>
          </w:p>
        </w:tc>
        <w:tc>
          <w:tcPr>
            <w:tcW w:w="772" w:type="dxa"/>
          </w:tcPr>
          <w:p w:rsidR="000B21A0" w:rsidRPr="0036140F" w:rsidRDefault="00672CAE">
            <w:pPr>
              <w:pStyle w:val="TableParagraph"/>
              <w:spacing w:line="232" w:lineRule="exact"/>
              <w:ind w:left="1"/>
              <w:jc w:val="center"/>
              <w:rPr>
                <w:highlight w:val="cyan"/>
              </w:rPr>
            </w:pPr>
            <w:r w:rsidRPr="0036140F">
              <w:rPr>
                <w:highlight w:val="cyan"/>
              </w:rPr>
              <w:t>2</w:t>
            </w:r>
          </w:p>
        </w:tc>
        <w:tc>
          <w:tcPr>
            <w:tcW w:w="918" w:type="dxa"/>
          </w:tcPr>
          <w:p w:rsidR="000B21A0" w:rsidRPr="0036140F" w:rsidRDefault="00672CAE">
            <w:pPr>
              <w:pStyle w:val="TableParagraph"/>
              <w:spacing w:line="232" w:lineRule="exact"/>
              <w:ind w:left="0" w:right="1"/>
              <w:jc w:val="center"/>
              <w:rPr>
                <w:highlight w:val="cyan"/>
              </w:rPr>
            </w:pPr>
            <w:r w:rsidRPr="0036140F">
              <w:rPr>
                <w:highlight w:val="cyan"/>
              </w:rPr>
              <w:t>2</w:t>
            </w:r>
          </w:p>
        </w:tc>
      </w:tr>
      <w:tr w:rsidR="000B21A0" w:rsidRPr="0036140F">
        <w:trPr>
          <w:trHeight w:val="253"/>
        </w:trPr>
        <w:tc>
          <w:tcPr>
            <w:tcW w:w="917" w:type="dxa"/>
          </w:tcPr>
          <w:p w:rsidR="000B21A0" w:rsidRPr="0036140F" w:rsidRDefault="00672CAE">
            <w:pPr>
              <w:pStyle w:val="TableParagraph"/>
              <w:spacing w:line="234" w:lineRule="exact"/>
              <w:ind w:left="403"/>
              <w:rPr>
                <w:highlight w:val="cyan"/>
              </w:rPr>
            </w:pPr>
            <w:r w:rsidRPr="0036140F">
              <w:rPr>
                <w:highlight w:val="cyan"/>
              </w:rPr>
              <w:t>2</w:t>
            </w:r>
          </w:p>
        </w:tc>
        <w:tc>
          <w:tcPr>
            <w:tcW w:w="1289" w:type="dxa"/>
          </w:tcPr>
          <w:p w:rsidR="000B21A0" w:rsidRPr="0036140F" w:rsidRDefault="00113E1E">
            <w:pPr>
              <w:pStyle w:val="TableParagraph"/>
              <w:spacing w:line="234" w:lineRule="exact"/>
              <w:ind w:left="219" w:right="210"/>
              <w:jc w:val="center"/>
              <w:rPr>
                <w:highlight w:val="cyan"/>
              </w:rPr>
            </w:pPr>
            <w:r>
              <w:rPr>
                <w:highlight w:val="cyan"/>
              </w:rPr>
              <w:t>PROJECT 16-1</w:t>
            </w:r>
          </w:p>
        </w:tc>
        <w:tc>
          <w:tcPr>
            <w:tcW w:w="1318" w:type="dxa"/>
          </w:tcPr>
          <w:p w:rsidR="000B21A0" w:rsidRPr="0036140F" w:rsidRDefault="00672CAE">
            <w:pPr>
              <w:pStyle w:val="TableParagraph"/>
              <w:spacing w:line="234" w:lineRule="exact"/>
              <w:ind w:left="234" w:right="226"/>
              <w:jc w:val="center"/>
              <w:rPr>
                <w:highlight w:val="cyan"/>
              </w:rPr>
            </w:pPr>
            <w:r w:rsidRPr="0036140F">
              <w:rPr>
                <w:highlight w:val="cyan"/>
              </w:rPr>
              <w:t>0.5</w:t>
            </w:r>
          </w:p>
        </w:tc>
        <w:tc>
          <w:tcPr>
            <w:tcW w:w="980" w:type="dxa"/>
          </w:tcPr>
          <w:p w:rsidR="000B21A0" w:rsidRPr="0036140F" w:rsidRDefault="00672CAE">
            <w:pPr>
              <w:pStyle w:val="TableParagraph"/>
              <w:spacing w:line="234" w:lineRule="exact"/>
              <w:ind w:left="7"/>
              <w:jc w:val="center"/>
              <w:rPr>
                <w:highlight w:val="cyan"/>
              </w:rPr>
            </w:pPr>
            <w:r w:rsidRPr="0036140F">
              <w:rPr>
                <w:highlight w:val="cyan"/>
              </w:rPr>
              <w:t>5</w:t>
            </w:r>
          </w:p>
        </w:tc>
        <w:tc>
          <w:tcPr>
            <w:tcW w:w="1227" w:type="dxa"/>
          </w:tcPr>
          <w:p w:rsidR="000B21A0" w:rsidRPr="0036140F" w:rsidRDefault="00672CAE">
            <w:pPr>
              <w:pStyle w:val="TableParagraph"/>
              <w:spacing w:line="234" w:lineRule="exact"/>
              <w:ind w:left="198" w:right="193"/>
              <w:jc w:val="center"/>
              <w:rPr>
                <w:highlight w:val="cyan"/>
              </w:rPr>
            </w:pPr>
            <w:r w:rsidRPr="0036140F">
              <w:rPr>
                <w:highlight w:val="cyan"/>
              </w:rPr>
              <w:t>0.1</w:t>
            </w:r>
          </w:p>
        </w:tc>
        <w:tc>
          <w:tcPr>
            <w:tcW w:w="1033" w:type="dxa"/>
          </w:tcPr>
          <w:p w:rsidR="000B21A0" w:rsidRPr="0036140F" w:rsidRDefault="00672CAE">
            <w:pPr>
              <w:pStyle w:val="TableParagraph"/>
              <w:spacing w:line="234" w:lineRule="exact"/>
              <w:ind w:left="4"/>
              <w:jc w:val="center"/>
              <w:rPr>
                <w:highlight w:val="cyan"/>
              </w:rPr>
            </w:pPr>
            <w:r w:rsidRPr="0036140F">
              <w:rPr>
                <w:highlight w:val="cyan"/>
              </w:rPr>
              <w:t>3</w:t>
            </w:r>
          </w:p>
        </w:tc>
        <w:tc>
          <w:tcPr>
            <w:tcW w:w="918" w:type="dxa"/>
          </w:tcPr>
          <w:p w:rsidR="000B21A0" w:rsidRPr="0036140F" w:rsidRDefault="00672CAE">
            <w:pPr>
              <w:pStyle w:val="TableParagraph"/>
              <w:spacing w:line="234" w:lineRule="exact"/>
              <w:ind w:left="2"/>
              <w:jc w:val="center"/>
              <w:rPr>
                <w:highlight w:val="cyan"/>
              </w:rPr>
            </w:pPr>
            <w:r w:rsidRPr="0036140F">
              <w:rPr>
                <w:highlight w:val="cyan"/>
              </w:rPr>
              <w:t>3</w:t>
            </w:r>
          </w:p>
        </w:tc>
        <w:tc>
          <w:tcPr>
            <w:tcW w:w="772" w:type="dxa"/>
          </w:tcPr>
          <w:p w:rsidR="000B21A0" w:rsidRPr="0036140F" w:rsidRDefault="00672CAE">
            <w:pPr>
              <w:pStyle w:val="TableParagraph"/>
              <w:spacing w:line="234" w:lineRule="exact"/>
              <w:ind w:left="1"/>
              <w:jc w:val="center"/>
              <w:rPr>
                <w:highlight w:val="cyan"/>
              </w:rPr>
            </w:pPr>
            <w:r w:rsidRPr="0036140F">
              <w:rPr>
                <w:highlight w:val="cyan"/>
              </w:rPr>
              <w:t>2</w:t>
            </w:r>
          </w:p>
        </w:tc>
        <w:tc>
          <w:tcPr>
            <w:tcW w:w="918" w:type="dxa"/>
          </w:tcPr>
          <w:p w:rsidR="000B21A0" w:rsidRPr="0036140F" w:rsidRDefault="00672CAE">
            <w:pPr>
              <w:pStyle w:val="TableParagraph"/>
              <w:spacing w:line="234" w:lineRule="exact"/>
              <w:ind w:left="0" w:right="1"/>
              <w:jc w:val="center"/>
              <w:rPr>
                <w:highlight w:val="cyan"/>
              </w:rPr>
            </w:pPr>
            <w:r w:rsidRPr="0036140F">
              <w:rPr>
                <w:highlight w:val="cyan"/>
              </w:rPr>
              <w:t>2</w:t>
            </w:r>
          </w:p>
        </w:tc>
      </w:tr>
      <w:tr w:rsidR="000B21A0" w:rsidRPr="0036140F">
        <w:trPr>
          <w:trHeight w:val="253"/>
        </w:trPr>
        <w:tc>
          <w:tcPr>
            <w:tcW w:w="917" w:type="dxa"/>
          </w:tcPr>
          <w:p w:rsidR="000B21A0" w:rsidRPr="0036140F" w:rsidRDefault="00672CAE">
            <w:pPr>
              <w:pStyle w:val="TableParagraph"/>
              <w:spacing w:line="234" w:lineRule="exact"/>
              <w:ind w:left="403"/>
              <w:rPr>
                <w:highlight w:val="cyan"/>
              </w:rPr>
            </w:pPr>
            <w:r w:rsidRPr="0036140F">
              <w:rPr>
                <w:highlight w:val="cyan"/>
              </w:rPr>
              <w:t>3</w:t>
            </w:r>
          </w:p>
        </w:tc>
        <w:tc>
          <w:tcPr>
            <w:tcW w:w="1289" w:type="dxa"/>
          </w:tcPr>
          <w:p w:rsidR="000B21A0" w:rsidRPr="0036140F" w:rsidRDefault="00113E1E">
            <w:pPr>
              <w:pStyle w:val="TableParagraph"/>
              <w:spacing w:line="234" w:lineRule="exact"/>
              <w:ind w:left="219" w:right="210"/>
              <w:jc w:val="center"/>
              <w:rPr>
                <w:highlight w:val="cyan"/>
              </w:rPr>
            </w:pPr>
            <w:r>
              <w:rPr>
                <w:highlight w:val="cyan"/>
              </w:rPr>
              <w:t>PROJECT 16-1</w:t>
            </w:r>
          </w:p>
        </w:tc>
        <w:tc>
          <w:tcPr>
            <w:tcW w:w="1318" w:type="dxa"/>
          </w:tcPr>
          <w:p w:rsidR="000B21A0" w:rsidRPr="0036140F" w:rsidRDefault="00672CAE">
            <w:pPr>
              <w:pStyle w:val="TableParagraph"/>
              <w:spacing w:line="234" w:lineRule="exact"/>
              <w:ind w:left="233" w:right="226"/>
              <w:jc w:val="center"/>
              <w:rPr>
                <w:highlight w:val="cyan"/>
              </w:rPr>
            </w:pPr>
            <w:r w:rsidRPr="0036140F">
              <w:rPr>
                <w:highlight w:val="cyan"/>
              </w:rPr>
              <w:t>1/0.75</w:t>
            </w:r>
            <w:r w:rsidRPr="0036140F">
              <w:rPr>
                <w:highlight w:val="cyan"/>
                <w:vertAlign w:val="superscript"/>
              </w:rPr>
              <w:t>a</w:t>
            </w:r>
          </w:p>
        </w:tc>
        <w:tc>
          <w:tcPr>
            <w:tcW w:w="980" w:type="dxa"/>
          </w:tcPr>
          <w:p w:rsidR="000B21A0" w:rsidRPr="0036140F" w:rsidRDefault="00672CAE">
            <w:pPr>
              <w:pStyle w:val="TableParagraph"/>
              <w:spacing w:line="234" w:lineRule="exact"/>
              <w:ind w:left="7"/>
              <w:jc w:val="center"/>
              <w:rPr>
                <w:highlight w:val="cyan"/>
              </w:rPr>
            </w:pPr>
            <w:r w:rsidRPr="0036140F">
              <w:rPr>
                <w:highlight w:val="cyan"/>
              </w:rPr>
              <w:t>5</w:t>
            </w:r>
          </w:p>
        </w:tc>
        <w:tc>
          <w:tcPr>
            <w:tcW w:w="1227" w:type="dxa"/>
          </w:tcPr>
          <w:p w:rsidR="000B21A0" w:rsidRPr="0036140F" w:rsidRDefault="00672CAE">
            <w:pPr>
              <w:pStyle w:val="TableParagraph"/>
              <w:spacing w:line="234" w:lineRule="exact"/>
              <w:ind w:left="198" w:right="193"/>
              <w:jc w:val="center"/>
              <w:rPr>
                <w:highlight w:val="cyan"/>
              </w:rPr>
            </w:pPr>
            <w:r w:rsidRPr="0036140F">
              <w:rPr>
                <w:highlight w:val="cyan"/>
              </w:rPr>
              <w:t>0.2/0.15</w:t>
            </w:r>
            <w:r w:rsidRPr="0036140F">
              <w:rPr>
                <w:highlight w:val="cyan"/>
                <w:vertAlign w:val="superscript"/>
              </w:rPr>
              <w:t>a</w:t>
            </w:r>
          </w:p>
        </w:tc>
        <w:tc>
          <w:tcPr>
            <w:tcW w:w="1033" w:type="dxa"/>
          </w:tcPr>
          <w:p w:rsidR="000B21A0" w:rsidRPr="0036140F" w:rsidRDefault="00672CAE">
            <w:pPr>
              <w:pStyle w:val="TableParagraph"/>
              <w:spacing w:line="234" w:lineRule="exact"/>
              <w:ind w:left="4"/>
              <w:jc w:val="center"/>
              <w:rPr>
                <w:highlight w:val="cyan"/>
              </w:rPr>
            </w:pPr>
            <w:r w:rsidRPr="0036140F">
              <w:rPr>
                <w:highlight w:val="cyan"/>
              </w:rPr>
              <w:t>3</w:t>
            </w:r>
          </w:p>
        </w:tc>
        <w:tc>
          <w:tcPr>
            <w:tcW w:w="918" w:type="dxa"/>
          </w:tcPr>
          <w:p w:rsidR="000B21A0" w:rsidRPr="0036140F" w:rsidRDefault="00672CAE">
            <w:pPr>
              <w:pStyle w:val="TableParagraph"/>
              <w:spacing w:line="234" w:lineRule="exact"/>
              <w:ind w:left="2"/>
              <w:jc w:val="center"/>
              <w:rPr>
                <w:highlight w:val="cyan"/>
              </w:rPr>
            </w:pPr>
            <w:r w:rsidRPr="0036140F">
              <w:rPr>
                <w:highlight w:val="cyan"/>
              </w:rPr>
              <w:t>3</w:t>
            </w:r>
          </w:p>
        </w:tc>
        <w:tc>
          <w:tcPr>
            <w:tcW w:w="772" w:type="dxa"/>
          </w:tcPr>
          <w:p w:rsidR="000B21A0" w:rsidRPr="0036140F" w:rsidRDefault="00672CAE">
            <w:pPr>
              <w:pStyle w:val="TableParagraph"/>
              <w:spacing w:line="234" w:lineRule="exact"/>
              <w:ind w:left="1"/>
              <w:jc w:val="center"/>
              <w:rPr>
                <w:highlight w:val="cyan"/>
              </w:rPr>
            </w:pPr>
            <w:r w:rsidRPr="0036140F">
              <w:rPr>
                <w:highlight w:val="cyan"/>
              </w:rPr>
              <w:t>2</w:t>
            </w:r>
          </w:p>
        </w:tc>
        <w:tc>
          <w:tcPr>
            <w:tcW w:w="918" w:type="dxa"/>
          </w:tcPr>
          <w:p w:rsidR="000B21A0" w:rsidRPr="0036140F" w:rsidRDefault="00672CAE">
            <w:pPr>
              <w:pStyle w:val="TableParagraph"/>
              <w:spacing w:line="234" w:lineRule="exact"/>
              <w:ind w:left="0" w:right="1"/>
              <w:jc w:val="center"/>
              <w:rPr>
                <w:highlight w:val="cyan"/>
              </w:rPr>
            </w:pPr>
            <w:r w:rsidRPr="0036140F">
              <w:rPr>
                <w:highlight w:val="cyan"/>
              </w:rPr>
              <w:t>2</w:t>
            </w:r>
          </w:p>
        </w:tc>
      </w:tr>
      <w:tr w:rsidR="000B21A0" w:rsidRPr="0036140F">
        <w:trPr>
          <w:trHeight w:val="251"/>
        </w:trPr>
        <w:tc>
          <w:tcPr>
            <w:tcW w:w="917" w:type="dxa"/>
          </w:tcPr>
          <w:p w:rsidR="000B21A0" w:rsidRPr="0036140F" w:rsidRDefault="00672CAE">
            <w:pPr>
              <w:pStyle w:val="TableParagraph"/>
              <w:spacing w:before="22" w:line="112" w:lineRule="auto"/>
              <w:ind w:left="366"/>
              <w:rPr>
                <w:sz w:val="14"/>
                <w:highlight w:val="cyan"/>
              </w:rPr>
            </w:pPr>
            <w:r w:rsidRPr="0036140F">
              <w:rPr>
                <w:position w:val="-9"/>
                <w:highlight w:val="cyan"/>
              </w:rPr>
              <w:t>4</w:t>
            </w:r>
            <w:r w:rsidRPr="0036140F">
              <w:rPr>
                <w:sz w:val="14"/>
                <w:highlight w:val="cyan"/>
              </w:rPr>
              <w:t>b</w:t>
            </w:r>
          </w:p>
        </w:tc>
        <w:tc>
          <w:tcPr>
            <w:tcW w:w="1289" w:type="dxa"/>
          </w:tcPr>
          <w:p w:rsidR="000B21A0" w:rsidRPr="0036140F" w:rsidRDefault="00113E1E">
            <w:pPr>
              <w:pStyle w:val="TableParagraph"/>
              <w:spacing w:line="232" w:lineRule="exact"/>
              <w:ind w:left="219" w:right="210"/>
              <w:jc w:val="center"/>
              <w:rPr>
                <w:highlight w:val="cyan"/>
              </w:rPr>
            </w:pPr>
            <w:r>
              <w:rPr>
                <w:highlight w:val="cyan"/>
              </w:rPr>
              <w:t>PROJECT 16-1</w:t>
            </w:r>
          </w:p>
        </w:tc>
        <w:tc>
          <w:tcPr>
            <w:tcW w:w="1318" w:type="dxa"/>
          </w:tcPr>
          <w:p w:rsidR="000B21A0" w:rsidRPr="0036140F" w:rsidRDefault="00672CAE">
            <w:pPr>
              <w:pStyle w:val="TableParagraph"/>
              <w:spacing w:line="232" w:lineRule="exact"/>
              <w:ind w:left="6"/>
              <w:jc w:val="center"/>
              <w:rPr>
                <w:highlight w:val="cyan"/>
              </w:rPr>
            </w:pPr>
            <w:r w:rsidRPr="0036140F">
              <w:rPr>
                <w:highlight w:val="cyan"/>
              </w:rPr>
              <w:t>3</w:t>
            </w:r>
          </w:p>
        </w:tc>
        <w:tc>
          <w:tcPr>
            <w:tcW w:w="980" w:type="dxa"/>
          </w:tcPr>
          <w:p w:rsidR="000B21A0" w:rsidRPr="0036140F" w:rsidRDefault="00672CAE">
            <w:pPr>
              <w:pStyle w:val="TableParagraph"/>
              <w:spacing w:line="232" w:lineRule="exact"/>
              <w:ind w:left="7"/>
              <w:jc w:val="center"/>
              <w:rPr>
                <w:highlight w:val="cyan"/>
              </w:rPr>
            </w:pPr>
            <w:r w:rsidRPr="0036140F">
              <w:rPr>
                <w:highlight w:val="cyan"/>
              </w:rPr>
              <w:t>5</w:t>
            </w:r>
          </w:p>
        </w:tc>
        <w:tc>
          <w:tcPr>
            <w:tcW w:w="1227" w:type="dxa"/>
          </w:tcPr>
          <w:p w:rsidR="000B21A0" w:rsidRPr="0036140F" w:rsidRDefault="00672CAE">
            <w:pPr>
              <w:pStyle w:val="TableParagraph"/>
              <w:spacing w:line="232" w:lineRule="exact"/>
              <w:ind w:left="198" w:right="193"/>
              <w:jc w:val="center"/>
              <w:rPr>
                <w:highlight w:val="cyan"/>
              </w:rPr>
            </w:pPr>
            <w:r w:rsidRPr="0036140F">
              <w:rPr>
                <w:highlight w:val="cyan"/>
              </w:rPr>
              <w:t>0.6</w:t>
            </w:r>
          </w:p>
        </w:tc>
        <w:tc>
          <w:tcPr>
            <w:tcW w:w="1033" w:type="dxa"/>
          </w:tcPr>
          <w:p w:rsidR="000B21A0" w:rsidRPr="0036140F" w:rsidRDefault="00672CAE">
            <w:pPr>
              <w:pStyle w:val="TableParagraph"/>
              <w:spacing w:line="232" w:lineRule="exact"/>
              <w:ind w:left="4"/>
              <w:jc w:val="center"/>
              <w:rPr>
                <w:highlight w:val="cyan"/>
              </w:rPr>
            </w:pPr>
            <w:r w:rsidRPr="0036140F">
              <w:rPr>
                <w:highlight w:val="cyan"/>
              </w:rPr>
              <w:t>3</w:t>
            </w:r>
          </w:p>
        </w:tc>
        <w:tc>
          <w:tcPr>
            <w:tcW w:w="918" w:type="dxa"/>
          </w:tcPr>
          <w:p w:rsidR="000B21A0" w:rsidRPr="0036140F" w:rsidRDefault="00672CAE">
            <w:pPr>
              <w:pStyle w:val="TableParagraph"/>
              <w:spacing w:line="232" w:lineRule="exact"/>
              <w:ind w:left="2"/>
              <w:jc w:val="center"/>
              <w:rPr>
                <w:highlight w:val="cyan"/>
              </w:rPr>
            </w:pPr>
            <w:r w:rsidRPr="0036140F">
              <w:rPr>
                <w:highlight w:val="cyan"/>
              </w:rPr>
              <w:t>3</w:t>
            </w:r>
          </w:p>
        </w:tc>
        <w:tc>
          <w:tcPr>
            <w:tcW w:w="772" w:type="dxa"/>
          </w:tcPr>
          <w:p w:rsidR="000B21A0" w:rsidRPr="0036140F" w:rsidRDefault="00672CAE">
            <w:pPr>
              <w:pStyle w:val="TableParagraph"/>
              <w:spacing w:line="232" w:lineRule="exact"/>
              <w:ind w:left="1"/>
              <w:jc w:val="center"/>
              <w:rPr>
                <w:highlight w:val="cyan"/>
              </w:rPr>
            </w:pPr>
            <w:r w:rsidRPr="0036140F">
              <w:rPr>
                <w:highlight w:val="cyan"/>
              </w:rPr>
              <w:t>2</w:t>
            </w:r>
          </w:p>
        </w:tc>
        <w:tc>
          <w:tcPr>
            <w:tcW w:w="918" w:type="dxa"/>
          </w:tcPr>
          <w:p w:rsidR="000B21A0" w:rsidRPr="0036140F" w:rsidRDefault="00672CAE">
            <w:pPr>
              <w:pStyle w:val="TableParagraph"/>
              <w:spacing w:line="232" w:lineRule="exact"/>
              <w:ind w:left="0" w:right="1"/>
              <w:jc w:val="center"/>
              <w:rPr>
                <w:highlight w:val="cyan"/>
              </w:rPr>
            </w:pPr>
            <w:r w:rsidRPr="0036140F">
              <w:rPr>
                <w:highlight w:val="cyan"/>
              </w:rPr>
              <w:t>2</w:t>
            </w:r>
          </w:p>
        </w:tc>
      </w:tr>
      <w:tr w:rsidR="000B21A0" w:rsidRPr="0036140F">
        <w:trPr>
          <w:trHeight w:val="253"/>
        </w:trPr>
        <w:tc>
          <w:tcPr>
            <w:tcW w:w="917" w:type="dxa"/>
          </w:tcPr>
          <w:p w:rsidR="000B21A0" w:rsidRPr="0036140F" w:rsidRDefault="00672CAE">
            <w:pPr>
              <w:pStyle w:val="TableParagraph"/>
              <w:spacing w:line="234" w:lineRule="exact"/>
              <w:ind w:left="403"/>
              <w:rPr>
                <w:highlight w:val="cyan"/>
              </w:rPr>
            </w:pPr>
            <w:r w:rsidRPr="0036140F">
              <w:rPr>
                <w:highlight w:val="cyan"/>
              </w:rPr>
              <w:t>5</w:t>
            </w:r>
          </w:p>
        </w:tc>
        <w:tc>
          <w:tcPr>
            <w:tcW w:w="1289" w:type="dxa"/>
          </w:tcPr>
          <w:p w:rsidR="000B21A0" w:rsidRPr="0036140F" w:rsidRDefault="00113E1E">
            <w:pPr>
              <w:pStyle w:val="TableParagraph"/>
              <w:spacing w:line="234" w:lineRule="exact"/>
              <w:ind w:left="219" w:right="212"/>
              <w:jc w:val="center"/>
              <w:rPr>
                <w:highlight w:val="cyan"/>
              </w:rPr>
            </w:pPr>
            <w:r>
              <w:rPr>
                <w:highlight w:val="cyan"/>
              </w:rPr>
              <w:t>PROJECT 16-2</w:t>
            </w:r>
          </w:p>
        </w:tc>
        <w:tc>
          <w:tcPr>
            <w:tcW w:w="1318" w:type="dxa"/>
          </w:tcPr>
          <w:p w:rsidR="000B21A0" w:rsidRPr="0036140F" w:rsidRDefault="00672CAE">
            <w:pPr>
              <w:pStyle w:val="TableParagraph"/>
              <w:spacing w:line="234" w:lineRule="exact"/>
              <w:ind w:left="6"/>
              <w:jc w:val="center"/>
              <w:rPr>
                <w:highlight w:val="cyan"/>
              </w:rPr>
            </w:pPr>
            <w:r w:rsidRPr="0036140F">
              <w:rPr>
                <w:highlight w:val="cyan"/>
              </w:rPr>
              <w:t>3</w:t>
            </w:r>
          </w:p>
        </w:tc>
        <w:tc>
          <w:tcPr>
            <w:tcW w:w="980" w:type="dxa"/>
          </w:tcPr>
          <w:p w:rsidR="000B21A0" w:rsidRPr="0036140F" w:rsidRDefault="00672CAE">
            <w:pPr>
              <w:pStyle w:val="TableParagraph"/>
              <w:spacing w:line="234" w:lineRule="exact"/>
              <w:ind w:left="7"/>
              <w:jc w:val="center"/>
              <w:rPr>
                <w:highlight w:val="cyan"/>
              </w:rPr>
            </w:pPr>
            <w:r w:rsidRPr="0036140F">
              <w:rPr>
                <w:highlight w:val="cyan"/>
              </w:rPr>
              <w:t>5</w:t>
            </w:r>
          </w:p>
        </w:tc>
        <w:tc>
          <w:tcPr>
            <w:tcW w:w="1227" w:type="dxa"/>
          </w:tcPr>
          <w:p w:rsidR="000B21A0" w:rsidRPr="0036140F" w:rsidRDefault="00672CAE">
            <w:pPr>
              <w:pStyle w:val="TableParagraph"/>
              <w:spacing w:line="234" w:lineRule="exact"/>
              <w:ind w:left="198" w:right="193"/>
              <w:jc w:val="center"/>
              <w:rPr>
                <w:highlight w:val="cyan"/>
              </w:rPr>
            </w:pPr>
            <w:r w:rsidRPr="0036140F">
              <w:rPr>
                <w:highlight w:val="cyan"/>
              </w:rPr>
              <w:t>0.6</w:t>
            </w:r>
          </w:p>
        </w:tc>
        <w:tc>
          <w:tcPr>
            <w:tcW w:w="1033" w:type="dxa"/>
          </w:tcPr>
          <w:p w:rsidR="000B21A0" w:rsidRPr="0036140F" w:rsidRDefault="00672CAE">
            <w:pPr>
              <w:pStyle w:val="TableParagraph"/>
              <w:spacing w:line="234" w:lineRule="exact"/>
              <w:ind w:left="4"/>
              <w:jc w:val="center"/>
              <w:rPr>
                <w:highlight w:val="cyan"/>
              </w:rPr>
            </w:pPr>
            <w:r w:rsidRPr="0036140F">
              <w:rPr>
                <w:highlight w:val="cyan"/>
              </w:rPr>
              <w:t>3</w:t>
            </w:r>
          </w:p>
        </w:tc>
        <w:tc>
          <w:tcPr>
            <w:tcW w:w="918" w:type="dxa"/>
          </w:tcPr>
          <w:p w:rsidR="000B21A0" w:rsidRPr="0036140F" w:rsidRDefault="00672CAE">
            <w:pPr>
              <w:pStyle w:val="TableParagraph"/>
              <w:spacing w:line="234" w:lineRule="exact"/>
              <w:ind w:left="2"/>
              <w:jc w:val="center"/>
              <w:rPr>
                <w:highlight w:val="cyan"/>
              </w:rPr>
            </w:pPr>
            <w:r w:rsidRPr="0036140F">
              <w:rPr>
                <w:highlight w:val="cyan"/>
              </w:rPr>
              <w:t>3</w:t>
            </w:r>
          </w:p>
        </w:tc>
        <w:tc>
          <w:tcPr>
            <w:tcW w:w="772" w:type="dxa"/>
          </w:tcPr>
          <w:p w:rsidR="000B21A0" w:rsidRPr="0036140F" w:rsidRDefault="00672CAE">
            <w:pPr>
              <w:pStyle w:val="TableParagraph"/>
              <w:spacing w:line="234" w:lineRule="exact"/>
              <w:ind w:left="1"/>
              <w:jc w:val="center"/>
              <w:rPr>
                <w:highlight w:val="cyan"/>
              </w:rPr>
            </w:pPr>
            <w:r w:rsidRPr="0036140F">
              <w:rPr>
                <w:highlight w:val="cyan"/>
              </w:rPr>
              <w:t>2</w:t>
            </w:r>
          </w:p>
        </w:tc>
        <w:tc>
          <w:tcPr>
            <w:tcW w:w="918" w:type="dxa"/>
          </w:tcPr>
          <w:p w:rsidR="000B21A0" w:rsidRPr="0036140F" w:rsidRDefault="00672CAE">
            <w:pPr>
              <w:pStyle w:val="TableParagraph"/>
              <w:spacing w:line="234" w:lineRule="exact"/>
              <w:ind w:left="0" w:right="1"/>
              <w:jc w:val="center"/>
              <w:rPr>
                <w:highlight w:val="cyan"/>
              </w:rPr>
            </w:pPr>
            <w:r w:rsidRPr="0036140F">
              <w:rPr>
                <w:highlight w:val="cyan"/>
              </w:rPr>
              <w:t>2</w:t>
            </w:r>
          </w:p>
        </w:tc>
      </w:tr>
      <w:tr w:rsidR="000B21A0" w:rsidRPr="0036140F">
        <w:trPr>
          <w:trHeight w:val="251"/>
        </w:trPr>
        <w:tc>
          <w:tcPr>
            <w:tcW w:w="917" w:type="dxa"/>
          </w:tcPr>
          <w:p w:rsidR="000B21A0" w:rsidRPr="0036140F" w:rsidRDefault="00672CAE">
            <w:pPr>
              <w:pStyle w:val="TableParagraph"/>
              <w:spacing w:line="232" w:lineRule="exact"/>
              <w:ind w:left="403"/>
              <w:rPr>
                <w:highlight w:val="cyan"/>
              </w:rPr>
            </w:pPr>
            <w:r w:rsidRPr="0036140F">
              <w:rPr>
                <w:highlight w:val="cyan"/>
              </w:rPr>
              <w:t>6</w:t>
            </w:r>
          </w:p>
        </w:tc>
        <w:tc>
          <w:tcPr>
            <w:tcW w:w="1289" w:type="dxa"/>
          </w:tcPr>
          <w:p w:rsidR="000B21A0" w:rsidRPr="0036140F" w:rsidRDefault="00672CAE">
            <w:pPr>
              <w:pStyle w:val="TableParagraph"/>
              <w:spacing w:line="232" w:lineRule="exact"/>
              <w:ind w:left="219" w:right="208"/>
              <w:jc w:val="center"/>
              <w:rPr>
                <w:highlight w:val="cyan"/>
              </w:rPr>
            </w:pPr>
            <w:r w:rsidRPr="0036140F">
              <w:rPr>
                <w:highlight w:val="cyan"/>
              </w:rPr>
              <w:t>MMAE</w:t>
            </w:r>
          </w:p>
        </w:tc>
        <w:tc>
          <w:tcPr>
            <w:tcW w:w="1318" w:type="dxa"/>
          </w:tcPr>
          <w:p w:rsidR="000B21A0" w:rsidRPr="0036140F" w:rsidRDefault="00672CAE">
            <w:pPr>
              <w:pStyle w:val="TableParagraph"/>
              <w:spacing w:line="232" w:lineRule="exact"/>
              <w:ind w:left="234" w:right="226"/>
              <w:jc w:val="center"/>
              <w:rPr>
                <w:highlight w:val="cyan"/>
              </w:rPr>
            </w:pPr>
            <w:r w:rsidRPr="0036140F">
              <w:rPr>
                <w:highlight w:val="cyan"/>
              </w:rPr>
              <w:t>0.05</w:t>
            </w:r>
          </w:p>
        </w:tc>
        <w:tc>
          <w:tcPr>
            <w:tcW w:w="980" w:type="dxa"/>
          </w:tcPr>
          <w:p w:rsidR="000B21A0" w:rsidRPr="0036140F" w:rsidRDefault="00672CAE">
            <w:pPr>
              <w:pStyle w:val="TableParagraph"/>
              <w:spacing w:line="232" w:lineRule="exact"/>
              <w:ind w:left="7"/>
              <w:jc w:val="center"/>
              <w:rPr>
                <w:highlight w:val="cyan"/>
              </w:rPr>
            </w:pPr>
            <w:r w:rsidRPr="0036140F">
              <w:rPr>
                <w:highlight w:val="cyan"/>
              </w:rPr>
              <w:t>1</w:t>
            </w:r>
          </w:p>
        </w:tc>
        <w:tc>
          <w:tcPr>
            <w:tcW w:w="1227" w:type="dxa"/>
          </w:tcPr>
          <w:p w:rsidR="000B21A0" w:rsidRPr="0036140F" w:rsidRDefault="00672CAE">
            <w:pPr>
              <w:pStyle w:val="TableParagraph"/>
              <w:spacing w:line="232" w:lineRule="exact"/>
              <w:ind w:left="198" w:right="193"/>
              <w:jc w:val="center"/>
              <w:rPr>
                <w:highlight w:val="cyan"/>
              </w:rPr>
            </w:pPr>
            <w:r w:rsidRPr="0036140F">
              <w:rPr>
                <w:highlight w:val="cyan"/>
              </w:rPr>
              <w:t>0.05</w:t>
            </w:r>
          </w:p>
        </w:tc>
        <w:tc>
          <w:tcPr>
            <w:tcW w:w="1033" w:type="dxa"/>
          </w:tcPr>
          <w:p w:rsidR="000B21A0" w:rsidRPr="0036140F" w:rsidRDefault="00672CAE">
            <w:pPr>
              <w:pStyle w:val="TableParagraph"/>
              <w:spacing w:line="232" w:lineRule="exact"/>
              <w:ind w:left="4"/>
              <w:jc w:val="center"/>
              <w:rPr>
                <w:highlight w:val="cyan"/>
              </w:rPr>
            </w:pPr>
            <w:r w:rsidRPr="0036140F">
              <w:rPr>
                <w:highlight w:val="cyan"/>
              </w:rPr>
              <w:t>3</w:t>
            </w:r>
          </w:p>
        </w:tc>
        <w:tc>
          <w:tcPr>
            <w:tcW w:w="918" w:type="dxa"/>
          </w:tcPr>
          <w:p w:rsidR="000B21A0" w:rsidRPr="0036140F" w:rsidRDefault="00672CAE">
            <w:pPr>
              <w:pStyle w:val="TableParagraph"/>
              <w:spacing w:line="232" w:lineRule="exact"/>
              <w:ind w:left="2"/>
              <w:jc w:val="center"/>
              <w:rPr>
                <w:highlight w:val="cyan"/>
              </w:rPr>
            </w:pPr>
            <w:r w:rsidRPr="0036140F">
              <w:rPr>
                <w:highlight w:val="cyan"/>
              </w:rPr>
              <w:t>3</w:t>
            </w:r>
          </w:p>
        </w:tc>
        <w:tc>
          <w:tcPr>
            <w:tcW w:w="772" w:type="dxa"/>
          </w:tcPr>
          <w:p w:rsidR="000B21A0" w:rsidRPr="0036140F" w:rsidRDefault="00672CAE">
            <w:pPr>
              <w:pStyle w:val="TableParagraph"/>
              <w:spacing w:line="232" w:lineRule="exact"/>
              <w:ind w:left="1"/>
              <w:jc w:val="center"/>
              <w:rPr>
                <w:highlight w:val="cyan"/>
              </w:rPr>
            </w:pPr>
            <w:r w:rsidRPr="0036140F">
              <w:rPr>
                <w:highlight w:val="cyan"/>
              </w:rPr>
              <w:t>2</w:t>
            </w:r>
          </w:p>
        </w:tc>
        <w:tc>
          <w:tcPr>
            <w:tcW w:w="918" w:type="dxa"/>
          </w:tcPr>
          <w:p w:rsidR="000B21A0" w:rsidRPr="0036140F" w:rsidRDefault="00672CAE">
            <w:pPr>
              <w:pStyle w:val="TableParagraph"/>
              <w:spacing w:line="232" w:lineRule="exact"/>
              <w:ind w:left="0" w:right="1"/>
              <w:jc w:val="center"/>
              <w:rPr>
                <w:highlight w:val="cyan"/>
              </w:rPr>
            </w:pPr>
            <w:r w:rsidRPr="0036140F">
              <w:rPr>
                <w:highlight w:val="cyan"/>
              </w:rPr>
              <w:t>2</w:t>
            </w:r>
          </w:p>
        </w:tc>
      </w:tr>
      <w:tr w:rsidR="000B21A0" w:rsidRPr="0036140F">
        <w:trPr>
          <w:trHeight w:val="253"/>
        </w:trPr>
        <w:tc>
          <w:tcPr>
            <w:tcW w:w="917" w:type="dxa"/>
          </w:tcPr>
          <w:p w:rsidR="000B21A0" w:rsidRPr="0036140F" w:rsidRDefault="00672CAE">
            <w:pPr>
              <w:pStyle w:val="TableParagraph"/>
              <w:spacing w:line="234" w:lineRule="exact"/>
              <w:ind w:left="403"/>
              <w:rPr>
                <w:highlight w:val="cyan"/>
              </w:rPr>
            </w:pPr>
            <w:r w:rsidRPr="0036140F">
              <w:rPr>
                <w:highlight w:val="cyan"/>
              </w:rPr>
              <w:t>7</w:t>
            </w:r>
          </w:p>
        </w:tc>
        <w:tc>
          <w:tcPr>
            <w:tcW w:w="1289" w:type="dxa"/>
          </w:tcPr>
          <w:p w:rsidR="000B21A0" w:rsidRPr="0036140F" w:rsidRDefault="00113E1E">
            <w:pPr>
              <w:pStyle w:val="TableParagraph"/>
              <w:spacing w:line="234" w:lineRule="exact"/>
              <w:ind w:left="219" w:right="210"/>
              <w:jc w:val="center"/>
              <w:rPr>
                <w:highlight w:val="cyan"/>
              </w:rPr>
            </w:pPr>
            <w:r>
              <w:rPr>
                <w:highlight w:val="cyan"/>
              </w:rPr>
              <w:t>PROJECT 16-1</w:t>
            </w:r>
          </w:p>
        </w:tc>
        <w:tc>
          <w:tcPr>
            <w:tcW w:w="1318" w:type="dxa"/>
          </w:tcPr>
          <w:p w:rsidR="000B21A0" w:rsidRPr="0036140F" w:rsidRDefault="00672CAE">
            <w:pPr>
              <w:pStyle w:val="TableParagraph"/>
              <w:spacing w:line="234" w:lineRule="exact"/>
              <w:ind w:left="234" w:right="226"/>
              <w:jc w:val="center"/>
              <w:rPr>
                <w:highlight w:val="cyan"/>
              </w:rPr>
            </w:pPr>
            <w:r w:rsidRPr="0036140F">
              <w:rPr>
                <w:highlight w:val="cyan"/>
              </w:rPr>
              <w:t>0.25</w:t>
            </w:r>
          </w:p>
        </w:tc>
        <w:tc>
          <w:tcPr>
            <w:tcW w:w="980" w:type="dxa"/>
          </w:tcPr>
          <w:p w:rsidR="000B21A0" w:rsidRPr="0036140F" w:rsidRDefault="00672CAE">
            <w:pPr>
              <w:pStyle w:val="TableParagraph"/>
              <w:spacing w:line="234" w:lineRule="exact"/>
              <w:ind w:left="329" w:right="325"/>
              <w:jc w:val="center"/>
              <w:rPr>
                <w:highlight w:val="cyan"/>
              </w:rPr>
            </w:pPr>
            <w:r w:rsidRPr="0036140F">
              <w:rPr>
                <w:highlight w:val="cyan"/>
              </w:rPr>
              <w:t>2.5</w:t>
            </w:r>
          </w:p>
        </w:tc>
        <w:tc>
          <w:tcPr>
            <w:tcW w:w="1227" w:type="dxa"/>
          </w:tcPr>
          <w:p w:rsidR="000B21A0" w:rsidRPr="0036140F" w:rsidRDefault="00672CAE">
            <w:pPr>
              <w:pStyle w:val="TableParagraph"/>
              <w:spacing w:line="234" w:lineRule="exact"/>
              <w:ind w:left="198" w:right="193"/>
              <w:jc w:val="center"/>
              <w:rPr>
                <w:highlight w:val="cyan"/>
              </w:rPr>
            </w:pPr>
            <w:r w:rsidRPr="0036140F">
              <w:rPr>
                <w:highlight w:val="cyan"/>
              </w:rPr>
              <w:t>0.1</w:t>
            </w:r>
          </w:p>
        </w:tc>
        <w:tc>
          <w:tcPr>
            <w:tcW w:w="1033" w:type="dxa"/>
          </w:tcPr>
          <w:p w:rsidR="000B21A0" w:rsidRPr="0036140F" w:rsidRDefault="00672CAE">
            <w:pPr>
              <w:pStyle w:val="TableParagraph"/>
              <w:spacing w:line="234" w:lineRule="exact"/>
              <w:ind w:left="4"/>
              <w:jc w:val="center"/>
              <w:rPr>
                <w:highlight w:val="cyan"/>
              </w:rPr>
            </w:pPr>
            <w:r w:rsidRPr="0036140F">
              <w:rPr>
                <w:highlight w:val="cyan"/>
              </w:rPr>
              <w:t>3</w:t>
            </w:r>
          </w:p>
        </w:tc>
        <w:tc>
          <w:tcPr>
            <w:tcW w:w="918" w:type="dxa"/>
          </w:tcPr>
          <w:p w:rsidR="000B21A0" w:rsidRPr="0036140F" w:rsidRDefault="00672CAE">
            <w:pPr>
              <w:pStyle w:val="TableParagraph"/>
              <w:spacing w:line="234" w:lineRule="exact"/>
              <w:ind w:left="2"/>
              <w:jc w:val="center"/>
              <w:rPr>
                <w:highlight w:val="cyan"/>
              </w:rPr>
            </w:pPr>
            <w:r w:rsidRPr="0036140F">
              <w:rPr>
                <w:highlight w:val="cyan"/>
              </w:rPr>
              <w:t>3</w:t>
            </w:r>
          </w:p>
        </w:tc>
        <w:tc>
          <w:tcPr>
            <w:tcW w:w="772" w:type="dxa"/>
          </w:tcPr>
          <w:p w:rsidR="000B21A0" w:rsidRPr="0036140F" w:rsidRDefault="00672CAE">
            <w:pPr>
              <w:pStyle w:val="TableParagraph"/>
              <w:spacing w:line="234" w:lineRule="exact"/>
              <w:ind w:left="1"/>
              <w:jc w:val="center"/>
              <w:rPr>
                <w:highlight w:val="cyan"/>
              </w:rPr>
            </w:pPr>
            <w:r w:rsidRPr="0036140F">
              <w:rPr>
                <w:highlight w:val="cyan"/>
              </w:rPr>
              <w:t>2</w:t>
            </w:r>
          </w:p>
        </w:tc>
        <w:tc>
          <w:tcPr>
            <w:tcW w:w="918" w:type="dxa"/>
          </w:tcPr>
          <w:p w:rsidR="000B21A0" w:rsidRPr="0036140F" w:rsidRDefault="00672CAE">
            <w:pPr>
              <w:pStyle w:val="TableParagraph"/>
              <w:spacing w:line="234" w:lineRule="exact"/>
              <w:ind w:left="0" w:right="1"/>
              <w:jc w:val="center"/>
              <w:rPr>
                <w:highlight w:val="cyan"/>
              </w:rPr>
            </w:pPr>
            <w:r w:rsidRPr="0036140F">
              <w:rPr>
                <w:highlight w:val="cyan"/>
              </w:rPr>
              <w:t>2</w:t>
            </w:r>
          </w:p>
        </w:tc>
      </w:tr>
    </w:tbl>
    <w:p w:rsidR="000B21A0" w:rsidRPr="0036140F" w:rsidRDefault="00113E1E">
      <w:pPr>
        <w:spacing w:before="54" w:line="218" w:lineRule="exact"/>
        <w:ind w:left="232"/>
        <w:rPr>
          <w:sz w:val="20"/>
          <w:highlight w:val="cyan"/>
        </w:rPr>
      </w:pPr>
      <w:r>
        <w:rPr>
          <w:sz w:val="20"/>
          <w:highlight w:val="cyan"/>
        </w:rPr>
        <w:t>PROJECT 16-1</w:t>
      </w:r>
      <w:r w:rsidR="00672CAE" w:rsidRPr="0036140F">
        <w:rPr>
          <w:sz w:val="20"/>
          <w:highlight w:val="cyan"/>
        </w:rPr>
        <w:t xml:space="preserve"> = ADC; </w:t>
      </w:r>
      <w:r>
        <w:rPr>
          <w:sz w:val="20"/>
          <w:highlight w:val="cyan"/>
        </w:rPr>
        <w:t>PROJECT 16-2</w:t>
      </w:r>
      <w:r w:rsidR="00672CAE" w:rsidRPr="0036140F">
        <w:rPr>
          <w:sz w:val="20"/>
          <w:highlight w:val="cyan"/>
        </w:rPr>
        <w:t xml:space="preserve"> = unconjugated antibody; MMAE = small molecule</w:t>
      </w:r>
    </w:p>
    <w:p w:rsidR="000B21A0" w:rsidRPr="0036140F" w:rsidRDefault="00672CAE">
      <w:pPr>
        <w:spacing w:line="230" w:lineRule="exact"/>
        <w:ind w:left="232"/>
        <w:rPr>
          <w:sz w:val="20"/>
          <w:highlight w:val="cyan"/>
        </w:rPr>
      </w:pPr>
      <w:r w:rsidRPr="0036140F">
        <w:rPr>
          <w:position w:val="9"/>
          <w:sz w:val="13"/>
          <w:highlight w:val="cyan"/>
        </w:rPr>
        <w:t xml:space="preserve">a </w:t>
      </w:r>
      <w:r w:rsidRPr="0036140F">
        <w:rPr>
          <w:sz w:val="20"/>
          <w:highlight w:val="cyan"/>
        </w:rPr>
        <w:t>received 1 dose at 1 mg/kg, and the dose level was lowered to 0.75 mg/kg starting from day 15</w:t>
      </w:r>
    </w:p>
    <w:p w:rsidR="000B21A0" w:rsidRPr="0036140F" w:rsidRDefault="00672CAE">
      <w:pPr>
        <w:spacing w:line="243" w:lineRule="exact"/>
        <w:ind w:left="232"/>
        <w:rPr>
          <w:sz w:val="20"/>
          <w:highlight w:val="cyan"/>
        </w:rPr>
      </w:pPr>
      <w:r w:rsidRPr="0036140F">
        <w:rPr>
          <w:position w:val="9"/>
          <w:sz w:val="13"/>
          <w:highlight w:val="cyan"/>
        </w:rPr>
        <w:t xml:space="preserve">b </w:t>
      </w:r>
      <w:r w:rsidRPr="0036140F">
        <w:rPr>
          <w:sz w:val="20"/>
          <w:highlight w:val="cyan"/>
        </w:rPr>
        <w:t>due to mortality and morbidity, group 4 animals received a single dose on day 1</w:t>
      </w:r>
    </w:p>
    <w:p w:rsidR="000B21A0" w:rsidRPr="0036140F" w:rsidRDefault="000B21A0">
      <w:pPr>
        <w:pStyle w:val="a3"/>
        <w:rPr>
          <w:highlight w:val="cyan"/>
        </w:rPr>
      </w:pPr>
    </w:p>
    <w:p w:rsidR="000B21A0" w:rsidRPr="0036140F" w:rsidRDefault="00672CAE">
      <w:pPr>
        <w:pStyle w:val="a3"/>
        <w:spacing w:before="157" w:line="261" w:lineRule="auto"/>
        <w:ind w:left="232" w:right="1824"/>
        <w:rPr>
          <w:highlight w:val="cyan"/>
        </w:rPr>
      </w:pPr>
      <w:r w:rsidRPr="0036140F">
        <w:rPr>
          <w:highlight w:val="cyan"/>
        </w:rPr>
        <w:t>The following parameters and end points were evaluated in this study: clinical signs, body weights, food consumption, ophthalmology, electrocardiogram (ECG), blood pressure, clinical pathology parameters (hematology, coagulation, clinical chemistry, and urinalysis), flow cytometry and receptor occupancy parameters, TK, ADA formation, gross necropsy findings, organ weights, and histopathologic examinations.</w:t>
      </w:r>
    </w:p>
    <w:p w:rsidR="000B21A0" w:rsidRPr="0036140F" w:rsidRDefault="00672CAE">
      <w:pPr>
        <w:pStyle w:val="2"/>
        <w:numPr>
          <w:ilvl w:val="4"/>
          <w:numId w:val="12"/>
        </w:numPr>
        <w:tabs>
          <w:tab w:val="left" w:pos="1365"/>
          <w:tab w:val="left" w:pos="1366"/>
        </w:tabs>
        <w:spacing w:before="121"/>
        <w:rPr>
          <w:highlight w:val="cyan"/>
        </w:rPr>
      </w:pPr>
      <w:bookmarkStart w:id="27" w:name="4.4.2.2.7_Results"/>
      <w:bookmarkEnd w:id="27"/>
      <w:r w:rsidRPr="0036140F">
        <w:rPr>
          <w:highlight w:val="cyan"/>
        </w:rPr>
        <w:t>Results</w:t>
      </w:r>
    </w:p>
    <w:p w:rsidR="000B21A0" w:rsidRPr="0036140F" w:rsidRDefault="00113E1E">
      <w:pPr>
        <w:pStyle w:val="a3"/>
        <w:spacing w:before="139" w:line="261" w:lineRule="auto"/>
        <w:ind w:left="232" w:right="1629"/>
        <w:rPr>
          <w:highlight w:val="cyan"/>
        </w:rPr>
      </w:pPr>
      <w:r>
        <w:rPr>
          <w:highlight w:val="cyan"/>
        </w:rPr>
        <w:t>PROJECT 16-1</w:t>
      </w:r>
      <w:r w:rsidR="00672CAE" w:rsidRPr="0036140F">
        <w:rPr>
          <w:highlight w:val="cyan"/>
        </w:rPr>
        <w:t xml:space="preserve"> administration at 1 and 3 mg/kg resulted in mortality/morbidity. </w:t>
      </w:r>
      <w:r>
        <w:rPr>
          <w:highlight w:val="cyan"/>
        </w:rPr>
        <w:t>PROJECT 16-1</w:t>
      </w:r>
      <w:r w:rsidR="00672CAE" w:rsidRPr="0036140F">
        <w:rPr>
          <w:highlight w:val="cyan"/>
        </w:rPr>
        <w:t xml:space="preserve"> at 0.25 and 0.5 mg/kg/dose, the 0.75 mg/kg/dose (lowered from 1.0 mg/kg) from day 15, </w:t>
      </w:r>
      <w:r>
        <w:rPr>
          <w:highlight w:val="cyan"/>
        </w:rPr>
        <w:t>PROJECT 16-2</w:t>
      </w:r>
      <w:r w:rsidR="00672CAE" w:rsidRPr="0036140F">
        <w:rPr>
          <w:highlight w:val="cyan"/>
        </w:rPr>
        <w:t xml:space="preserve"> at 3 mg/kg/dose and MMAE at 0.05 mg/kg/dose was generally well-tolerated.</w:t>
      </w:r>
    </w:p>
    <w:p w:rsidR="000B21A0" w:rsidRPr="0036140F" w:rsidRDefault="00672CAE">
      <w:pPr>
        <w:pStyle w:val="a3"/>
        <w:spacing w:before="118" w:line="261" w:lineRule="auto"/>
        <w:ind w:left="232" w:right="1786"/>
        <w:rPr>
          <w:highlight w:val="cyan"/>
        </w:rPr>
      </w:pPr>
      <w:r w:rsidRPr="0036140F">
        <w:rPr>
          <w:highlight w:val="cyan"/>
        </w:rPr>
        <w:t xml:space="preserve">Eight </w:t>
      </w:r>
      <w:r w:rsidR="00113E1E">
        <w:rPr>
          <w:highlight w:val="cyan"/>
        </w:rPr>
        <w:t>PROJECT 16-1</w:t>
      </w:r>
      <w:r w:rsidRPr="0036140F">
        <w:rPr>
          <w:highlight w:val="cyan"/>
        </w:rPr>
        <w:t>-dosed animals (1 animal at 1 mg/kg and 7 animals at 3 mg/kg/dose) were euthanized or died prior to their scheduled euthanasia. Of these, 2 animals (1 each at 1 and 3 mg/kg/dose) were found dead on day 10 and 6 animals (3 mg/kg/dose) underwent unscheduled euthanasia due to deteriorating health on days 11-15. In general, all early</w:t>
      </w:r>
      <w:r w:rsidRPr="0036140F">
        <w:rPr>
          <w:spacing w:val="-22"/>
          <w:highlight w:val="cyan"/>
        </w:rPr>
        <w:t xml:space="preserve"> </w:t>
      </w:r>
      <w:r w:rsidRPr="0036140F">
        <w:rPr>
          <w:highlight w:val="cyan"/>
        </w:rPr>
        <w:t xml:space="preserve">death animals had similar clinical signs on the days preceding the unscheduled euthanasia. These clinical signs included skin lesions (generalized), abrasions (face/neck), decreased activity/lethargic and hunched posture starting at day 9. These clinical signs were attributed secondary to </w:t>
      </w:r>
      <w:r w:rsidR="00113E1E">
        <w:rPr>
          <w:highlight w:val="cyan"/>
        </w:rPr>
        <w:t>PROJECT 16-1</w:t>
      </w:r>
      <w:r w:rsidRPr="0036140F">
        <w:rPr>
          <w:highlight w:val="cyan"/>
        </w:rPr>
        <w:t>-related immune suppression and opportunistic bacterial</w:t>
      </w:r>
      <w:r w:rsidRPr="0036140F">
        <w:rPr>
          <w:spacing w:val="-15"/>
          <w:highlight w:val="cyan"/>
        </w:rPr>
        <w:t xml:space="preserve"> </w:t>
      </w:r>
      <w:r w:rsidRPr="0036140F">
        <w:rPr>
          <w:highlight w:val="cyan"/>
        </w:rPr>
        <w:t>infections.</w:t>
      </w:r>
    </w:p>
    <w:p w:rsidR="000B21A0" w:rsidRPr="0036140F" w:rsidRDefault="00672CAE">
      <w:pPr>
        <w:pStyle w:val="a3"/>
        <w:spacing w:before="113" w:line="261" w:lineRule="auto"/>
        <w:ind w:left="232" w:right="1683"/>
        <w:rPr>
          <w:highlight w:val="cyan"/>
        </w:rPr>
      </w:pPr>
      <w:r w:rsidRPr="0036140F">
        <w:rPr>
          <w:highlight w:val="cyan"/>
        </w:rPr>
        <w:t>Changes in hematology parameters and clinical chemistry data for early death animals included markedly decreased leukocyte counts (white blood cell count (WBC), neutrophils, lymphocytes, eosinophils, monocytes), decreased red cell parameters (hemoglobin [Hb], hematocrit [</w:t>
      </w:r>
      <w:proofErr w:type="spellStart"/>
      <w:r w:rsidRPr="0036140F">
        <w:rPr>
          <w:highlight w:val="cyan"/>
        </w:rPr>
        <w:t>Hct</w:t>
      </w:r>
      <w:proofErr w:type="spellEnd"/>
      <w:r w:rsidRPr="0036140F">
        <w:rPr>
          <w:highlight w:val="cyan"/>
        </w:rPr>
        <w:t xml:space="preserve">], and RBC count) and reticulocyte count, and changes indicative of an acute phase response (decreased albumin, increased globulin and/or fibrinogen). </w:t>
      </w:r>
      <w:r w:rsidR="00113E1E">
        <w:rPr>
          <w:highlight w:val="cyan"/>
        </w:rPr>
        <w:t>PROJECT 16-1</w:t>
      </w:r>
      <w:r w:rsidRPr="0036140F">
        <w:rPr>
          <w:highlight w:val="cyan"/>
        </w:rPr>
        <w:t xml:space="preserve">-related changes in flow cytometry parameters (at scheduled sample collection time points prior to necropsy) in these early death animals were similar to those identified for the </w:t>
      </w:r>
      <w:r w:rsidRPr="0036140F">
        <w:rPr>
          <w:highlight w:val="cyan"/>
        </w:rPr>
        <w:lastRenderedPageBreak/>
        <w:t xml:space="preserve">surviving animals. At the time of unscheduled necropsy, variable changes were present for the monocyte, T-lymphocyte, and NK cell populations. The B-lymphocyte values for all group 4 (3 mg/kg) animals had recovered to </w:t>
      </w:r>
      <w:proofErr w:type="spellStart"/>
      <w:r w:rsidRPr="0036140F">
        <w:rPr>
          <w:highlight w:val="cyan"/>
        </w:rPr>
        <w:t>prestudy</w:t>
      </w:r>
      <w:proofErr w:type="spellEnd"/>
      <w:r w:rsidRPr="0036140F">
        <w:rPr>
          <w:highlight w:val="cyan"/>
        </w:rPr>
        <w:t xml:space="preserve"> baseline values at the time of unscheduled necropsy.</w:t>
      </w:r>
    </w:p>
    <w:p w:rsidR="000B21A0" w:rsidRPr="0036140F" w:rsidRDefault="000B21A0">
      <w:pPr>
        <w:spacing w:line="261" w:lineRule="auto"/>
        <w:rPr>
          <w:highlight w:val="cyan"/>
        </w:rPr>
        <w:sectPr w:rsidR="000B21A0" w:rsidRPr="0036140F">
          <w:pgSz w:w="12240" w:h="15840"/>
          <w:pgMar w:top="1560" w:right="0" w:bottom="940" w:left="1380" w:header="578" w:footer="748" w:gutter="0"/>
          <w:cols w:space="720"/>
        </w:sectPr>
      </w:pPr>
    </w:p>
    <w:p w:rsidR="000B21A0" w:rsidRPr="0036140F" w:rsidRDefault="00672CAE">
      <w:pPr>
        <w:pStyle w:val="a3"/>
        <w:spacing w:before="143" w:line="261" w:lineRule="auto"/>
        <w:ind w:left="232" w:right="1624"/>
        <w:rPr>
          <w:highlight w:val="cyan"/>
        </w:rPr>
      </w:pPr>
      <w:r w:rsidRPr="0036140F">
        <w:rPr>
          <w:highlight w:val="cyan"/>
        </w:rPr>
        <w:lastRenderedPageBreak/>
        <w:t>Macroscopic and microscopic findings indicate that the cause of morbidity and early death in all animals was related to a marked decrease in red blood cell mass, moderate to marked</w:t>
      </w:r>
      <w:r w:rsidRPr="0036140F">
        <w:rPr>
          <w:spacing w:val="-19"/>
          <w:highlight w:val="cyan"/>
        </w:rPr>
        <w:t xml:space="preserve"> </w:t>
      </w:r>
      <w:r w:rsidRPr="0036140F">
        <w:rPr>
          <w:highlight w:val="cyan"/>
        </w:rPr>
        <w:t xml:space="preserve">bone marrow hypocellularity (erythroid and myeloid), marked systemic lymphoid depletion characterized by a marked decrease in the number of lymphocytes in the thymus, spleen, mandibular lymph node, mesenteric lymphoid, and GALT (immunosuppression), and severe opportunistic bacterial infections. In the spleen, lymph nodes, and GALT, the diagnosis “decreased number and size, lymphoid follicle/germinal center” was used to further characterize the distribution of the lymphoid depletion. </w:t>
      </w:r>
      <w:r w:rsidRPr="0036140F">
        <w:rPr>
          <w:spacing w:val="-3"/>
          <w:highlight w:val="cyan"/>
        </w:rPr>
        <w:t xml:space="preserve">In </w:t>
      </w:r>
      <w:r w:rsidRPr="0036140F">
        <w:rPr>
          <w:highlight w:val="cyan"/>
        </w:rPr>
        <w:t>the bone marrow, erythroid progenitors were decreased in number (hypocellularity) in all early death animals, while myeloid progenitors were often increased in number (hypercellularity) with a shift toward predominance of early progenitors. The left shift was considered to be most likely in response to the increased tissue demand due to secondary infections (primarily</w:t>
      </w:r>
      <w:r w:rsidRPr="0036140F">
        <w:rPr>
          <w:spacing w:val="-18"/>
          <w:highlight w:val="cyan"/>
        </w:rPr>
        <w:t xml:space="preserve"> </w:t>
      </w:r>
      <w:r w:rsidRPr="0036140F">
        <w:rPr>
          <w:highlight w:val="cyan"/>
        </w:rPr>
        <w:t>bacterial).</w:t>
      </w:r>
    </w:p>
    <w:p w:rsidR="000B21A0" w:rsidRPr="0036140F" w:rsidRDefault="00672CAE">
      <w:pPr>
        <w:pStyle w:val="a3"/>
        <w:spacing w:line="261" w:lineRule="auto"/>
        <w:ind w:left="232" w:right="1671"/>
        <w:rPr>
          <w:highlight w:val="cyan"/>
        </w:rPr>
      </w:pPr>
      <w:r w:rsidRPr="0036140F">
        <w:rPr>
          <w:highlight w:val="cyan"/>
        </w:rPr>
        <w:t>There were no other direct test article-related findings. All other microscopic findings in the early death animal were considered to be related to debilitation, inanition, bacterial infection, bacterial septicemia and/or circulatory failure/hypoxia (shock).</w:t>
      </w:r>
    </w:p>
    <w:p w:rsidR="000B21A0" w:rsidRPr="0036140F" w:rsidRDefault="00672CAE">
      <w:pPr>
        <w:pStyle w:val="a3"/>
        <w:spacing w:before="108" w:line="261" w:lineRule="auto"/>
        <w:ind w:left="232" w:right="1804"/>
        <w:rPr>
          <w:highlight w:val="cyan"/>
        </w:rPr>
      </w:pPr>
      <w:r w:rsidRPr="0036140F">
        <w:rPr>
          <w:highlight w:val="cyan"/>
        </w:rPr>
        <w:t>In the surviving animals, there were no test article-related changes in body weight, ophthalmology, electrocardiography, blood pressure, or physical examination parameters in any animals. Two Group 4 (3 mg/kg/dose) animals had low food consumption on days 13 and 14, which was likely related to the overall poor health condition caused by marked changes in hematology parameters.</w:t>
      </w:r>
    </w:p>
    <w:p w:rsidR="000B21A0" w:rsidRPr="0036140F" w:rsidRDefault="00113E1E">
      <w:pPr>
        <w:pStyle w:val="a3"/>
        <w:spacing w:before="116"/>
        <w:ind w:left="232"/>
        <w:rPr>
          <w:highlight w:val="cyan"/>
        </w:rPr>
      </w:pPr>
      <w:r>
        <w:rPr>
          <w:highlight w:val="cyan"/>
        </w:rPr>
        <w:t>PROJECT 16-1</w:t>
      </w:r>
      <w:r w:rsidR="00672CAE" w:rsidRPr="0036140F">
        <w:rPr>
          <w:highlight w:val="cyan"/>
        </w:rPr>
        <w:t>-related clinical signs in surviving Group 3 (1/0.75 mg/kg/dose) and Group 4</w:t>
      </w:r>
      <w:r>
        <w:rPr>
          <w:highlight w:val="cyan"/>
        </w:rPr>
        <w:t xml:space="preserve"> </w:t>
      </w:r>
    </w:p>
    <w:p w:rsidR="000B21A0" w:rsidRPr="0036140F" w:rsidRDefault="00672CAE">
      <w:pPr>
        <w:pStyle w:val="a3"/>
        <w:spacing w:before="24" w:line="261" w:lineRule="auto"/>
        <w:ind w:left="232" w:right="1882"/>
        <w:rPr>
          <w:highlight w:val="cyan"/>
        </w:rPr>
      </w:pPr>
      <w:r w:rsidRPr="0036140F">
        <w:rPr>
          <w:highlight w:val="cyan"/>
        </w:rPr>
        <w:t xml:space="preserve">(3 mg/kg/dose) animals included skin lesions, moderate swelling on face, abrasions, and/or limited use of limb (which was associated with skin lesions) in individual animals starting Day 9 (similar to unscheduled animals described above). In general, these clinical signs correlated with changes in clinical pathology parameters and were considered secondary to </w:t>
      </w:r>
      <w:r w:rsidR="00113E1E">
        <w:rPr>
          <w:highlight w:val="cyan"/>
        </w:rPr>
        <w:t>PROJECT 16-1</w:t>
      </w:r>
      <w:r w:rsidRPr="0036140F">
        <w:rPr>
          <w:highlight w:val="cyan"/>
        </w:rPr>
        <w:t>-related immune suppression and opportunistic bacterial infection.</w:t>
      </w:r>
    </w:p>
    <w:p w:rsidR="000B21A0" w:rsidRPr="0036140F" w:rsidRDefault="00672CAE">
      <w:pPr>
        <w:pStyle w:val="a3"/>
        <w:spacing w:before="89"/>
        <w:ind w:left="232"/>
        <w:rPr>
          <w:highlight w:val="cyan"/>
        </w:rPr>
      </w:pPr>
      <w:r w:rsidRPr="0036140F">
        <w:rPr>
          <w:highlight w:val="cyan"/>
        </w:rPr>
        <w:t xml:space="preserve">There were no </w:t>
      </w:r>
      <w:r w:rsidR="00113E1E">
        <w:rPr>
          <w:highlight w:val="cyan"/>
        </w:rPr>
        <w:t>PROJECT 16-1</w:t>
      </w:r>
      <w:r w:rsidRPr="0036140F">
        <w:rPr>
          <w:highlight w:val="cyan"/>
        </w:rPr>
        <w:t>-related clinical signs in Group 2 (0.5 mg/kg/dose) or Group 7</w:t>
      </w:r>
    </w:p>
    <w:p w:rsidR="000B21A0" w:rsidRPr="0036140F" w:rsidRDefault="00672CAE">
      <w:pPr>
        <w:pStyle w:val="a3"/>
        <w:spacing w:before="1"/>
        <w:ind w:left="232" w:right="1749"/>
        <w:rPr>
          <w:highlight w:val="cyan"/>
        </w:rPr>
      </w:pPr>
      <w:r w:rsidRPr="0036140F">
        <w:rPr>
          <w:highlight w:val="cyan"/>
        </w:rPr>
        <w:t xml:space="preserve">(0.25 mg/kg/dose) animals and no </w:t>
      </w:r>
      <w:r w:rsidR="00113E1E">
        <w:rPr>
          <w:highlight w:val="cyan"/>
        </w:rPr>
        <w:t>PROJECT 16-2</w:t>
      </w:r>
      <w:r w:rsidRPr="0036140F">
        <w:rPr>
          <w:highlight w:val="cyan"/>
        </w:rPr>
        <w:t xml:space="preserve"> or MMAE-related clinical signs were present in Group 5 and 6 animals.</w:t>
      </w:r>
    </w:p>
    <w:p w:rsidR="000B21A0" w:rsidRPr="0036140F" w:rsidRDefault="00672CAE">
      <w:pPr>
        <w:pStyle w:val="a3"/>
        <w:spacing w:before="146" w:line="261" w:lineRule="auto"/>
        <w:ind w:left="232" w:right="1616"/>
        <w:rPr>
          <w:highlight w:val="cyan"/>
        </w:rPr>
      </w:pPr>
      <w:r w:rsidRPr="0036140F">
        <w:rPr>
          <w:highlight w:val="cyan"/>
        </w:rPr>
        <w:t xml:space="preserve">There were moderate to marked, adverse </w:t>
      </w:r>
      <w:r w:rsidR="00113E1E">
        <w:rPr>
          <w:highlight w:val="cyan"/>
        </w:rPr>
        <w:t>PROJECT 16-1</w:t>
      </w:r>
      <w:r w:rsidRPr="0036140F">
        <w:rPr>
          <w:highlight w:val="cyan"/>
        </w:rPr>
        <w:t xml:space="preserve">-related changes in hematology parameters at 0.5, 1/0.75, and 3 mg/kg/dose that included decreases in indicators of erythrocyte mass (Hb, </w:t>
      </w:r>
      <w:proofErr w:type="spellStart"/>
      <w:r w:rsidRPr="0036140F">
        <w:rPr>
          <w:highlight w:val="cyan"/>
        </w:rPr>
        <w:t>Hct</w:t>
      </w:r>
      <w:proofErr w:type="spellEnd"/>
      <w:r w:rsidRPr="0036140F">
        <w:rPr>
          <w:highlight w:val="cyan"/>
        </w:rPr>
        <w:t xml:space="preserve">, and RBC), reticulocytes, and WBC (neutrophils, lymphocytes, monocytes, eosinophils, basophils, and large unstained cells between days 2-11. In general, these changes were reversed in a majority of animals by days 16-18; however, TK data indicated significant decrease in </w:t>
      </w:r>
      <w:r w:rsidR="00113E1E">
        <w:rPr>
          <w:highlight w:val="cyan"/>
        </w:rPr>
        <w:t>PROJECT 16-1</w:t>
      </w:r>
      <w:r w:rsidRPr="0036140F">
        <w:rPr>
          <w:highlight w:val="cyan"/>
        </w:rPr>
        <w:t xml:space="preserve"> exposure post-day 15, which was likely due to ADA formation. At 0.25 mg/kg/dose there were minimal, non-adverse </w:t>
      </w:r>
      <w:r w:rsidR="00113E1E">
        <w:rPr>
          <w:highlight w:val="cyan"/>
        </w:rPr>
        <w:t>PROJECT 16-1</w:t>
      </w:r>
      <w:r w:rsidRPr="0036140F">
        <w:rPr>
          <w:highlight w:val="cyan"/>
        </w:rPr>
        <w:t>-related decreases in erythrocyte mass and in some leukocytes.</w:t>
      </w:r>
    </w:p>
    <w:p w:rsidR="000B21A0" w:rsidRPr="0036140F" w:rsidRDefault="00672CAE">
      <w:pPr>
        <w:pStyle w:val="a3"/>
        <w:spacing w:before="113" w:line="261" w:lineRule="auto"/>
        <w:ind w:left="232" w:right="1696"/>
        <w:rPr>
          <w:highlight w:val="cyan"/>
        </w:rPr>
      </w:pPr>
      <w:r w:rsidRPr="0036140F">
        <w:rPr>
          <w:highlight w:val="cyan"/>
        </w:rPr>
        <w:t>MMAE-related changes in hematology parameters included minimal, non-adverse decreases in RBC mass and moderate decreases in neutrophils.</w:t>
      </w:r>
    </w:p>
    <w:p w:rsidR="000B21A0" w:rsidRPr="0036140F" w:rsidRDefault="00672CAE">
      <w:pPr>
        <w:pStyle w:val="a3"/>
        <w:spacing w:before="92"/>
        <w:ind w:left="232"/>
        <w:rPr>
          <w:highlight w:val="cyan"/>
        </w:rPr>
      </w:pPr>
      <w:r w:rsidRPr="0036140F">
        <w:rPr>
          <w:highlight w:val="cyan"/>
        </w:rPr>
        <w:t xml:space="preserve">There were no </w:t>
      </w:r>
      <w:r w:rsidR="00113E1E">
        <w:rPr>
          <w:highlight w:val="cyan"/>
        </w:rPr>
        <w:t>PROJECT 16-2</w:t>
      </w:r>
      <w:r w:rsidRPr="0036140F">
        <w:rPr>
          <w:highlight w:val="cyan"/>
        </w:rPr>
        <w:t>-related changes in hematology parameters in Group 5 animals.</w:t>
      </w:r>
    </w:p>
    <w:p w:rsidR="000B21A0" w:rsidRPr="0036140F" w:rsidRDefault="000B21A0">
      <w:pPr>
        <w:rPr>
          <w:highlight w:val="cyan"/>
        </w:rPr>
        <w:sectPr w:rsidR="000B21A0" w:rsidRPr="0036140F">
          <w:pgSz w:w="12240" w:h="15840"/>
          <w:pgMar w:top="1560" w:right="0" w:bottom="940" w:left="1380" w:header="578" w:footer="748" w:gutter="0"/>
          <w:cols w:space="720"/>
        </w:sectPr>
      </w:pPr>
    </w:p>
    <w:p w:rsidR="000B21A0" w:rsidRPr="0036140F" w:rsidRDefault="00672CAE">
      <w:pPr>
        <w:pStyle w:val="a3"/>
        <w:spacing w:before="143" w:line="261" w:lineRule="auto"/>
        <w:ind w:left="232" w:right="1721"/>
        <w:rPr>
          <w:highlight w:val="cyan"/>
        </w:rPr>
      </w:pPr>
      <w:r w:rsidRPr="0036140F">
        <w:rPr>
          <w:highlight w:val="cyan"/>
        </w:rPr>
        <w:lastRenderedPageBreak/>
        <w:t xml:space="preserve">There were no </w:t>
      </w:r>
      <w:r w:rsidR="00113E1E">
        <w:rPr>
          <w:highlight w:val="cyan"/>
        </w:rPr>
        <w:t>PROJECT 16-1</w:t>
      </w:r>
      <w:r w:rsidRPr="0036140F">
        <w:rPr>
          <w:highlight w:val="cyan"/>
        </w:rPr>
        <w:t xml:space="preserve">, </w:t>
      </w:r>
      <w:r w:rsidR="00113E1E">
        <w:rPr>
          <w:highlight w:val="cyan"/>
        </w:rPr>
        <w:t>PROJECT 16-2</w:t>
      </w:r>
      <w:r w:rsidRPr="0036140F">
        <w:rPr>
          <w:highlight w:val="cyan"/>
        </w:rPr>
        <w:t xml:space="preserve"> or MMAE-related changes in coagulation and urinalysis parameters. In addition, there were no </w:t>
      </w:r>
      <w:r w:rsidR="00113E1E">
        <w:rPr>
          <w:highlight w:val="cyan"/>
        </w:rPr>
        <w:t>PROJECT 16-1</w:t>
      </w:r>
      <w:r w:rsidRPr="0036140F">
        <w:rPr>
          <w:highlight w:val="cyan"/>
        </w:rPr>
        <w:t xml:space="preserve">-related changes in clinical chemistry parameters at 0.25 or 0.5 mg/kg/dose, and no </w:t>
      </w:r>
      <w:r w:rsidR="00113E1E">
        <w:rPr>
          <w:highlight w:val="cyan"/>
        </w:rPr>
        <w:t>PROJECT 16-2</w:t>
      </w:r>
      <w:r w:rsidRPr="0036140F">
        <w:rPr>
          <w:highlight w:val="cyan"/>
        </w:rPr>
        <w:t xml:space="preserve">-related changes in Group 5 animals. </w:t>
      </w:r>
      <w:r w:rsidR="00113E1E">
        <w:rPr>
          <w:highlight w:val="cyan"/>
        </w:rPr>
        <w:t>PROJECT 16-1</w:t>
      </w:r>
      <w:r w:rsidRPr="0036140F">
        <w:rPr>
          <w:highlight w:val="cyan"/>
        </w:rPr>
        <w:t xml:space="preserve">-related changes in clinical chemistry parameters at 1/0.75 mg/kg/dose and 3 mg/kg animals included minimal decreases in albumin and increases in globulin resulting in decreased </w:t>
      </w:r>
      <w:proofErr w:type="spellStart"/>
      <w:r w:rsidRPr="0036140F">
        <w:rPr>
          <w:highlight w:val="cyan"/>
        </w:rPr>
        <w:t>albumin:globulin</w:t>
      </w:r>
      <w:proofErr w:type="spellEnd"/>
      <w:r w:rsidRPr="0036140F">
        <w:rPr>
          <w:highlight w:val="cyan"/>
        </w:rPr>
        <w:t xml:space="preserve"> ratio. Similar changes were present in MMAE-treated Group 6 males.</w:t>
      </w:r>
    </w:p>
    <w:p w:rsidR="000B21A0" w:rsidRPr="0036140F" w:rsidRDefault="00113E1E">
      <w:pPr>
        <w:pStyle w:val="a3"/>
        <w:spacing w:before="88"/>
        <w:ind w:left="232" w:right="1664"/>
        <w:rPr>
          <w:highlight w:val="cyan"/>
        </w:rPr>
      </w:pPr>
      <w:r>
        <w:rPr>
          <w:highlight w:val="cyan"/>
        </w:rPr>
        <w:t>PROJECT 16-1</w:t>
      </w:r>
      <w:r w:rsidR="00672CAE" w:rsidRPr="0036140F">
        <w:rPr>
          <w:highlight w:val="cyan"/>
        </w:rPr>
        <w:t xml:space="preserve">-related, dose-independent, transient, and recoverable decreases were present for all lymphocyte subsets in Groups 2-4 and Group 7 at the </w:t>
      </w:r>
      <w:proofErr w:type="gramStart"/>
      <w:r w:rsidR="00672CAE" w:rsidRPr="0036140F">
        <w:rPr>
          <w:highlight w:val="cyan"/>
        </w:rPr>
        <w:t>48 hour</w:t>
      </w:r>
      <w:proofErr w:type="gramEnd"/>
      <w:r w:rsidR="00672CAE" w:rsidRPr="0036140F">
        <w:rPr>
          <w:highlight w:val="cyan"/>
        </w:rPr>
        <w:t xml:space="preserve"> post-EOI time point. Similar dose-dependent decreases were also present for monocytes at the </w:t>
      </w:r>
      <w:proofErr w:type="gramStart"/>
      <w:r w:rsidR="00672CAE" w:rsidRPr="0036140F">
        <w:rPr>
          <w:highlight w:val="cyan"/>
        </w:rPr>
        <w:t>48 hour</w:t>
      </w:r>
      <w:proofErr w:type="gramEnd"/>
      <w:r w:rsidR="00672CAE" w:rsidRPr="0036140F">
        <w:rPr>
          <w:highlight w:val="cyan"/>
        </w:rPr>
        <w:t xml:space="preserve"> post-EOI time point for Groups 2-4 and Group 7. </w:t>
      </w:r>
      <w:proofErr w:type="gramStart"/>
      <w:r w:rsidR="00672CAE" w:rsidRPr="0036140F">
        <w:rPr>
          <w:highlight w:val="cyan"/>
        </w:rPr>
        <w:t>Overall</w:t>
      </w:r>
      <w:proofErr w:type="gramEnd"/>
      <w:r w:rsidR="00672CAE" w:rsidRPr="0036140F">
        <w:rPr>
          <w:highlight w:val="cyan"/>
        </w:rPr>
        <w:t xml:space="preserve"> the greatest decreases, listed in order of magnitude, were present for monocytes, B-lymphocytes, NK Cells, and T lymphocytes. The Group 5 animals that were dosed with </w:t>
      </w:r>
      <w:r>
        <w:rPr>
          <w:highlight w:val="cyan"/>
        </w:rPr>
        <w:t>PROJECT 16-2</w:t>
      </w:r>
      <w:r w:rsidR="00672CAE" w:rsidRPr="0036140F">
        <w:rPr>
          <w:highlight w:val="cyan"/>
        </w:rPr>
        <w:t xml:space="preserve"> also presented with reductions in the number of lymphocyte subsets and monocyte populations, which generally trended at the same post dose time points; however, these reductions were generally of lesser magnitude as those present for the animals dosed with </w:t>
      </w:r>
      <w:r>
        <w:rPr>
          <w:highlight w:val="cyan"/>
        </w:rPr>
        <w:t>PROJECT 16-1</w:t>
      </w:r>
      <w:r w:rsidR="00672CAE" w:rsidRPr="0036140F">
        <w:rPr>
          <w:highlight w:val="cyan"/>
        </w:rPr>
        <w:t xml:space="preserve">, and the levels of these reductions were often inconsistent between male and female animals. As noted above the </w:t>
      </w:r>
      <w:r>
        <w:rPr>
          <w:highlight w:val="cyan"/>
        </w:rPr>
        <w:t>PROJECT 16-2</w:t>
      </w:r>
      <w:r w:rsidR="00672CAE" w:rsidRPr="0036140F">
        <w:rPr>
          <w:highlight w:val="cyan"/>
        </w:rPr>
        <w:t xml:space="preserve"> animals did not have accompanying changes in hematology as described for the </w:t>
      </w:r>
      <w:r>
        <w:rPr>
          <w:highlight w:val="cyan"/>
        </w:rPr>
        <w:t>PROJECT 16-1</w:t>
      </w:r>
      <w:r w:rsidR="00672CAE" w:rsidRPr="0036140F">
        <w:rPr>
          <w:highlight w:val="cyan"/>
        </w:rPr>
        <w:t xml:space="preserve"> groups which suggest that the changes in lymphocyte subsets for the </w:t>
      </w:r>
      <w:r>
        <w:rPr>
          <w:highlight w:val="cyan"/>
        </w:rPr>
        <w:t>PROJECT 16-2</w:t>
      </w:r>
      <w:r w:rsidR="00672CAE" w:rsidRPr="0036140F">
        <w:rPr>
          <w:highlight w:val="cyan"/>
        </w:rPr>
        <w:t xml:space="preserve"> animals are weak and may not be biologically significant. The lymphocyte subset and monocyte populations for each dose group generally returned to </w:t>
      </w:r>
      <w:proofErr w:type="spellStart"/>
      <w:r w:rsidR="00672CAE" w:rsidRPr="0036140F">
        <w:rPr>
          <w:highlight w:val="cyan"/>
        </w:rPr>
        <w:t>prestudy</w:t>
      </w:r>
      <w:proofErr w:type="spellEnd"/>
      <w:r w:rsidR="00672CAE" w:rsidRPr="0036140F">
        <w:rPr>
          <w:highlight w:val="cyan"/>
        </w:rPr>
        <w:t xml:space="preserve"> values by the next </w:t>
      </w:r>
      <w:proofErr w:type="spellStart"/>
      <w:r w:rsidR="00672CAE" w:rsidRPr="0036140F">
        <w:rPr>
          <w:highlight w:val="cyan"/>
        </w:rPr>
        <w:t>predose</w:t>
      </w:r>
      <w:proofErr w:type="spellEnd"/>
      <w:r w:rsidR="00672CAE" w:rsidRPr="0036140F">
        <w:rPr>
          <w:highlight w:val="cyan"/>
        </w:rPr>
        <w:t xml:space="preserve"> time point (i.e., Day</w:t>
      </w:r>
      <w:r w:rsidR="00672CAE" w:rsidRPr="0036140F">
        <w:rPr>
          <w:spacing w:val="-21"/>
          <w:highlight w:val="cyan"/>
        </w:rPr>
        <w:t xml:space="preserve"> </w:t>
      </w:r>
      <w:r w:rsidR="00672CAE" w:rsidRPr="0036140F">
        <w:rPr>
          <w:highlight w:val="cyan"/>
        </w:rPr>
        <w:t>15, Day 29, or Day 43), and remained variable across all subsequent time</w:t>
      </w:r>
      <w:r w:rsidR="00672CAE" w:rsidRPr="0036140F">
        <w:rPr>
          <w:spacing w:val="-11"/>
          <w:highlight w:val="cyan"/>
        </w:rPr>
        <w:t xml:space="preserve"> </w:t>
      </w:r>
      <w:r w:rsidR="00672CAE" w:rsidRPr="0036140F">
        <w:rPr>
          <w:highlight w:val="cyan"/>
        </w:rPr>
        <w:t>points.</w:t>
      </w:r>
    </w:p>
    <w:p w:rsidR="000B21A0" w:rsidRPr="0036140F" w:rsidRDefault="00672CAE">
      <w:pPr>
        <w:pStyle w:val="a3"/>
        <w:spacing w:before="120"/>
        <w:ind w:left="232" w:right="1695"/>
        <w:rPr>
          <w:highlight w:val="cyan"/>
        </w:rPr>
      </w:pPr>
      <w:r w:rsidRPr="0036140F">
        <w:rPr>
          <w:highlight w:val="cyan"/>
        </w:rPr>
        <w:t xml:space="preserve">The differences in the magnitude of depletion between the cell subsets, treated by </w:t>
      </w:r>
      <w:r w:rsidR="00113E1E">
        <w:rPr>
          <w:highlight w:val="cyan"/>
        </w:rPr>
        <w:t>PROJECT 16-1</w:t>
      </w:r>
      <w:r w:rsidRPr="0036140F">
        <w:rPr>
          <w:highlight w:val="cyan"/>
        </w:rPr>
        <w:t xml:space="preserve">, were likely due to varying levels of </w:t>
      </w:r>
      <w:r w:rsidR="00113E1E">
        <w:rPr>
          <w:highlight w:val="cyan"/>
        </w:rPr>
        <w:t>PROJECT 16-1</w:t>
      </w:r>
      <w:r w:rsidRPr="0036140F">
        <w:rPr>
          <w:highlight w:val="cyan"/>
        </w:rPr>
        <w:t xml:space="preserve"> target expression on each cell population. The </w:t>
      </w:r>
      <w:proofErr w:type="spellStart"/>
      <w:r w:rsidRPr="0036140F">
        <w:rPr>
          <w:highlight w:val="cyan"/>
        </w:rPr>
        <w:t>prestudy</w:t>
      </w:r>
      <w:proofErr w:type="spellEnd"/>
      <w:r w:rsidRPr="0036140F">
        <w:rPr>
          <w:highlight w:val="cyan"/>
        </w:rPr>
        <w:t xml:space="preserve"> receptor occupancy assessment demonstrated that the B-lymphocyte and Monocyte populations had the greatest expression of the </w:t>
      </w:r>
      <w:r w:rsidR="00113E1E">
        <w:rPr>
          <w:highlight w:val="cyan"/>
        </w:rPr>
        <w:t>PROJECT 16-1</w:t>
      </w:r>
      <w:r w:rsidRPr="0036140F">
        <w:rPr>
          <w:highlight w:val="cyan"/>
        </w:rPr>
        <w:t xml:space="preserve"> target molecule (&gt;90%), followed by the NK cells (approximately 45%-68%), and that T lymphocytes had virtually no expression of the </w:t>
      </w:r>
      <w:r w:rsidR="00113E1E">
        <w:rPr>
          <w:highlight w:val="cyan"/>
        </w:rPr>
        <w:t>PROJECT 16-1</w:t>
      </w:r>
      <w:r w:rsidRPr="0036140F">
        <w:rPr>
          <w:highlight w:val="cyan"/>
        </w:rPr>
        <w:t xml:space="preserve"> target molecule (&lt;1%). These data correlated with the levels of </w:t>
      </w:r>
      <w:r w:rsidR="00113E1E">
        <w:rPr>
          <w:highlight w:val="cyan"/>
        </w:rPr>
        <w:t>PROJECT 16-1</w:t>
      </w:r>
      <w:r w:rsidRPr="0036140F">
        <w:rPr>
          <w:highlight w:val="cyan"/>
        </w:rPr>
        <w:t xml:space="preserve"> binding present at the Day 1, 1 hour post-EOI, at which time the B-lymphocytes and Monocytes presented with the highest level of </w:t>
      </w:r>
      <w:r w:rsidR="00113E1E">
        <w:rPr>
          <w:highlight w:val="cyan"/>
        </w:rPr>
        <w:t>PROJECT 16-1</w:t>
      </w:r>
      <w:r w:rsidRPr="0036140F">
        <w:rPr>
          <w:highlight w:val="cyan"/>
        </w:rPr>
        <w:t xml:space="preserve"> binding (approximately 71% to 81% of B-lymphocytes and 62% to 93% of Monocytes), followed by NK cells (approximately 26%-35% of NK cells), and finally the T lymphocytes, which presented with no binding of </w:t>
      </w:r>
      <w:r w:rsidR="00113E1E">
        <w:rPr>
          <w:highlight w:val="cyan"/>
        </w:rPr>
        <w:t>PROJECT 16-1</w:t>
      </w:r>
      <w:r w:rsidRPr="0036140F">
        <w:rPr>
          <w:highlight w:val="cyan"/>
        </w:rPr>
        <w:t xml:space="preserve"> at any post dose time point. Collectively, the receptor occupancy and test article binding data demonstrated that the greatest levels of </w:t>
      </w:r>
      <w:proofErr w:type="spellStart"/>
      <w:r w:rsidRPr="0036140F">
        <w:rPr>
          <w:highlight w:val="cyan"/>
        </w:rPr>
        <w:t>prestudy</w:t>
      </w:r>
      <w:proofErr w:type="spellEnd"/>
      <w:r w:rsidRPr="0036140F">
        <w:rPr>
          <w:highlight w:val="cyan"/>
        </w:rPr>
        <w:t xml:space="preserve"> target expression were directly correlated to the levels of depletion for each cell population.</w:t>
      </w:r>
    </w:p>
    <w:p w:rsidR="000B21A0" w:rsidRPr="0036140F" w:rsidRDefault="00672CAE">
      <w:pPr>
        <w:pStyle w:val="a3"/>
        <w:spacing w:before="147" w:line="261" w:lineRule="auto"/>
        <w:ind w:left="232" w:right="1696"/>
        <w:rPr>
          <w:highlight w:val="cyan"/>
        </w:rPr>
      </w:pPr>
      <w:r w:rsidRPr="0036140F">
        <w:rPr>
          <w:highlight w:val="cyan"/>
        </w:rPr>
        <w:t xml:space="preserve">In this context the magnitude of decreased monocytes and related toxicity observed for cynomolgus monkeys in this study may be over representing what can be expected in humans. Internal data generated at </w:t>
      </w:r>
      <w:proofErr w:type="spellStart"/>
      <w:r w:rsidRPr="0036140F">
        <w:rPr>
          <w:highlight w:val="cyan"/>
        </w:rPr>
        <w:t>Agensys</w:t>
      </w:r>
      <w:proofErr w:type="spellEnd"/>
      <w:r w:rsidRPr="0036140F">
        <w:rPr>
          <w:highlight w:val="cyan"/>
        </w:rPr>
        <w:t xml:space="preserve"> demonstrates that the percentage of monocytes expressing CD37 in human blood is much lower than the percentage of monocytes expressing the target in monkeys (</w:t>
      </w:r>
      <w:hyperlink w:anchor="_bookmark81" w:history="1">
        <w:r w:rsidRPr="0036140F">
          <w:rPr>
            <w:highlight w:val="cyan"/>
          </w:rPr>
          <w:t>Figure 22</w:t>
        </w:r>
      </w:hyperlink>
      <w:r w:rsidRPr="0036140F">
        <w:rPr>
          <w:highlight w:val="cyan"/>
        </w:rPr>
        <w:t>).</w:t>
      </w:r>
    </w:p>
    <w:p w:rsidR="000B21A0" w:rsidRPr="0036140F" w:rsidRDefault="000B21A0">
      <w:pPr>
        <w:spacing w:line="261" w:lineRule="auto"/>
        <w:rPr>
          <w:highlight w:val="cyan"/>
        </w:rPr>
        <w:sectPr w:rsidR="000B21A0" w:rsidRPr="0036140F">
          <w:pgSz w:w="12240" w:h="15840"/>
          <w:pgMar w:top="1560" w:right="0" w:bottom="940" w:left="1380" w:header="578" w:footer="748" w:gutter="0"/>
          <w:cols w:space="720"/>
        </w:sectPr>
      </w:pPr>
    </w:p>
    <w:p w:rsidR="000B21A0" w:rsidRPr="0036140F" w:rsidRDefault="00672CAE">
      <w:pPr>
        <w:pStyle w:val="2"/>
        <w:tabs>
          <w:tab w:val="left" w:pos="1651"/>
        </w:tabs>
        <w:ind w:left="232" w:firstLine="0"/>
        <w:rPr>
          <w:highlight w:val="cyan"/>
        </w:rPr>
      </w:pPr>
      <w:r w:rsidRPr="0036140F">
        <w:rPr>
          <w:noProof/>
          <w:highlight w:val="cyan"/>
        </w:rPr>
        <w:lastRenderedPageBreak/>
        <w:drawing>
          <wp:anchor distT="0" distB="0" distL="0" distR="0" simplePos="0" relativeHeight="251658752" behindDoc="0" locked="0" layoutInCell="1" allowOverlap="1">
            <wp:simplePos x="0" y="0"/>
            <wp:positionH relativeFrom="page">
              <wp:posOffset>1026274</wp:posOffset>
            </wp:positionH>
            <wp:positionV relativeFrom="paragraph">
              <wp:posOffset>332881</wp:posOffset>
            </wp:positionV>
            <wp:extent cx="5508338" cy="2554224"/>
            <wp:effectExtent l="0" t="0" r="0" b="0"/>
            <wp:wrapTopAndBottom/>
            <wp:docPr id="49"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2.png"/>
                    <pic:cNvPicPr/>
                  </pic:nvPicPr>
                  <pic:blipFill>
                    <a:blip r:embed="rId13" cstate="print"/>
                    <a:stretch>
                      <a:fillRect/>
                    </a:stretch>
                  </pic:blipFill>
                  <pic:spPr>
                    <a:xfrm>
                      <a:off x="0" y="0"/>
                      <a:ext cx="5508338" cy="2554224"/>
                    </a:xfrm>
                    <a:prstGeom prst="rect">
                      <a:avLst/>
                    </a:prstGeom>
                  </pic:spPr>
                </pic:pic>
              </a:graphicData>
            </a:graphic>
          </wp:anchor>
        </w:drawing>
      </w:r>
      <w:bookmarkStart w:id="28" w:name="_bookmark81"/>
      <w:bookmarkEnd w:id="28"/>
      <w:r w:rsidRPr="0036140F">
        <w:rPr>
          <w:highlight w:val="cyan"/>
        </w:rPr>
        <w:t>Figure</w:t>
      </w:r>
      <w:r w:rsidRPr="0036140F">
        <w:rPr>
          <w:spacing w:val="-3"/>
          <w:highlight w:val="cyan"/>
        </w:rPr>
        <w:t xml:space="preserve"> </w:t>
      </w:r>
      <w:r w:rsidRPr="0036140F">
        <w:rPr>
          <w:highlight w:val="cyan"/>
        </w:rPr>
        <w:t>22.</w:t>
      </w:r>
      <w:r w:rsidRPr="0036140F">
        <w:rPr>
          <w:highlight w:val="cyan"/>
        </w:rPr>
        <w:tab/>
        <w:t>Immune Cell Populations Determined in Human</w:t>
      </w:r>
      <w:r w:rsidRPr="0036140F">
        <w:rPr>
          <w:spacing w:val="-3"/>
          <w:highlight w:val="cyan"/>
        </w:rPr>
        <w:t xml:space="preserve"> </w:t>
      </w:r>
      <w:r w:rsidRPr="0036140F">
        <w:rPr>
          <w:highlight w:val="cyan"/>
        </w:rPr>
        <w:t>PBMCs</w:t>
      </w:r>
    </w:p>
    <w:p w:rsidR="000B21A0" w:rsidRPr="0036140F" w:rsidRDefault="00672CAE">
      <w:pPr>
        <w:pStyle w:val="a3"/>
        <w:spacing w:before="104" w:line="261" w:lineRule="auto"/>
        <w:ind w:left="232" w:right="1619"/>
        <w:rPr>
          <w:highlight w:val="cyan"/>
        </w:rPr>
      </w:pPr>
      <w:r w:rsidRPr="0036140F">
        <w:rPr>
          <w:highlight w:val="cyan"/>
        </w:rPr>
        <w:t xml:space="preserve">Following administration of </w:t>
      </w:r>
      <w:r w:rsidR="00113E1E">
        <w:rPr>
          <w:highlight w:val="cyan"/>
        </w:rPr>
        <w:t>PROJECT 16-1</w:t>
      </w:r>
      <w:r w:rsidRPr="0036140F">
        <w:rPr>
          <w:highlight w:val="cyan"/>
        </w:rPr>
        <w:t xml:space="preserve"> and </w:t>
      </w:r>
      <w:r w:rsidR="00113E1E">
        <w:rPr>
          <w:highlight w:val="cyan"/>
        </w:rPr>
        <w:t>PROJECT 16-2</w:t>
      </w:r>
      <w:r w:rsidRPr="0036140F">
        <w:rPr>
          <w:highlight w:val="cyan"/>
        </w:rPr>
        <w:t xml:space="preserve"> (antibody), the peak serum concentrations were attained within 5 minutes upon IV infusion. Area under the serum concentration-time curves (AUC) and </w:t>
      </w:r>
      <w:proofErr w:type="spellStart"/>
      <w:r w:rsidRPr="0036140F">
        <w:rPr>
          <w:highlight w:val="cyan"/>
        </w:rPr>
        <w:t>Cmax</w:t>
      </w:r>
      <w:proofErr w:type="spellEnd"/>
      <w:r w:rsidRPr="0036140F">
        <w:rPr>
          <w:highlight w:val="cyan"/>
        </w:rPr>
        <w:t xml:space="preserve"> for </w:t>
      </w:r>
      <w:r w:rsidR="00113E1E">
        <w:rPr>
          <w:highlight w:val="cyan"/>
        </w:rPr>
        <w:t>PROJECT 16-1</w:t>
      </w:r>
      <w:r w:rsidRPr="0036140F">
        <w:rPr>
          <w:highlight w:val="cyan"/>
        </w:rPr>
        <w:t xml:space="preserve"> appeared to increase approximately proportionally to dose between 0.25 and 3 mg/kg. The AUC determined using the </w:t>
      </w:r>
      <w:proofErr w:type="spellStart"/>
      <w:r w:rsidRPr="0036140F">
        <w:rPr>
          <w:highlight w:val="cyan"/>
        </w:rPr>
        <w:t>TAb</w:t>
      </w:r>
      <w:proofErr w:type="spellEnd"/>
      <w:r w:rsidRPr="0036140F">
        <w:rPr>
          <w:highlight w:val="cyan"/>
        </w:rPr>
        <w:t xml:space="preserve"> concentrations was generally larger in comparison to ADC areas due to </w:t>
      </w:r>
      <w:proofErr w:type="spellStart"/>
      <w:r w:rsidRPr="0036140F">
        <w:rPr>
          <w:highlight w:val="cyan"/>
        </w:rPr>
        <w:t>unconjugation</w:t>
      </w:r>
      <w:proofErr w:type="spellEnd"/>
      <w:r w:rsidRPr="0036140F">
        <w:rPr>
          <w:highlight w:val="cyan"/>
        </w:rPr>
        <w:t xml:space="preserve"> of the ADC over time. Serum concentration of unconjugated MMAE increased gradually after dosing and reached a maximum by 12-24 hours </w:t>
      </w:r>
      <w:proofErr w:type="spellStart"/>
      <w:r w:rsidRPr="0036140F">
        <w:rPr>
          <w:highlight w:val="cyan"/>
        </w:rPr>
        <w:t>postdose</w:t>
      </w:r>
      <w:proofErr w:type="spellEnd"/>
      <w:r w:rsidRPr="0036140F">
        <w:rPr>
          <w:highlight w:val="cyan"/>
        </w:rPr>
        <w:t xml:space="preserve">. Serum MMAE concentrations were approximately &gt; 10,000-fold lower than ADC and </w:t>
      </w:r>
      <w:proofErr w:type="spellStart"/>
      <w:r w:rsidRPr="0036140F">
        <w:rPr>
          <w:highlight w:val="cyan"/>
        </w:rPr>
        <w:t>TAb</w:t>
      </w:r>
      <w:proofErr w:type="spellEnd"/>
      <w:r w:rsidRPr="0036140F">
        <w:rPr>
          <w:highlight w:val="cyan"/>
        </w:rPr>
        <w:t xml:space="preserve"> concentrations,</w:t>
      </w:r>
      <w:r w:rsidRPr="0036140F">
        <w:rPr>
          <w:spacing w:val="-8"/>
          <w:highlight w:val="cyan"/>
        </w:rPr>
        <w:t xml:space="preserve"> </w:t>
      </w:r>
      <w:r w:rsidRPr="0036140F">
        <w:rPr>
          <w:highlight w:val="cyan"/>
        </w:rPr>
        <w:t>respectively.</w:t>
      </w:r>
    </w:p>
    <w:p w:rsidR="000B21A0" w:rsidRPr="0036140F" w:rsidRDefault="00672CAE">
      <w:pPr>
        <w:pStyle w:val="a3"/>
        <w:spacing w:line="270" w:lineRule="exact"/>
        <w:ind w:left="232"/>
        <w:rPr>
          <w:highlight w:val="cyan"/>
        </w:rPr>
      </w:pPr>
      <w:r w:rsidRPr="0036140F">
        <w:rPr>
          <w:highlight w:val="cyan"/>
        </w:rPr>
        <w:t>Exposure of the antibody (</w:t>
      </w:r>
      <w:r w:rsidR="00113E1E">
        <w:rPr>
          <w:highlight w:val="cyan"/>
        </w:rPr>
        <w:t>PROJECT 16-2</w:t>
      </w:r>
      <w:r w:rsidRPr="0036140F">
        <w:rPr>
          <w:highlight w:val="cyan"/>
        </w:rPr>
        <w:t>) (</w:t>
      </w:r>
      <w:proofErr w:type="spellStart"/>
      <w:r w:rsidRPr="0036140F">
        <w:rPr>
          <w:highlight w:val="cyan"/>
        </w:rPr>
        <w:t>Cmax</w:t>
      </w:r>
      <w:proofErr w:type="spellEnd"/>
      <w:r w:rsidRPr="0036140F">
        <w:rPr>
          <w:highlight w:val="cyan"/>
        </w:rPr>
        <w:t xml:space="preserve"> and AUC</w:t>
      </w:r>
      <w:r w:rsidRPr="0036140F">
        <w:rPr>
          <w:rFonts w:ascii="Symbol" w:hAnsi="Symbol"/>
          <w:highlight w:val="cyan"/>
        </w:rPr>
        <w:t></w:t>
      </w:r>
      <w:r w:rsidRPr="0036140F">
        <w:rPr>
          <w:highlight w:val="cyan"/>
        </w:rPr>
        <w:t>[0-7]) was similar to the ADC and</w:t>
      </w:r>
    </w:p>
    <w:p w:rsidR="000B21A0" w:rsidRPr="0036140F" w:rsidRDefault="00672CAE">
      <w:pPr>
        <w:pStyle w:val="a3"/>
        <w:spacing w:before="23" w:line="254" w:lineRule="auto"/>
        <w:ind w:left="232" w:right="1853"/>
        <w:rPr>
          <w:highlight w:val="cyan"/>
        </w:rPr>
      </w:pPr>
      <w:proofErr w:type="spellStart"/>
      <w:r w:rsidRPr="0036140F">
        <w:rPr>
          <w:highlight w:val="cyan"/>
        </w:rPr>
        <w:t>TAb</w:t>
      </w:r>
      <w:proofErr w:type="spellEnd"/>
      <w:r w:rsidRPr="0036140F">
        <w:rPr>
          <w:highlight w:val="cyan"/>
        </w:rPr>
        <w:t xml:space="preserve"> at 3 mg/kg dose of </w:t>
      </w:r>
      <w:r w:rsidR="00113E1E">
        <w:rPr>
          <w:highlight w:val="cyan"/>
        </w:rPr>
        <w:t>PROJECT 16-1</w:t>
      </w:r>
      <w:r w:rsidRPr="0036140F">
        <w:rPr>
          <w:highlight w:val="cyan"/>
        </w:rPr>
        <w:t xml:space="preserve">. IV injection of the small molecule drug, MMAE, at a molar equivalent dose to the payload of a 3 mg/kg </w:t>
      </w:r>
      <w:r w:rsidR="00113E1E">
        <w:rPr>
          <w:highlight w:val="cyan"/>
        </w:rPr>
        <w:t>PROJECT 16-1</w:t>
      </w:r>
      <w:r w:rsidRPr="0036140F">
        <w:rPr>
          <w:highlight w:val="cyan"/>
        </w:rPr>
        <w:t xml:space="preserve"> infusion dose showed that the mean serum MMAE half-life was 0.708 ± 0.0847 and 0.861 ± 0.179 days after the first and last dose, respectively. The T½ </w:t>
      </w:r>
      <w:r w:rsidRPr="0036140F">
        <w:rPr>
          <w:rFonts w:ascii="Symbol" w:hAnsi="Symbol"/>
          <w:highlight w:val="cyan"/>
        </w:rPr>
        <w:t></w:t>
      </w:r>
      <w:r w:rsidRPr="0036140F">
        <w:rPr>
          <w:highlight w:val="cyan"/>
        </w:rPr>
        <w:t xml:space="preserve">z determined for the MMAE drug payload following IV infusion of 3 mg/kg </w:t>
      </w:r>
      <w:r w:rsidR="00113E1E">
        <w:rPr>
          <w:highlight w:val="cyan"/>
        </w:rPr>
        <w:t>PROJECT 16-1</w:t>
      </w:r>
      <w:r w:rsidRPr="0036140F">
        <w:rPr>
          <w:highlight w:val="cyan"/>
        </w:rPr>
        <w:t xml:space="preserve"> (T½ </w:t>
      </w:r>
      <w:r w:rsidRPr="0036140F">
        <w:rPr>
          <w:rFonts w:ascii="Symbol" w:hAnsi="Symbol"/>
          <w:highlight w:val="cyan"/>
        </w:rPr>
        <w:t></w:t>
      </w:r>
      <w:r w:rsidRPr="0036140F">
        <w:rPr>
          <w:highlight w:val="cyan"/>
        </w:rPr>
        <w:t xml:space="preserve">z = 2.48 </w:t>
      </w:r>
      <w:r w:rsidRPr="0036140F">
        <w:rPr>
          <w:rFonts w:ascii="Symbol" w:hAnsi="Symbol"/>
          <w:highlight w:val="cyan"/>
        </w:rPr>
        <w:t></w:t>
      </w:r>
      <w:r w:rsidRPr="0036140F">
        <w:rPr>
          <w:highlight w:val="cyan"/>
        </w:rPr>
        <w:t xml:space="preserve"> 0.375 days) was partially attributed to its formation and was associated with systemic levels of the conjugated ADC (</w:t>
      </w:r>
      <w:r w:rsidR="00113E1E">
        <w:rPr>
          <w:highlight w:val="cyan"/>
        </w:rPr>
        <w:t>PROJECT 16-1</w:t>
      </w:r>
      <w:r w:rsidRPr="0036140F">
        <w:rPr>
          <w:highlight w:val="cyan"/>
        </w:rPr>
        <w:t>).</w:t>
      </w:r>
    </w:p>
    <w:p w:rsidR="000B21A0" w:rsidRPr="0036140F" w:rsidRDefault="00672CAE">
      <w:pPr>
        <w:pStyle w:val="a3"/>
        <w:spacing w:before="6" w:line="261" w:lineRule="auto"/>
        <w:ind w:left="232" w:right="1670"/>
        <w:rPr>
          <w:highlight w:val="cyan"/>
        </w:rPr>
      </w:pPr>
      <w:r w:rsidRPr="0036140F">
        <w:rPr>
          <w:highlight w:val="cyan"/>
        </w:rPr>
        <w:t>Incidences of seroconversion in male and female cynomolgus monkeys were 0%, 70%, 50%, 30%, 60%, and 60% for Dose Groups 1, 2, 3, 4, 5, and 7, respectively.</w:t>
      </w:r>
    </w:p>
    <w:p w:rsidR="000B21A0" w:rsidRPr="0036140F" w:rsidRDefault="00672CAE">
      <w:pPr>
        <w:pStyle w:val="a3"/>
        <w:spacing w:before="119" w:line="261" w:lineRule="auto"/>
        <w:ind w:left="232" w:right="1616"/>
        <w:rPr>
          <w:highlight w:val="cyan"/>
        </w:rPr>
      </w:pPr>
      <w:r w:rsidRPr="0036140F">
        <w:rPr>
          <w:highlight w:val="cyan"/>
        </w:rPr>
        <w:t xml:space="preserve">At terminal euthanasia Day 50, </w:t>
      </w:r>
      <w:r w:rsidR="00113E1E">
        <w:rPr>
          <w:highlight w:val="cyan"/>
        </w:rPr>
        <w:t>PROJECT 16-1</w:t>
      </w:r>
      <w:r w:rsidRPr="0036140F">
        <w:rPr>
          <w:highlight w:val="cyan"/>
        </w:rPr>
        <w:t xml:space="preserve">-related microscopic findings were present in the spleen, lymph nodes (mandibular and mesenteric), and GALT and bone marrow at ≥ 1/0.75 mg/kg/dose and kidney at 0.5 mg/kg/dose. Bone marrow findings were characterized by mild myeloid hypocellularity (with a shift towards greater numbers of early myeloid progenitors as compared to late) and minimal erythroid hypercellularity (decreased in the myeloid to erythroid ratio). The bone marrow findings were considered to represent a regenerative/recovery response. In the kidney, moderate glomerulonephritis (increased glomerular </w:t>
      </w:r>
      <w:proofErr w:type="spellStart"/>
      <w:r w:rsidRPr="0036140F">
        <w:rPr>
          <w:highlight w:val="cyan"/>
        </w:rPr>
        <w:t>mesangium</w:t>
      </w:r>
      <w:proofErr w:type="spellEnd"/>
      <w:r w:rsidRPr="0036140F">
        <w:rPr>
          <w:highlight w:val="cyan"/>
        </w:rPr>
        <w:t xml:space="preserve">) was identified in one 0.5 mg/kg/dose group male. Based on the nature of the microscopic findings, the glomerular changes were considered to be most likely </w:t>
      </w:r>
      <w:r w:rsidRPr="0036140F">
        <w:rPr>
          <w:highlight w:val="cyan"/>
        </w:rPr>
        <w:lastRenderedPageBreak/>
        <w:t>associated with an immune complex deposition. MMAE-related microscopic findings were</w:t>
      </w:r>
    </w:p>
    <w:p w:rsidR="000B21A0" w:rsidRPr="0036140F" w:rsidRDefault="000B21A0">
      <w:pPr>
        <w:spacing w:line="261" w:lineRule="auto"/>
        <w:rPr>
          <w:highlight w:val="cyan"/>
        </w:rPr>
        <w:sectPr w:rsidR="000B21A0" w:rsidRPr="0036140F">
          <w:pgSz w:w="12240" w:h="15840"/>
          <w:pgMar w:top="1560" w:right="0" w:bottom="940" w:left="1380" w:header="578" w:footer="748" w:gutter="0"/>
          <w:cols w:space="720"/>
        </w:sectPr>
      </w:pPr>
    </w:p>
    <w:p w:rsidR="000B21A0" w:rsidRPr="0036140F" w:rsidRDefault="00672CAE">
      <w:pPr>
        <w:pStyle w:val="a3"/>
        <w:spacing w:before="143" w:line="261" w:lineRule="auto"/>
        <w:ind w:left="232" w:right="1618"/>
        <w:rPr>
          <w:highlight w:val="cyan"/>
        </w:rPr>
      </w:pPr>
      <w:r w:rsidRPr="0036140F">
        <w:rPr>
          <w:highlight w:val="cyan"/>
        </w:rPr>
        <w:lastRenderedPageBreak/>
        <w:t xml:space="preserve">identified in the bone marrow only (0.05 mg/kg/dose). The bone marrow changes were similar in character, yet increased in incidence and severity as compared to those described in the 1/0.75 mg/kg/dose </w:t>
      </w:r>
      <w:r w:rsidR="00113E1E">
        <w:rPr>
          <w:highlight w:val="cyan"/>
        </w:rPr>
        <w:t>PROJECT 16-1</w:t>
      </w:r>
      <w:r w:rsidRPr="0036140F">
        <w:rPr>
          <w:highlight w:val="cyan"/>
        </w:rPr>
        <w:t xml:space="preserve"> dose group. There were no </w:t>
      </w:r>
      <w:r w:rsidR="00113E1E">
        <w:rPr>
          <w:highlight w:val="cyan"/>
        </w:rPr>
        <w:t>PROJECT 16-2</w:t>
      </w:r>
      <w:r w:rsidRPr="0036140F">
        <w:rPr>
          <w:highlight w:val="cyan"/>
        </w:rPr>
        <w:t>-related microscopic findings. All findings recovered after the dose free period.</w:t>
      </w:r>
    </w:p>
    <w:p w:rsidR="000B21A0" w:rsidRPr="0036140F" w:rsidRDefault="00672CAE">
      <w:pPr>
        <w:pStyle w:val="a3"/>
        <w:spacing w:before="117" w:line="261" w:lineRule="auto"/>
        <w:ind w:left="232" w:right="1597"/>
        <w:rPr>
          <w:highlight w:val="cyan"/>
        </w:rPr>
      </w:pPr>
      <w:r w:rsidRPr="0036140F">
        <w:rPr>
          <w:highlight w:val="cyan"/>
        </w:rPr>
        <w:t xml:space="preserve">Following the recovery period for the high dose (3 mg/kg) </w:t>
      </w:r>
      <w:r w:rsidR="00113E1E">
        <w:rPr>
          <w:highlight w:val="cyan"/>
        </w:rPr>
        <w:t>PROJECT 16-1</w:t>
      </w:r>
      <w:r w:rsidRPr="0036140F">
        <w:rPr>
          <w:highlight w:val="cyan"/>
        </w:rPr>
        <w:t xml:space="preserve"> treated group, microscopic findings were still present in the spleen, lymph nodes (mandibular and/or mesenteric), and/or GALT in 2 of the 3 animals. Similar to the terminal euthanasia, lymphoid depletion characterized by a decrease in number/size of germinal centers was noted. In 1 animal, a mild increase in protein deposition and lymphoid necrosis (active inflammation and necrosis) was evident in germinal centers. There was no evidence of </w:t>
      </w:r>
      <w:r w:rsidR="00113E1E">
        <w:rPr>
          <w:highlight w:val="cyan"/>
        </w:rPr>
        <w:t>PROJECT 16-1</w:t>
      </w:r>
      <w:r w:rsidRPr="0036140F">
        <w:rPr>
          <w:highlight w:val="cyan"/>
        </w:rPr>
        <w:t xml:space="preserve">- related microscopic findings in the other target tissues (thymus, bone marrow, or kidney) after the </w:t>
      </w:r>
      <w:proofErr w:type="gramStart"/>
      <w:r w:rsidRPr="0036140F">
        <w:rPr>
          <w:highlight w:val="cyan"/>
        </w:rPr>
        <w:t>49 or 50 day</w:t>
      </w:r>
      <w:proofErr w:type="gramEnd"/>
      <w:r w:rsidRPr="0036140F">
        <w:rPr>
          <w:highlight w:val="cyan"/>
        </w:rPr>
        <w:t xml:space="preserve"> dose-free interval.</w:t>
      </w:r>
    </w:p>
    <w:p w:rsidR="000B21A0" w:rsidRPr="0036140F" w:rsidRDefault="00672CAE">
      <w:pPr>
        <w:pStyle w:val="a3"/>
        <w:spacing w:before="113" w:line="261" w:lineRule="auto"/>
        <w:ind w:left="232" w:right="1650"/>
        <w:rPr>
          <w:highlight w:val="cyan"/>
        </w:rPr>
      </w:pPr>
      <w:r w:rsidRPr="0036140F">
        <w:rPr>
          <w:highlight w:val="cyan"/>
        </w:rPr>
        <w:t xml:space="preserve">At Recovery Euthanasia Day 93, no </w:t>
      </w:r>
      <w:r w:rsidR="00113E1E">
        <w:rPr>
          <w:highlight w:val="cyan"/>
        </w:rPr>
        <w:t>PROJECT 16-1</w:t>
      </w:r>
      <w:r w:rsidRPr="0036140F">
        <w:rPr>
          <w:highlight w:val="cyan"/>
        </w:rPr>
        <w:t xml:space="preserve">, </w:t>
      </w:r>
      <w:r w:rsidR="00113E1E">
        <w:rPr>
          <w:highlight w:val="cyan"/>
        </w:rPr>
        <w:t>PROJECT 16-2</w:t>
      </w:r>
      <w:r w:rsidRPr="0036140F">
        <w:rPr>
          <w:highlight w:val="cyan"/>
        </w:rPr>
        <w:t xml:space="preserve"> or MMAE-related microscopic findings were noted in the target tissues evaluated (spleen, thymus, lymph nodes [mandibular and mesenteric], GALT, bone marrow [sternum], and kidney).</w:t>
      </w:r>
    </w:p>
    <w:p w:rsidR="000B21A0" w:rsidRPr="0036140F" w:rsidRDefault="00672CAE">
      <w:pPr>
        <w:pStyle w:val="2"/>
        <w:numPr>
          <w:ilvl w:val="4"/>
          <w:numId w:val="12"/>
        </w:numPr>
        <w:tabs>
          <w:tab w:val="left" w:pos="1365"/>
          <w:tab w:val="left" w:pos="1366"/>
        </w:tabs>
        <w:spacing w:before="123"/>
        <w:rPr>
          <w:highlight w:val="cyan"/>
        </w:rPr>
      </w:pPr>
      <w:bookmarkStart w:id="29" w:name="4.4.2.2.8_Conclusions"/>
      <w:bookmarkEnd w:id="29"/>
      <w:r w:rsidRPr="0036140F">
        <w:rPr>
          <w:highlight w:val="cyan"/>
        </w:rPr>
        <w:t>Conclusions</w:t>
      </w:r>
    </w:p>
    <w:p w:rsidR="000B21A0" w:rsidRDefault="00672CAE">
      <w:pPr>
        <w:pStyle w:val="a3"/>
        <w:spacing w:before="139" w:line="261" w:lineRule="auto"/>
        <w:ind w:left="232" w:right="1670"/>
      </w:pPr>
      <w:r w:rsidRPr="0036140F">
        <w:rPr>
          <w:highlight w:val="cyan"/>
        </w:rPr>
        <w:t xml:space="preserve">In conclusion, administration of </w:t>
      </w:r>
      <w:r w:rsidR="00113E1E">
        <w:rPr>
          <w:highlight w:val="cyan"/>
        </w:rPr>
        <w:t>PROJECT 16-1</w:t>
      </w:r>
      <w:r w:rsidRPr="0036140F">
        <w:rPr>
          <w:highlight w:val="cyan"/>
        </w:rPr>
        <w:t xml:space="preserve"> to monkeys at 1 and 3 mg/kg/dose resulted in mortality/morbidity. Macroscopic and microscopic findings in animals that died or were euthanized early indicated that the cause of morbidity and early death in all animals was related to a </w:t>
      </w:r>
      <w:r w:rsidR="00113E1E">
        <w:rPr>
          <w:highlight w:val="cyan"/>
        </w:rPr>
        <w:t>PROJECT 16-1</w:t>
      </w:r>
      <w:r w:rsidRPr="0036140F">
        <w:rPr>
          <w:highlight w:val="cyan"/>
        </w:rPr>
        <w:t xml:space="preserve">-related immunosuppression characterized by marked systemic lymphoid depletion, bone marrow suppression characterized by moderate to marked bone marrow hypocellularity, an associated decrease in red blood cell mass, and secondary infection. </w:t>
      </w:r>
      <w:r w:rsidR="00113E1E">
        <w:rPr>
          <w:highlight w:val="cyan"/>
        </w:rPr>
        <w:t>PROJECT 16-1</w:t>
      </w:r>
      <w:r w:rsidRPr="0036140F">
        <w:rPr>
          <w:highlight w:val="cyan"/>
        </w:rPr>
        <w:t xml:space="preserve"> at 0.25 and 0.5 mg/kg/dose, the lowered </w:t>
      </w:r>
      <w:r w:rsidR="00113E1E">
        <w:rPr>
          <w:highlight w:val="cyan"/>
        </w:rPr>
        <w:t>PROJECT 16-1</w:t>
      </w:r>
      <w:r w:rsidRPr="0036140F">
        <w:rPr>
          <w:highlight w:val="cyan"/>
        </w:rPr>
        <w:t xml:space="preserve"> at 0.75 mg/kg/dose from Day 15, </w:t>
      </w:r>
      <w:r w:rsidR="00113E1E">
        <w:rPr>
          <w:highlight w:val="cyan"/>
        </w:rPr>
        <w:t>PROJECT 16-2</w:t>
      </w:r>
      <w:r w:rsidRPr="0036140F">
        <w:rPr>
          <w:highlight w:val="cyan"/>
        </w:rPr>
        <w:t xml:space="preserve"> at 3 mg/kg/dose, and MMAE at 0.05 mg/kg/dose were generally well tolerated. As described above, exposure was variable over the course of the study based on the presence of ADA. Although exposure was generally below the limit of quantitation beyond day 7 for the 0.25 and 0.5 mg//kg groups, some test article related findings were noted for the 0.5 mg/kg dose. No mortality or adverse clinical signs were noted at 0.5 mg/kg. In contrast a single dose of 1 mg/kg was associated with mortality attributed to marked immunosuppression and systemic bacterial infection. Some hematologic changes at this dose were noted as early as day 2 but recovered prior to the next dose. Immune cell populations were also decreased at 0.5 mg/kg but recovered prior to the next dose. Limited microscopic changes were noted at this dose group. Therefore, under the conditions of this study the HNSTD for </w:t>
      </w:r>
      <w:r w:rsidR="00113E1E">
        <w:rPr>
          <w:highlight w:val="cyan"/>
        </w:rPr>
        <w:t>PROJECT 16-1</w:t>
      </w:r>
      <w:r w:rsidRPr="0036140F">
        <w:rPr>
          <w:highlight w:val="cyan"/>
        </w:rPr>
        <w:t xml:space="preserve"> is considered to be 0.5 mg/kg.</w:t>
      </w:r>
    </w:p>
    <w:p w:rsidR="000B21A0" w:rsidRDefault="00672CAE">
      <w:pPr>
        <w:pStyle w:val="2"/>
        <w:numPr>
          <w:ilvl w:val="2"/>
          <w:numId w:val="11"/>
        </w:numPr>
        <w:tabs>
          <w:tab w:val="left" w:pos="1084"/>
          <w:tab w:val="left" w:pos="1085"/>
        </w:tabs>
        <w:spacing w:before="110"/>
      </w:pPr>
      <w:bookmarkStart w:id="30" w:name="4.4.3_Genotoxicity"/>
      <w:bookmarkStart w:id="31" w:name="_bookmark82"/>
      <w:bookmarkEnd w:id="30"/>
      <w:bookmarkEnd w:id="31"/>
      <w:r>
        <w:t>Genotoxicity</w:t>
      </w:r>
    </w:p>
    <w:p w:rsidR="000B21A0" w:rsidRDefault="00672CAE">
      <w:pPr>
        <w:pStyle w:val="a3"/>
        <w:spacing w:before="139" w:line="261" w:lineRule="auto"/>
        <w:ind w:left="232" w:right="2203"/>
      </w:pPr>
      <w:r>
        <w:t xml:space="preserve">No genotoxicity studies have been conducted to date with </w:t>
      </w:r>
      <w:r w:rsidR="00113E1E">
        <w:t>PROJECT 16-1</w:t>
      </w:r>
      <w:r>
        <w:t>. The 3 genotoxicity studies summarized below were conducted with MMAE and were GLP compliant.</w:t>
      </w:r>
    </w:p>
    <w:p w:rsidR="000B21A0" w:rsidRDefault="00672CAE">
      <w:pPr>
        <w:pStyle w:val="2"/>
        <w:numPr>
          <w:ilvl w:val="3"/>
          <w:numId w:val="11"/>
        </w:numPr>
        <w:tabs>
          <w:tab w:val="left" w:pos="1085"/>
        </w:tabs>
        <w:spacing w:before="124"/>
      </w:pPr>
      <w:bookmarkStart w:id="32" w:name="4.4.3.1_In_Vitro_Genotoxicity_of_MMAE"/>
      <w:bookmarkEnd w:id="32"/>
      <w:r>
        <w:t>In Vitro Genotoxicity of MMAE</w:t>
      </w:r>
    </w:p>
    <w:p w:rsidR="000B21A0" w:rsidRDefault="00672CAE">
      <w:pPr>
        <w:spacing w:before="139"/>
        <w:ind w:left="232"/>
        <w:rPr>
          <w:i/>
          <w:sz w:val="24"/>
        </w:rPr>
      </w:pPr>
      <w:r>
        <w:rPr>
          <w:i/>
          <w:sz w:val="24"/>
        </w:rPr>
        <w:t>Bacterial Reverse Mutation Assay</w:t>
      </w:r>
    </w:p>
    <w:p w:rsidR="000B21A0" w:rsidRDefault="000B21A0">
      <w:pPr>
        <w:rPr>
          <w:sz w:val="24"/>
        </w:rPr>
        <w:sectPr w:rsidR="000B21A0">
          <w:pgSz w:w="12240" w:h="15840"/>
          <w:pgMar w:top="1560" w:right="0" w:bottom="940" w:left="1380" w:header="578" w:footer="748" w:gutter="0"/>
          <w:cols w:space="720"/>
        </w:sectPr>
      </w:pPr>
    </w:p>
    <w:p w:rsidR="000B21A0" w:rsidRDefault="00672CAE">
      <w:pPr>
        <w:pStyle w:val="a3"/>
        <w:spacing w:before="143" w:line="261" w:lineRule="auto"/>
        <w:ind w:left="232" w:right="1789"/>
      </w:pPr>
      <w:r>
        <w:lastRenderedPageBreak/>
        <w:t xml:space="preserve">An in vitro bacterial reverse mutation assay was performed to evaluate the mutagenic potential of MMAE [Study AA66EH.503.BTL]. MMAE was tested at concentrations of 75, 200, 600, 1800, and 5000 </w:t>
      </w:r>
      <w:proofErr w:type="spellStart"/>
      <w:r>
        <w:t>μg</w:t>
      </w:r>
      <w:proofErr w:type="spellEnd"/>
      <w:r>
        <w:t xml:space="preserve"> per plate using 5 tests strains of bacteria (</w:t>
      </w:r>
      <w:r>
        <w:rPr>
          <w:i/>
        </w:rPr>
        <w:t xml:space="preserve">Salmonella typhimurium </w:t>
      </w:r>
      <w:r>
        <w:t xml:space="preserve">[TA98, TA100, TA1535, TA1537] and Escherichia coli tester strain [WP2uvrA]) in the presence and absence of </w:t>
      </w:r>
      <w:proofErr w:type="spellStart"/>
      <w:r>
        <w:t>Aroclor</w:t>
      </w:r>
      <w:proofErr w:type="spellEnd"/>
      <w:r>
        <w:t>-induced rat liver S9 enzymes.</w:t>
      </w:r>
    </w:p>
    <w:p w:rsidR="000B21A0" w:rsidRDefault="00672CAE">
      <w:pPr>
        <w:pStyle w:val="a3"/>
        <w:spacing w:before="116"/>
        <w:ind w:left="232"/>
      </w:pPr>
      <w:r>
        <w:t>Under the conditions of this study, MMAE did not induce mutations in bacteria.</w:t>
      </w:r>
    </w:p>
    <w:p w:rsidR="000B21A0" w:rsidRDefault="00672CAE">
      <w:pPr>
        <w:spacing w:before="144"/>
        <w:ind w:left="232"/>
        <w:rPr>
          <w:i/>
          <w:sz w:val="24"/>
        </w:rPr>
      </w:pPr>
      <w:r>
        <w:rPr>
          <w:i/>
          <w:sz w:val="24"/>
        </w:rPr>
        <w:t>Mammalian Cell Gene Mutation Assay</w:t>
      </w:r>
    </w:p>
    <w:p w:rsidR="000B21A0" w:rsidRDefault="00672CAE">
      <w:pPr>
        <w:pStyle w:val="a3"/>
        <w:spacing w:before="144" w:line="261" w:lineRule="auto"/>
        <w:ind w:left="232" w:right="1850"/>
      </w:pPr>
      <w:r>
        <w:t>An in vitro assay was conducted to evaluate the ability of MMAE to induce forward mutations at the thymidine kinase locus in the mouse lymphoma L5178Y TK</w:t>
      </w:r>
      <w:r>
        <w:rPr>
          <w:vertAlign w:val="superscript"/>
        </w:rPr>
        <w:t>+/-</w:t>
      </w:r>
      <w:r>
        <w:t xml:space="preserve"> cell line [Study 8204-155]. The assay was conducted in the presence and absence of an exogenous metabolic activation system (S9) and mutagenic potential was assayed by colony growth in the presence of 5-trifluorothymidine resistance (</w:t>
      </w:r>
      <w:proofErr w:type="spellStart"/>
      <w:r>
        <w:t>TFTr</w:t>
      </w:r>
      <w:proofErr w:type="spellEnd"/>
      <w:r>
        <w:t>).</w:t>
      </w:r>
    </w:p>
    <w:p w:rsidR="000B21A0" w:rsidRDefault="00672CAE">
      <w:pPr>
        <w:pStyle w:val="a3"/>
        <w:spacing w:before="116" w:line="261" w:lineRule="auto"/>
        <w:ind w:left="232" w:right="1744"/>
      </w:pPr>
      <w:r>
        <w:t xml:space="preserve">No dose-dependent increase in mutant frequency, or net increase of ≥ 90 </w:t>
      </w:r>
      <w:proofErr w:type="spellStart"/>
      <w:r>
        <w:t>TFTr</w:t>
      </w:r>
      <w:proofErr w:type="spellEnd"/>
      <w:r>
        <w:t xml:space="preserve"> mutants/10</w:t>
      </w:r>
      <w:r>
        <w:rPr>
          <w:vertAlign w:val="superscript"/>
        </w:rPr>
        <w:t>6</w:t>
      </w:r>
      <w:r>
        <w:t xml:space="preserve"> </w:t>
      </w:r>
      <w:proofErr w:type="spellStart"/>
      <w:r>
        <w:t>clonable</w:t>
      </w:r>
      <w:proofErr w:type="spellEnd"/>
      <w:r>
        <w:t xml:space="preserve"> cells above the average concurrent vehicle control mutant frequency were observed with MMAE treatment. Therefore, MMAE was determined to be negative in the L5178Y TK</w:t>
      </w:r>
      <w:r>
        <w:rPr>
          <w:vertAlign w:val="superscript"/>
        </w:rPr>
        <w:t>+/-</w:t>
      </w:r>
      <w:r>
        <w:t xml:space="preserve"> mouse lymphoma forward mutation assay.</w:t>
      </w:r>
    </w:p>
    <w:p w:rsidR="000B21A0" w:rsidRDefault="00672CAE">
      <w:pPr>
        <w:pStyle w:val="2"/>
        <w:numPr>
          <w:ilvl w:val="3"/>
          <w:numId w:val="11"/>
        </w:numPr>
        <w:tabs>
          <w:tab w:val="left" w:pos="1085"/>
        </w:tabs>
      </w:pPr>
      <w:bookmarkStart w:id="33" w:name="4.4.3.2_In_Vivo_Genotoxicity_of_MMAE"/>
      <w:bookmarkEnd w:id="33"/>
      <w:r>
        <w:t>In Vivo Genotoxicity of MMAE</w:t>
      </w:r>
    </w:p>
    <w:p w:rsidR="000B21A0" w:rsidRDefault="00672CAE">
      <w:pPr>
        <w:spacing w:before="139"/>
        <w:ind w:left="232"/>
        <w:rPr>
          <w:i/>
          <w:sz w:val="24"/>
        </w:rPr>
      </w:pPr>
      <w:r>
        <w:rPr>
          <w:i/>
          <w:sz w:val="24"/>
        </w:rPr>
        <w:t>Micronucleus Assay</w:t>
      </w:r>
    </w:p>
    <w:p w:rsidR="000B21A0" w:rsidRDefault="00672CAE">
      <w:pPr>
        <w:pStyle w:val="a3"/>
        <w:spacing w:before="144" w:line="261" w:lineRule="auto"/>
        <w:ind w:left="232" w:right="1650"/>
      </w:pPr>
      <w:r>
        <w:t xml:space="preserve">A study was conducted to evaluate the in vivo clastogenic potential and/or the potential for disruption of the mitotic apparatus of MMAE by assessing the formation of micronuclei in polychromatic erythrocyte cells in rat bone marrow following a single IV dose [Study 8204- 151]. Thirty-five male rats were assigned to 5 groups that were administered a single IV dose of the vehicle (0.01 N HCl), cyclophosphamide (positive control) at 60 mg/kg or MMAE at 0.01, 0.1 or 0.2 mg/kg. There were no treatment-related clinical signs of toxicity. However, there was a statistically significant increase (P ≤ 0.01) in the formation of </w:t>
      </w:r>
      <w:proofErr w:type="spellStart"/>
      <w:r>
        <w:t>micronucleated</w:t>
      </w:r>
      <w:proofErr w:type="spellEnd"/>
      <w:r>
        <w:t xml:space="preserve"> polychromatic erythrocytes in bone marrow of animals dosed with MMAE at 0.1 and 0.2 mg/kg.</w:t>
      </w:r>
    </w:p>
    <w:p w:rsidR="000B21A0" w:rsidRDefault="00672CAE">
      <w:pPr>
        <w:pStyle w:val="a3"/>
        <w:spacing w:before="113" w:line="261" w:lineRule="auto"/>
        <w:ind w:left="232" w:right="1783"/>
      </w:pPr>
      <w:r>
        <w:t xml:space="preserve">To investigate the potential mechanism of micronuclei formation, a supplemental study was conducted to evaluate the clastogenic (chromosome breaks) and </w:t>
      </w:r>
      <w:proofErr w:type="spellStart"/>
      <w:r>
        <w:t>aneugenic</w:t>
      </w:r>
      <w:proofErr w:type="spellEnd"/>
      <w:r>
        <w:t xml:space="preserve"> (chromosome lagging) potential of MMAE. The results revealed that MMAE induced predominantly the formation of centromere-positive micronuclei. This is consistent with </w:t>
      </w:r>
      <w:proofErr w:type="spellStart"/>
      <w:r>
        <w:t>aneugenic</w:t>
      </w:r>
      <w:proofErr w:type="spellEnd"/>
      <w:r>
        <w:t xml:space="preserve"> micronuclear formation and the expected microtubular network disrupting mechanism of action of MMAE.</w:t>
      </w:r>
    </w:p>
    <w:p w:rsidR="000B21A0" w:rsidRDefault="00672CAE">
      <w:pPr>
        <w:pStyle w:val="2"/>
        <w:numPr>
          <w:ilvl w:val="2"/>
          <w:numId w:val="11"/>
        </w:numPr>
        <w:tabs>
          <w:tab w:val="left" w:pos="1084"/>
          <w:tab w:val="left" w:pos="1085"/>
        </w:tabs>
        <w:spacing w:before="120"/>
      </w:pPr>
      <w:bookmarkStart w:id="34" w:name="4.4.4_Carcinogenicity"/>
      <w:bookmarkStart w:id="35" w:name="_bookmark83"/>
      <w:bookmarkEnd w:id="34"/>
      <w:bookmarkEnd w:id="35"/>
      <w:r>
        <w:t>Carcinogenicity</w:t>
      </w:r>
    </w:p>
    <w:p w:rsidR="000B21A0" w:rsidRDefault="00672CAE">
      <w:pPr>
        <w:pStyle w:val="a3"/>
        <w:spacing w:before="139"/>
        <w:ind w:left="232"/>
      </w:pPr>
      <w:r>
        <w:t xml:space="preserve">No carcinogenicity studies have been conducted to date with </w:t>
      </w:r>
      <w:r w:rsidR="00113E1E">
        <w:t>PROJECT 16-1</w:t>
      </w:r>
      <w:r>
        <w:t>.</w:t>
      </w:r>
    </w:p>
    <w:p w:rsidR="000B21A0" w:rsidRDefault="000B21A0">
      <w:pPr>
        <w:sectPr w:rsidR="000B21A0">
          <w:pgSz w:w="12240" w:h="15840"/>
          <w:pgMar w:top="1560" w:right="0" w:bottom="940" w:left="1380" w:header="578" w:footer="748" w:gutter="0"/>
          <w:cols w:space="720"/>
        </w:sectPr>
      </w:pPr>
    </w:p>
    <w:p w:rsidR="000B21A0" w:rsidRDefault="00672CAE">
      <w:pPr>
        <w:pStyle w:val="2"/>
        <w:numPr>
          <w:ilvl w:val="2"/>
          <w:numId w:val="11"/>
        </w:numPr>
        <w:tabs>
          <w:tab w:val="left" w:pos="1084"/>
          <w:tab w:val="left" w:pos="1085"/>
        </w:tabs>
        <w:spacing w:before="148"/>
      </w:pPr>
      <w:bookmarkStart w:id="36" w:name="4.4.5_Reproductive_and_Developmental_Tox"/>
      <w:bookmarkStart w:id="37" w:name="_bookmark84"/>
      <w:bookmarkEnd w:id="36"/>
      <w:bookmarkEnd w:id="37"/>
      <w:r>
        <w:lastRenderedPageBreak/>
        <w:t>Reproductive and Developmental</w:t>
      </w:r>
      <w:r>
        <w:rPr>
          <w:spacing w:val="-2"/>
        </w:rPr>
        <w:t xml:space="preserve"> </w:t>
      </w:r>
      <w:r>
        <w:t>Toxicity</w:t>
      </w:r>
    </w:p>
    <w:p w:rsidR="000B21A0" w:rsidRDefault="00672CAE">
      <w:pPr>
        <w:pStyle w:val="a3"/>
        <w:spacing w:before="139" w:line="261" w:lineRule="auto"/>
        <w:ind w:left="232" w:right="1696"/>
      </w:pPr>
      <w:r>
        <w:t xml:space="preserve">No reproductive and developmental toxicity studies have been conducted to date with </w:t>
      </w:r>
      <w:r w:rsidR="00113E1E">
        <w:t>PROJECT 16-1</w:t>
      </w:r>
      <w:r>
        <w:t>. However, a GLP-compliant study was conducted to evaluate the embryo-fetal development toxicity of MMAE when administered to pregnant rats [Study 8204-397].</w:t>
      </w:r>
    </w:p>
    <w:p w:rsidR="000B21A0" w:rsidRDefault="00672CAE">
      <w:pPr>
        <w:pStyle w:val="a3"/>
        <w:spacing w:before="118" w:line="261" w:lineRule="auto"/>
        <w:ind w:left="232" w:right="1826"/>
      </w:pPr>
      <w:r>
        <w:t>Time-mated dams were treated gestational days (GDs) 6 and 13 with vehicle control or MMAE at 0.2 mg/kg via IV bolus injection. Main study dams were euthanized on GD21. Embryo-fetal development toxicity findings were characterized by significant increases in total resorptions, post implantation loss, early delivery, and loss of viable fetuses following treatment with MMAE. These effects on embryo-fetal development are also consistent with the pharmacologic disruption of microtubules caused by MMAE.</w:t>
      </w:r>
    </w:p>
    <w:p w:rsidR="000B21A0" w:rsidRDefault="00672CAE">
      <w:pPr>
        <w:pStyle w:val="a3"/>
        <w:spacing w:before="115"/>
        <w:ind w:left="232"/>
      </w:pPr>
      <w:r>
        <w:t>MMAE crossed the placenta and was measurable in fetal serum.</w:t>
      </w:r>
    </w:p>
    <w:p w:rsidR="000B21A0" w:rsidRDefault="000B21A0">
      <w:pPr>
        <w:pStyle w:val="a3"/>
        <w:spacing w:before="2"/>
        <w:rPr>
          <w:sz w:val="21"/>
        </w:rPr>
      </w:pPr>
    </w:p>
    <w:sectPr w:rsidR="000B21A0" w:rsidSect="00766C4B">
      <w:pgSz w:w="12240" w:h="15840"/>
      <w:pgMar w:top="1560" w:right="0" w:bottom="940" w:left="1380" w:header="578"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BEF" w:rsidRDefault="00A63BEF">
      <w:r>
        <w:separator/>
      </w:r>
    </w:p>
  </w:endnote>
  <w:endnote w:type="continuationSeparator" w:id="0">
    <w:p w:rsidR="00A63BEF" w:rsidRDefault="00A63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40F" w:rsidRDefault="0036140F">
    <w:pPr>
      <w:pStyle w:val="a3"/>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279.1pt;margin-top:743.6pt;width:56.6pt;height:13.05pt;z-index:-401584;mso-position-horizontal-relative:page;mso-position-vertical-relative:page" filled="f" stroked="f">
          <v:textbox inset="0,0,0,0">
            <w:txbxContent>
              <w:p w:rsidR="0036140F" w:rsidRDefault="0036140F">
                <w:pPr>
                  <w:spacing w:before="10"/>
                  <w:ind w:left="20"/>
                  <w:rPr>
                    <w:sz w:val="20"/>
                  </w:rPr>
                </w:pPr>
                <w:proofErr w:type="spellStart"/>
                <w:r>
                  <w:rPr>
                    <w:color w:val="303030"/>
                    <w:sz w:val="20"/>
                  </w:rPr>
                  <w:t>Agensys</w:t>
                </w:r>
                <w:proofErr w:type="spellEnd"/>
                <w:r>
                  <w:rPr>
                    <w:color w:val="303030"/>
                    <w:sz w:val="20"/>
                  </w:rPr>
                  <w:t>, Inc.</w:t>
                </w:r>
              </w:p>
            </w:txbxContent>
          </v:textbox>
          <w10:wrap anchorx="page" anchory="page"/>
        </v:shape>
      </w:pict>
    </w:r>
    <w:r>
      <w:pict>
        <v:shape id="_x0000_s2065" type="#_x0000_t202" style="position:absolute;margin-left:473pt;margin-top:743.6pt;width:62.25pt;height:13.05pt;z-index:-401560;mso-position-horizontal-relative:page;mso-position-vertical-relative:page" filled="f" stroked="f">
          <v:textbox inset="0,0,0,0">
            <w:txbxContent>
              <w:p w:rsidR="0036140F" w:rsidRDefault="0036140F">
                <w:pPr>
                  <w:spacing w:before="10"/>
                  <w:ind w:left="20"/>
                  <w:rPr>
                    <w:sz w:val="20"/>
                  </w:rPr>
                </w:pPr>
                <w:r>
                  <w:rPr>
                    <w:color w:val="303030"/>
                    <w:sz w:val="20"/>
                  </w:rPr>
                  <w:t xml:space="preserve">Page </w:t>
                </w:r>
                <w:r>
                  <w:fldChar w:fldCharType="begin"/>
                </w:r>
                <w:r>
                  <w:rPr>
                    <w:color w:val="303030"/>
                    <w:sz w:val="20"/>
                  </w:rPr>
                  <w:instrText xml:space="preserve"> PAGE </w:instrText>
                </w:r>
                <w:r>
                  <w:fldChar w:fldCharType="separate"/>
                </w:r>
                <w:r>
                  <w:t>10</w:t>
                </w:r>
                <w:r>
                  <w:fldChar w:fldCharType="end"/>
                </w:r>
                <w:r>
                  <w:rPr>
                    <w:color w:val="303030"/>
                    <w:sz w:val="20"/>
                  </w:rPr>
                  <w:t xml:space="preserve"> of 100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40F" w:rsidRDefault="0036140F">
    <w:pPr>
      <w:pStyle w:val="a3"/>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352.5pt;margin-top:563.6pt;width:56.6pt;height:13.05pt;z-index:-401488;mso-position-horizontal-relative:page;mso-position-vertical-relative:page" filled="f" stroked="f">
          <v:textbox inset="0,0,0,0">
            <w:txbxContent>
              <w:p w:rsidR="0036140F" w:rsidRDefault="0036140F">
                <w:pPr>
                  <w:spacing w:before="10"/>
                  <w:ind w:left="20"/>
                  <w:rPr>
                    <w:sz w:val="20"/>
                  </w:rPr>
                </w:pPr>
                <w:proofErr w:type="spellStart"/>
                <w:r>
                  <w:rPr>
                    <w:color w:val="303030"/>
                    <w:sz w:val="20"/>
                  </w:rPr>
                  <w:t>Agensys</w:t>
                </w:r>
                <w:proofErr w:type="spellEnd"/>
                <w:r>
                  <w:rPr>
                    <w:color w:val="303030"/>
                    <w:sz w:val="20"/>
                  </w:rPr>
                  <w:t>, Inc.</w:t>
                </w:r>
              </w:p>
            </w:txbxContent>
          </v:textbox>
          <w10:wrap anchorx="page" anchory="page"/>
        </v:shape>
      </w:pict>
    </w:r>
    <w:r>
      <w:pict>
        <v:shape id="_x0000_s2061" type="#_x0000_t202" style="position:absolute;margin-left:643.65pt;margin-top:563.6pt;width:62.25pt;height:13.05pt;z-index:-401464;mso-position-horizontal-relative:page;mso-position-vertical-relative:page" filled="f" stroked="f">
          <v:textbox inset="0,0,0,0">
            <w:txbxContent>
              <w:p w:rsidR="0036140F" w:rsidRDefault="0036140F">
                <w:pPr>
                  <w:spacing w:before="10"/>
                  <w:ind w:left="20"/>
                  <w:rPr>
                    <w:sz w:val="20"/>
                  </w:rPr>
                </w:pPr>
                <w:r>
                  <w:rPr>
                    <w:color w:val="303030"/>
                    <w:sz w:val="20"/>
                  </w:rPr>
                  <w:t xml:space="preserve">Page </w:t>
                </w:r>
                <w:r>
                  <w:fldChar w:fldCharType="begin"/>
                </w:r>
                <w:r>
                  <w:rPr>
                    <w:color w:val="303030"/>
                    <w:sz w:val="20"/>
                  </w:rPr>
                  <w:instrText xml:space="preserve"> PAGE </w:instrText>
                </w:r>
                <w:r>
                  <w:fldChar w:fldCharType="separate"/>
                </w:r>
                <w:r>
                  <w:t>45</w:t>
                </w:r>
                <w:r>
                  <w:fldChar w:fldCharType="end"/>
                </w:r>
                <w:r>
                  <w:rPr>
                    <w:color w:val="303030"/>
                    <w:sz w:val="20"/>
                  </w:rPr>
                  <w:t xml:space="preserve"> of 100</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40F" w:rsidRDefault="0036140F">
    <w:pPr>
      <w:pStyle w:val="a3"/>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473pt;margin-top:743.6pt;width:62.25pt;height:13.05pt;z-index:-401368;mso-position-horizontal-relative:page;mso-position-vertical-relative:page" filled="f" stroked="f">
          <v:textbox inset="0,0,0,0">
            <w:txbxContent>
              <w:p w:rsidR="0036140F" w:rsidRDefault="0036140F">
                <w:pPr>
                  <w:spacing w:before="10"/>
                  <w:ind w:left="20"/>
                  <w:rPr>
                    <w:sz w:val="20"/>
                  </w:rPr>
                </w:pPr>
                <w:r>
                  <w:rPr>
                    <w:color w:val="303030"/>
                    <w:sz w:val="20"/>
                  </w:rPr>
                  <w:t xml:space="preserve">Page </w:t>
                </w:r>
                <w:r>
                  <w:fldChar w:fldCharType="begin"/>
                </w:r>
                <w:r>
                  <w:rPr>
                    <w:color w:val="303030"/>
                    <w:sz w:val="20"/>
                  </w:rPr>
                  <w:instrText xml:space="preserve"> PAGE </w:instrText>
                </w:r>
                <w:r>
                  <w:fldChar w:fldCharType="separate"/>
                </w:r>
                <w:r>
                  <w:t>47</w:t>
                </w:r>
                <w:r>
                  <w:fldChar w:fldCharType="end"/>
                </w:r>
                <w:r>
                  <w:rPr>
                    <w:color w:val="303030"/>
                    <w:sz w:val="20"/>
                  </w:rPr>
                  <w:t xml:space="preserve"> of 100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BEF" w:rsidRDefault="00A63BEF">
      <w:r>
        <w:separator/>
      </w:r>
    </w:p>
  </w:footnote>
  <w:footnote w:type="continuationSeparator" w:id="0">
    <w:p w:rsidR="00A63BEF" w:rsidRDefault="00A63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40F" w:rsidRDefault="0036140F">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40F" w:rsidRDefault="0036140F">
    <w:pPr>
      <w:pStyle w:val="a3"/>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55.9pt;margin-top:27.9pt;width:54.95pt;height:24.6pt;z-index:-401536;mso-position-horizontal-relative:page;mso-position-vertical-relative:page" filled="f" stroked="f">
          <v:textbox inset="0,0,0,0">
            <w:txbxContent>
              <w:p w:rsidR="0036140F" w:rsidRDefault="0036140F">
                <w:pPr>
                  <w:spacing w:before="10"/>
                  <w:ind w:left="20" w:right="3"/>
                  <w:rPr>
                    <w:sz w:val="20"/>
                  </w:rPr>
                </w:pPr>
                <w:r>
                  <w:rPr>
                    <w:color w:val="303030"/>
                    <w:sz w:val="20"/>
                  </w:rPr>
                  <w:t>AGS67E IND 118,989</w:t>
                </w:r>
              </w:p>
            </w:txbxContent>
          </v:textbox>
          <w10:wrap anchorx="page" anchory="page"/>
        </v:shape>
      </w:pict>
    </w:r>
    <w:r>
      <w:pict>
        <v:shape id="_x0000_s2063" type="#_x0000_t202" style="position:absolute;margin-left:609.2pt;margin-top:27.9pt;width:96.8pt;height:36.1pt;z-index:-401512;mso-position-horizontal-relative:page;mso-position-vertical-relative:page" filled="f" stroked="f">
          <v:textbox inset="0,0,0,0">
            <w:txbxContent>
              <w:p w:rsidR="0036140F" w:rsidRDefault="0036140F">
                <w:pPr>
                  <w:spacing w:before="10"/>
                  <w:ind w:left="447"/>
                  <w:rPr>
                    <w:sz w:val="20"/>
                  </w:rPr>
                </w:pPr>
                <w:r>
                  <w:rPr>
                    <w:color w:val="303030"/>
                    <w:sz w:val="20"/>
                  </w:rPr>
                  <w:t>CONFIDENTIAL</w:t>
                </w:r>
              </w:p>
              <w:p w:rsidR="0036140F" w:rsidRDefault="0036140F">
                <w:pPr>
                  <w:spacing w:before="1"/>
                  <w:ind w:left="20"/>
                  <w:rPr>
                    <w:sz w:val="20"/>
                  </w:rPr>
                </w:pPr>
                <w:r>
                  <w:rPr>
                    <w:color w:val="303030"/>
                    <w:sz w:val="20"/>
                  </w:rPr>
                  <w:t>Investigator’s</w:t>
                </w:r>
                <w:r>
                  <w:rPr>
                    <w:color w:val="303030"/>
                    <w:spacing w:val="-18"/>
                    <w:sz w:val="20"/>
                  </w:rPr>
                  <w:t xml:space="preserve"> </w:t>
                </w:r>
                <w:r>
                  <w:rPr>
                    <w:color w:val="303030"/>
                    <w:sz w:val="20"/>
                  </w:rPr>
                  <w:t>Brochure</w:t>
                </w:r>
              </w:p>
              <w:p w:rsidR="0036140F" w:rsidRDefault="0036140F">
                <w:pPr>
                  <w:ind w:left="1025"/>
                  <w:rPr>
                    <w:sz w:val="20"/>
                  </w:rPr>
                </w:pPr>
                <w:r>
                  <w:rPr>
                    <w:color w:val="303030"/>
                    <w:sz w:val="20"/>
                  </w:rPr>
                  <w:t>Edition</w:t>
                </w:r>
                <w:r>
                  <w:rPr>
                    <w:color w:val="303030"/>
                    <w:spacing w:val="-5"/>
                    <w:sz w:val="20"/>
                  </w:rPr>
                  <w:t xml:space="preserve"> </w:t>
                </w:r>
                <w:r>
                  <w:rPr>
                    <w:color w:val="303030"/>
                    <w:sz w:val="20"/>
                  </w:rPr>
                  <w:t>4.0</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40F" w:rsidRDefault="0036140F">
    <w:pPr>
      <w:pStyle w:val="a3"/>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438.55pt;margin-top:27.9pt;width:96.8pt;height:36.1pt;z-index:-401416;mso-position-horizontal-relative:page;mso-position-vertical-relative:page" filled="f" stroked="f">
          <v:textbox inset="0,0,0,0">
            <w:txbxContent>
              <w:p w:rsidR="0036140F" w:rsidRDefault="0036140F">
                <w:pPr>
                  <w:spacing w:before="10"/>
                  <w:ind w:left="447"/>
                  <w:rPr>
                    <w:sz w:val="20"/>
                  </w:rPr>
                </w:pPr>
                <w:r>
                  <w:rPr>
                    <w:color w:val="303030"/>
                    <w:sz w:val="20"/>
                  </w:rPr>
                  <w:t>CONFIDENTIAL</w:t>
                </w:r>
              </w:p>
              <w:p w:rsidR="0036140F" w:rsidRDefault="0036140F">
                <w:pPr>
                  <w:spacing w:before="1"/>
                  <w:ind w:left="20"/>
                  <w:rPr>
                    <w:sz w:val="20"/>
                  </w:rPr>
                </w:pPr>
                <w:r>
                  <w:rPr>
                    <w:color w:val="303030"/>
                    <w:sz w:val="20"/>
                  </w:rPr>
                  <w:t>Investigator’s</w:t>
                </w:r>
                <w:r>
                  <w:rPr>
                    <w:color w:val="303030"/>
                    <w:spacing w:val="-18"/>
                    <w:sz w:val="20"/>
                  </w:rPr>
                  <w:t xml:space="preserve"> </w:t>
                </w:r>
                <w:r>
                  <w:rPr>
                    <w:color w:val="303030"/>
                    <w:sz w:val="20"/>
                  </w:rPr>
                  <w:t>Brochure</w:t>
                </w:r>
              </w:p>
              <w:p w:rsidR="0036140F" w:rsidRDefault="0036140F">
                <w:pPr>
                  <w:ind w:left="1025"/>
                  <w:rPr>
                    <w:sz w:val="20"/>
                  </w:rPr>
                </w:pPr>
                <w:r>
                  <w:rPr>
                    <w:color w:val="303030"/>
                    <w:sz w:val="20"/>
                  </w:rPr>
                  <w:t>Edition</w:t>
                </w:r>
                <w:r>
                  <w:rPr>
                    <w:color w:val="303030"/>
                    <w:spacing w:val="-5"/>
                    <w:sz w:val="20"/>
                  </w:rPr>
                  <w:t xml:space="preserve"> </w:t>
                </w:r>
                <w:r>
                  <w:rPr>
                    <w:color w:val="303030"/>
                    <w:sz w:val="20"/>
                  </w:rPr>
                  <w:t>4.0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791"/>
    <w:multiLevelType w:val="multilevel"/>
    <w:tmpl w:val="B1824C1A"/>
    <w:lvl w:ilvl="0">
      <w:start w:val="4"/>
      <w:numFmt w:val="decimal"/>
      <w:lvlText w:val="%1"/>
      <w:lvlJc w:val="left"/>
      <w:pPr>
        <w:ind w:left="1365" w:hanging="1133"/>
        <w:jc w:val="left"/>
      </w:pPr>
      <w:rPr>
        <w:rFonts w:hint="default"/>
      </w:rPr>
    </w:lvl>
    <w:lvl w:ilvl="1">
      <w:start w:val="4"/>
      <w:numFmt w:val="decimal"/>
      <w:lvlText w:val="%1.%2"/>
      <w:lvlJc w:val="left"/>
      <w:pPr>
        <w:ind w:left="1365" w:hanging="1133"/>
        <w:jc w:val="left"/>
      </w:pPr>
      <w:rPr>
        <w:rFonts w:hint="default"/>
      </w:rPr>
    </w:lvl>
    <w:lvl w:ilvl="2">
      <w:start w:val="2"/>
      <w:numFmt w:val="decimal"/>
      <w:lvlText w:val="%1.%2.%3"/>
      <w:lvlJc w:val="left"/>
      <w:pPr>
        <w:ind w:left="1365" w:hanging="1133"/>
        <w:jc w:val="left"/>
      </w:pPr>
      <w:rPr>
        <w:rFonts w:hint="default"/>
      </w:rPr>
    </w:lvl>
    <w:lvl w:ilvl="3">
      <w:start w:val="2"/>
      <w:numFmt w:val="decimal"/>
      <w:lvlText w:val="%1.%2.%3.%4"/>
      <w:lvlJc w:val="left"/>
      <w:pPr>
        <w:ind w:left="1365" w:hanging="1133"/>
        <w:jc w:val="left"/>
      </w:pPr>
      <w:rPr>
        <w:rFonts w:hint="default"/>
      </w:rPr>
    </w:lvl>
    <w:lvl w:ilvl="4">
      <w:start w:val="4"/>
      <w:numFmt w:val="decimal"/>
      <w:lvlText w:val="%1.%2.%3.%4.%5"/>
      <w:lvlJc w:val="left"/>
      <w:pPr>
        <w:ind w:left="1365" w:hanging="1133"/>
        <w:jc w:val="left"/>
      </w:pPr>
      <w:rPr>
        <w:rFonts w:ascii="Times New Roman" w:eastAsia="Times New Roman" w:hAnsi="Times New Roman" w:cs="Times New Roman" w:hint="default"/>
        <w:b/>
        <w:bCs/>
        <w:spacing w:val="-1"/>
        <w:w w:val="99"/>
        <w:sz w:val="24"/>
        <w:szCs w:val="24"/>
      </w:rPr>
    </w:lvl>
    <w:lvl w:ilvl="5">
      <w:numFmt w:val="bullet"/>
      <w:lvlText w:val="•"/>
      <w:lvlJc w:val="left"/>
      <w:pPr>
        <w:ind w:left="6110" w:hanging="1133"/>
      </w:pPr>
      <w:rPr>
        <w:rFonts w:hint="default"/>
      </w:rPr>
    </w:lvl>
    <w:lvl w:ilvl="6">
      <w:numFmt w:val="bullet"/>
      <w:lvlText w:val="•"/>
      <w:lvlJc w:val="left"/>
      <w:pPr>
        <w:ind w:left="7060" w:hanging="1133"/>
      </w:pPr>
      <w:rPr>
        <w:rFonts w:hint="default"/>
      </w:rPr>
    </w:lvl>
    <w:lvl w:ilvl="7">
      <w:numFmt w:val="bullet"/>
      <w:lvlText w:val="•"/>
      <w:lvlJc w:val="left"/>
      <w:pPr>
        <w:ind w:left="8010" w:hanging="1133"/>
      </w:pPr>
      <w:rPr>
        <w:rFonts w:hint="default"/>
      </w:rPr>
    </w:lvl>
    <w:lvl w:ilvl="8">
      <w:numFmt w:val="bullet"/>
      <w:lvlText w:val="•"/>
      <w:lvlJc w:val="left"/>
      <w:pPr>
        <w:ind w:left="8960" w:hanging="1133"/>
      </w:pPr>
      <w:rPr>
        <w:rFonts w:hint="default"/>
      </w:rPr>
    </w:lvl>
  </w:abstractNum>
  <w:abstractNum w:abstractNumId="1" w15:restartNumberingAfterBreak="0">
    <w:nsid w:val="097C7B63"/>
    <w:multiLevelType w:val="multilevel"/>
    <w:tmpl w:val="011E3290"/>
    <w:lvl w:ilvl="0">
      <w:start w:val="5"/>
      <w:numFmt w:val="decimal"/>
      <w:lvlText w:val="%1"/>
      <w:lvlJc w:val="left"/>
      <w:pPr>
        <w:ind w:left="1084" w:hanging="852"/>
        <w:jc w:val="left"/>
      </w:pPr>
      <w:rPr>
        <w:rFonts w:hint="default"/>
      </w:rPr>
    </w:lvl>
    <w:lvl w:ilvl="1">
      <w:start w:val="1"/>
      <w:numFmt w:val="decimal"/>
      <w:lvlText w:val="%1.%2"/>
      <w:lvlJc w:val="left"/>
      <w:pPr>
        <w:ind w:left="1084" w:hanging="852"/>
        <w:jc w:val="left"/>
      </w:pPr>
      <w:rPr>
        <w:rFonts w:hint="default"/>
      </w:rPr>
    </w:lvl>
    <w:lvl w:ilvl="2">
      <w:start w:val="4"/>
      <w:numFmt w:val="decimal"/>
      <w:lvlText w:val="%1.%2.%3"/>
      <w:lvlJc w:val="left"/>
      <w:pPr>
        <w:ind w:left="1084" w:hanging="852"/>
        <w:jc w:val="left"/>
      </w:pPr>
      <w:rPr>
        <w:rFonts w:ascii="Times New Roman" w:eastAsia="Times New Roman" w:hAnsi="Times New Roman" w:cs="Times New Roman" w:hint="default"/>
        <w:b/>
        <w:bCs/>
        <w:spacing w:val="-4"/>
        <w:w w:val="99"/>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2" w15:restartNumberingAfterBreak="0">
    <w:nsid w:val="10E4360C"/>
    <w:multiLevelType w:val="hybridMultilevel"/>
    <w:tmpl w:val="56B03A6E"/>
    <w:lvl w:ilvl="0" w:tplc="00FAB46E">
      <w:start w:val="3"/>
      <w:numFmt w:val="decimal"/>
      <w:lvlText w:val="%1)"/>
      <w:lvlJc w:val="left"/>
      <w:pPr>
        <w:ind w:left="451" w:hanging="219"/>
        <w:jc w:val="left"/>
      </w:pPr>
      <w:rPr>
        <w:rFonts w:ascii="Times New Roman" w:eastAsia="Times New Roman" w:hAnsi="Times New Roman" w:cs="Times New Roman" w:hint="default"/>
        <w:spacing w:val="0"/>
        <w:w w:val="99"/>
        <w:sz w:val="20"/>
        <w:szCs w:val="20"/>
      </w:rPr>
    </w:lvl>
    <w:lvl w:ilvl="1" w:tplc="74AED142">
      <w:numFmt w:val="bullet"/>
      <w:lvlText w:val="•"/>
      <w:lvlJc w:val="left"/>
      <w:pPr>
        <w:ind w:left="1420" w:hanging="219"/>
      </w:pPr>
      <w:rPr>
        <w:rFonts w:hint="default"/>
      </w:rPr>
    </w:lvl>
    <w:lvl w:ilvl="2" w:tplc="542EB94C">
      <w:numFmt w:val="bullet"/>
      <w:lvlText w:val="•"/>
      <w:lvlJc w:val="left"/>
      <w:pPr>
        <w:ind w:left="2380" w:hanging="219"/>
      </w:pPr>
      <w:rPr>
        <w:rFonts w:hint="default"/>
      </w:rPr>
    </w:lvl>
    <w:lvl w:ilvl="3" w:tplc="3B9665C0">
      <w:numFmt w:val="bullet"/>
      <w:lvlText w:val="•"/>
      <w:lvlJc w:val="left"/>
      <w:pPr>
        <w:ind w:left="3340" w:hanging="219"/>
      </w:pPr>
      <w:rPr>
        <w:rFonts w:hint="default"/>
      </w:rPr>
    </w:lvl>
    <w:lvl w:ilvl="4" w:tplc="D81A1FB2">
      <w:numFmt w:val="bullet"/>
      <w:lvlText w:val="•"/>
      <w:lvlJc w:val="left"/>
      <w:pPr>
        <w:ind w:left="4300" w:hanging="219"/>
      </w:pPr>
      <w:rPr>
        <w:rFonts w:hint="default"/>
      </w:rPr>
    </w:lvl>
    <w:lvl w:ilvl="5" w:tplc="7A26A9E0">
      <w:numFmt w:val="bullet"/>
      <w:lvlText w:val="•"/>
      <w:lvlJc w:val="left"/>
      <w:pPr>
        <w:ind w:left="5260" w:hanging="219"/>
      </w:pPr>
      <w:rPr>
        <w:rFonts w:hint="default"/>
      </w:rPr>
    </w:lvl>
    <w:lvl w:ilvl="6" w:tplc="824AC79E">
      <w:numFmt w:val="bullet"/>
      <w:lvlText w:val="•"/>
      <w:lvlJc w:val="left"/>
      <w:pPr>
        <w:ind w:left="6220" w:hanging="219"/>
      </w:pPr>
      <w:rPr>
        <w:rFonts w:hint="default"/>
      </w:rPr>
    </w:lvl>
    <w:lvl w:ilvl="7" w:tplc="8110E9C6">
      <w:numFmt w:val="bullet"/>
      <w:lvlText w:val="•"/>
      <w:lvlJc w:val="left"/>
      <w:pPr>
        <w:ind w:left="7180" w:hanging="219"/>
      </w:pPr>
      <w:rPr>
        <w:rFonts w:hint="default"/>
      </w:rPr>
    </w:lvl>
    <w:lvl w:ilvl="8" w:tplc="0DB40D50">
      <w:numFmt w:val="bullet"/>
      <w:lvlText w:val="•"/>
      <w:lvlJc w:val="left"/>
      <w:pPr>
        <w:ind w:left="8140" w:hanging="219"/>
      </w:pPr>
      <w:rPr>
        <w:rFonts w:hint="default"/>
      </w:rPr>
    </w:lvl>
  </w:abstractNum>
  <w:abstractNum w:abstractNumId="3" w15:restartNumberingAfterBreak="0">
    <w:nsid w:val="119F41CC"/>
    <w:multiLevelType w:val="hybridMultilevel"/>
    <w:tmpl w:val="CCD0C1D2"/>
    <w:lvl w:ilvl="0" w:tplc="4A8A165C">
      <w:start w:val="3"/>
      <w:numFmt w:val="decimal"/>
      <w:lvlText w:val="%1)"/>
      <w:lvlJc w:val="left"/>
      <w:pPr>
        <w:ind w:left="451" w:hanging="219"/>
        <w:jc w:val="left"/>
      </w:pPr>
      <w:rPr>
        <w:rFonts w:ascii="Times New Roman" w:eastAsia="Times New Roman" w:hAnsi="Times New Roman" w:cs="Times New Roman" w:hint="default"/>
        <w:spacing w:val="0"/>
        <w:w w:val="99"/>
        <w:sz w:val="20"/>
        <w:szCs w:val="20"/>
      </w:rPr>
    </w:lvl>
    <w:lvl w:ilvl="1" w:tplc="0FACBDF4">
      <w:numFmt w:val="bullet"/>
      <w:lvlText w:val="•"/>
      <w:lvlJc w:val="left"/>
      <w:pPr>
        <w:ind w:left="1420" w:hanging="219"/>
      </w:pPr>
      <w:rPr>
        <w:rFonts w:hint="default"/>
      </w:rPr>
    </w:lvl>
    <w:lvl w:ilvl="2" w:tplc="C51A27F2">
      <w:numFmt w:val="bullet"/>
      <w:lvlText w:val="•"/>
      <w:lvlJc w:val="left"/>
      <w:pPr>
        <w:ind w:left="2380" w:hanging="219"/>
      </w:pPr>
      <w:rPr>
        <w:rFonts w:hint="default"/>
      </w:rPr>
    </w:lvl>
    <w:lvl w:ilvl="3" w:tplc="FA52D60C">
      <w:numFmt w:val="bullet"/>
      <w:lvlText w:val="•"/>
      <w:lvlJc w:val="left"/>
      <w:pPr>
        <w:ind w:left="3340" w:hanging="219"/>
      </w:pPr>
      <w:rPr>
        <w:rFonts w:hint="default"/>
      </w:rPr>
    </w:lvl>
    <w:lvl w:ilvl="4" w:tplc="467C6246">
      <w:numFmt w:val="bullet"/>
      <w:lvlText w:val="•"/>
      <w:lvlJc w:val="left"/>
      <w:pPr>
        <w:ind w:left="4300" w:hanging="219"/>
      </w:pPr>
      <w:rPr>
        <w:rFonts w:hint="default"/>
      </w:rPr>
    </w:lvl>
    <w:lvl w:ilvl="5" w:tplc="AC862D50">
      <w:numFmt w:val="bullet"/>
      <w:lvlText w:val="•"/>
      <w:lvlJc w:val="left"/>
      <w:pPr>
        <w:ind w:left="5260" w:hanging="219"/>
      </w:pPr>
      <w:rPr>
        <w:rFonts w:hint="default"/>
      </w:rPr>
    </w:lvl>
    <w:lvl w:ilvl="6" w:tplc="DD0A51A8">
      <w:numFmt w:val="bullet"/>
      <w:lvlText w:val="•"/>
      <w:lvlJc w:val="left"/>
      <w:pPr>
        <w:ind w:left="6220" w:hanging="219"/>
      </w:pPr>
      <w:rPr>
        <w:rFonts w:hint="default"/>
      </w:rPr>
    </w:lvl>
    <w:lvl w:ilvl="7" w:tplc="25F81B72">
      <w:numFmt w:val="bullet"/>
      <w:lvlText w:val="•"/>
      <w:lvlJc w:val="left"/>
      <w:pPr>
        <w:ind w:left="7180" w:hanging="219"/>
      </w:pPr>
      <w:rPr>
        <w:rFonts w:hint="default"/>
      </w:rPr>
    </w:lvl>
    <w:lvl w:ilvl="8" w:tplc="62027E42">
      <w:numFmt w:val="bullet"/>
      <w:lvlText w:val="•"/>
      <w:lvlJc w:val="left"/>
      <w:pPr>
        <w:ind w:left="8140" w:hanging="219"/>
      </w:pPr>
      <w:rPr>
        <w:rFonts w:hint="default"/>
      </w:rPr>
    </w:lvl>
  </w:abstractNum>
  <w:abstractNum w:abstractNumId="4" w15:restartNumberingAfterBreak="0">
    <w:nsid w:val="11BF05C1"/>
    <w:multiLevelType w:val="multilevel"/>
    <w:tmpl w:val="1F2E6D54"/>
    <w:lvl w:ilvl="0">
      <w:start w:val="3"/>
      <w:numFmt w:val="decimal"/>
      <w:lvlText w:val="%1"/>
      <w:lvlJc w:val="left"/>
      <w:pPr>
        <w:ind w:left="1164" w:hanging="852"/>
        <w:jc w:val="left"/>
      </w:pPr>
      <w:rPr>
        <w:rFonts w:hint="default"/>
      </w:rPr>
    </w:lvl>
    <w:lvl w:ilvl="1">
      <w:start w:val="2"/>
      <w:numFmt w:val="decimal"/>
      <w:lvlText w:val="%1.%2"/>
      <w:lvlJc w:val="left"/>
      <w:pPr>
        <w:ind w:left="1164" w:hanging="852"/>
        <w:jc w:val="left"/>
      </w:pPr>
      <w:rPr>
        <w:rFonts w:hint="default"/>
      </w:rPr>
    </w:lvl>
    <w:lvl w:ilvl="2">
      <w:start w:val="2"/>
      <w:numFmt w:val="decimal"/>
      <w:lvlText w:val="%1.%2.%3"/>
      <w:lvlJc w:val="left"/>
      <w:pPr>
        <w:ind w:left="1164" w:hanging="852"/>
        <w:jc w:val="left"/>
      </w:pPr>
      <w:rPr>
        <w:rFonts w:hint="default"/>
      </w:rPr>
    </w:lvl>
    <w:lvl w:ilvl="3">
      <w:start w:val="1"/>
      <w:numFmt w:val="decimal"/>
      <w:lvlText w:val="%1.%2.%3.%4"/>
      <w:lvlJc w:val="left"/>
      <w:pPr>
        <w:ind w:left="1164" w:hanging="852"/>
        <w:jc w:val="left"/>
      </w:pPr>
      <w:rPr>
        <w:rFonts w:ascii="Times New Roman" w:eastAsia="Times New Roman" w:hAnsi="Times New Roman" w:cs="Times New Roman" w:hint="default"/>
        <w:b/>
        <w:bCs/>
        <w:spacing w:val="-4"/>
        <w:w w:val="99"/>
        <w:sz w:val="24"/>
        <w:szCs w:val="24"/>
      </w:rPr>
    </w:lvl>
    <w:lvl w:ilvl="4">
      <w:numFmt w:val="bullet"/>
      <w:lvlText w:val="•"/>
      <w:lvlJc w:val="left"/>
      <w:pPr>
        <w:ind w:left="4712" w:hanging="852"/>
      </w:pPr>
      <w:rPr>
        <w:rFonts w:hint="default"/>
      </w:rPr>
    </w:lvl>
    <w:lvl w:ilvl="5">
      <w:numFmt w:val="bullet"/>
      <w:lvlText w:val="•"/>
      <w:lvlJc w:val="left"/>
      <w:pPr>
        <w:ind w:left="5600" w:hanging="852"/>
      </w:pPr>
      <w:rPr>
        <w:rFonts w:hint="default"/>
      </w:rPr>
    </w:lvl>
    <w:lvl w:ilvl="6">
      <w:numFmt w:val="bullet"/>
      <w:lvlText w:val="•"/>
      <w:lvlJc w:val="left"/>
      <w:pPr>
        <w:ind w:left="6488" w:hanging="852"/>
      </w:pPr>
      <w:rPr>
        <w:rFonts w:hint="default"/>
      </w:rPr>
    </w:lvl>
    <w:lvl w:ilvl="7">
      <w:numFmt w:val="bullet"/>
      <w:lvlText w:val="•"/>
      <w:lvlJc w:val="left"/>
      <w:pPr>
        <w:ind w:left="7376" w:hanging="852"/>
      </w:pPr>
      <w:rPr>
        <w:rFonts w:hint="default"/>
      </w:rPr>
    </w:lvl>
    <w:lvl w:ilvl="8">
      <w:numFmt w:val="bullet"/>
      <w:lvlText w:val="•"/>
      <w:lvlJc w:val="left"/>
      <w:pPr>
        <w:ind w:left="8264" w:hanging="852"/>
      </w:pPr>
      <w:rPr>
        <w:rFonts w:hint="default"/>
      </w:rPr>
    </w:lvl>
  </w:abstractNum>
  <w:abstractNum w:abstractNumId="5" w15:restartNumberingAfterBreak="0">
    <w:nsid w:val="13277E9B"/>
    <w:multiLevelType w:val="multilevel"/>
    <w:tmpl w:val="CC0EBB4A"/>
    <w:lvl w:ilvl="0">
      <w:start w:val="6"/>
      <w:numFmt w:val="decimal"/>
      <w:lvlText w:val="%1"/>
      <w:lvlJc w:val="left"/>
      <w:pPr>
        <w:ind w:left="1084" w:hanging="852"/>
        <w:jc w:val="left"/>
      </w:pPr>
      <w:rPr>
        <w:rFonts w:hint="default"/>
      </w:rPr>
    </w:lvl>
    <w:lvl w:ilvl="1">
      <w:start w:val="1"/>
      <w:numFmt w:val="decimal"/>
      <w:lvlText w:val="%1.%2"/>
      <w:lvlJc w:val="left"/>
      <w:pPr>
        <w:ind w:left="1084" w:hanging="852"/>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84" w:hanging="852"/>
        <w:jc w:val="left"/>
      </w:pPr>
      <w:rPr>
        <w:rFonts w:ascii="Times New Roman" w:eastAsia="Times New Roman" w:hAnsi="Times New Roman" w:cs="Times New Roman" w:hint="default"/>
        <w:b/>
        <w:bCs/>
        <w:spacing w:val="-3"/>
        <w:w w:val="99"/>
        <w:sz w:val="24"/>
        <w:szCs w:val="24"/>
      </w:rPr>
    </w:lvl>
    <w:lvl w:ilvl="3">
      <w:numFmt w:val="bullet"/>
      <w:lvlText w:val="•"/>
      <w:lvlJc w:val="left"/>
      <w:pPr>
        <w:ind w:left="3774" w:hanging="852"/>
      </w:pPr>
      <w:rPr>
        <w:rFonts w:hint="default"/>
      </w:rPr>
    </w:lvl>
    <w:lvl w:ilvl="4">
      <w:numFmt w:val="bullet"/>
      <w:lvlText w:val="•"/>
      <w:lvlJc w:val="left"/>
      <w:pPr>
        <w:ind w:left="4672" w:hanging="852"/>
      </w:pPr>
      <w:rPr>
        <w:rFonts w:hint="default"/>
      </w:rPr>
    </w:lvl>
    <w:lvl w:ilvl="5">
      <w:numFmt w:val="bullet"/>
      <w:lvlText w:val="•"/>
      <w:lvlJc w:val="left"/>
      <w:pPr>
        <w:ind w:left="5570" w:hanging="852"/>
      </w:pPr>
      <w:rPr>
        <w:rFonts w:hint="default"/>
      </w:rPr>
    </w:lvl>
    <w:lvl w:ilvl="6">
      <w:numFmt w:val="bullet"/>
      <w:lvlText w:val="•"/>
      <w:lvlJc w:val="left"/>
      <w:pPr>
        <w:ind w:left="6468" w:hanging="852"/>
      </w:pPr>
      <w:rPr>
        <w:rFonts w:hint="default"/>
      </w:rPr>
    </w:lvl>
    <w:lvl w:ilvl="7">
      <w:numFmt w:val="bullet"/>
      <w:lvlText w:val="•"/>
      <w:lvlJc w:val="left"/>
      <w:pPr>
        <w:ind w:left="7366" w:hanging="852"/>
      </w:pPr>
      <w:rPr>
        <w:rFonts w:hint="default"/>
      </w:rPr>
    </w:lvl>
    <w:lvl w:ilvl="8">
      <w:numFmt w:val="bullet"/>
      <w:lvlText w:val="•"/>
      <w:lvlJc w:val="left"/>
      <w:pPr>
        <w:ind w:left="8264" w:hanging="852"/>
      </w:pPr>
      <w:rPr>
        <w:rFonts w:hint="default"/>
      </w:rPr>
    </w:lvl>
  </w:abstractNum>
  <w:abstractNum w:abstractNumId="6" w15:restartNumberingAfterBreak="0">
    <w:nsid w:val="15D37A1B"/>
    <w:multiLevelType w:val="hybridMultilevel"/>
    <w:tmpl w:val="6F4E60AA"/>
    <w:lvl w:ilvl="0" w:tplc="DB223948">
      <w:start w:val="1"/>
      <w:numFmt w:val="decimal"/>
      <w:lvlText w:val="%1."/>
      <w:lvlJc w:val="left"/>
      <w:pPr>
        <w:ind w:left="952" w:hanging="360"/>
        <w:jc w:val="left"/>
      </w:pPr>
      <w:rPr>
        <w:rFonts w:ascii="Times New Roman" w:eastAsia="Times New Roman" w:hAnsi="Times New Roman" w:cs="Times New Roman" w:hint="default"/>
        <w:spacing w:val="-4"/>
        <w:w w:val="99"/>
        <w:sz w:val="24"/>
        <w:szCs w:val="24"/>
      </w:rPr>
    </w:lvl>
    <w:lvl w:ilvl="1" w:tplc="EB827394">
      <w:numFmt w:val="bullet"/>
      <w:lvlText w:val="•"/>
      <w:lvlJc w:val="left"/>
      <w:pPr>
        <w:ind w:left="1870" w:hanging="360"/>
      </w:pPr>
      <w:rPr>
        <w:rFonts w:hint="default"/>
      </w:rPr>
    </w:lvl>
    <w:lvl w:ilvl="2" w:tplc="69AC4A48">
      <w:numFmt w:val="bullet"/>
      <w:lvlText w:val="•"/>
      <w:lvlJc w:val="left"/>
      <w:pPr>
        <w:ind w:left="2780" w:hanging="360"/>
      </w:pPr>
      <w:rPr>
        <w:rFonts w:hint="default"/>
      </w:rPr>
    </w:lvl>
    <w:lvl w:ilvl="3" w:tplc="28EAF0C4">
      <w:numFmt w:val="bullet"/>
      <w:lvlText w:val="•"/>
      <w:lvlJc w:val="left"/>
      <w:pPr>
        <w:ind w:left="3690" w:hanging="360"/>
      </w:pPr>
      <w:rPr>
        <w:rFonts w:hint="default"/>
      </w:rPr>
    </w:lvl>
    <w:lvl w:ilvl="4" w:tplc="21AC38A8">
      <w:numFmt w:val="bullet"/>
      <w:lvlText w:val="•"/>
      <w:lvlJc w:val="left"/>
      <w:pPr>
        <w:ind w:left="4600" w:hanging="360"/>
      </w:pPr>
      <w:rPr>
        <w:rFonts w:hint="default"/>
      </w:rPr>
    </w:lvl>
    <w:lvl w:ilvl="5" w:tplc="F4CAADD6">
      <w:numFmt w:val="bullet"/>
      <w:lvlText w:val="•"/>
      <w:lvlJc w:val="left"/>
      <w:pPr>
        <w:ind w:left="5510" w:hanging="360"/>
      </w:pPr>
      <w:rPr>
        <w:rFonts w:hint="default"/>
      </w:rPr>
    </w:lvl>
    <w:lvl w:ilvl="6" w:tplc="55C87460">
      <w:numFmt w:val="bullet"/>
      <w:lvlText w:val="•"/>
      <w:lvlJc w:val="left"/>
      <w:pPr>
        <w:ind w:left="6420" w:hanging="360"/>
      </w:pPr>
      <w:rPr>
        <w:rFonts w:hint="default"/>
      </w:rPr>
    </w:lvl>
    <w:lvl w:ilvl="7" w:tplc="F6E685B8">
      <w:numFmt w:val="bullet"/>
      <w:lvlText w:val="•"/>
      <w:lvlJc w:val="left"/>
      <w:pPr>
        <w:ind w:left="7330" w:hanging="360"/>
      </w:pPr>
      <w:rPr>
        <w:rFonts w:hint="default"/>
      </w:rPr>
    </w:lvl>
    <w:lvl w:ilvl="8" w:tplc="5A3419F2">
      <w:numFmt w:val="bullet"/>
      <w:lvlText w:val="•"/>
      <w:lvlJc w:val="left"/>
      <w:pPr>
        <w:ind w:left="8240" w:hanging="360"/>
      </w:pPr>
      <w:rPr>
        <w:rFonts w:hint="default"/>
      </w:rPr>
    </w:lvl>
  </w:abstractNum>
  <w:abstractNum w:abstractNumId="7" w15:restartNumberingAfterBreak="0">
    <w:nsid w:val="19C55156"/>
    <w:multiLevelType w:val="hybridMultilevel"/>
    <w:tmpl w:val="4E161C20"/>
    <w:lvl w:ilvl="0" w:tplc="7B0E6076">
      <w:start w:val="3"/>
      <w:numFmt w:val="decimal"/>
      <w:lvlText w:val="%1)"/>
      <w:lvlJc w:val="left"/>
      <w:pPr>
        <w:ind w:left="451" w:hanging="219"/>
        <w:jc w:val="left"/>
      </w:pPr>
      <w:rPr>
        <w:rFonts w:ascii="Times New Roman" w:eastAsia="Times New Roman" w:hAnsi="Times New Roman" w:cs="Times New Roman" w:hint="default"/>
        <w:spacing w:val="0"/>
        <w:w w:val="99"/>
        <w:sz w:val="20"/>
        <w:szCs w:val="20"/>
      </w:rPr>
    </w:lvl>
    <w:lvl w:ilvl="1" w:tplc="11B82CE4">
      <w:numFmt w:val="bullet"/>
      <w:lvlText w:val="•"/>
      <w:lvlJc w:val="left"/>
      <w:pPr>
        <w:ind w:left="1420" w:hanging="219"/>
      </w:pPr>
      <w:rPr>
        <w:rFonts w:hint="default"/>
      </w:rPr>
    </w:lvl>
    <w:lvl w:ilvl="2" w:tplc="7F5C5EFE">
      <w:numFmt w:val="bullet"/>
      <w:lvlText w:val="•"/>
      <w:lvlJc w:val="left"/>
      <w:pPr>
        <w:ind w:left="2380" w:hanging="219"/>
      </w:pPr>
      <w:rPr>
        <w:rFonts w:hint="default"/>
      </w:rPr>
    </w:lvl>
    <w:lvl w:ilvl="3" w:tplc="A91280F0">
      <w:numFmt w:val="bullet"/>
      <w:lvlText w:val="•"/>
      <w:lvlJc w:val="left"/>
      <w:pPr>
        <w:ind w:left="3340" w:hanging="219"/>
      </w:pPr>
      <w:rPr>
        <w:rFonts w:hint="default"/>
      </w:rPr>
    </w:lvl>
    <w:lvl w:ilvl="4" w:tplc="F642E828">
      <w:numFmt w:val="bullet"/>
      <w:lvlText w:val="•"/>
      <w:lvlJc w:val="left"/>
      <w:pPr>
        <w:ind w:left="4300" w:hanging="219"/>
      </w:pPr>
      <w:rPr>
        <w:rFonts w:hint="default"/>
      </w:rPr>
    </w:lvl>
    <w:lvl w:ilvl="5" w:tplc="065C54C0">
      <w:numFmt w:val="bullet"/>
      <w:lvlText w:val="•"/>
      <w:lvlJc w:val="left"/>
      <w:pPr>
        <w:ind w:left="5260" w:hanging="219"/>
      </w:pPr>
      <w:rPr>
        <w:rFonts w:hint="default"/>
      </w:rPr>
    </w:lvl>
    <w:lvl w:ilvl="6" w:tplc="D8C8EB04">
      <w:numFmt w:val="bullet"/>
      <w:lvlText w:val="•"/>
      <w:lvlJc w:val="left"/>
      <w:pPr>
        <w:ind w:left="6220" w:hanging="219"/>
      </w:pPr>
      <w:rPr>
        <w:rFonts w:hint="default"/>
      </w:rPr>
    </w:lvl>
    <w:lvl w:ilvl="7" w:tplc="91528C64">
      <w:numFmt w:val="bullet"/>
      <w:lvlText w:val="•"/>
      <w:lvlJc w:val="left"/>
      <w:pPr>
        <w:ind w:left="7180" w:hanging="219"/>
      </w:pPr>
      <w:rPr>
        <w:rFonts w:hint="default"/>
      </w:rPr>
    </w:lvl>
    <w:lvl w:ilvl="8" w:tplc="7C485EB8">
      <w:numFmt w:val="bullet"/>
      <w:lvlText w:val="•"/>
      <w:lvlJc w:val="left"/>
      <w:pPr>
        <w:ind w:left="8140" w:hanging="219"/>
      </w:pPr>
      <w:rPr>
        <w:rFonts w:hint="default"/>
      </w:rPr>
    </w:lvl>
  </w:abstractNum>
  <w:abstractNum w:abstractNumId="8" w15:restartNumberingAfterBreak="0">
    <w:nsid w:val="210E4FD9"/>
    <w:multiLevelType w:val="multilevel"/>
    <w:tmpl w:val="AEE038CE"/>
    <w:lvl w:ilvl="0">
      <w:start w:val="5"/>
      <w:numFmt w:val="decimal"/>
      <w:lvlText w:val="%1"/>
      <w:lvlJc w:val="left"/>
      <w:pPr>
        <w:ind w:left="1084" w:hanging="852"/>
        <w:jc w:val="left"/>
      </w:pPr>
      <w:rPr>
        <w:rFonts w:hint="default"/>
      </w:rPr>
    </w:lvl>
    <w:lvl w:ilvl="1">
      <w:start w:val="2"/>
      <w:numFmt w:val="decimal"/>
      <w:lvlText w:val="%1.%2"/>
      <w:lvlJc w:val="left"/>
      <w:pPr>
        <w:ind w:left="1084" w:hanging="852"/>
        <w:jc w:val="left"/>
      </w:pPr>
      <w:rPr>
        <w:rFonts w:hint="default"/>
      </w:rPr>
    </w:lvl>
    <w:lvl w:ilvl="2">
      <w:start w:val="1"/>
      <w:numFmt w:val="decimal"/>
      <w:lvlText w:val="%1.%2.%3"/>
      <w:lvlJc w:val="left"/>
      <w:pPr>
        <w:ind w:left="1084" w:hanging="852"/>
        <w:jc w:val="left"/>
      </w:pPr>
      <w:rPr>
        <w:rFonts w:ascii="Times New Roman" w:eastAsia="Times New Roman" w:hAnsi="Times New Roman" w:cs="Times New Roman" w:hint="default"/>
        <w:b/>
        <w:bCs/>
        <w:spacing w:val="-3"/>
        <w:w w:val="99"/>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spacing w:val="-4"/>
        <w:w w:val="99"/>
        <w:sz w:val="24"/>
        <w:szCs w:val="24"/>
      </w:rPr>
    </w:lvl>
    <w:lvl w:ilvl="4">
      <w:numFmt w:val="bullet"/>
      <w:lvlText w:val="•"/>
      <w:lvlJc w:val="left"/>
      <w:pPr>
        <w:ind w:left="4672" w:hanging="852"/>
      </w:pPr>
      <w:rPr>
        <w:rFonts w:hint="default"/>
      </w:rPr>
    </w:lvl>
    <w:lvl w:ilvl="5">
      <w:numFmt w:val="bullet"/>
      <w:lvlText w:val="•"/>
      <w:lvlJc w:val="left"/>
      <w:pPr>
        <w:ind w:left="5570" w:hanging="852"/>
      </w:pPr>
      <w:rPr>
        <w:rFonts w:hint="default"/>
      </w:rPr>
    </w:lvl>
    <w:lvl w:ilvl="6">
      <w:numFmt w:val="bullet"/>
      <w:lvlText w:val="•"/>
      <w:lvlJc w:val="left"/>
      <w:pPr>
        <w:ind w:left="6468" w:hanging="852"/>
      </w:pPr>
      <w:rPr>
        <w:rFonts w:hint="default"/>
      </w:rPr>
    </w:lvl>
    <w:lvl w:ilvl="7">
      <w:numFmt w:val="bullet"/>
      <w:lvlText w:val="•"/>
      <w:lvlJc w:val="left"/>
      <w:pPr>
        <w:ind w:left="7366" w:hanging="852"/>
      </w:pPr>
      <w:rPr>
        <w:rFonts w:hint="default"/>
      </w:rPr>
    </w:lvl>
    <w:lvl w:ilvl="8">
      <w:numFmt w:val="bullet"/>
      <w:lvlText w:val="•"/>
      <w:lvlJc w:val="left"/>
      <w:pPr>
        <w:ind w:left="8264" w:hanging="852"/>
      </w:pPr>
      <w:rPr>
        <w:rFonts w:hint="default"/>
      </w:rPr>
    </w:lvl>
  </w:abstractNum>
  <w:abstractNum w:abstractNumId="9" w15:restartNumberingAfterBreak="0">
    <w:nsid w:val="3986195A"/>
    <w:multiLevelType w:val="multilevel"/>
    <w:tmpl w:val="83444C98"/>
    <w:lvl w:ilvl="0">
      <w:start w:val="4"/>
      <w:numFmt w:val="decimal"/>
      <w:lvlText w:val="%1"/>
      <w:lvlJc w:val="left"/>
      <w:pPr>
        <w:ind w:left="1084" w:hanging="852"/>
        <w:jc w:val="left"/>
      </w:pPr>
      <w:rPr>
        <w:rFonts w:hint="default"/>
      </w:rPr>
    </w:lvl>
    <w:lvl w:ilvl="1">
      <w:start w:val="4"/>
      <w:numFmt w:val="decimal"/>
      <w:lvlText w:val="%1.%2"/>
      <w:lvlJc w:val="left"/>
      <w:pPr>
        <w:ind w:left="1084" w:hanging="852"/>
        <w:jc w:val="left"/>
      </w:pPr>
      <w:rPr>
        <w:rFonts w:hint="default"/>
      </w:rPr>
    </w:lvl>
    <w:lvl w:ilvl="2">
      <w:start w:val="2"/>
      <w:numFmt w:val="decimal"/>
      <w:lvlText w:val="%1.%2.%3"/>
      <w:lvlJc w:val="left"/>
      <w:pPr>
        <w:ind w:left="1084" w:hanging="852"/>
        <w:jc w:val="left"/>
      </w:pPr>
      <w:rPr>
        <w:rFonts w:hint="default"/>
      </w:rPr>
    </w:lvl>
    <w:lvl w:ilvl="3">
      <w:start w:val="2"/>
      <w:numFmt w:val="decimal"/>
      <w:lvlText w:val="%1.%2.%3.%4"/>
      <w:lvlJc w:val="left"/>
      <w:pPr>
        <w:ind w:left="1084" w:hanging="852"/>
        <w:jc w:val="left"/>
      </w:pPr>
      <w:rPr>
        <w:rFonts w:ascii="Times New Roman" w:eastAsia="Times New Roman" w:hAnsi="Times New Roman" w:cs="Times New Roman" w:hint="default"/>
        <w:b/>
        <w:bCs/>
        <w:spacing w:val="-4"/>
        <w:w w:val="99"/>
        <w:sz w:val="24"/>
        <w:szCs w:val="24"/>
      </w:rPr>
    </w:lvl>
    <w:lvl w:ilvl="4">
      <w:start w:val="1"/>
      <w:numFmt w:val="decimal"/>
      <w:lvlText w:val="%1.%2.%3.%4.%5"/>
      <w:lvlJc w:val="left"/>
      <w:pPr>
        <w:ind w:left="1365" w:hanging="1133"/>
        <w:jc w:val="left"/>
      </w:pPr>
      <w:rPr>
        <w:rFonts w:ascii="Times New Roman" w:eastAsia="Times New Roman" w:hAnsi="Times New Roman" w:cs="Times New Roman" w:hint="default"/>
        <w:b/>
        <w:bCs/>
        <w:spacing w:val="-1"/>
        <w:w w:val="99"/>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abstractNum w:abstractNumId="10" w15:restartNumberingAfterBreak="0">
    <w:nsid w:val="45DA0651"/>
    <w:multiLevelType w:val="multilevel"/>
    <w:tmpl w:val="F50C8A9A"/>
    <w:lvl w:ilvl="0">
      <w:start w:val="4"/>
      <w:numFmt w:val="decimal"/>
      <w:lvlText w:val="%1"/>
      <w:lvlJc w:val="left"/>
      <w:pPr>
        <w:ind w:left="1084" w:hanging="852"/>
        <w:jc w:val="left"/>
      </w:pPr>
      <w:rPr>
        <w:rFonts w:hint="default"/>
      </w:rPr>
    </w:lvl>
    <w:lvl w:ilvl="1">
      <w:start w:val="4"/>
      <w:numFmt w:val="decimal"/>
      <w:lvlText w:val="%1.%2"/>
      <w:lvlJc w:val="left"/>
      <w:pPr>
        <w:ind w:left="1084" w:hanging="852"/>
        <w:jc w:val="left"/>
      </w:pPr>
      <w:rPr>
        <w:rFonts w:hint="default"/>
      </w:rPr>
    </w:lvl>
    <w:lvl w:ilvl="2">
      <w:start w:val="3"/>
      <w:numFmt w:val="decimal"/>
      <w:lvlText w:val="%1.%2.%3"/>
      <w:lvlJc w:val="left"/>
      <w:pPr>
        <w:ind w:left="1084" w:hanging="852"/>
        <w:jc w:val="left"/>
      </w:pPr>
      <w:rPr>
        <w:rFonts w:ascii="Times New Roman" w:eastAsia="Times New Roman" w:hAnsi="Times New Roman" w:cs="Times New Roman" w:hint="default"/>
        <w:b/>
        <w:bCs/>
        <w:spacing w:val="-2"/>
        <w:w w:val="99"/>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spacing w:val="-2"/>
        <w:w w:val="99"/>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1" w15:restartNumberingAfterBreak="0">
    <w:nsid w:val="496022F2"/>
    <w:multiLevelType w:val="multilevel"/>
    <w:tmpl w:val="9ED0074C"/>
    <w:lvl w:ilvl="0">
      <w:start w:val="4"/>
      <w:numFmt w:val="decimal"/>
      <w:lvlText w:val="%1"/>
      <w:lvlJc w:val="left"/>
      <w:pPr>
        <w:ind w:left="1164" w:hanging="852"/>
        <w:jc w:val="left"/>
      </w:pPr>
      <w:rPr>
        <w:rFonts w:hint="default"/>
      </w:rPr>
    </w:lvl>
    <w:lvl w:ilvl="1">
      <w:start w:val="2"/>
      <w:numFmt w:val="decimal"/>
      <w:lvlText w:val="%1.%2"/>
      <w:lvlJc w:val="left"/>
      <w:pPr>
        <w:ind w:left="1164" w:hanging="852"/>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164" w:hanging="852"/>
        <w:jc w:val="left"/>
      </w:pPr>
      <w:rPr>
        <w:rFonts w:hint="default"/>
        <w:b/>
        <w:bCs/>
        <w:spacing w:val="-1"/>
        <w:w w:val="99"/>
      </w:rPr>
    </w:lvl>
    <w:lvl w:ilvl="3">
      <w:start w:val="1"/>
      <w:numFmt w:val="decimal"/>
      <w:lvlText w:val="%1.%2.%3.%4"/>
      <w:lvlJc w:val="left"/>
      <w:pPr>
        <w:ind w:left="1084" w:hanging="852"/>
        <w:jc w:val="left"/>
      </w:pPr>
      <w:rPr>
        <w:rFonts w:ascii="Times New Roman" w:eastAsia="Times New Roman" w:hAnsi="Times New Roman" w:cs="Times New Roman" w:hint="default"/>
        <w:b/>
        <w:bCs/>
        <w:spacing w:val="-3"/>
        <w:w w:val="99"/>
        <w:sz w:val="24"/>
        <w:szCs w:val="24"/>
      </w:rPr>
    </w:lvl>
    <w:lvl w:ilvl="4">
      <w:start w:val="1"/>
      <w:numFmt w:val="decimal"/>
      <w:lvlText w:val="%1.%2.%3.%4.%5"/>
      <w:lvlJc w:val="left"/>
      <w:pPr>
        <w:ind w:left="1365" w:hanging="1133"/>
        <w:jc w:val="left"/>
      </w:pPr>
      <w:rPr>
        <w:rFonts w:ascii="Times New Roman" w:eastAsia="Times New Roman" w:hAnsi="Times New Roman" w:cs="Times New Roman" w:hint="default"/>
        <w:b/>
        <w:bCs/>
        <w:spacing w:val="-1"/>
        <w:w w:val="99"/>
        <w:sz w:val="24"/>
        <w:szCs w:val="24"/>
      </w:rPr>
    </w:lvl>
    <w:lvl w:ilvl="5">
      <w:numFmt w:val="bullet"/>
      <w:lvlText w:val="•"/>
      <w:lvlJc w:val="left"/>
      <w:pPr>
        <w:ind w:left="4585" w:hanging="1133"/>
      </w:pPr>
      <w:rPr>
        <w:rFonts w:hint="default"/>
      </w:rPr>
    </w:lvl>
    <w:lvl w:ilvl="6">
      <w:numFmt w:val="bullet"/>
      <w:lvlText w:val="•"/>
      <w:lvlJc w:val="left"/>
      <w:pPr>
        <w:ind w:left="5660" w:hanging="1133"/>
      </w:pPr>
      <w:rPr>
        <w:rFonts w:hint="default"/>
      </w:rPr>
    </w:lvl>
    <w:lvl w:ilvl="7">
      <w:numFmt w:val="bullet"/>
      <w:lvlText w:val="•"/>
      <w:lvlJc w:val="left"/>
      <w:pPr>
        <w:ind w:left="6735" w:hanging="1133"/>
      </w:pPr>
      <w:rPr>
        <w:rFonts w:hint="default"/>
      </w:rPr>
    </w:lvl>
    <w:lvl w:ilvl="8">
      <w:numFmt w:val="bullet"/>
      <w:lvlText w:val="•"/>
      <w:lvlJc w:val="left"/>
      <w:pPr>
        <w:ind w:left="7810" w:hanging="1133"/>
      </w:pPr>
      <w:rPr>
        <w:rFonts w:hint="default"/>
      </w:rPr>
    </w:lvl>
  </w:abstractNum>
  <w:abstractNum w:abstractNumId="12" w15:restartNumberingAfterBreak="0">
    <w:nsid w:val="602E2277"/>
    <w:multiLevelType w:val="multilevel"/>
    <w:tmpl w:val="3148DE60"/>
    <w:lvl w:ilvl="0">
      <w:start w:val="1"/>
      <w:numFmt w:val="decimal"/>
      <w:lvlText w:val="%1"/>
      <w:lvlJc w:val="left"/>
      <w:pPr>
        <w:ind w:left="116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164" w:hanging="852"/>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164" w:hanging="852"/>
        <w:jc w:val="left"/>
      </w:pPr>
      <w:rPr>
        <w:rFonts w:ascii="Times New Roman" w:eastAsia="Times New Roman" w:hAnsi="Times New Roman" w:cs="Times New Roman" w:hint="default"/>
        <w:b/>
        <w:bCs/>
        <w:spacing w:val="-4"/>
        <w:w w:val="99"/>
        <w:sz w:val="24"/>
        <w:szCs w:val="24"/>
      </w:rPr>
    </w:lvl>
    <w:lvl w:ilvl="3">
      <w:start w:val="1"/>
      <w:numFmt w:val="decimal"/>
      <w:lvlText w:val="%1.%2.%3.%4"/>
      <w:lvlJc w:val="left"/>
      <w:pPr>
        <w:ind w:left="1164" w:hanging="852"/>
        <w:jc w:val="left"/>
      </w:pPr>
      <w:rPr>
        <w:rFonts w:ascii="Times New Roman" w:eastAsia="Times New Roman" w:hAnsi="Times New Roman" w:cs="Times New Roman" w:hint="default"/>
        <w:b/>
        <w:bCs/>
        <w:spacing w:val="-4"/>
        <w:w w:val="99"/>
        <w:sz w:val="24"/>
        <w:szCs w:val="24"/>
      </w:rPr>
    </w:lvl>
    <w:lvl w:ilvl="4">
      <w:numFmt w:val="bullet"/>
      <w:lvlText w:val="•"/>
      <w:lvlJc w:val="left"/>
      <w:pPr>
        <w:ind w:left="4712" w:hanging="852"/>
      </w:pPr>
      <w:rPr>
        <w:rFonts w:hint="default"/>
      </w:rPr>
    </w:lvl>
    <w:lvl w:ilvl="5">
      <w:numFmt w:val="bullet"/>
      <w:lvlText w:val="•"/>
      <w:lvlJc w:val="left"/>
      <w:pPr>
        <w:ind w:left="5600" w:hanging="852"/>
      </w:pPr>
      <w:rPr>
        <w:rFonts w:hint="default"/>
      </w:rPr>
    </w:lvl>
    <w:lvl w:ilvl="6">
      <w:numFmt w:val="bullet"/>
      <w:lvlText w:val="•"/>
      <w:lvlJc w:val="left"/>
      <w:pPr>
        <w:ind w:left="6488" w:hanging="852"/>
      </w:pPr>
      <w:rPr>
        <w:rFonts w:hint="default"/>
      </w:rPr>
    </w:lvl>
    <w:lvl w:ilvl="7">
      <w:numFmt w:val="bullet"/>
      <w:lvlText w:val="•"/>
      <w:lvlJc w:val="left"/>
      <w:pPr>
        <w:ind w:left="7376" w:hanging="852"/>
      </w:pPr>
      <w:rPr>
        <w:rFonts w:hint="default"/>
      </w:rPr>
    </w:lvl>
    <w:lvl w:ilvl="8">
      <w:numFmt w:val="bullet"/>
      <w:lvlText w:val="•"/>
      <w:lvlJc w:val="left"/>
      <w:pPr>
        <w:ind w:left="8264" w:hanging="852"/>
      </w:pPr>
      <w:rPr>
        <w:rFonts w:hint="default"/>
      </w:rPr>
    </w:lvl>
  </w:abstractNum>
  <w:abstractNum w:abstractNumId="13" w15:restartNumberingAfterBreak="0">
    <w:nsid w:val="613C014C"/>
    <w:multiLevelType w:val="multilevel"/>
    <w:tmpl w:val="A6A23E0C"/>
    <w:lvl w:ilvl="0">
      <w:start w:val="4"/>
      <w:numFmt w:val="decimal"/>
      <w:lvlText w:val="%1"/>
      <w:lvlJc w:val="left"/>
      <w:pPr>
        <w:ind w:left="1021" w:hanging="709"/>
        <w:jc w:val="left"/>
      </w:pPr>
      <w:rPr>
        <w:rFonts w:ascii="Times New Roman" w:eastAsia="Times New Roman" w:hAnsi="Times New Roman" w:cs="Times New Roman" w:hint="default"/>
        <w:b/>
        <w:bCs/>
        <w:color w:val="0000FF"/>
        <w:w w:val="100"/>
        <w:sz w:val="22"/>
        <w:szCs w:val="22"/>
      </w:rPr>
    </w:lvl>
    <w:lvl w:ilvl="1">
      <w:start w:val="1"/>
      <w:numFmt w:val="decimal"/>
      <w:lvlText w:val="%1.%2"/>
      <w:lvlJc w:val="left"/>
      <w:pPr>
        <w:ind w:left="1446" w:hanging="850"/>
        <w:jc w:val="left"/>
      </w:pPr>
      <w:rPr>
        <w:rFonts w:ascii="Times New Roman" w:eastAsia="Times New Roman" w:hAnsi="Times New Roman" w:cs="Times New Roman" w:hint="default"/>
        <w:color w:val="0000FF"/>
        <w:w w:val="100"/>
        <w:sz w:val="22"/>
        <w:szCs w:val="22"/>
      </w:rPr>
    </w:lvl>
    <w:lvl w:ilvl="2">
      <w:numFmt w:val="bullet"/>
      <w:lvlText w:val="•"/>
      <w:lvlJc w:val="left"/>
      <w:pPr>
        <w:ind w:left="1880" w:hanging="850"/>
      </w:pPr>
      <w:rPr>
        <w:rFonts w:hint="default"/>
      </w:rPr>
    </w:lvl>
    <w:lvl w:ilvl="3">
      <w:numFmt w:val="bullet"/>
      <w:lvlText w:val="•"/>
      <w:lvlJc w:val="left"/>
      <w:pPr>
        <w:ind w:left="2900" w:hanging="850"/>
      </w:pPr>
      <w:rPr>
        <w:rFonts w:hint="default"/>
      </w:rPr>
    </w:lvl>
    <w:lvl w:ilvl="4">
      <w:numFmt w:val="bullet"/>
      <w:lvlText w:val="•"/>
      <w:lvlJc w:val="left"/>
      <w:pPr>
        <w:ind w:left="3920" w:hanging="850"/>
      </w:pPr>
      <w:rPr>
        <w:rFonts w:hint="default"/>
      </w:rPr>
    </w:lvl>
    <w:lvl w:ilvl="5">
      <w:numFmt w:val="bullet"/>
      <w:lvlText w:val="•"/>
      <w:lvlJc w:val="left"/>
      <w:pPr>
        <w:ind w:left="4940" w:hanging="850"/>
      </w:pPr>
      <w:rPr>
        <w:rFonts w:hint="default"/>
      </w:rPr>
    </w:lvl>
    <w:lvl w:ilvl="6">
      <w:numFmt w:val="bullet"/>
      <w:lvlText w:val="•"/>
      <w:lvlJc w:val="left"/>
      <w:pPr>
        <w:ind w:left="5960" w:hanging="850"/>
      </w:pPr>
      <w:rPr>
        <w:rFonts w:hint="default"/>
      </w:rPr>
    </w:lvl>
    <w:lvl w:ilvl="7">
      <w:numFmt w:val="bullet"/>
      <w:lvlText w:val="•"/>
      <w:lvlJc w:val="left"/>
      <w:pPr>
        <w:ind w:left="6980" w:hanging="850"/>
      </w:pPr>
      <w:rPr>
        <w:rFonts w:hint="default"/>
      </w:rPr>
    </w:lvl>
    <w:lvl w:ilvl="8">
      <w:numFmt w:val="bullet"/>
      <w:lvlText w:val="•"/>
      <w:lvlJc w:val="left"/>
      <w:pPr>
        <w:ind w:left="8000" w:hanging="850"/>
      </w:pPr>
      <w:rPr>
        <w:rFonts w:hint="default"/>
      </w:rPr>
    </w:lvl>
  </w:abstractNum>
  <w:abstractNum w:abstractNumId="14" w15:restartNumberingAfterBreak="0">
    <w:nsid w:val="68682D59"/>
    <w:multiLevelType w:val="multilevel"/>
    <w:tmpl w:val="B0367F5A"/>
    <w:lvl w:ilvl="0">
      <w:start w:val="5"/>
      <w:numFmt w:val="decimal"/>
      <w:lvlText w:val="%1"/>
      <w:lvlJc w:val="left"/>
      <w:pPr>
        <w:ind w:left="108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84" w:hanging="852"/>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84" w:hanging="852"/>
        <w:jc w:val="left"/>
      </w:pPr>
      <w:rPr>
        <w:rFonts w:ascii="Times New Roman" w:eastAsia="Times New Roman" w:hAnsi="Times New Roman" w:cs="Times New Roman" w:hint="default"/>
        <w:b/>
        <w:bCs/>
        <w:spacing w:val="-4"/>
        <w:w w:val="99"/>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5" w15:restartNumberingAfterBreak="0">
    <w:nsid w:val="6D4D729E"/>
    <w:multiLevelType w:val="multilevel"/>
    <w:tmpl w:val="40FC55A4"/>
    <w:lvl w:ilvl="0">
      <w:start w:val="6"/>
      <w:numFmt w:val="decimal"/>
      <w:lvlText w:val="%1"/>
      <w:lvlJc w:val="left"/>
      <w:pPr>
        <w:ind w:left="1084" w:hanging="852"/>
        <w:jc w:val="left"/>
      </w:pPr>
      <w:rPr>
        <w:rFonts w:hint="default"/>
      </w:rPr>
    </w:lvl>
    <w:lvl w:ilvl="1">
      <w:start w:val="2"/>
      <w:numFmt w:val="decimal"/>
      <w:lvlText w:val="%1.%2"/>
      <w:lvlJc w:val="left"/>
      <w:pPr>
        <w:ind w:left="1084" w:hanging="852"/>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84" w:hanging="852"/>
        <w:jc w:val="left"/>
      </w:pPr>
      <w:rPr>
        <w:rFonts w:ascii="Times New Roman" w:eastAsia="Times New Roman" w:hAnsi="Times New Roman" w:cs="Times New Roman" w:hint="default"/>
        <w:b/>
        <w:bCs/>
        <w:spacing w:val="-3"/>
        <w:w w:val="99"/>
        <w:sz w:val="24"/>
        <w:szCs w:val="24"/>
      </w:rPr>
    </w:lvl>
    <w:lvl w:ilvl="3">
      <w:numFmt w:val="bullet"/>
      <w:lvlText w:val="•"/>
      <w:lvlJc w:val="left"/>
      <w:pPr>
        <w:ind w:left="3774" w:hanging="852"/>
      </w:pPr>
      <w:rPr>
        <w:rFonts w:hint="default"/>
      </w:rPr>
    </w:lvl>
    <w:lvl w:ilvl="4">
      <w:numFmt w:val="bullet"/>
      <w:lvlText w:val="•"/>
      <w:lvlJc w:val="left"/>
      <w:pPr>
        <w:ind w:left="4672" w:hanging="852"/>
      </w:pPr>
      <w:rPr>
        <w:rFonts w:hint="default"/>
      </w:rPr>
    </w:lvl>
    <w:lvl w:ilvl="5">
      <w:numFmt w:val="bullet"/>
      <w:lvlText w:val="•"/>
      <w:lvlJc w:val="left"/>
      <w:pPr>
        <w:ind w:left="5570" w:hanging="852"/>
      </w:pPr>
      <w:rPr>
        <w:rFonts w:hint="default"/>
      </w:rPr>
    </w:lvl>
    <w:lvl w:ilvl="6">
      <w:numFmt w:val="bullet"/>
      <w:lvlText w:val="•"/>
      <w:lvlJc w:val="left"/>
      <w:pPr>
        <w:ind w:left="6468" w:hanging="852"/>
      </w:pPr>
      <w:rPr>
        <w:rFonts w:hint="default"/>
      </w:rPr>
    </w:lvl>
    <w:lvl w:ilvl="7">
      <w:numFmt w:val="bullet"/>
      <w:lvlText w:val="•"/>
      <w:lvlJc w:val="left"/>
      <w:pPr>
        <w:ind w:left="7366" w:hanging="852"/>
      </w:pPr>
      <w:rPr>
        <w:rFonts w:hint="default"/>
      </w:rPr>
    </w:lvl>
    <w:lvl w:ilvl="8">
      <w:numFmt w:val="bullet"/>
      <w:lvlText w:val="•"/>
      <w:lvlJc w:val="left"/>
      <w:pPr>
        <w:ind w:left="8264" w:hanging="852"/>
      </w:pPr>
      <w:rPr>
        <w:rFonts w:hint="default"/>
      </w:rPr>
    </w:lvl>
  </w:abstractNum>
  <w:abstractNum w:abstractNumId="16" w15:restartNumberingAfterBreak="0">
    <w:nsid w:val="79D77DAE"/>
    <w:multiLevelType w:val="hybridMultilevel"/>
    <w:tmpl w:val="AD52C60C"/>
    <w:lvl w:ilvl="0" w:tplc="3D74E974">
      <w:start w:val="3"/>
      <w:numFmt w:val="decimal"/>
      <w:lvlText w:val="%1)"/>
      <w:lvlJc w:val="left"/>
      <w:pPr>
        <w:ind w:left="451" w:hanging="219"/>
        <w:jc w:val="left"/>
      </w:pPr>
      <w:rPr>
        <w:rFonts w:ascii="Times New Roman" w:eastAsia="Times New Roman" w:hAnsi="Times New Roman" w:cs="Times New Roman" w:hint="default"/>
        <w:spacing w:val="0"/>
        <w:w w:val="99"/>
        <w:sz w:val="20"/>
        <w:szCs w:val="20"/>
      </w:rPr>
    </w:lvl>
    <w:lvl w:ilvl="1" w:tplc="CEF2CD9C">
      <w:numFmt w:val="bullet"/>
      <w:lvlText w:val="•"/>
      <w:lvlJc w:val="left"/>
      <w:pPr>
        <w:ind w:left="1420" w:hanging="219"/>
      </w:pPr>
      <w:rPr>
        <w:rFonts w:hint="default"/>
      </w:rPr>
    </w:lvl>
    <w:lvl w:ilvl="2" w:tplc="8A8CB2DE">
      <w:numFmt w:val="bullet"/>
      <w:lvlText w:val="•"/>
      <w:lvlJc w:val="left"/>
      <w:pPr>
        <w:ind w:left="2380" w:hanging="219"/>
      </w:pPr>
      <w:rPr>
        <w:rFonts w:hint="default"/>
      </w:rPr>
    </w:lvl>
    <w:lvl w:ilvl="3" w:tplc="9CBA0286">
      <w:numFmt w:val="bullet"/>
      <w:lvlText w:val="•"/>
      <w:lvlJc w:val="left"/>
      <w:pPr>
        <w:ind w:left="3340" w:hanging="219"/>
      </w:pPr>
      <w:rPr>
        <w:rFonts w:hint="default"/>
      </w:rPr>
    </w:lvl>
    <w:lvl w:ilvl="4" w:tplc="4B461BF4">
      <w:numFmt w:val="bullet"/>
      <w:lvlText w:val="•"/>
      <w:lvlJc w:val="left"/>
      <w:pPr>
        <w:ind w:left="4300" w:hanging="219"/>
      </w:pPr>
      <w:rPr>
        <w:rFonts w:hint="default"/>
      </w:rPr>
    </w:lvl>
    <w:lvl w:ilvl="5" w:tplc="C7A0CC6C">
      <w:numFmt w:val="bullet"/>
      <w:lvlText w:val="•"/>
      <w:lvlJc w:val="left"/>
      <w:pPr>
        <w:ind w:left="5260" w:hanging="219"/>
      </w:pPr>
      <w:rPr>
        <w:rFonts w:hint="default"/>
      </w:rPr>
    </w:lvl>
    <w:lvl w:ilvl="6" w:tplc="CD909ECE">
      <w:numFmt w:val="bullet"/>
      <w:lvlText w:val="•"/>
      <w:lvlJc w:val="left"/>
      <w:pPr>
        <w:ind w:left="6220" w:hanging="219"/>
      </w:pPr>
      <w:rPr>
        <w:rFonts w:hint="default"/>
      </w:rPr>
    </w:lvl>
    <w:lvl w:ilvl="7" w:tplc="E60011AC">
      <w:numFmt w:val="bullet"/>
      <w:lvlText w:val="•"/>
      <w:lvlJc w:val="left"/>
      <w:pPr>
        <w:ind w:left="7180" w:hanging="219"/>
      </w:pPr>
      <w:rPr>
        <w:rFonts w:hint="default"/>
      </w:rPr>
    </w:lvl>
    <w:lvl w:ilvl="8" w:tplc="72B28AFA">
      <w:numFmt w:val="bullet"/>
      <w:lvlText w:val="•"/>
      <w:lvlJc w:val="left"/>
      <w:pPr>
        <w:ind w:left="8140" w:hanging="219"/>
      </w:pPr>
      <w:rPr>
        <w:rFonts w:hint="default"/>
      </w:rPr>
    </w:lvl>
  </w:abstractNum>
  <w:num w:numId="1">
    <w:abstractNumId w:val="16"/>
  </w:num>
  <w:num w:numId="2">
    <w:abstractNumId w:val="3"/>
  </w:num>
  <w:num w:numId="3">
    <w:abstractNumId w:val="7"/>
  </w:num>
  <w:num w:numId="4">
    <w:abstractNumId w:val="2"/>
  </w:num>
  <w:num w:numId="5">
    <w:abstractNumId w:val="6"/>
  </w:num>
  <w:num w:numId="6">
    <w:abstractNumId w:val="15"/>
  </w:num>
  <w:num w:numId="7">
    <w:abstractNumId w:val="5"/>
  </w:num>
  <w:num w:numId="8">
    <w:abstractNumId w:val="8"/>
  </w:num>
  <w:num w:numId="9">
    <w:abstractNumId w:val="1"/>
  </w:num>
  <w:num w:numId="10">
    <w:abstractNumId w:val="14"/>
  </w:num>
  <w:num w:numId="11">
    <w:abstractNumId w:val="10"/>
  </w:num>
  <w:num w:numId="12">
    <w:abstractNumId w:val="0"/>
  </w:num>
  <w:num w:numId="13">
    <w:abstractNumId w:val="9"/>
  </w:num>
  <w:num w:numId="14">
    <w:abstractNumId w:val="11"/>
  </w:num>
  <w:num w:numId="15">
    <w:abstractNumId w:val="4"/>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6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B21A0"/>
    <w:rsid w:val="000B21A0"/>
    <w:rsid w:val="00113E1E"/>
    <w:rsid w:val="0036140F"/>
    <w:rsid w:val="003C17C0"/>
    <w:rsid w:val="00672CAE"/>
    <w:rsid w:val="00766C4B"/>
    <w:rsid w:val="00811A0B"/>
    <w:rsid w:val="00A63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7">
      <v:textbox inset="5.85pt,.7pt,5.85pt,.7pt"/>
    </o:shapedefaults>
    <o:shapelayout v:ext="edit">
      <o:idmap v:ext="edit" data="1"/>
    </o:shapelayout>
  </w:shapeDefaults>
  <w:decimalSymbol w:val="."/>
  <w:listSeparator w:val=","/>
  <w14:docId w14:val="1B1C5611"/>
  <w15:docId w15:val="{AAAA32AC-CF5B-49A4-8B5E-85951EA5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23"/>
      <w:ind w:left="1164" w:hanging="852"/>
      <w:outlineLvl w:val="0"/>
    </w:pPr>
    <w:rPr>
      <w:b/>
      <w:bCs/>
      <w:sz w:val="28"/>
      <w:szCs w:val="28"/>
    </w:rPr>
  </w:style>
  <w:style w:type="paragraph" w:styleId="2">
    <w:name w:val="heading 2"/>
    <w:basedOn w:val="a"/>
    <w:uiPriority w:val="9"/>
    <w:unhideWhenUsed/>
    <w:qFormat/>
    <w:pPr>
      <w:spacing w:before="122"/>
      <w:ind w:left="1084" w:hanging="852"/>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47"/>
      <w:ind w:left="312"/>
    </w:pPr>
  </w:style>
  <w:style w:type="paragraph" w:styleId="20">
    <w:name w:val="toc 2"/>
    <w:basedOn w:val="a"/>
    <w:uiPriority w:val="1"/>
    <w:qFormat/>
    <w:pPr>
      <w:spacing w:before="47"/>
      <w:ind w:left="1445"/>
    </w:pPr>
  </w:style>
  <w:style w:type="paragraph" w:styleId="a3">
    <w:name w:val="Body Text"/>
    <w:basedOn w:val="a"/>
    <w:uiPriority w:val="1"/>
    <w:qFormat/>
    <w:rPr>
      <w:sz w:val="24"/>
      <w:szCs w:val="24"/>
    </w:rPr>
  </w:style>
  <w:style w:type="paragraph" w:styleId="a4">
    <w:name w:val="List Paragraph"/>
    <w:basedOn w:val="a"/>
    <w:uiPriority w:val="1"/>
    <w:qFormat/>
    <w:pPr>
      <w:spacing w:before="123"/>
      <w:ind w:left="1164" w:hanging="852"/>
    </w:pPr>
  </w:style>
  <w:style w:type="paragraph" w:customStyle="1" w:styleId="TableParagraph">
    <w:name w:val="Table Paragraph"/>
    <w:basedOn w:val="a"/>
    <w:uiPriority w:val="1"/>
    <w:qFormat/>
    <w:pPr>
      <w:ind w:left="107"/>
    </w:pPr>
  </w:style>
  <w:style w:type="paragraph" w:styleId="a5">
    <w:name w:val="header"/>
    <w:basedOn w:val="a"/>
    <w:link w:val="a6"/>
    <w:uiPriority w:val="99"/>
    <w:unhideWhenUsed/>
    <w:rsid w:val="00766C4B"/>
    <w:pPr>
      <w:tabs>
        <w:tab w:val="center" w:pos="4252"/>
        <w:tab w:val="right" w:pos="8504"/>
      </w:tabs>
      <w:snapToGrid w:val="0"/>
    </w:pPr>
  </w:style>
  <w:style w:type="character" w:customStyle="1" w:styleId="a6">
    <w:name w:val="ヘッダー (文字)"/>
    <w:basedOn w:val="a0"/>
    <w:link w:val="a5"/>
    <w:uiPriority w:val="99"/>
    <w:rsid w:val="00766C4B"/>
    <w:rPr>
      <w:rFonts w:ascii="Times New Roman" w:eastAsia="Times New Roman" w:hAnsi="Times New Roman" w:cs="Times New Roman"/>
    </w:rPr>
  </w:style>
  <w:style w:type="paragraph" w:styleId="a7">
    <w:name w:val="footer"/>
    <w:basedOn w:val="a"/>
    <w:link w:val="a8"/>
    <w:uiPriority w:val="99"/>
    <w:unhideWhenUsed/>
    <w:rsid w:val="00766C4B"/>
    <w:pPr>
      <w:tabs>
        <w:tab w:val="center" w:pos="4252"/>
        <w:tab w:val="right" w:pos="8504"/>
      </w:tabs>
      <w:snapToGrid w:val="0"/>
    </w:pPr>
  </w:style>
  <w:style w:type="character" w:customStyle="1" w:styleId="a8">
    <w:name w:val="フッター (文字)"/>
    <w:basedOn w:val="a0"/>
    <w:link w:val="a7"/>
    <w:uiPriority w:val="99"/>
    <w:rsid w:val="00766C4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6EA659-B13A-4B35-9298-1AE4D07D2CA9}"/>
</file>

<file path=customXml/itemProps2.xml><?xml version="1.0" encoding="utf-8"?>
<ds:datastoreItem xmlns:ds="http://schemas.openxmlformats.org/officeDocument/2006/customXml" ds:itemID="{53063789-5A92-40DA-B916-90960FB954D3}"/>
</file>

<file path=customXml/itemProps3.xml><?xml version="1.0" encoding="utf-8"?>
<ds:datastoreItem xmlns:ds="http://schemas.openxmlformats.org/officeDocument/2006/customXml" ds:itemID="{402A4122-DDDE-451B-B9FD-D1FA4267FEAD}"/>
</file>

<file path=docProps/app.xml><?xml version="1.0" encoding="utf-8"?>
<Properties xmlns="http://schemas.openxmlformats.org/officeDocument/2006/extended-properties" xmlns:vt="http://schemas.openxmlformats.org/officeDocument/2006/docPropsVTypes">
  <Template>Normal</Template>
  <TotalTime>14</TotalTime>
  <Pages>1</Pages>
  <Words>7057</Words>
  <Characters>40228</Characters>
  <Application>Microsoft Office Word</Application>
  <DocSecurity>0</DocSecurity>
  <Lines>335</Lines>
  <Paragraphs>94</Paragraphs>
  <ScaleCrop>false</ScaleCrop>
  <HeadingPairs>
    <vt:vector size="2" baseType="variant">
      <vt:variant>
        <vt:lpstr>タイトル</vt:lpstr>
      </vt:variant>
      <vt:variant>
        <vt:i4>1</vt:i4>
      </vt:variant>
    </vt:vector>
  </HeadingPairs>
  <TitlesOfParts>
    <vt:vector size="1" baseType="lpstr">
      <vt:lpstr>-</vt:lpstr>
    </vt:vector>
  </TitlesOfParts>
  <Company/>
  <LinksUpToDate>false</LinksUpToDate>
  <CharactersWithSpaces>47191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IB</dc:subject>
  <dc:creator>Am00404768</dc:creator>
  <cp:lastModifiedBy>Watanabe, Yudai(渡辺 雄大)</cp:lastModifiedBy>
  <cp:revision>6</cp:revision>
  <dcterms:created xsi:type="dcterms:W3CDTF">2021-06-22T01:00:00Z</dcterms:created>
  <dcterms:modified xsi:type="dcterms:W3CDTF">2021-07-01T05:42:00Z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2017-06-15T00:00:00Z</vt:filetime>
  </property>
  <property fmtid="{D5CDD505-2E9C-101B-9397-08002B2CF9AE}" pid="3" name="Creator">
    <vt:lpwstr>Acrobat PDFMaker 10.1 for Word</vt:lpwstr>
  </property>
  <property fmtid="{D5CDD505-2E9C-101B-9397-08002B2CF9AE}" pid="4" name="LastSaved">
    <vt:filetime>2021-06-22T00:00:00Z</vt:filetime>
  </property>
  <property fmtid="{D5CDD505-2E9C-101B-9397-08002B2CF9AE}" pid="5" name="ContentTypeId">
    <vt:lpwstr>0x0101007EA8C9399C6F4249AB6A1823D3F13C35</vt:lpwstr>
  </property>
</Properties>
</file>