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0FF9" w:rsidRDefault="00CB7636">
      <w:pPr>
        <w:pStyle w:val="3"/>
        <w:numPr>
          <w:ilvl w:val="2"/>
          <w:numId w:val="14"/>
        </w:numPr>
        <w:tabs>
          <w:tab w:val="left" w:pos="1084"/>
          <w:tab w:val="left" w:pos="1085"/>
        </w:tabs>
      </w:pPr>
      <w:bookmarkStart w:id="0" w:name="4.1.3_Safety_Pharmacology"/>
      <w:bookmarkStart w:id="1" w:name="_bookmark37"/>
      <w:bookmarkEnd w:id="0"/>
      <w:bookmarkEnd w:id="1"/>
      <w:r>
        <w:t>Safety</w:t>
      </w:r>
      <w:r>
        <w:rPr>
          <w:spacing w:val="-2"/>
        </w:rPr>
        <w:t xml:space="preserve"> </w:t>
      </w:r>
      <w:r>
        <w:t>Pharmacology</w:t>
      </w:r>
    </w:p>
    <w:p w:rsidR="00A70FF9" w:rsidRDefault="00CB7636">
      <w:pPr>
        <w:pStyle w:val="a3"/>
        <w:spacing w:before="139" w:line="261" w:lineRule="auto"/>
        <w:ind w:left="232" w:right="2181"/>
      </w:pPr>
      <w:r>
        <w:t xml:space="preserve">One safety pharmacology study (Study 130913.TFD) was conducted with </w:t>
      </w:r>
      <w:r w:rsidR="00D56536">
        <w:t>PROJECT 17-1</w:t>
      </w:r>
      <w:r>
        <w:t xml:space="preserve"> or </w:t>
      </w:r>
      <w:r w:rsidR="00D56536">
        <w:t>Project 17-5</w:t>
      </w:r>
      <w:r>
        <w:t xml:space="preserve">, the primary metabolite of </w:t>
      </w:r>
      <w:r w:rsidR="00D56536">
        <w:t>PROJECT 17-2</w:t>
      </w:r>
      <w:r>
        <w:t>.</w:t>
      </w:r>
    </w:p>
    <w:p w:rsidR="00A70FF9" w:rsidRDefault="00CB7636">
      <w:pPr>
        <w:pStyle w:val="a3"/>
        <w:spacing w:before="118" w:line="261" w:lineRule="auto"/>
        <w:ind w:left="232" w:right="1676"/>
      </w:pPr>
      <w:r>
        <w:t xml:space="preserve">The objective of this study was to examine the in vitro effects of </w:t>
      </w:r>
      <w:r w:rsidR="00D56536">
        <w:t>Project 17-5</w:t>
      </w:r>
      <w:r>
        <w:t xml:space="preserve"> (</w:t>
      </w:r>
      <w:r w:rsidR="00D56536">
        <w:t>PROJECT 17-1</w:t>
      </w:r>
      <w:r>
        <w:t>) on the human ether-à-go-go-related gene (</w:t>
      </w:r>
      <w:proofErr w:type="spellStart"/>
      <w:r>
        <w:t>hERG</w:t>
      </w:r>
      <w:proofErr w:type="spellEnd"/>
      <w:r>
        <w:t xml:space="preserve">) channel current (a surrogate for </w:t>
      </w:r>
      <w:proofErr w:type="spellStart"/>
      <w:r>
        <w:t>I</w:t>
      </w:r>
      <w:r>
        <w:rPr>
          <w:vertAlign w:val="subscript"/>
        </w:rPr>
        <w:t>Kr</w:t>
      </w:r>
      <w:proofErr w:type="spellEnd"/>
      <w:r>
        <w:t>, the rapidly activating delayed rectifier cardiac potassium current) at near-physiological temperature.</w:t>
      </w:r>
    </w:p>
    <w:p w:rsidR="00A70FF9" w:rsidRDefault="00CB7636">
      <w:pPr>
        <w:pStyle w:val="a3"/>
        <w:spacing w:before="117" w:line="261" w:lineRule="auto"/>
        <w:ind w:left="232" w:right="1850"/>
      </w:pPr>
      <w:r>
        <w:t>The stability of the test article formulations was confirmed during the method validation study. Test article concentrations were applied to the test system and dose solution analysis was conducted within the validated stability timeframe.</w:t>
      </w:r>
    </w:p>
    <w:p w:rsidR="00A70FF9" w:rsidRDefault="00CB7636" w:rsidP="00CB7636">
      <w:pPr>
        <w:pStyle w:val="a3"/>
        <w:spacing w:before="118" w:line="261" w:lineRule="auto"/>
        <w:ind w:left="232" w:right="1603"/>
      </w:pPr>
      <w:r>
        <w:t xml:space="preserve">Samples for homogeneity determination were collected from the formulation reservoirs. The sample analysis indicated that all formulations were homogeneous at the beginning of testing. Samples of the test article formulation solutions collected from the outflow of the perfusion apparatus were analyzed for concentration verification. The results from the sample analysis indicated that the measured concentrations of </w:t>
      </w:r>
      <w:r w:rsidR="00D56536">
        <w:t>PROJECT 17-1</w:t>
      </w:r>
      <w:r>
        <w:t xml:space="preserve"> at all test concentrations were within ± 15.0% of nominal concentrations (% relative error [RE] ± 15.0%), thereby meeting the acceptance criteria.</w:t>
      </w:r>
    </w:p>
    <w:p w:rsidR="00A70FF9" w:rsidRDefault="00D56536">
      <w:pPr>
        <w:pStyle w:val="a3"/>
        <w:spacing w:before="117"/>
        <w:ind w:left="232"/>
      </w:pPr>
      <w:r>
        <w:t>PROJECT 17-1</w:t>
      </w:r>
      <w:r w:rsidR="00CB7636">
        <w:t xml:space="preserve"> inhibited </w:t>
      </w:r>
      <w:proofErr w:type="spellStart"/>
      <w:r w:rsidR="00CB7636">
        <w:t>hERG</w:t>
      </w:r>
      <w:proofErr w:type="spellEnd"/>
      <w:r w:rsidR="00CB7636">
        <w:t xml:space="preserve"> current by (mean [SEM]) 1.2 (0.7)% at 10 µM (n = 4) and</w:t>
      </w:r>
    </w:p>
    <w:p w:rsidR="00A70FF9" w:rsidRDefault="00CB7636">
      <w:pPr>
        <w:pStyle w:val="a3"/>
        <w:spacing w:before="24" w:line="261" w:lineRule="auto"/>
        <w:ind w:left="232" w:right="1709"/>
      </w:pPr>
      <w:r>
        <w:t xml:space="preserve">3.4 (0.4)% at 100 </w:t>
      </w:r>
      <w:proofErr w:type="spellStart"/>
      <w:r>
        <w:t>μM</w:t>
      </w:r>
      <w:proofErr w:type="spellEnd"/>
      <w:r>
        <w:t xml:space="preserve"> (n = 3) versus 1.1 (0.6)% (n = 3) in control. </w:t>
      </w:r>
      <w:proofErr w:type="spellStart"/>
      <w:r>
        <w:t>hERG</w:t>
      </w:r>
      <w:proofErr w:type="spellEnd"/>
      <w:r>
        <w:t xml:space="preserve"> inhibition at 10 and 100 </w:t>
      </w:r>
      <w:proofErr w:type="spellStart"/>
      <w:r>
        <w:t>μM</w:t>
      </w:r>
      <w:proofErr w:type="spellEnd"/>
      <w:r>
        <w:t xml:space="preserve"> was not statistically significant (P &lt; 0.05) when compared to vehicle control values. The IC</w:t>
      </w:r>
      <w:r>
        <w:rPr>
          <w:vertAlign w:val="subscript"/>
        </w:rPr>
        <w:t>50</w:t>
      </w:r>
      <w:r>
        <w:t xml:space="preserve"> for the inhibitory effect of </w:t>
      </w:r>
      <w:r w:rsidR="00D56536">
        <w:t>PROJECT 17-1</w:t>
      </w:r>
      <w:r>
        <w:t xml:space="preserve"> on </w:t>
      </w:r>
      <w:proofErr w:type="spellStart"/>
      <w:r>
        <w:t>hERG</w:t>
      </w:r>
      <w:proofErr w:type="spellEnd"/>
      <w:r>
        <w:t xml:space="preserve"> potassium current was not calculated but was estimated to be greater than 100 </w:t>
      </w:r>
      <w:proofErr w:type="spellStart"/>
      <w:r>
        <w:t>μM</w:t>
      </w:r>
      <w:proofErr w:type="spellEnd"/>
      <w:r>
        <w:t>.</w:t>
      </w:r>
    </w:p>
    <w:p w:rsidR="00A70FF9" w:rsidRDefault="00CB7636">
      <w:pPr>
        <w:pStyle w:val="a3"/>
        <w:spacing w:before="117" w:line="261" w:lineRule="auto"/>
        <w:ind w:left="232" w:right="1641"/>
      </w:pPr>
      <w:r>
        <w:t xml:space="preserve">Under identical conditions, the positive control (60 </w:t>
      </w:r>
      <w:proofErr w:type="spellStart"/>
      <w:r>
        <w:t>nM</w:t>
      </w:r>
      <w:proofErr w:type="spellEnd"/>
      <w:r>
        <w:t xml:space="preserve"> terfenadine) inhibited </w:t>
      </w:r>
      <w:proofErr w:type="spellStart"/>
      <w:r>
        <w:t>hERG</w:t>
      </w:r>
      <w:proofErr w:type="spellEnd"/>
      <w:r>
        <w:t xml:space="preserve"> potassium current by (mean [standard deviation]; n = 2) 87.5 (1.3)%. This result confirms the sensitivity of the test system to </w:t>
      </w:r>
      <w:proofErr w:type="spellStart"/>
      <w:r>
        <w:t>hERG</w:t>
      </w:r>
      <w:proofErr w:type="spellEnd"/>
      <w:r>
        <w:t xml:space="preserve"> inhibition.</w:t>
      </w:r>
    </w:p>
    <w:p w:rsidR="00A70FF9" w:rsidRDefault="00CB7636" w:rsidP="001A7E10">
      <w:pPr>
        <w:pStyle w:val="2"/>
        <w:numPr>
          <w:ilvl w:val="1"/>
          <w:numId w:val="11"/>
        </w:numPr>
        <w:tabs>
          <w:tab w:val="left" w:pos="1084"/>
          <w:tab w:val="left" w:pos="1085"/>
        </w:tabs>
        <w:spacing w:before="124"/>
      </w:pPr>
      <w:bookmarkStart w:id="2" w:name="4.1.4_Pharmacodynamic_Drug_Interactions"/>
      <w:bookmarkStart w:id="3" w:name="_bookmark38"/>
      <w:bookmarkStart w:id="4" w:name="4.3_Toxicology"/>
      <w:bookmarkStart w:id="5" w:name="_bookmark51"/>
      <w:bookmarkStart w:id="6" w:name="_GoBack"/>
      <w:bookmarkEnd w:id="2"/>
      <w:bookmarkEnd w:id="3"/>
      <w:bookmarkEnd w:id="4"/>
      <w:bookmarkEnd w:id="5"/>
      <w:bookmarkEnd w:id="6"/>
      <w:r>
        <w:t>Toxicology</w:t>
      </w:r>
    </w:p>
    <w:p w:rsidR="00A70FF9" w:rsidRDefault="00CB7636">
      <w:pPr>
        <w:pStyle w:val="a3"/>
        <w:spacing w:before="140" w:line="261" w:lineRule="auto"/>
        <w:ind w:left="232" w:right="1620"/>
      </w:pPr>
      <w:r>
        <w:t xml:space="preserve">A nonclinical bridging study (Study 20015047) was conducted to evaluate comparability of </w:t>
      </w:r>
      <w:r w:rsidR="00D56536">
        <w:t>PROJECT 17-2</w:t>
      </w:r>
      <w:r>
        <w:t xml:space="preserve"> and </w:t>
      </w:r>
      <w:r w:rsidR="00D56536">
        <w:t>PROJECT 17-3</w:t>
      </w:r>
      <w:r>
        <w:t xml:space="preserve"> in monkeys. Additional studies were previously conducted to evaluate the hybridoma-derived ADC (</w:t>
      </w:r>
      <w:r w:rsidR="00D56536">
        <w:t>PROJECT 17-3</w:t>
      </w:r>
      <w:r>
        <w:t>), the native antibody (</w:t>
      </w:r>
      <w:r w:rsidR="00D56536">
        <w:t>PROJECT 17-4</w:t>
      </w:r>
      <w:r>
        <w:t xml:space="preserve">) and </w:t>
      </w:r>
      <w:r w:rsidR="00D56536">
        <w:t>Project 17-5</w:t>
      </w:r>
      <w:r>
        <w:t xml:space="preserve"> (</w:t>
      </w:r>
      <w:r w:rsidR="00D56536">
        <w:t>PROJECT 17-1</w:t>
      </w:r>
      <w:r>
        <w:t>), the free drug resulting from degradation of the ADC. A summary of the pivotal toxicology studies is presented in [End-of Text-Table 3.1].</w:t>
      </w:r>
    </w:p>
    <w:p w:rsidR="00A70FF9" w:rsidRDefault="00CB7636">
      <w:pPr>
        <w:pStyle w:val="3"/>
        <w:numPr>
          <w:ilvl w:val="2"/>
          <w:numId w:val="11"/>
        </w:numPr>
        <w:tabs>
          <w:tab w:val="left" w:pos="1084"/>
          <w:tab w:val="left" w:pos="1085"/>
        </w:tabs>
        <w:spacing w:before="121"/>
      </w:pPr>
      <w:bookmarkStart w:id="7" w:name="4.3.1_Brief_Summary:_Toxicology_of_AGS-1"/>
      <w:bookmarkStart w:id="8" w:name="_bookmark52"/>
      <w:bookmarkEnd w:id="7"/>
      <w:bookmarkEnd w:id="8"/>
      <w:r>
        <w:t>Brief Summary: Toxicology of</w:t>
      </w:r>
      <w:r>
        <w:rPr>
          <w:spacing w:val="-2"/>
        </w:rPr>
        <w:t xml:space="preserve"> </w:t>
      </w:r>
      <w:r w:rsidR="00D56536">
        <w:t>PROJECT 17-3</w:t>
      </w:r>
    </w:p>
    <w:p w:rsidR="00A70FF9" w:rsidRDefault="00CB7636">
      <w:pPr>
        <w:pStyle w:val="a3"/>
        <w:spacing w:before="139" w:line="261" w:lineRule="auto"/>
        <w:ind w:left="232" w:right="2750"/>
      </w:pPr>
      <w:r>
        <w:t>A comprehensive safety assessment program included evaluation of the ADC, the unconjugated antibody and the free drug.</w:t>
      </w:r>
    </w:p>
    <w:p w:rsidR="00A70FF9" w:rsidRDefault="00CB7636">
      <w:pPr>
        <w:pStyle w:val="a3"/>
        <w:spacing w:before="118" w:line="261" w:lineRule="auto"/>
        <w:ind w:left="232" w:right="2036"/>
      </w:pPr>
      <w:r>
        <w:t xml:space="preserve">In an exploratory multi-dose study in rats (Study FKG00037), weekly administration (for 4 weeks) of </w:t>
      </w:r>
      <w:r w:rsidR="00D56536">
        <w:t>PROJECT 17-4</w:t>
      </w:r>
      <w:r>
        <w:t>mcMMAF (</w:t>
      </w:r>
      <w:proofErr w:type="spellStart"/>
      <w:r>
        <w:t>a.k.a</w:t>
      </w:r>
      <w:proofErr w:type="spellEnd"/>
      <w:r>
        <w:t xml:space="preserve">, </w:t>
      </w:r>
      <w:r w:rsidR="00D56536">
        <w:t>PROJECT 17-3</w:t>
      </w:r>
      <w:r>
        <w:t>) at a dose of 3 mg/kg was well</w:t>
      </w:r>
    </w:p>
    <w:p w:rsidR="00A70FF9" w:rsidRDefault="00CB7636" w:rsidP="00D56536">
      <w:pPr>
        <w:pStyle w:val="a3"/>
        <w:spacing w:line="261" w:lineRule="auto"/>
        <w:ind w:left="232" w:right="1649"/>
      </w:pPr>
      <w:r>
        <w:t xml:space="preserve">tolerated. Doses of 10 and 30 mg/kg were associated with morbidity and mortality associated with renal failure secondary to glomerular nephropathy. The glomerular nephropathy was </w:t>
      </w:r>
      <w:r>
        <w:lastRenderedPageBreak/>
        <w:t>shown to result from immune-complex deposition. The formation of antibody complexes and</w:t>
      </w:r>
      <w:r w:rsidR="00D56536">
        <w:t xml:space="preserve"> </w:t>
      </w:r>
      <w:r>
        <w:t xml:space="preserve">its associated significant toxicity confounded data interpretation. Therefore the rat was considered not to be an appropriate species for further toxicity evaluation of </w:t>
      </w:r>
      <w:r w:rsidR="00D56536">
        <w:t>PROJECT 17-3</w:t>
      </w:r>
      <w:r>
        <w:t>. An IND-enabling study was performed in cynomolgus monkeys and included multiple dose levels of the ADC (</w:t>
      </w:r>
      <w:r w:rsidR="00D56536">
        <w:t>PROJECT 17-3</w:t>
      </w:r>
      <w:r>
        <w:t xml:space="preserve">) and single dose levels of the unconjugated antibody, free drug and vehicle control. All groups were dosed 1x weekly for 4 weeks. Data from the </w:t>
      </w:r>
      <w:r w:rsidR="00D56536">
        <w:t>PROJECT 17-3</w:t>
      </w:r>
      <w:r>
        <w:t xml:space="preserve"> cohorts demonstrated a NOAEL of 6 mg/kg (the highest dose tested). Minor effects, considered not adverse, were observed in some laboratory measures. Native (unconjugated) antibody also demonstrated a NOAEL at the 6 mg/kg dose level. For the</w:t>
      </w:r>
      <w:r w:rsidR="00D56536">
        <w:t xml:space="preserve"> Project 17-5</w:t>
      </w:r>
      <w:r>
        <w:t>, a NOAEL was observed at 0.172 mg/kg. In summary, there were no adverse clinical observations, macroscopic or microscopic findings at the end of the dose phase and recovery in any animals attributed to the ADC, the unconjugated antibody or the free drug.</w:t>
      </w:r>
    </w:p>
    <w:p w:rsidR="00A70FF9" w:rsidRDefault="00CB7636">
      <w:pPr>
        <w:pStyle w:val="a3"/>
        <w:spacing w:before="111" w:line="261" w:lineRule="auto"/>
        <w:ind w:left="232" w:right="2229"/>
      </w:pPr>
      <w:r>
        <w:t>In 2 additional toxicology studies, toxicity evaluation of the free drug (</w:t>
      </w:r>
      <w:r w:rsidR="00D56536">
        <w:t>Project 17-5</w:t>
      </w:r>
      <w:r>
        <w:t xml:space="preserve">), generated from intracellular degradation of </w:t>
      </w:r>
      <w:r w:rsidR="00D56536">
        <w:t>PROJECT 17-3</w:t>
      </w:r>
      <w:r>
        <w:t>, was conducted in rats</w:t>
      </w:r>
    </w:p>
    <w:p w:rsidR="00A70FF9" w:rsidRDefault="00CB7636" w:rsidP="00D56536">
      <w:pPr>
        <w:pStyle w:val="a3"/>
        <w:spacing w:line="261" w:lineRule="auto"/>
        <w:ind w:left="232" w:right="1669"/>
      </w:pPr>
      <w:r>
        <w:t xml:space="preserve">(Study FKG00041) and monkeys (Study FKG00048). Four weekly intravenous doses of </w:t>
      </w:r>
      <w:r w:rsidR="00D56536">
        <w:t>Project 17-5</w:t>
      </w:r>
      <w:r>
        <w:t xml:space="preserve"> administered to monkeys were not associated with any toxicologically significant findings. The NOAEL in monkeys was 0.5 mg/kg. This dose is approximately 3 times higher than the molar equivalent of the toxin in the ADC. </w:t>
      </w:r>
      <w:r w:rsidR="00D56536">
        <w:t>Project 17-5</w:t>
      </w:r>
      <w:r>
        <w:t xml:space="preserve"> administered to rats once weekly for 4 weeks was associated with transient reductions in body weight gain at 1 mg/kg and the development of microscopic changes in the testes and </w:t>
      </w:r>
      <w:proofErr w:type="spellStart"/>
      <w:r>
        <w:t>epididymides</w:t>
      </w:r>
      <w:proofErr w:type="spellEnd"/>
      <w:r>
        <w:t xml:space="preserve"> at doses</w:t>
      </w:r>
      <w:r w:rsidR="00D56536">
        <w:t xml:space="preserve"> </w:t>
      </w:r>
      <w:r>
        <w:t xml:space="preserve">≥ 0.3 mg/kg. These changes were completely reversed at the end of the recovery period. Pharmacokinetic/toxicokinetic studies of </w:t>
      </w:r>
      <w:r w:rsidR="00D56536">
        <w:t>PROJECT 17-3</w:t>
      </w:r>
      <w:r>
        <w:t xml:space="preserve"> and free drug (</w:t>
      </w:r>
      <w:r w:rsidR="00D56536">
        <w:t>Project 17-5</w:t>
      </w:r>
      <w:r>
        <w:t xml:space="preserve">) were performed from single and multiple dose studies in rats and cynomolgus monkeys. In the IND-enabling study in cynomolgus monkeys, the ADC toxicokinetics were linear with respect to </w:t>
      </w:r>
      <w:r w:rsidR="00D56536">
        <w:t>PROJECT 17-3</w:t>
      </w:r>
      <w:r>
        <w:t xml:space="preserve"> dose. Systemic exposure increased </w:t>
      </w:r>
      <w:proofErr w:type="spellStart"/>
      <w:r>
        <w:t>C</w:t>
      </w:r>
      <w:r>
        <w:rPr>
          <w:vertAlign w:val="subscript"/>
        </w:rPr>
        <w:t>max</w:t>
      </w:r>
      <w:proofErr w:type="spellEnd"/>
      <w:r>
        <w:t xml:space="preserve"> and AUC proportionally with increase in dose. Peak serum concentrations were achieved at the end of dosing (1 hour) and declined </w:t>
      </w:r>
      <w:proofErr w:type="spellStart"/>
      <w:r>
        <w:t>biphasically</w:t>
      </w:r>
      <w:proofErr w:type="spellEnd"/>
      <w:r>
        <w:t xml:space="preserve"> with a T</w:t>
      </w:r>
      <w:r>
        <w:rPr>
          <w:vertAlign w:val="subscript"/>
        </w:rPr>
        <w:t>1/2λz</w:t>
      </w:r>
      <w:r>
        <w:t xml:space="preserve"> of ~5 days. Circulating concentrations of the free drug (</w:t>
      </w:r>
      <w:r w:rsidR="00D56536">
        <w:t>Project 17-5</w:t>
      </w:r>
      <w:r>
        <w:t>) were very low and represented ~1/10</w:t>
      </w:r>
      <w:r>
        <w:rPr>
          <w:vertAlign w:val="superscript"/>
        </w:rPr>
        <w:t>6</w:t>
      </w:r>
      <w:r>
        <w:t xml:space="preserve"> that of the native ADC. Peak serum metabolite concentration was observed at 6 hours after dose of the ADC. The T</w:t>
      </w:r>
      <w:r>
        <w:rPr>
          <w:vertAlign w:val="subscript"/>
        </w:rPr>
        <w:t>1/2λz</w:t>
      </w:r>
      <w:r>
        <w:t xml:space="preserve"> of the metabolite was ~70 hours which represented the metabolism of the ADC that occurs systemically. The toxicokinetic of </w:t>
      </w:r>
      <w:r w:rsidR="00D56536">
        <w:t>PROJECT 17-3</w:t>
      </w:r>
      <w:r>
        <w:t xml:space="preserve"> were generally consistent across studies in cynomolgus monkeys. However, following repeated dosing in rats, some animals showed accelerated clearance and lower serum concentrations, considered to be a result of antibody development observed against the ADC. The shortened clearance was not seen in monkeys.</w:t>
      </w:r>
    </w:p>
    <w:p w:rsidR="00A70FF9" w:rsidRDefault="00CB7636">
      <w:pPr>
        <w:pStyle w:val="a3"/>
        <w:spacing w:before="102" w:line="261" w:lineRule="auto"/>
        <w:ind w:left="232" w:right="1702"/>
      </w:pPr>
      <w:r>
        <w:t xml:space="preserve">Tissue cross-reactivity of the hybridoma-derived antibody and ADC was determined in frozen human (Studies 8211392 and 8211391), monkey (Studies 8211390 and 8211388) and rat tissues. There was no specific binding noted in rat tissues. Both </w:t>
      </w:r>
      <w:r w:rsidR="00D56536">
        <w:t>PROJECT 17-4</w:t>
      </w:r>
      <w:r>
        <w:t xml:space="preserve"> (unconjugated antibody) and </w:t>
      </w:r>
      <w:r w:rsidR="00D56536">
        <w:t>PROJECT 17-3</w:t>
      </w:r>
      <w:r>
        <w:t xml:space="preserve"> (ADC) showed similar binding patterns in human and cynomolgus tissues. The antibody and ADC both stained kidney cortex and endometrial epithelium. Salivary gland stained positive in humans but not monkey. In monkeys, but not human tissue, epithelium and occasional blood vessels stained positive in breast, Fallopian tubules, colon, prostate, thymus and tonsil.</w:t>
      </w:r>
    </w:p>
    <w:p w:rsidR="00A70FF9" w:rsidRDefault="00A70FF9">
      <w:pPr>
        <w:spacing w:line="261" w:lineRule="auto"/>
        <w:sectPr w:rsidR="00A70FF9">
          <w:headerReference w:type="default" r:id="rId7"/>
          <w:pgSz w:w="12240" w:h="15840"/>
          <w:pgMar w:top="1240" w:right="0" w:bottom="940" w:left="1380" w:header="580" w:footer="746" w:gutter="0"/>
          <w:cols w:space="720"/>
        </w:sectPr>
      </w:pPr>
    </w:p>
    <w:p w:rsidR="00A70FF9" w:rsidRDefault="00A70FF9">
      <w:pPr>
        <w:pStyle w:val="a3"/>
        <w:rPr>
          <w:sz w:val="20"/>
        </w:rPr>
      </w:pPr>
    </w:p>
    <w:p w:rsidR="00A70FF9" w:rsidRDefault="00CB7636">
      <w:pPr>
        <w:pStyle w:val="3"/>
        <w:numPr>
          <w:ilvl w:val="2"/>
          <w:numId w:val="11"/>
        </w:numPr>
        <w:tabs>
          <w:tab w:val="left" w:pos="1084"/>
          <w:tab w:val="left" w:pos="1085"/>
        </w:tabs>
        <w:spacing w:before="232"/>
      </w:pPr>
      <w:bookmarkStart w:id="9" w:name="4.3.2_Single-dose_Toxicity"/>
      <w:bookmarkStart w:id="10" w:name="_bookmark53"/>
      <w:bookmarkEnd w:id="9"/>
      <w:bookmarkEnd w:id="10"/>
      <w:r>
        <w:t>Single-dose</w:t>
      </w:r>
      <w:r>
        <w:rPr>
          <w:spacing w:val="-2"/>
        </w:rPr>
        <w:t xml:space="preserve"> </w:t>
      </w:r>
      <w:r>
        <w:t>Toxicity</w:t>
      </w:r>
    </w:p>
    <w:p w:rsidR="00A70FF9" w:rsidRDefault="00CB7636">
      <w:pPr>
        <w:pStyle w:val="a3"/>
        <w:spacing w:before="139"/>
        <w:ind w:left="232"/>
      </w:pPr>
      <w:r>
        <w:t xml:space="preserve">No single-dose toxicology studies were conducted with </w:t>
      </w:r>
      <w:r w:rsidR="00D56536">
        <w:t>PROJECT 17-2</w:t>
      </w:r>
      <w:r>
        <w:t>.</w:t>
      </w:r>
    </w:p>
    <w:p w:rsidR="00A70FF9" w:rsidRDefault="00CB7636">
      <w:pPr>
        <w:pStyle w:val="a3"/>
        <w:spacing w:before="144" w:line="261" w:lineRule="auto"/>
        <w:ind w:left="232" w:right="1989"/>
      </w:pPr>
      <w:r>
        <w:t xml:space="preserve">Two single-dose toxicology studies were conducted with </w:t>
      </w:r>
      <w:r w:rsidR="00D56536">
        <w:t>PROJECT 17-1</w:t>
      </w:r>
      <w:r>
        <w:t xml:space="preserve"> (primary metabolite) which are summarized in [</w:t>
      </w:r>
      <w:hyperlink w:anchor="_bookmark54" w:history="1">
        <w:r>
          <w:t>Table 10</w:t>
        </w:r>
      </w:hyperlink>
      <w:r>
        <w:t>].</w:t>
      </w:r>
    </w:p>
    <w:p w:rsidR="00A70FF9" w:rsidRDefault="00CB7636">
      <w:pPr>
        <w:pStyle w:val="3"/>
        <w:tabs>
          <w:tab w:val="left" w:pos="1651"/>
        </w:tabs>
        <w:spacing w:before="97"/>
        <w:ind w:left="232"/>
      </w:pPr>
      <w:bookmarkStart w:id="11" w:name="_bookmark54"/>
      <w:bookmarkEnd w:id="11"/>
      <w:r>
        <w:t>Table</w:t>
      </w:r>
      <w:r>
        <w:rPr>
          <w:spacing w:val="-1"/>
        </w:rPr>
        <w:t xml:space="preserve"> </w:t>
      </w:r>
      <w:r>
        <w:t>10</w:t>
      </w:r>
      <w:r>
        <w:tab/>
        <w:t>Single-dose Studies with</w:t>
      </w:r>
      <w:r>
        <w:rPr>
          <w:spacing w:val="-4"/>
        </w:rPr>
        <w:t xml:space="preserve"> </w:t>
      </w:r>
      <w:r w:rsidR="00D56536">
        <w:t>PROJECT 17-1</w:t>
      </w:r>
    </w:p>
    <w:p w:rsidR="00A70FF9" w:rsidRDefault="00A70FF9">
      <w:pPr>
        <w:pStyle w:val="a3"/>
        <w:rPr>
          <w:b/>
          <w:sz w:val="20"/>
        </w:rPr>
      </w:pPr>
    </w:p>
    <w:p w:rsidR="00A70FF9" w:rsidRDefault="00A70FF9">
      <w:pPr>
        <w:pStyle w:val="a3"/>
        <w:rPr>
          <w:b/>
          <w:sz w:val="20"/>
        </w:rPr>
      </w:pPr>
    </w:p>
    <w:p w:rsidR="00A70FF9" w:rsidRDefault="00A70FF9">
      <w:pPr>
        <w:pStyle w:val="a3"/>
        <w:rPr>
          <w:b/>
          <w:sz w:val="20"/>
        </w:rPr>
      </w:pPr>
    </w:p>
    <w:p w:rsidR="00A70FF9" w:rsidRDefault="00A70FF9">
      <w:pPr>
        <w:pStyle w:val="a3"/>
        <w:rPr>
          <w:b/>
          <w:sz w:val="20"/>
        </w:rPr>
      </w:pPr>
    </w:p>
    <w:p w:rsidR="00A70FF9" w:rsidRDefault="00A70FF9">
      <w:pPr>
        <w:pStyle w:val="a3"/>
        <w:rPr>
          <w:b/>
          <w:sz w:val="20"/>
        </w:rPr>
      </w:pPr>
    </w:p>
    <w:p w:rsidR="00A70FF9" w:rsidRDefault="00A70FF9">
      <w:pPr>
        <w:pStyle w:val="a3"/>
        <w:rPr>
          <w:b/>
          <w:sz w:val="20"/>
        </w:rPr>
      </w:pPr>
    </w:p>
    <w:p w:rsidR="00A70FF9" w:rsidRDefault="00A70FF9">
      <w:pPr>
        <w:pStyle w:val="a3"/>
        <w:rPr>
          <w:b/>
          <w:sz w:val="20"/>
        </w:rPr>
      </w:pPr>
    </w:p>
    <w:p w:rsidR="00A70FF9" w:rsidRDefault="00A70FF9">
      <w:pPr>
        <w:pStyle w:val="a3"/>
        <w:rPr>
          <w:b/>
          <w:sz w:val="20"/>
        </w:rPr>
      </w:pPr>
    </w:p>
    <w:p w:rsidR="00A70FF9" w:rsidRDefault="00A70FF9">
      <w:pPr>
        <w:pStyle w:val="a3"/>
        <w:rPr>
          <w:b/>
          <w:sz w:val="20"/>
        </w:rPr>
      </w:pPr>
    </w:p>
    <w:p w:rsidR="00A70FF9" w:rsidRDefault="00A70FF9">
      <w:pPr>
        <w:pStyle w:val="a3"/>
        <w:rPr>
          <w:b/>
          <w:sz w:val="20"/>
        </w:rPr>
      </w:pPr>
    </w:p>
    <w:p w:rsidR="00A70FF9" w:rsidRDefault="00A70FF9">
      <w:pPr>
        <w:pStyle w:val="a3"/>
        <w:rPr>
          <w:b/>
          <w:sz w:val="20"/>
        </w:rPr>
      </w:pPr>
    </w:p>
    <w:p w:rsidR="00A70FF9" w:rsidRDefault="00A70FF9">
      <w:pPr>
        <w:pStyle w:val="a3"/>
        <w:rPr>
          <w:b/>
          <w:sz w:val="20"/>
        </w:rPr>
      </w:pPr>
    </w:p>
    <w:p w:rsidR="00A70FF9" w:rsidRDefault="00A70FF9">
      <w:pPr>
        <w:pStyle w:val="a3"/>
        <w:rPr>
          <w:b/>
          <w:sz w:val="20"/>
        </w:rPr>
      </w:pPr>
    </w:p>
    <w:p w:rsidR="00A70FF9" w:rsidRDefault="00A70FF9">
      <w:pPr>
        <w:pStyle w:val="a3"/>
        <w:rPr>
          <w:b/>
          <w:sz w:val="20"/>
        </w:rPr>
      </w:pPr>
    </w:p>
    <w:p w:rsidR="00A70FF9" w:rsidRDefault="00A70FF9">
      <w:pPr>
        <w:pStyle w:val="a3"/>
        <w:rPr>
          <w:b/>
          <w:sz w:val="20"/>
        </w:rPr>
      </w:pPr>
    </w:p>
    <w:p w:rsidR="00A70FF9" w:rsidRDefault="00A70FF9">
      <w:pPr>
        <w:pStyle w:val="a3"/>
        <w:rPr>
          <w:b/>
          <w:sz w:val="20"/>
        </w:rPr>
      </w:pPr>
    </w:p>
    <w:p w:rsidR="00A70FF9" w:rsidRDefault="00A70FF9">
      <w:pPr>
        <w:pStyle w:val="a3"/>
        <w:rPr>
          <w:b/>
          <w:sz w:val="20"/>
        </w:rPr>
      </w:pPr>
    </w:p>
    <w:p w:rsidR="00A70FF9" w:rsidRDefault="00A70FF9">
      <w:pPr>
        <w:pStyle w:val="a3"/>
        <w:rPr>
          <w:b/>
          <w:sz w:val="20"/>
        </w:rPr>
      </w:pPr>
    </w:p>
    <w:p w:rsidR="00A70FF9" w:rsidRDefault="00A70FF9">
      <w:pPr>
        <w:pStyle w:val="a3"/>
        <w:rPr>
          <w:b/>
          <w:sz w:val="20"/>
        </w:rPr>
      </w:pPr>
    </w:p>
    <w:p w:rsidR="00A70FF9" w:rsidRDefault="00A70FF9">
      <w:pPr>
        <w:pStyle w:val="a3"/>
        <w:spacing w:before="6"/>
        <w:rPr>
          <w:b/>
          <w:sz w:val="26"/>
        </w:rPr>
      </w:pPr>
    </w:p>
    <w:p w:rsidR="00A70FF9" w:rsidRDefault="001A7E10">
      <w:pPr>
        <w:tabs>
          <w:tab w:val="left" w:pos="4708"/>
        </w:tabs>
        <w:spacing w:before="91"/>
        <w:ind w:left="232"/>
        <w:rPr>
          <w:sz w:val="20"/>
        </w:rPr>
      </w:pPr>
      <w:r>
        <w:pict>
          <v:shapetype id="_x0000_t202" coordsize="21600,21600" o:spt="202" path="m,l,21600r21600,l21600,xe">
            <v:stroke joinstyle="miter"/>
            <v:path gradientshapeok="t" o:connecttype="rect"/>
          </v:shapetype>
          <v:shape id="_x0000_s1060" type="#_x0000_t202" style="position:absolute;left:0;text-align:left;margin-left:74.5pt;margin-top:-230.55pt;width:463.45pt;height:245.7pt;z-index:251630080;mso-position-horizontal-relative:page" filled="f" stroked="f">
            <v:textbox inset="0,0,0,0">
              <w:txbxContent>
                <w:tbl>
                  <w:tblPr>
                    <w:tblStyle w:val="TableNormal"/>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603"/>
                    <w:gridCol w:w="2021"/>
                    <w:gridCol w:w="966"/>
                    <w:gridCol w:w="182"/>
                    <w:gridCol w:w="4476"/>
                  </w:tblGrid>
                  <w:tr w:rsidR="00A70FF9">
                    <w:trPr>
                      <w:trHeight w:val="309"/>
                    </w:trPr>
                    <w:tc>
                      <w:tcPr>
                        <w:tcW w:w="1603" w:type="dxa"/>
                        <w:tcBorders>
                          <w:bottom w:val="single" w:sz="2" w:space="0" w:color="000000"/>
                          <w:right w:val="single" w:sz="2" w:space="0" w:color="000000"/>
                        </w:tcBorders>
                      </w:tcPr>
                      <w:p w:rsidR="00A70FF9" w:rsidRDefault="00CB7636">
                        <w:pPr>
                          <w:pStyle w:val="TableParagraph"/>
                          <w:spacing w:before="38"/>
                          <w:ind w:left="378"/>
                          <w:jc w:val="left"/>
                          <w:rPr>
                            <w:b/>
                            <w:sz w:val="20"/>
                          </w:rPr>
                        </w:pPr>
                        <w:r>
                          <w:rPr>
                            <w:b/>
                            <w:sz w:val="20"/>
                          </w:rPr>
                          <w:t>Study No.</w:t>
                        </w:r>
                      </w:p>
                    </w:tc>
                    <w:tc>
                      <w:tcPr>
                        <w:tcW w:w="2021" w:type="dxa"/>
                        <w:tcBorders>
                          <w:left w:val="single" w:sz="2" w:space="0" w:color="000000"/>
                          <w:bottom w:val="single" w:sz="2" w:space="0" w:color="000000"/>
                          <w:right w:val="single" w:sz="2" w:space="0" w:color="000000"/>
                        </w:tcBorders>
                      </w:tcPr>
                      <w:p w:rsidR="00A70FF9" w:rsidRDefault="00CB7636">
                        <w:pPr>
                          <w:pStyle w:val="TableParagraph"/>
                          <w:spacing w:before="38"/>
                          <w:ind w:left="537"/>
                          <w:jc w:val="left"/>
                          <w:rPr>
                            <w:b/>
                            <w:sz w:val="20"/>
                          </w:rPr>
                        </w:pPr>
                        <w:r>
                          <w:rPr>
                            <w:b/>
                            <w:sz w:val="20"/>
                          </w:rPr>
                          <w:t>Study Title</w:t>
                        </w:r>
                      </w:p>
                    </w:tc>
                    <w:tc>
                      <w:tcPr>
                        <w:tcW w:w="1148" w:type="dxa"/>
                        <w:gridSpan w:val="2"/>
                        <w:tcBorders>
                          <w:left w:val="single" w:sz="2" w:space="0" w:color="000000"/>
                          <w:bottom w:val="single" w:sz="2" w:space="0" w:color="000000"/>
                          <w:right w:val="single" w:sz="2" w:space="0" w:color="000000"/>
                        </w:tcBorders>
                      </w:tcPr>
                      <w:p w:rsidR="00A70FF9" w:rsidRDefault="00CB7636">
                        <w:pPr>
                          <w:pStyle w:val="TableParagraph"/>
                          <w:spacing w:before="38"/>
                          <w:ind w:left="266"/>
                          <w:jc w:val="left"/>
                          <w:rPr>
                            <w:b/>
                            <w:sz w:val="20"/>
                          </w:rPr>
                        </w:pPr>
                        <w:r>
                          <w:rPr>
                            <w:b/>
                            <w:sz w:val="20"/>
                          </w:rPr>
                          <w:t>Species</w:t>
                        </w:r>
                      </w:p>
                    </w:tc>
                    <w:tc>
                      <w:tcPr>
                        <w:tcW w:w="4476" w:type="dxa"/>
                        <w:tcBorders>
                          <w:left w:val="single" w:sz="2" w:space="0" w:color="000000"/>
                          <w:bottom w:val="single" w:sz="2" w:space="0" w:color="000000"/>
                        </w:tcBorders>
                      </w:tcPr>
                      <w:p w:rsidR="00A70FF9" w:rsidRDefault="00CB7636">
                        <w:pPr>
                          <w:pStyle w:val="TableParagraph"/>
                          <w:spacing w:before="38"/>
                          <w:ind w:left="1793" w:right="1787"/>
                          <w:rPr>
                            <w:b/>
                            <w:sz w:val="20"/>
                          </w:rPr>
                        </w:pPr>
                        <w:r>
                          <w:rPr>
                            <w:b/>
                            <w:sz w:val="20"/>
                          </w:rPr>
                          <w:t>Summary</w:t>
                        </w:r>
                      </w:p>
                    </w:tc>
                  </w:tr>
                  <w:tr w:rsidR="00A70FF9">
                    <w:trPr>
                      <w:trHeight w:val="2150"/>
                    </w:trPr>
                    <w:tc>
                      <w:tcPr>
                        <w:tcW w:w="1603" w:type="dxa"/>
                        <w:tcBorders>
                          <w:top w:val="single" w:sz="2" w:space="0" w:color="000000"/>
                          <w:bottom w:val="single" w:sz="2" w:space="0" w:color="000000"/>
                          <w:right w:val="single" w:sz="2" w:space="0" w:color="000000"/>
                        </w:tcBorders>
                      </w:tcPr>
                      <w:p w:rsidR="00A70FF9" w:rsidRDefault="00CB7636">
                        <w:pPr>
                          <w:pStyle w:val="TableParagraph"/>
                          <w:spacing w:before="34"/>
                          <w:ind w:left="362"/>
                          <w:jc w:val="left"/>
                          <w:rPr>
                            <w:sz w:val="20"/>
                          </w:rPr>
                        </w:pPr>
                        <w:r>
                          <w:rPr>
                            <w:sz w:val="20"/>
                          </w:rPr>
                          <w:t>R-TOX-44</w:t>
                        </w:r>
                      </w:p>
                    </w:tc>
                    <w:tc>
                      <w:tcPr>
                        <w:tcW w:w="2021" w:type="dxa"/>
                        <w:tcBorders>
                          <w:top w:val="single" w:sz="2" w:space="0" w:color="000000"/>
                          <w:left w:val="single" w:sz="2" w:space="0" w:color="000000"/>
                          <w:bottom w:val="single" w:sz="2" w:space="0" w:color="000000"/>
                          <w:right w:val="single" w:sz="2" w:space="0" w:color="000000"/>
                        </w:tcBorders>
                      </w:tcPr>
                      <w:p w:rsidR="00A70FF9" w:rsidRDefault="00CB7636">
                        <w:pPr>
                          <w:pStyle w:val="TableParagraph"/>
                          <w:spacing w:before="34"/>
                          <w:ind w:left="213" w:right="125" w:hanging="75"/>
                          <w:jc w:val="left"/>
                          <w:rPr>
                            <w:sz w:val="20"/>
                          </w:rPr>
                        </w:pPr>
                        <w:r>
                          <w:rPr>
                            <w:sz w:val="20"/>
                          </w:rPr>
                          <w:t>Exploratory non-GLP Single-Dose Range Finding Toxicity Study of SGD-1362 ( cys-mcMMAF) in Female Rats with</w:t>
                        </w:r>
                        <w:r>
                          <w:rPr>
                            <w:spacing w:val="-4"/>
                            <w:sz w:val="20"/>
                          </w:rPr>
                          <w:t xml:space="preserve"> </w:t>
                        </w:r>
                        <w:r>
                          <w:rPr>
                            <w:sz w:val="20"/>
                          </w:rPr>
                          <w:t>a</w:t>
                        </w:r>
                      </w:p>
                      <w:p w:rsidR="00A70FF9" w:rsidRDefault="00CB7636">
                        <w:pPr>
                          <w:pStyle w:val="TableParagraph"/>
                          <w:ind w:left="780" w:hanging="452"/>
                          <w:jc w:val="left"/>
                          <w:rPr>
                            <w:sz w:val="20"/>
                          </w:rPr>
                        </w:pPr>
                        <w:r>
                          <w:rPr>
                            <w:sz w:val="20"/>
                          </w:rPr>
                          <w:t>14-day Recovery Phase</w:t>
                        </w:r>
                      </w:p>
                    </w:tc>
                    <w:tc>
                      <w:tcPr>
                        <w:tcW w:w="1148" w:type="dxa"/>
                        <w:gridSpan w:val="2"/>
                        <w:tcBorders>
                          <w:top w:val="single" w:sz="2" w:space="0" w:color="000000"/>
                          <w:left w:val="single" w:sz="2" w:space="0" w:color="000000"/>
                          <w:bottom w:val="single" w:sz="2" w:space="0" w:color="000000"/>
                          <w:right w:val="single" w:sz="2" w:space="0" w:color="000000"/>
                        </w:tcBorders>
                      </w:tcPr>
                      <w:p w:rsidR="00A70FF9" w:rsidRDefault="00CB7636">
                        <w:pPr>
                          <w:pStyle w:val="TableParagraph"/>
                          <w:spacing w:before="34"/>
                          <w:ind w:left="379" w:right="368"/>
                          <w:rPr>
                            <w:sz w:val="20"/>
                          </w:rPr>
                        </w:pPr>
                        <w:r>
                          <w:rPr>
                            <w:sz w:val="20"/>
                          </w:rPr>
                          <w:t>Rats</w:t>
                        </w:r>
                      </w:p>
                    </w:tc>
                    <w:tc>
                      <w:tcPr>
                        <w:tcW w:w="4476" w:type="dxa"/>
                        <w:tcBorders>
                          <w:top w:val="single" w:sz="2" w:space="0" w:color="000000"/>
                          <w:left w:val="single" w:sz="2" w:space="0" w:color="000000"/>
                          <w:bottom w:val="single" w:sz="2" w:space="0" w:color="000000"/>
                        </w:tcBorders>
                      </w:tcPr>
                      <w:p w:rsidR="00A70FF9" w:rsidRDefault="00CB7636">
                        <w:pPr>
                          <w:pStyle w:val="TableParagraph"/>
                          <w:spacing w:before="34"/>
                          <w:ind w:left="116"/>
                          <w:jc w:val="left"/>
                          <w:rPr>
                            <w:sz w:val="20"/>
                          </w:rPr>
                        </w:pPr>
                        <w:r>
                          <w:rPr>
                            <w:sz w:val="20"/>
                          </w:rPr>
                          <w:t>Linear cys-mcMMAF single intravenous bolus injection at dose levels up to 25 mg/kg to female Sprague Dawley rats was well tolerated. Treatment related findings were limited to mild to moderate reductions in reticulocyte counts at dose levels</w:t>
                        </w:r>
                      </w:p>
                      <w:p w:rsidR="00A70FF9" w:rsidRDefault="00CB7636">
                        <w:pPr>
                          <w:pStyle w:val="TableParagraph"/>
                          <w:ind w:left="116" w:right="103"/>
                          <w:jc w:val="left"/>
                          <w:rPr>
                            <w:sz w:val="20"/>
                          </w:rPr>
                        </w:pPr>
                        <w:r>
                          <w:rPr>
                            <w:sz w:val="20"/>
                          </w:rPr>
                          <w:t>≥ 17.5 mg/kg. The HNSTD and MTD were considered to be the highest dose tested of 25 mg/kg. The NOEL was considered to be 10 mg/kg due to the absence of any findings at this dose</w:t>
                        </w:r>
                        <w:r>
                          <w:rPr>
                            <w:spacing w:val="-5"/>
                            <w:sz w:val="20"/>
                          </w:rPr>
                          <w:t xml:space="preserve"> </w:t>
                        </w:r>
                        <w:r>
                          <w:rPr>
                            <w:sz w:val="20"/>
                          </w:rPr>
                          <w:t>level.</w:t>
                        </w:r>
                      </w:p>
                    </w:tc>
                  </w:tr>
                  <w:tr w:rsidR="00A70FF9">
                    <w:trPr>
                      <w:trHeight w:val="2009"/>
                    </w:trPr>
                    <w:tc>
                      <w:tcPr>
                        <w:tcW w:w="1603" w:type="dxa"/>
                        <w:vMerge w:val="restart"/>
                        <w:tcBorders>
                          <w:top w:val="single" w:sz="2" w:space="0" w:color="000000"/>
                          <w:right w:val="single" w:sz="2" w:space="0" w:color="000000"/>
                        </w:tcBorders>
                      </w:tcPr>
                      <w:p w:rsidR="00A70FF9" w:rsidRDefault="00CB7636">
                        <w:pPr>
                          <w:pStyle w:val="TableParagraph"/>
                          <w:spacing w:before="34"/>
                          <w:ind w:left="417"/>
                          <w:jc w:val="left"/>
                          <w:rPr>
                            <w:sz w:val="20"/>
                          </w:rPr>
                        </w:pPr>
                        <w:r>
                          <w:rPr>
                            <w:sz w:val="20"/>
                          </w:rPr>
                          <w:t>1019-008</w:t>
                        </w:r>
                      </w:p>
                    </w:tc>
                    <w:tc>
                      <w:tcPr>
                        <w:tcW w:w="2021" w:type="dxa"/>
                        <w:vMerge w:val="restart"/>
                        <w:tcBorders>
                          <w:top w:val="single" w:sz="2" w:space="0" w:color="000000"/>
                          <w:left w:val="single" w:sz="2" w:space="0" w:color="000000"/>
                          <w:right w:val="single" w:sz="2" w:space="0" w:color="0000FF"/>
                        </w:tcBorders>
                      </w:tcPr>
                      <w:p w:rsidR="00A70FF9" w:rsidRDefault="00CB7636">
                        <w:pPr>
                          <w:pStyle w:val="TableParagraph"/>
                          <w:spacing w:before="34"/>
                          <w:ind w:left="117" w:right="105" w:hanging="1"/>
                          <w:rPr>
                            <w:sz w:val="20"/>
                          </w:rPr>
                        </w:pPr>
                        <w:r>
                          <w:rPr>
                            <w:sz w:val="20"/>
                          </w:rPr>
                          <w:t>GLP single dose intravenous range- findings of SGD-1362 (cys-mcMMAF) in cynomolgus monkeys</w:t>
                        </w:r>
                      </w:p>
                    </w:tc>
                    <w:tc>
                      <w:tcPr>
                        <w:tcW w:w="1148" w:type="dxa"/>
                        <w:gridSpan w:val="2"/>
                        <w:tcBorders>
                          <w:top w:val="single" w:sz="2" w:space="0" w:color="000000"/>
                          <w:left w:val="single" w:sz="2" w:space="0" w:color="000000"/>
                          <w:bottom w:val="nil"/>
                          <w:right w:val="single" w:sz="2" w:space="0" w:color="000000"/>
                        </w:tcBorders>
                      </w:tcPr>
                      <w:p w:rsidR="00A70FF9" w:rsidRDefault="00CB7636">
                        <w:pPr>
                          <w:pStyle w:val="TableParagraph"/>
                          <w:spacing w:before="34"/>
                          <w:ind w:left="206"/>
                          <w:jc w:val="left"/>
                          <w:rPr>
                            <w:sz w:val="20"/>
                          </w:rPr>
                        </w:pPr>
                        <w:r>
                          <w:rPr>
                            <w:sz w:val="20"/>
                          </w:rPr>
                          <w:t>Monkeys</w:t>
                        </w:r>
                      </w:p>
                    </w:tc>
                    <w:tc>
                      <w:tcPr>
                        <w:tcW w:w="4476" w:type="dxa"/>
                        <w:vMerge w:val="restart"/>
                        <w:tcBorders>
                          <w:top w:val="single" w:sz="2" w:space="0" w:color="000000"/>
                          <w:left w:val="single" w:sz="2" w:space="0" w:color="000000"/>
                        </w:tcBorders>
                      </w:tcPr>
                      <w:p w:rsidR="00A70FF9" w:rsidRDefault="00CB7636">
                        <w:pPr>
                          <w:pStyle w:val="TableParagraph"/>
                          <w:spacing w:before="34"/>
                          <w:ind w:left="116" w:right="225"/>
                          <w:jc w:val="left"/>
                          <w:rPr>
                            <w:sz w:val="20"/>
                          </w:rPr>
                        </w:pPr>
                        <w:r>
                          <w:rPr>
                            <w:sz w:val="20"/>
                          </w:rPr>
                          <w:t>Linear cys-mcMMAF single intravenous bolus injection to cynomolgus monkeys (1 animal/sex/group) was well tolerated at doses up to 10 mg/kg. Findings were limited to minimal and transient increases in AST and/or total bilirubin at doses at or above 6 mg/kg and were considered not biologically relevant or adverse. The HNSTD and NOAEL were considered to be the highest dose of 10 mg/kg. The NOEL was 3 mg/kg.</w:t>
                        </w:r>
                      </w:p>
                    </w:tc>
                  </w:tr>
                  <w:tr w:rsidR="00A70FF9">
                    <w:trPr>
                      <w:trHeight w:val="120"/>
                    </w:trPr>
                    <w:tc>
                      <w:tcPr>
                        <w:tcW w:w="1603" w:type="dxa"/>
                        <w:vMerge/>
                        <w:tcBorders>
                          <w:top w:val="nil"/>
                          <w:right w:val="single" w:sz="2" w:space="0" w:color="000000"/>
                        </w:tcBorders>
                      </w:tcPr>
                      <w:p w:rsidR="00A70FF9" w:rsidRDefault="00A70FF9">
                        <w:pPr>
                          <w:rPr>
                            <w:sz w:val="2"/>
                            <w:szCs w:val="2"/>
                          </w:rPr>
                        </w:pPr>
                      </w:p>
                    </w:tc>
                    <w:tc>
                      <w:tcPr>
                        <w:tcW w:w="2021" w:type="dxa"/>
                        <w:vMerge/>
                        <w:tcBorders>
                          <w:top w:val="nil"/>
                          <w:left w:val="single" w:sz="2" w:space="0" w:color="000000"/>
                          <w:right w:val="single" w:sz="2" w:space="0" w:color="0000FF"/>
                        </w:tcBorders>
                      </w:tcPr>
                      <w:p w:rsidR="00A70FF9" w:rsidRDefault="00A70FF9">
                        <w:pPr>
                          <w:rPr>
                            <w:sz w:val="2"/>
                            <w:szCs w:val="2"/>
                          </w:rPr>
                        </w:pPr>
                      </w:p>
                    </w:tc>
                    <w:tc>
                      <w:tcPr>
                        <w:tcW w:w="966" w:type="dxa"/>
                        <w:tcBorders>
                          <w:top w:val="single" w:sz="8" w:space="0" w:color="0000FF"/>
                          <w:left w:val="single" w:sz="2" w:space="0" w:color="0000FF"/>
                          <w:right w:val="single" w:sz="8" w:space="0" w:color="0000FF"/>
                        </w:tcBorders>
                      </w:tcPr>
                      <w:p w:rsidR="00A70FF9" w:rsidRDefault="00A70FF9">
                        <w:pPr>
                          <w:pStyle w:val="TableParagraph"/>
                          <w:jc w:val="left"/>
                          <w:rPr>
                            <w:sz w:val="6"/>
                          </w:rPr>
                        </w:pPr>
                      </w:p>
                    </w:tc>
                    <w:tc>
                      <w:tcPr>
                        <w:tcW w:w="182" w:type="dxa"/>
                        <w:tcBorders>
                          <w:top w:val="nil"/>
                          <w:left w:val="single" w:sz="8" w:space="0" w:color="0000FF"/>
                          <w:right w:val="single" w:sz="2" w:space="0" w:color="000000"/>
                        </w:tcBorders>
                      </w:tcPr>
                      <w:p w:rsidR="00A70FF9" w:rsidRDefault="00A70FF9">
                        <w:pPr>
                          <w:pStyle w:val="TableParagraph"/>
                          <w:jc w:val="left"/>
                          <w:rPr>
                            <w:sz w:val="6"/>
                          </w:rPr>
                        </w:pPr>
                      </w:p>
                    </w:tc>
                    <w:tc>
                      <w:tcPr>
                        <w:tcW w:w="4476" w:type="dxa"/>
                        <w:vMerge/>
                        <w:tcBorders>
                          <w:top w:val="nil"/>
                          <w:left w:val="single" w:sz="2" w:space="0" w:color="000000"/>
                        </w:tcBorders>
                      </w:tcPr>
                      <w:p w:rsidR="00A70FF9" w:rsidRDefault="00A70FF9">
                        <w:pPr>
                          <w:rPr>
                            <w:sz w:val="2"/>
                            <w:szCs w:val="2"/>
                          </w:rPr>
                        </w:pPr>
                      </w:p>
                    </w:tc>
                  </w:tr>
                  <w:tr w:rsidR="00A70FF9">
                    <w:trPr>
                      <w:trHeight w:val="244"/>
                    </w:trPr>
                    <w:tc>
                      <w:tcPr>
                        <w:tcW w:w="3624" w:type="dxa"/>
                        <w:gridSpan w:val="2"/>
                        <w:tcBorders>
                          <w:left w:val="nil"/>
                          <w:bottom w:val="nil"/>
                          <w:right w:val="single" w:sz="8" w:space="0" w:color="0000FF"/>
                        </w:tcBorders>
                      </w:tcPr>
                      <w:p w:rsidR="00A70FF9" w:rsidRDefault="00A70FF9">
                        <w:pPr>
                          <w:pStyle w:val="TableParagraph"/>
                          <w:jc w:val="left"/>
                          <w:rPr>
                            <w:sz w:val="16"/>
                          </w:rPr>
                        </w:pPr>
                      </w:p>
                    </w:tc>
                    <w:tc>
                      <w:tcPr>
                        <w:tcW w:w="966" w:type="dxa"/>
                        <w:tcBorders>
                          <w:left w:val="single" w:sz="8" w:space="0" w:color="0000FF"/>
                          <w:bottom w:val="single" w:sz="8" w:space="0" w:color="0000FF"/>
                          <w:right w:val="single" w:sz="8" w:space="0" w:color="0000FF"/>
                        </w:tcBorders>
                      </w:tcPr>
                      <w:p w:rsidR="00A70FF9" w:rsidRDefault="00CB7636">
                        <w:pPr>
                          <w:pStyle w:val="TableParagraph"/>
                          <w:spacing w:before="53" w:line="172" w:lineRule="exact"/>
                          <w:ind w:left="-42" w:right="-29"/>
                          <w:jc w:val="left"/>
                          <w:rPr>
                            <w:sz w:val="20"/>
                          </w:rPr>
                        </w:pPr>
                        <w:r>
                          <w:rPr>
                            <w:sz w:val="20"/>
                          </w:rPr>
                          <w:t>MAF:</w:t>
                        </w:r>
                        <w:r>
                          <w:rPr>
                            <w:spacing w:val="-4"/>
                            <w:sz w:val="20"/>
                          </w:rPr>
                          <w:t xml:space="preserve"> </w:t>
                        </w:r>
                        <w:r>
                          <w:rPr>
                            <w:sz w:val="20"/>
                          </w:rPr>
                          <w:t>cystei</w:t>
                        </w:r>
                      </w:p>
                    </w:tc>
                    <w:tc>
                      <w:tcPr>
                        <w:tcW w:w="4658" w:type="dxa"/>
                        <w:gridSpan w:val="2"/>
                        <w:tcBorders>
                          <w:left w:val="single" w:sz="8" w:space="0" w:color="0000FF"/>
                          <w:bottom w:val="nil"/>
                          <w:right w:val="nil"/>
                        </w:tcBorders>
                      </w:tcPr>
                      <w:p w:rsidR="00A70FF9" w:rsidRDefault="00A70FF9">
                        <w:pPr>
                          <w:pStyle w:val="TableParagraph"/>
                          <w:jc w:val="left"/>
                          <w:rPr>
                            <w:sz w:val="16"/>
                          </w:rPr>
                        </w:pPr>
                      </w:p>
                    </w:tc>
                  </w:tr>
                </w:tbl>
                <w:p w:rsidR="00A70FF9" w:rsidRDefault="00A70FF9">
                  <w:pPr>
                    <w:pStyle w:val="a3"/>
                  </w:pPr>
                </w:p>
              </w:txbxContent>
            </v:textbox>
            <w10:wrap anchorx="page"/>
          </v:shape>
        </w:pict>
      </w:r>
      <w:r w:rsidR="00CB7636">
        <w:rPr>
          <w:sz w:val="20"/>
        </w:rPr>
        <w:t>AST: aspartate</w:t>
      </w:r>
      <w:r w:rsidR="00CB7636">
        <w:rPr>
          <w:spacing w:val="-6"/>
          <w:sz w:val="20"/>
        </w:rPr>
        <w:t xml:space="preserve"> </w:t>
      </w:r>
      <w:r w:rsidR="00CB7636">
        <w:rPr>
          <w:sz w:val="20"/>
        </w:rPr>
        <w:t>aminotransferase;</w:t>
      </w:r>
      <w:r w:rsidR="00CB7636">
        <w:rPr>
          <w:spacing w:val="-4"/>
          <w:sz w:val="20"/>
        </w:rPr>
        <w:t xml:space="preserve"> </w:t>
      </w:r>
      <w:proofErr w:type="spellStart"/>
      <w:r w:rsidR="00CB7636">
        <w:rPr>
          <w:sz w:val="20"/>
        </w:rPr>
        <w:t>cys-mcM</w:t>
      </w:r>
      <w:proofErr w:type="spellEnd"/>
      <w:r w:rsidR="00CB7636">
        <w:rPr>
          <w:sz w:val="20"/>
        </w:rPr>
        <w:tab/>
        <w:t xml:space="preserve">ne </w:t>
      </w:r>
      <w:proofErr w:type="spellStart"/>
      <w:r w:rsidR="00CB7636">
        <w:rPr>
          <w:sz w:val="20"/>
        </w:rPr>
        <w:t>maleimidocaproyl-monomethylauristatin</w:t>
      </w:r>
      <w:proofErr w:type="spellEnd"/>
      <w:r w:rsidR="00CB7636">
        <w:rPr>
          <w:sz w:val="20"/>
        </w:rPr>
        <w:t xml:space="preserve"> F;</w:t>
      </w:r>
      <w:r w:rsidR="00CB7636">
        <w:rPr>
          <w:spacing w:val="-1"/>
          <w:sz w:val="20"/>
        </w:rPr>
        <w:t xml:space="preserve"> </w:t>
      </w:r>
      <w:r w:rsidR="00CB7636">
        <w:rPr>
          <w:sz w:val="20"/>
        </w:rPr>
        <w:t>GLP:</w:t>
      </w:r>
    </w:p>
    <w:p w:rsidR="00A70FF9" w:rsidRDefault="00CB7636">
      <w:pPr>
        <w:ind w:left="232" w:right="1738"/>
        <w:rPr>
          <w:sz w:val="20"/>
        </w:rPr>
      </w:pPr>
      <w:r>
        <w:rPr>
          <w:sz w:val="20"/>
        </w:rPr>
        <w:t xml:space="preserve">Good Laboratory Practice; HNSTD: highest </w:t>
      </w:r>
      <w:proofErr w:type="spellStart"/>
      <w:r>
        <w:rPr>
          <w:sz w:val="20"/>
        </w:rPr>
        <w:t>nonseverely</w:t>
      </w:r>
      <w:proofErr w:type="spellEnd"/>
      <w:r>
        <w:rPr>
          <w:sz w:val="20"/>
        </w:rPr>
        <w:t xml:space="preserve"> toxic dose; MTD: maximum tolerated dose; NOAEL: no-observed-adverse-effect-level; NOEL: no-observed-effect-level.</w:t>
      </w:r>
    </w:p>
    <w:p w:rsidR="00A70FF9" w:rsidRDefault="00CB7636">
      <w:pPr>
        <w:pStyle w:val="3"/>
        <w:numPr>
          <w:ilvl w:val="2"/>
          <w:numId w:val="11"/>
        </w:numPr>
        <w:tabs>
          <w:tab w:val="left" w:pos="1084"/>
          <w:tab w:val="left" w:pos="1085"/>
        </w:tabs>
        <w:spacing w:before="151"/>
      </w:pPr>
      <w:bookmarkStart w:id="12" w:name="4.3.3_Repeat-dose_Toxicity-_AGS-16C3F"/>
      <w:bookmarkStart w:id="13" w:name="_bookmark55"/>
      <w:bookmarkEnd w:id="12"/>
      <w:bookmarkEnd w:id="13"/>
      <w:r>
        <w:t>Repeat-dose Toxicity-</w:t>
      </w:r>
      <w:r>
        <w:rPr>
          <w:spacing w:val="-1"/>
        </w:rPr>
        <w:t xml:space="preserve"> </w:t>
      </w:r>
      <w:r w:rsidR="00D56536">
        <w:t>PROJECT 17-2</w:t>
      </w:r>
    </w:p>
    <w:p w:rsidR="00A70FF9" w:rsidRDefault="00CB7636">
      <w:pPr>
        <w:spacing w:before="144" w:line="261" w:lineRule="auto"/>
        <w:ind w:left="1084" w:right="1709" w:hanging="852"/>
        <w:rPr>
          <w:b/>
          <w:sz w:val="24"/>
        </w:rPr>
      </w:pPr>
      <w:bookmarkStart w:id="14" w:name="4.3.3.1_A_4-Week_Study_Comparing_AGS-16M"/>
      <w:bookmarkStart w:id="15" w:name="_bookmark56"/>
      <w:bookmarkEnd w:id="14"/>
      <w:bookmarkEnd w:id="15"/>
      <w:r>
        <w:rPr>
          <w:b/>
          <w:sz w:val="24"/>
        </w:rPr>
        <w:t xml:space="preserve">4.3.3.1 A 4-Week Study Comparing </w:t>
      </w:r>
      <w:r w:rsidR="00D56536">
        <w:rPr>
          <w:b/>
          <w:sz w:val="24"/>
        </w:rPr>
        <w:t>PROJECT 17-3</w:t>
      </w:r>
      <w:r>
        <w:rPr>
          <w:b/>
          <w:sz w:val="24"/>
        </w:rPr>
        <w:t xml:space="preserve"> and </w:t>
      </w:r>
      <w:r w:rsidR="00D56536">
        <w:rPr>
          <w:b/>
          <w:sz w:val="24"/>
        </w:rPr>
        <w:t>PROJECT 17-2</w:t>
      </w:r>
      <w:r>
        <w:rPr>
          <w:b/>
          <w:sz w:val="24"/>
        </w:rPr>
        <w:t xml:space="preserve"> Administered by Intravenous Infusion in Cynomolgus Monkeys with a 6-Week Recovery Period (Study 20015047)</w:t>
      </w:r>
    </w:p>
    <w:p w:rsidR="00A70FF9" w:rsidRDefault="00CB7636">
      <w:pPr>
        <w:pStyle w:val="a3"/>
        <w:spacing w:before="113" w:line="261" w:lineRule="auto"/>
        <w:ind w:left="232" w:right="1863"/>
      </w:pPr>
      <w:r>
        <w:t xml:space="preserve">The objectives of this study were to determine the potential toxicity and toxicokinetic characteristics of </w:t>
      </w:r>
      <w:r w:rsidR="00D56536">
        <w:t>PROJECT 17-3</w:t>
      </w:r>
      <w:r>
        <w:t xml:space="preserve"> and </w:t>
      </w:r>
      <w:r w:rsidR="00D56536">
        <w:t>PROJECT 17-2</w:t>
      </w:r>
      <w:r>
        <w:t>, when given at a comparable dose by intravenous infusion once weekly for 4 weeks to cynomolgus monkeys, and to evaluate the potential reversibility of any findings after a 6 week recovery period. The study design is shown in [</w:t>
      </w:r>
      <w:hyperlink w:anchor="_bookmark57" w:history="1">
        <w:r>
          <w:t>Table 11</w:t>
        </w:r>
      </w:hyperlink>
      <w:r>
        <w:t>].</w:t>
      </w:r>
    </w:p>
    <w:p w:rsidR="00A70FF9" w:rsidRDefault="00CB7636">
      <w:pPr>
        <w:pStyle w:val="a3"/>
        <w:spacing w:before="116" w:line="261" w:lineRule="auto"/>
        <w:ind w:left="232" w:right="1783"/>
      </w:pPr>
      <w:r>
        <w:t xml:space="preserve">The following parameters and end points were evaluated in this study: clinical signs (mortality/moribundity checks, cage side observations, detailed clinical observations and </w:t>
      </w:r>
      <w:proofErr w:type="spellStart"/>
      <w:r>
        <w:t>postdose</w:t>
      </w:r>
      <w:proofErr w:type="spellEnd"/>
      <w:r>
        <w:t xml:space="preserve"> observations), body weights, food consumption, physical examinations, clinical pathology parameters (hematology, clinical chemistry and urinalysis), bioanalysis and toxicokinetic parameters, antidrug antibody (ADA) analysis, gross necropsy findings, organ weights and histopathologic examinations.</w:t>
      </w:r>
    </w:p>
    <w:p w:rsidR="00A70FF9" w:rsidRDefault="00A70FF9">
      <w:pPr>
        <w:spacing w:line="261" w:lineRule="auto"/>
        <w:sectPr w:rsidR="00A70FF9">
          <w:pgSz w:w="12240" w:h="15840"/>
          <w:pgMar w:top="1240" w:right="0" w:bottom="940" w:left="1380" w:header="580" w:footer="746" w:gutter="0"/>
          <w:cols w:space="720"/>
        </w:sectPr>
      </w:pPr>
    </w:p>
    <w:p w:rsidR="00A70FF9" w:rsidRDefault="00A70FF9">
      <w:pPr>
        <w:pStyle w:val="a3"/>
        <w:rPr>
          <w:sz w:val="20"/>
        </w:rPr>
      </w:pPr>
    </w:p>
    <w:p w:rsidR="00A70FF9" w:rsidRDefault="00CB7636">
      <w:pPr>
        <w:pStyle w:val="3"/>
        <w:tabs>
          <w:tab w:val="left" w:pos="1651"/>
        </w:tabs>
        <w:spacing w:before="206"/>
        <w:ind w:left="1651" w:right="2078" w:hanging="1419"/>
      </w:pPr>
      <w:bookmarkStart w:id="16" w:name="_bookmark57"/>
      <w:bookmarkEnd w:id="16"/>
      <w:r>
        <w:t>Table</w:t>
      </w:r>
      <w:r>
        <w:rPr>
          <w:spacing w:val="-1"/>
        </w:rPr>
        <w:t xml:space="preserve"> </w:t>
      </w:r>
      <w:r>
        <w:t>11</w:t>
      </w:r>
      <w:r>
        <w:tab/>
        <w:t xml:space="preserve">Experimental Design for Monkey Study Comparing </w:t>
      </w:r>
      <w:r w:rsidR="00D56536">
        <w:t>PROJECT 17-3</w:t>
      </w:r>
      <w:r>
        <w:t xml:space="preserve"> and </w:t>
      </w:r>
      <w:r w:rsidR="00D56536">
        <w:t>PROJECT 17-2</w:t>
      </w:r>
      <w:r>
        <w:t xml:space="preserve"> (CRL Study</w:t>
      </w:r>
      <w:r>
        <w:rPr>
          <w:spacing w:val="-1"/>
        </w:rPr>
        <w:t xml:space="preserve"> </w:t>
      </w:r>
      <w:r>
        <w:t>20015047)</w:t>
      </w:r>
    </w:p>
    <w:p w:rsidR="00A70FF9" w:rsidRDefault="00A70FF9">
      <w:pPr>
        <w:pStyle w:val="a3"/>
        <w:spacing w:before="5"/>
        <w:rPr>
          <w:b/>
          <w:sz w:val="5"/>
        </w:rPr>
      </w:pPr>
    </w:p>
    <w:tbl>
      <w:tblPr>
        <w:tblStyle w:val="TableNormal"/>
        <w:tblW w:w="0" w:type="auto"/>
        <w:tblInd w:w="19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842"/>
        <w:gridCol w:w="600"/>
        <w:gridCol w:w="770"/>
        <w:gridCol w:w="600"/>
        <w:gridCol w:w="770"/>
        <w:gridCol w:w="1221"/>
        <w:gridCol w:w="1365"/>
        <w:gridCol w:w="1447"/>
        <w:gridCol w:w="1485"/>
      </w:tblGrid>
      <w:tr w:rsidR="00A70FF9">
        <w:trPr>
          <w:trHeight w:val="309"/>
        </w:trPr>
        <w:tc>
          <w:tcPr>
            <w:tcW w:w="842" w:type="dxa"/>
            <w:vMerge w:val="restart"/>
            <w:tcBorders>
              <w:bottom w:val="single" w:sz="2" w:space="0" w:color="000000"/>
              <w:right w:val="single" w:sz="2" w:space="0" w:color="000000"/>
            </w:tcBorders>
          </w:tcPr>
          <w:p w:rsidR="00A70FF9" w:rsidRDefault="00A70FF9">
            <w:pPr>
              <w:pStyle w:val="TableParagraph"/>
              <w:spacing w:before="7"/>
              <w:jc w:val="left"/>
              <w:rPr>
                <w:b/>
                <w:sz w:val="20"/>
              </w:rPr>
            </w:pPr>
          </w:p>
          <w:p w:rsidR="00A70FF9" w:rsidRDefault="00CB7636">
            <w:pPr>
              <w:pStyle w:val="TableParagraph"/>
              <w:spacing w:before="1"/>
              <w:ind w:left="273" w:hanging="135"/>
              <w:jc w:val="left"/>
              <w:rPr>
                <w:b/>
                <w:sz w:val="20"/>
              </w:rPr>
            </w:pPr>
            <w:r>
              <w:rPr>
                <w:b/>
                <w:w w:val="95"/>
                <w:sz w:val="20"/>
              </w:rPr>
              <w:t xml:space="preserve">Group </w:t>
            </w:r>
            <w:r>
              <w:rPr>
                <w:b/>
                <w:sz w:val="20"/>
              </w:rPr>
              <w:t>No.</w:t>
            </w:r>
          </w:p>
        </w:tc>
        <w:tc>
          <w:tcPr>
            <w:tcW w:w="2740" w:type="dxa"/>
            <w:gridSpan w:val="4"/>
            <w:tcBorders>
              <w:left w:val="single" w:sz="2" w:space="0" w:color="000000"/>
              <w:bottom w:val="single" w:sz="2" w:space="0" w:color="000000"/>
              <w:right w:val="single" w:sz="2" w:space="0" w:color="000000"/>
            </w:tcBorders>
          </w:tcPr>
          <w:p w:rsidR="00A70FF9" w:rsidRDefault="00CB7636">
            <w:pPr>
              <w:pStyle w:val="TableParagraph"/>
              <w:spacing w:before="38"/>
              <w:ind w:left="686"/>
              <w:jc w:val="left"/>
              <w:rPr>
                <w:b/>
                <w:sz w:val="20"/>
              </w:rPr>
            </w:pPr>
            <w:r>
              <w:rPr>
                <w:b/>
                <w:sz w:val="20"/>
              </w:rPr>
              <w:t>No. of Animals†</w:t>
            </w:r>
          </w:p>
        </w:tc>
        <w:tc>
          <w:tcPr>
            <w:tcW w:w="1221" w:type="dxa"/>
            <w:vMerge w:val="restart"/>
            <w:tcBorders>
              <w:left w:val="single" w:sz="2" w:space="0" w:color="000000"/>
              <w:bottom w:val="single" w:sz="2" w:space="0" w:color="000000"/>
              <w:right w:val="single" w:sz="2" w:space="0" w:color="000000"/>
            </w:tcBorders>
          </w:tcPr>
          <w:p w:rsidR="00A70FF9" w:rsidRDefault="00A70FF9">
            <w:pPr>
              <w:pStyle w:val="TableParagraph"/>
              <w:spacing w:before="7"/>
              <w:jc w:val="left"/>
              <w:rPr>
                <w:b/>
                <w:sz w:val="20"/>
              </w:rPr>
            </w:pPr>
          </w:p>
          <w:p w:rsidR="00A70FF9" w:rsidRDefault="00CB7636">
            <w:pPr>
              <w:pStyle w:val="TableParagraph"/>
              <w:spacing w:before="1"/>
              <w:ind w:left="243" w:right="208" w:firstLine="189"/>
              <w:jc w:val="left"/>
              <w:rPr>
                <w:b/>
                <w:sz w:val="20"/>
              </w:rPr>
            </w:pPr>
            <w:r>
              <w:rPr>
                <w:b/>
                <w:sz w:val="20"/>
              </w:rPr>
              <w:t>Test Material</w:t>
            </w:r>
          </w:p>
        </w:tc>
        <w:tc>
          <w:tcPr>
            <w:tcW w:w="1365" w:type="dxa"/>
            <w:vMerge w:val="restart"/>
            <w:tcBorders>
              <w:left w:val="single" w:sz="2" w:space="0" w:color="000000"/>
              <w:bottom w:val="single" w:sz="2" w:space="0" w:color="000000"/>
              <w:right w:val="single" w:sz="2" w:space="0" w:color="000000"/>
            </w:tcBorders>
          </w:tcPr>
          <w:p w:rsidR="00A70FF9" w:rsidRDefault="00CB7636">
            <w:pPr>
              <w:pStyle w:val="TableParagraph"/>
              <w:spacing w:before="103" w:line="280" w:lineRule="auto"/>
              <w:ind w:left="479" w:right="413" w:hanging="51"/>
              <w:rPr>
                <w:b/>
                <w:sz w:val="20"/>
              </w:rPr>
            </w:pPr>
            <w:r>
              <w:rPr>
                <w:b/>
                <w:sz w:val="20"/>
              </w:rPr>
              <w:t xml:space="preserve">Dose </w:t>
            </w:r>
            <w:r>
              <w:rPr>
                <w:b/>
                <w:w w:val="95"/>
                <w:sz w:val="20"/>
              </w:rPr>
              <w:t>Level</w:t>
            </w:r>
          </w:p>
          <w:p w:rsidR="00A70FF9" w:rsidRDefault="00CB7636">
            <w:pPr>
              <w:pStyle w:val="TableParagraph"/>
              <w:spacing w:line="191" w:lineRule="exact"/>
              <w:ind w:left="88" w:right="75"/>
              <w:rPr>
                <w:b/>
                <w:sz w:val="20"/>
              </w:rPr>
            </w:pPr>
            <w:r>
              <w:rPr>
                <w:b/>
                <w:sz w:val="20"/>
              </w:rPr>
              <w:t>(mg/kg/week)</w:t>
            </w:r>
          </w:p>
        </w:tc>
        <w:tc>
          <w:tcPr>
            <w:tcW w:w="1447" w:type="dxa"/>
            <w:vMerge w:val="restart"/>
            <w:tcBorders>
              <w:left w:val="single" w:sz="2" w:space="0" w:color="000000"/>
              <w:bottom w:val="single" w:sz="2" w:space="0" w:color="000000"/>
              <w:right w:val="single" w:sz="2" w:space="0" w:color="000000"/>
            </w:tcBorders>
          </w:tcPr>
          <w:p w:rsidR="00A70FF9" w:rsidRDefault="00CB7636">
            <w:pPr>
              <w:pStyle w:val="TableParagraph"/>
              <w:spacing w:before="103" w:line="261" w:lineRule="auto"/>
              <w:ind w:left="112" w:right="93" w:hanging="3"/>
              <w:rPr>
                <w:b/>
                <w:sz w:val="20"/>
              </w:rPr>
            </w:pPr>
            <w:r>
              <w:rPr>
                <w:b/>
                <w:sz w:val="20"/>
              </w:rPr>
              <w:t xml:space="preserve">Dose </w:t>
            </w:r>
            <w:r>
              <w:rPr>
                <w:b/>
                <w:w w:val="95"/>
                <w:sz w:val="20"/>
              </w:rPr>
              <w:t xml:space="preserve">Concentration </w:t>
            </w:r>
            <w:r>
              <w:rPr>
                <w:b/>
                <w:sz w:val="20"/>
              </w:rPr>
              <w:t>(mg/mL)</w:t>
            </w:r>
          </w:p>
        </w:tc>
        <w:tc>
          <w:tcPr>
            <w:tcW w:w="1485" w:type="dxa"/>
            <w:vMerge w:val="restart"/>
            <w:tcBorders>
              <w:left w:val="single" w:sz="2" w:space="0" w:color="000000"/>
              <w:bottom w:val="single" w:sz="2" w:space="0" w:color="000000"/>
            </w:tcBorders>
          </w:tcPr>
          <w:p w:rsidR="00A70FF9" w:rsidRDefault="00A70FF9">
            <w:pPr>
              <w:pStyle w:val="TableParagraph"/>
              <w:jc w:val="left"/>
              <w:rPr>
                <w:b/>
                <w:sz w:val="19"/>
              </w:rPr>
            </w:pPr>
          </w:p>
          <w:p w:rsidR="00A70FF9" w:rsidRDefault="00CB7636">
            <w:pPr>
              <w:pStyle w:val="TableParagraph"/>
              <w:spacing w:line="280" w:lineRule="auto"/>
              <w:ind w:left="153" w:firstLine="31"/>
              <w:jc w:val="left"/>
              <w:rPr>
                <w:b/>
                <w:sz w:val="20"/>
              </w:rPr>
            </w:pPr>
            <w:r>
              <w:rPr>
                <w:b/>
                <w:sz w:val="20"/>
              </w:rPr>
              <w:t xml:space="preserve">Dose Volume </w:t>
            </w:r>
            <w:r>
              <w:rPr>
                <w:b/>
                <w:w w:val="95"/>
                <w:sz w:val="20"/>
              </w:rPr>
              <w:t>(mL/kg/week)</w:t>
            </w:r>
          </w:p>
        </w:tc>
      </w:tr>
      <w:tr w:rsidR="00A70FF9">
        <w:trPr>
          <w:trHeight w:val="311"/>
        </w:trPr>
        <w:tc>
          <w:tcPr>
            <w:tcW w:w="842" w:type="dxa"/>
            <w:vMerge/>
            <w:tcBorders>
              <w:top w:val="nil"/>
              <w:bottom w:val="single" w:sz="2" w:space="0" w:color="000000"/>
              <w:right w:val="single" w:sz="2" w:space="0" w:color="000000"/>
            </w:tcBorders>
          </w:tcPr>
          <w:p w:rsidR="00A70FF9" w:rsidRDefault="00A70FF9">
            <w:pPr>
              <w:rPr>
                <w:sz w:val="2"/>
                <w:szCs w:val="2"/>
              </w:rPr>
            </w:pPr>
          </w:p>
        </w:tc>
        <w:tc>
          <w:tcPr>
            <w:tcW w:w="1370" w:type="dxa"/>
            <w:gridSpan w:val="2"/>
            <w:tcBorders>
              <w:top w:val="single" w:sz="2" w:space="0" w:color="000000"/>
              <w:left w:val="single" w:sz="2" w:space="0" w:color="000000"/>
              <w:bottom w:val="single" w:sz="2" w:space="0" w:color="000000"/>
              <w:right w:val="single" w:sz="2" w:space="0" w:color="000000"/>
            </w:tcBorders>
          </w:tcPr>
          <w:p w:rsidR="00A70FF9" w:rsidRDefault="00CB7636">
            <w:pPr>
              <w:pStyle w:val="TableParagraph"/>
              <w:spacing w:before="38"/>
              <w:ind w:left="185"/>
              <w:jc w:val="left"/>
              <w:rPr>
                <w:b/>
                <w:sz w:val="20"/>
              </w:rPr>
            </w:pPr>
            <w:r>
              <w:rPr>
                <w:b/>
                <w:sz w:val="20"/>
              </w:rPr>
              <w:t>Main Study</w:t>
            </w:r>
          </w:p>
        </w:tc>
        <w:tc>
          <w:tcPr>
            <w:tcW w:w="1370" w:type="dxa"/>
            <w:gridSpan w:val="2"/>
            <w:tcBorders>
              <w:top w:val="single" w:sz="2" w:space="0" w:color="000000"/>
              <w:left w:val="single" w:sz="2" w:space="0" w:color="000000"/>
              <w:bottom w:val="single" w:sz="2" w:space="0" w:color="000000"/>
              <w:right w:val="single" w:sz="2" w:space="0" w:color="000000"/>
            </w:tcBorders>
          </w:tcPr>
          <w:p w:rsidR="00A70FF9" w:rsidRDefault="00CB7636">
            <w:pPr>
              <w:pStyle w:val="TableParagraph"/>
              <w:spacing w:before="38"/>
              <w:ind w:left="288"/>
              <w:jc w:val="left"/>
              <w:rPr>
                <w:b/>
                <w:sz w:val="20"/>
              </w:rPr>
            </w:pPr>
            <w:r>
              <w:rPr>
                <w:b/>
                <w:sz w:val="20"/>
              </w:rPr>
              <w:t>Recovery</w:t>
            </w:r>
          </w:p>
        </w:tc>
        <w:tc>
          <w:tcPr>
            <w:tcW w:w="1221" w:type="dxa"/>
            <w:vMerge/>
            <w:tcBorders>
              <w:top w:val="nil"/>
              <w:left w:val="single" w:sz="2" w:space="0" w:color="000000"/>
              <w:bottom w:val="single" w:sz="2" w:space="0" w:color="000000"/>
              <w:right w:val="single" w:sz="2" w:space="0" w:color="000000"/>
            </w:tcBorders>
          </w:tcPr>
          <w:p w:rsidR="00A70FF9" w:rsidRDefault="00A70FF9">
            <w:pPr>
              <w:rPr>
                <w:sz w:val="2"/>
                <w:szCs w:val="2"/>
              </w:rPr>
            </w:pPr>
          </w:p>
        </w:tc>
        <w:tc>
          <w:tcPr>
            <w:tcW w:w="1365" w:type="dxa"/>
            <w:vMerge/>
            <w:tcBorders>
              <w:top w:val="nil"/>
              <w:left w:val="single" w:sz="2" w:space="0" w:color="000000"/>
              <w:bottom w:val="single" w:sz="2" w:space="0" w:color="000000"/>
              <w:right w:val="single" w:sz="2" w:space="0" w:color="000000"/>
            </w:tcBorders>
          </w:tcPr>
          <w:p w:rsidR="00A70FF9" w:rsidRDefault="00A70FF9">
            <w:pPr>
              <w:rPr>
                <w:sz w:val="2"/>
                <w:szCs w:val="2"/>
              </w:rPr>
            </w:pPr>
          </w:p>
        </w:tc>
        <w:tc>
          <w:tcPr>
            <w:tcW w:w="1447" w:type="dxa"/>
            <w:vMerge/>
            <w:tcBorders>
              <w:top w:val="nil"/>
              <w:left w:val="single" w:sz="2" w:space="0" w:color="000000"/>
              <w:bottom w:val="single" w:sz="2" w:space="0" w:color="000000"/>
              <w:right w:val="single" w:sz="2" w:space="0" w:color="000000"/>
            </w:tcBorders>
          </w:tcPr>
          <w:p w:rsidR="00A70FF9" w:rsidRDefault="00A70FF9">
            <w:pPr>
              <w:rPr>
                <w:sz w:val="2"/>
                <w:szCs w:val="2"/>
              </w:rPr>
            </w:pPr>
          </w:p>
        </w:tc>
        <w:tc>
          <w:tcPr>
            <w:tcW w:w="1485" w:type="dxa"/>
            <w:vMerge/>
            <w:tcBorders>
              <w:top w:val="nil"/>
              <w:left w:val="single" w:sz="2" w:space="0" w:color="000000"/>
              <w:bottom w:val="single" w:sz="2" w:space="0" w:color="000000"/>
            </w:tcBorders>
          </w:tcPr>
          <w:p w:rsidR="00A70FF9" w:rsidRDefault="00A70FF9">
            <w:pPr>
              <w:rPr>
                <w:sz w:val="2"/>
                <w:szCs w:val="2"/>
              </w:rPr>
            </w:pPr>
          </w:p>
        </w:tc>
      </w:tr>
      <w:tr w:rsidR="00A70FF9">
        <w:trPr>
          <w:trHeight w:val="309"/>
        </w:trPr>
        <w:tc>
          <w:tcPr>
            <w:tcW w:w="842" w:type="dxa"/>
            <w:vMerge/>
            <w:tcBorders>
              <w:top w:val="nil"/>
              <w:bottom w:val="single" w:sz="2" w:space="0" w:color="000000"/>
              <w:right w:val="single" w:sz="2" w:space="0" w:color="000000"/>
            </w:tcBorders>
          </w:tcPr>
          <w:p w:rsidR="00A70FF9" w:rsidRDefault="00A70FF9">
            <w:pPr>
              <w:rPr>
                <w:sz w:val="2"/>
                <w:szCs w:val="2"/>
              </w:rPr>
            </w:pPr>
          </w:p>
        </w:tc>
        <w:tc>
          <w:tcPr>
            <w:tcW w:w="600" w:type="dxa"/>
            <w:tcBorders>
              <w:top w:val="single" w:sz="2" w:space="0" w:color="000000"/>
              <w:left w:val="single" w:sz="2" w:space="0" w:color="000000"/>
              <w:bottom w:val="single" w:sz="2" w:space="0" w:color="000000"/>
              <w:right w:val="single" w:sz="2" w:space="0" w:color="000000"/>
            </w:tcBorders>
          </w:tcPr>
          <w:p w:rsidR="00A70FF9" w:rsidRDefault="00CB7636">
            <w:pPr>
              <w:pStyle w:val="TableParagraph"/>
              <w:spacing w:before="38"/>
              <w:ind w:left="66" w:right="53"/>
              <w:rPr>
                <w:b/>
                <w:sz w:val="20"/>
              </w:rPr>
            </w:pPr>
            <w:r>
              <w:rPr>
                <w:b/>
                <w:sz w:val="20"/>
              </w:rPr>
              <w:t>Male</w:t>
            </w:r>
          </w:p>
        </w:tc>
        <w:tc>
          <w:tcPr>
            <w:tcW w:w="770" w:type="dxa"/>
            <w:tcBorders>
              <w:top w:val="single" w:sz="2" w:space="0" w:color="000000"/>
              <w:left w:val="single" w:sz="2" w:space="0" w:color="000000"/>
              <w:bottom w:val="single" w:sz="2" w:space="0" w:color="000000"/>
              <w:right w:val="single" w:sz="2" w:space="0" w:color="000000"/>
            </w:tcBorders>
          </w:tcPr>
          <w:p w:rsidR="00A70FF9" w:rsidRDefault="00CB7636">
            <w:pPr>
              <w:pStyle w:val="TableParagraph"/>
              <w:spacing w:before="38"/>
              <w:ind w:left="57" w:right="44"/>
              <w:rPr>
                <w:b/>
                <w:sz w:val="20"/>
              </w:rPr>
            </w:pPr>
            <w:r>
              <w:rPr>
                <w:b/>
                <w:sz w:val="20"/>
              </w:rPr>
              <w:t>Female</w:t>
            </w:r>
          </w:p>
        </w:tc>
        <w:tc>
          <w:tcPr>
            <w:tcW w:w="600" w:type="dxa"/>
            <w:tcBorders>
              <w:top w:val="single" w:sz="2" w:space="0" w:color="000000"/>
              <w:left w:val="single" w:sz="2" w:space="0" w:color="000000"/>
              <w:bottom w:val="single" w:sz="2" w:space="0" w:color="000000"/>
              <w:right w:val="single" w:sz="2" w:space="0" w:color="000000"/>
            </w:tcBorders>
          </w:tcPr>
          <w:p w:rsidR="00A70FF9" w:rsidRDefault="00CB7636">
            <w:pPr>
              <w:pStyle w:val="TableParagraph"/>
              <w:spacing w:before="38"/>
              <w:ind w:left="67" w:right="53"/>
              <w:rPr>
                <w:b/>
                <w:sz w:val="20"/>
              </w:rPr>
            </w:pPr>
            <w:r>
              <w:rPr>
                <w:b/>
                <w:sz w:val="20"/>
              </w:rPr>
              <w:t>Male</w:t>
            </w:r>
          </w:p>
        </w:tc>
        <w:tc>
          <w:tcPr>
            <w:tcW w:w="770" w:type="dxa"/>
            <w:tcBorders>
              <w:top w:val="single" w:sz="2" w:space="0" w:color="000000"/>
              <w:left w:val="single" w:sz="2" w:space="0" w:color="000000"/>
              <w:bottom w:val="single" w:sz="2" w:space="0" w:color="000000"/>
              <w:right w:val="single" w:sz="2" w:space="0" w:color="000000"/>
            </w:tcBorders>
          </w:tcPr>
          <w:p w:rsidR="00A70FF9" w:rsidRDefault="00CB7636">
            <w:pPr>
              <w:pStyle w:val="TableParagraph"/>
              <w:spacing w:before="38"/>
              <w:ind w:left="58" w:right="44"/>
              <w:rPr>
                <w:b/>
                <w:sz w:val="20"/>
              </w:rPr>
            </w:pPr>
            <w:r>
              <w:rPr>
                <w:b/>
                <w:sz w:val="20"/>
              </w:rPr>
              <w:t>Female</w:t>
            </w:r>
          </w:p>
        </w:tc>
        <w:tc>
          <w:tcPr>
            <w:tcW w:w="1221" w:type="dxa"/>
            <w:vMerge/>
            <w:tcBorders>
              <w:top w:val="nil"/>
              <w:left w:val="single" w:sz="2" w:space="0" w:color="000000"/>
              <w:bottom w:val="single" w:sz="2" w:space="0" w:color="000000"/>
              <w:right w:val="single" w:sz="2" w:space="0" w:color="000000"/>
            </w:tcBorders>
          </w:tcPr>
          <w:p w:rsidR="00A70FF9" w:rsidRDefault="00A70FF9">
            <w:pPr>
              <w:rPr>
                <w:sz w:val="2"/>
                <w:szCs w:val="2"/>
              </w:rPr>
            </w:pPr>
          </w:p>
        </w:tc>
        <w:tc>
          <w:tcPr>
            <w:tcW w:w="1365" w:type="dxa"/>
            <w:vMerge/>
            <w:tcBorders>
              <w:top w:val="nil"/>
              <w:left w:val="single" w:sz="2" w:space="0" w:color="000000"/>
              <w:bottom w:val="single" w:sz="2" w:space="0" w:color="000000"/>
              <w:right w:val="single" w:sz="2" w:space="0" w:color="000000"/>
            </w:tcBorders>
          </w:tcPr>
          <w:p w:rsidR="00A70FF9" w:rsidRDefault="00A70FF9">
            <w:pPr>
              <w:rPr>
                <w:sz w:val="2"/>
                <w:szCs w:val="2"/>
              </w:rPr>
            </w:pPr>
          </w:p>
        </w:tc>
        <w:tc>
          <w:tcPr>
            <w:tcW w:w="1447" w:type="dxa"/>
            <w:vMerge/>
            <w:tcBorders>
              <w:top w:val="nil"/>
              <w:left w:val="single" w:sz="2" w:space="0" w:color="000000"/>
              <w:bottom w:val="single" w:sz="2" w:space="0" w:color="000000"/>
              <w:right w:val="single" w:sz="2" w:space="0" w:color="000000"/>
            </w:tcBorders>
          </w:tcPr>
          <w:p w:rsidR="00A70FF9" w:rsidRDefault="00A70FF9">
            <w:pPr>
              <w:rPr>
                <w:sz w:val="2"/>
                <w:szCs w:val="2"/>
              </w:rPr>
            </w:pPr>
          </w:p>
        </w:tc>
        <w:tc>
          <w:tcPr>
            <w:tcW w:w="1485" w:type="dxa"/>
            <w:vMerge/>
            <w:tcBorders>
              <w:top w:val="nil"/>
              <w:left w:val="single" w:sz="2" w:space="0" w:color="000000"/>
              <w:bottom w:val="single" w:sz="2" w:space="0" w:color="000000"/>
            </w:tcBorders>
          </w:tcPr>
          <w:p w:rsidR="00A70FF9" w:rsidRDefault="00A70FF9">
            <w:pPr>
              <w:rPr>
                <w:sz w:val="2"/>
                <w:szCs w:val="2"/>
              </w:rPr>
            </w:pPr>
          </w:p>
        </w:tc>
      </w:tr>
      <w:tr w:rsidR="00A70FF9">
        <w:trPr>
          <w:trHeight w:val="309"/>
        </w:trPr>
        <w:tc>
          <w:tcPr>
            <w:tcW w:w="842" w:type="dxa"/>
            <w:tcBorders>
              <w:top w:val="single" w:sz="2" w:space="0" w:color="000000"/>
              <w:bottom w:val="single" w:sz="2" w:space="0" w:color="000000"/>
              <w:right w:val="single" w:sz="2" w:space="0" w:color="000000"/>
            </w:tcBorders>
          </w:tcPr>
          <w:p w:rsidR="00A70FF9" w:rsidRDefault="00CB7636">
            <w:pPr>
              <w:pStyle w:val="TableParagraph"/>
              <w:spacing w:before="34"/>
              <w:ind w:left="369"/>
              <w:jc w:val="left"/>
              <w:rPr>
                <w:sz w:val="20"/>
              </w:rPr>
            </w:pPr>
            <w:r>
              <w:rPr>
                <w:w w:val="99"/>
                <w:sz w:val="20"/>
              </w:rPr>
              <w:t>1</w:t>
            </w:r>
          </w:p>
        </w:tc>
        <w:tc>
          <w:tcPr>
            <w:tcW w:w="600" w:type="dxa"/>
            <w:tcBorders>
              <w:top w:val="single" w:sz="2" w:space="0" w:color="000000"/>
              <w:left w:val="single" w:sz="2" w:space="0" w:color="000000"/>
              <w:bottom w:val="single" w:sz="2" w:space="0" w:color="000000"/>
              <w:right w:val="single" w:sz="2" w:space="0" w:color="000000"/>
            </w:tcBorders>
          </w:tcPr>
          <w:p w:rsidR="00A70FF9" w:rsidRDefault="00CB7636">
            <w:pPr>
              <w:pStyle w:val="TableParagraph"/>
              <w:spacing w:before="34"/>
              <w:ind w:left="9"/>
              <w:rPr>
                <w:sz w:val="20"/>
              </w:rPr>
            </w:pPr>
            <w:r>
              <w:rPr>
                <w:w w:val="99"/>
                <w:sz w:val="20"/>
              </w:rPr>
              <w:t>2</w:t>
            </w:r>
          </w:p>
        </w:tc>
        <w:tc>
          <w:tcPr>
            <w:tcW w:w="770" w:type="dxa"/>
            <w:tcBorders>
              <w:top w:val="single" w:sz="2" w:space="0" w:color="000000"/>
              <w:left w:val="single" w:sz="2" w:space="0" w:color="000000"/>
              <w:bottom w:val="single" w:sz="2" w:space="0" w:color="000000"/>
              <w:right w:val="single" w:sz="2" w:space="0" w:color="000000"/>
            </w:tcBorders>
          </w:tcPr>
          <w:p w:rsidR="00A70FF9" w:rsidRDefault="00CB7636">
            <w:pPr>
              <w:pStyle w:val="TableParagraph"/>
              <w:spacing w:before="34"/>
              <w:ind w:left="12"/>
              <w:rPr>
                <w:sz w:val="20"/>
              </w:rPr>
            </w:pPr>
            <w:r>
              <w:rPr>
                <w:w w:val="99"/>
                <w:sz w:val="20"/>
              </w:rPr>
              <w:t>2</w:t>
            </w:r>
          </w:p>
        </w:tc>
        <w:tc>
          <w:tcPr>
            <w:tcW w:w="600" w:type="dxa"/>
            <w:tcBorders>
              <w:top w:val="single" w:sz="2" w:space="0" w:color="000000"/>
              <w:left w:val="single" w:sz="2" w:space="0" w:color="000000"/>
              <w:bottom w:val="single" w:sz="2" w:space="0" w:color="000000"/>
              <w:right w:val="single" w:sz="2" w:space="0" w:color="000000"/>
            </w:tcBorders>
          </w:tcPr>
          <w:p w:rsidR="00A70FF9" w:rsidRDefault="00CB7636">
            <w:pPr>
              <w:pStyle w:val="TableParagraph"/>
              <w:spacing w:before="34"/>
              <w:ind w:left="64" w:right="53"/>
              <w:rPr>
                <w:sz w:val="20"/>
              </w:rPr>
            </w:pPr>
            <w:r>
              <w:rPr>
                <w:sz w:val="20"/>
              </w:rPr>
              <w:t>NA</w:t>
            </w:r>
          </w:p>
        </w:tc>
        <w:tc>
          <w:tcPr>
            <w:tcW w:w="770" w:type="dxa"/>
            <w:tcBorders>
              <w:top w:val="single" w:sz="2" w:space="0" w:color="000000"/>
              <w:left w:val="single" w:sz="2" w:space="0" w:color="000000"/>
              <w:bottom w:val="single" w:sz="2" w:space="0" w:color="000000"/>
              <w:right w:val="single" w:sz="2" w:space="0" w:color="000000"/>
            </w:tcBorders>
          </w:tcPr>
          <w:p w:rsidR="00A70FF9" w:rsidRDefault="00CB7636">
            <w:pPr>
              <w:pStyle w:val="TableParagraph"/>
              <w:spacing w:before="34"/>
              <w:ind w:left="57" w:right="44"/>
              <w:rPr>
                <w:sz w:val="20"/>
              </w:rPr>
            </w:pPr>
            <w:r>
              <w:rPr>
                <w:sz w:val="20"/>
              </w:rPr>
              <w:t>NA</w:t>
            </w:r>
          </w:p>
        </w:tc>
        <w:tc>
          <w:tcPr>
            <w:tcW w:w="1221" w:type="dxa"/>
            <w:tcBorders>
              <w:top w:val="single" w:sz="2" w:space="0" w:color="000000"/>
              <w:left w:val="single" w:sz="2" w:space="0" w:color="000000"/>
              <w:bottom w:val="single" w:sz="2" w:space="0" w:color="000000"/>
              <w:right w:val="single" w:sz="2" w:space="0" w:color="000000"/>
            </w:tcBorders>
          </w:tcPr>
          <w:p w:rsidR="00A70FF9" w:rsidRDefault="00CB7636">
            <w:pPr>
              <w:pStyle w:val="TableParagraph"/>
              <w:spacing w:before="34"/>
              <w:ind w:left="66" w:right="52"/>
              <w:rPr>
                <w:sz w:val="20"/>
              </w:rPr>
            </w:pPr>
            <w:r>
              <w:rPr>
                <w:sz w:val="20"/>
              </w:rPr>
              <w:t>Control</w:t>
            </w:r>
          </w:p>
        </w:tc>
        <w:tc>
          <w:tcPr>
            <w:tcW w:w="1365" w:type="dxa"/>
            <w:tcBorders>
              <w:top w:val="single" w:sz="2" w:space="0" w:color="000000"/>
              <w:left w:val="single" w:sz="2" w:space="0" w:color="000000"/>
              <w:bottom w:val="single" w:sz="2" w:space="0" w:color="000000"/>
              <w:right w:val="single" w:sz="2" w:space="0" w:color="000000"/>
            </w:tcBorders>
          </w:tcPr>
          <w:p w:rsidR="00A70FF9" w:rsidRDefault="00CB7636">
            <w:pPr>
              <w:pStyle w:val="TableParagraph"/>
              <w:spacing w:before="34"/>
              <w:ind w:left="15"/>
              <w:rPr>
                <w:sz w:val="20"/>
              </w:rPr>
            </w:pPr>
            <w:r>
              <w:rPr>
                <w:w w:val="99"/>
                <w:sz w:val="20"/>
              </w:rPr>
              <w:t>0</w:t>
            </w:r>
          </w:p>
        </w:tc>
        <w:tc>
          <w:tcPr>
            <w:tcW w:w="1447" w:type="dxa"/>
            <w:tcBorders>
              <w:top w:val="single" w:sz="2" w:space="0" w:color="000000"/>
              <w:left w:val="single" w:sz="2" w:space="0" w:color="000000"/>
              <w:bottom w:val="single" w:sz="2" w:space="0" w:color="000000"/>
              <w:right w:val="single" w:sz="2" w:space="0" w:color="000000"/>
            </w:tcBorders>
          </w:tcPr>
          <w:p w:rsidR="00A70FF9" w:rsidRDefault="00CB7636">
            <w:pPr>
              <w:pStyle w:val="TableParagraph"/>
              <w:spacing w:before="34"/>
              <w:ind w:left="15"/>
              <w:rPr>
                <w:sz w:val="20"/>
              </w:rPr>
            </w:pPr>
            <w:r>
              <w:rPr>
                <w:w w:val="99"/>
                <w:sz w:val="20"/>
              </w:rPr>
              <w:t>0</w:t>
            </w:r>
          </w:p>
        </w:tc>
        <w:tc>
          <w:tcPr>
            <w:tcW w:w="1485" w:type="dxa"/>
            <w:tcBorders>
              <w:top w:val="single" w:sz="2" w:space="0" w:color="000000"/>
              <w:left w:val="single" w:sz="2" w:space="0" w:color="000000"/>
              <w:bottom w:val="single" w:sz="2" w:space="0" w:color="000000"/>
            </w:tcBorders>
          </w:tcPr>
          <w:p w:rsidR="00A70FF9" w:rsidRDefault="00CB7636">
            <w:pPr>
              <w:pStyle w:val="TableParagraph"/>
              <w:spacing w:before="34"/>
              <w:ind w:left="21"/>
              <w:rPr>
                <w:sz w:val="20"/>
              </w:rPr>
            </w:pPr>
            <w:r>
              <w:rPr>
                <w:w w:val="99"/>
                <w:sz w:val="20"/>
              </w:rPr>
              <w:t>5</w:t>
            </w:r>
          </w:p>
        </w:tc>
      </w:tr>
      <w:tr w:rsidR="00A70FF9">
        <w:trPr>
          <w:trHeight w:val="309"/>
        </w:trPr>
        <w:tc>
          <w:tcPr>
            <w:tcW w:w="842" w:type="dxa"/>
            <w:tcBorders>
              <w:top w:val="single" w:sz="2" w:space="0" w:color="000000"/>
              <w:bottom w:val="single" w:sz="2" w:space="0" w:color="000000"/>
              <w:right w:val="single" w:sz="2" w:space="0" w:color="000000"/>
            </w:tcBorders>
          </w:tcPr>
          <w:p w:rsidR="00A70FF9" w:rsidRDefault="00CB7636">
            <w:pPr>
              <w:pStyle w:val="TableParagraph"/>
              <w:spacing w:before="34"/>
              <w:ind w:left="369"/>
              <w:jc w:val="left"/>
              <w:rPr>
                <w:sz w:val="20"/>
              </w:rPr>
            </w:pPr>
            <w:r>
              <w:rPr>
                <w:w w:val="99"/>
                <w:sz w:val="20"/>
              </w:rPr>
              <w:t>2</w:t>
            </w:r>
          </w:p>
        </w:tc>
        <w:tc>
          <w:tcPr>
            <w:tcW w:w="600" w:type="dxa"/>
            <w:tcBorders>
              <w:top w:val="single" w:sz="2" w:space="0" w:color="000000"/>
              <w:left w:val="single" w:sz="2" w:space="0" w:color="000000"/>
              <w:bottom w:val="single" w:sz="2" w:space="0" w:color="000000"/>
              <w:right w:val="single" w:sz="2" w:space="0" w:color="000000"/>
            </w:tcBorders>
          </w:tcPr>
          <w:p w:rsidR="00A70FF9" w:rsidRDefault="00CB7636">
            <w:pPr>
              <w:pStyle w:val="TableParagraph"/>
              <w:spacing w:before="34"/>
              <w:ind w:left="9"/>
              <w:rPr>
                <w:sz w:val="20"/>
              </w:rPr>
            </w:pPr>
            <w:r>
              <w:rPr>
                <w:w w:val="99"/>
                <w:sz w:val="20"/>
              </w:rPr>
              <w:t>3</w:t>
            </w:r>
          </w:p>
        </w:tc>
        <w:tc>
          <w:tcPr>
            <w:tcW w:w="770" w:type="dxa"/>
            <w:tcBorders>
              <w:top w:val="single" w:sz="2" w:space="0" w:color="000000"/>
              <w:left w:val="single" w:sz="2" w:space="0" w:color="000000"/>
              <w:bottom w:val="single" w:sz="2" w:space="0" w:color="000000"/>
              <w:right w:val="single" w:sz="2" w:space="0" w:color="000000"/>
            </w:tcBorders>
          </w:tcPr>
          <w:p w:rsidR="00A70FF9" w:rsidRDefault="00CB7636">
            <w:pPr>
              <w:pStyle w:val="TableParagraph"/>
              <w:spacing w:before="34"/>
              <w:ind w:left="12"/>
              <w:rPr>
                <w:sz w:val="20"/>
              </w:rPr>
            </w:pPr>
            <w:r>
              <w:rPr>
                <w:w w:val="99"/>
                <w:sz w:val="20"/>
              </w:rPr>
              <w:t>3</w:t>
            </w:r>
          </w:p>
        </w:tc>
        <w:tc>
          <w:tcPr>
            <w:tcW w:w="600" w:type="dxa"/>
            <w:tcBorders>
              <w:top w:val="single" w:sz="2" w:space="0" w:color="000000"/>
              <w:left w:val="single" w:sz="2" w:space="0" w:color="000000"/>
              <w:bottom w:val="single" w:sz="2" w:space="0" w:color="000000"/>
              <w:right w:val="single" w:sz="2" w:space="0" w:color="000000"/>
            </w:tcBorders>
          </w:tcPr>
          <w:p w:rsidR="00A70FF9" w:rsidRDefault="00CB7636">
            <w:pPr>
              <w:pStyle w:val="TableParagraph"/>
              <w:spacing w:before="34"/>
              <w:ind w:left="10"/>
              <w:rPr>
                <w:sz w:val="20"/>
              </w:rPr>
            </w:pPr>
            <w:r>
              <w:rPr>
                <w:w w:val="99"/>
                <w:sz w:val="20"/>
              </w:rPr>
              <w:t>2</w:t>
            </w:r>
          </w:p>
        </w:tc>
        <w:tc>
          <w:tcPr>
            <w:tcW w:w="770" w:type="dxa"/>
            <w:tcBorders>
              <w:top w:val="single" w:sz="2" w:space="0" w:color="000000"/>
              <w:left w:val="single" w:sz="2" w:space="0" w:color="000000"/>
              <w:bottom w:val="single" w:sz="2" w:space="0" w:color="000000"/>
              <w:right w:val="single" w:sz="2" w:space="0" w:color="000000"/>
            </w:tcBorders>
          </w:tcPr>
          <w:p w:rsidR="00A70FF9" w:rsidRDefault="00CB7636">
            <w:pPr>
              <w:pStyle w:val="TableParagraph"/>
              <w:spacing w:before="34"/>
              <w:ind w:left="12"/>
              <w:rPr>
                <w:sz w:val="20"/>
              </w:rPr>
            </w:pPr>
            <w:r>
              <w:rPr>
                <w:w w:val="99"/>
                <w:sz w:val="20"/>
              </w:rPr>
              <w:t>2</w:t>
            </w:r>
          </w:p>
        </w:tc>
        <w:tc>
          <w:tcPr>
            <w:tcW w:w="1221" w:type="dxa"/>
            <w:tcBorders>
              <w:top w:val="single" w:sz="2" w:space="0" w:color="000000"/>
              <w:left w:val="single" w:sz="2" w:space="0" w:color="000000"/>
              <w:bottom w:val="single" w:sz="2" w:space="0" w:color="000000"/>
              <w:right w:val="single" w:sz="2" w:space="0" w:color="000000"/>
            </w:tcBorders>
          </w:tcPr>
          <w:p w:rsidR="00A70FF9" w:rsidRDefault="00D56536">
            <w:pPr>
              <w:pStyle w:val="TableParagraph"/>
              <w:spacing w:before="34"/>
              <w:ind w:left="66" w:right="53"/>
              <w:rPr>
                <w:sz w:val="20"/>
              </w:rPr>
            </w:pPr>
            <w:r>
              <w:rPr>
                <w:sz w:val="20"/>
              </w:rPr>
              <w:t>PROJECT 17-3</w:t>
            </w:r>
          </w:p>
        </w:tc>
        <w:tc>
          <w:tcPr>
            <w:tcW w:w="1365" w:type="dxa"/>
            <w:tcBorders>
              <w:top w:val="single" w:sz="2" w:space="0" w:color="000000"/>
              <w:left w:val="single" w:sz="2" w:space="0" w:color="000000"/>
              <w:bottom w:val="single" w:sz="2" w:space="0" w:color="000000"/>
              <w:right w:val="single" w:sz="2" w:space="0" w:color="000000"/>
            </w:tcBorders>
          </w:tcPr>
          <w:p w:rsidR="00A70FF9" w:rsidRDefault="00CB7636">
            <w:pPr>
              <w:pStyle w:val="TableParagraph"/>
              <w:spacing w:before="34"/>
              <w:ind w:left="15"/>
              <w:rPr>
                <w:sz w:val="20"/>
              </w:rPr>
            </w:pPr>
            <w:r>
              <w:rPr>
                <w:w w:val="99"/>
                <w:sz w:val="20"/>
              </w:rPr>
              <w:t>6</w:t>
            </w:r>
          </w:p>
        </w:tc>
        <w:tc>
          <w:tcPr>
            <w:tcW w:w="1447" w:type="dxa"/>
            <w:tcBorders>
              <w:top w:val="single" w:sz="2" w:space="0" w:color="000000"/>
              <w:left w:val="single" w:sz="2" w:space="0" w:color="000000"/>
              <w:bottom w:val="single" w:sz="2" w:space="0" w:color="000000"/>
              <w:right w:val="single" w:sz="2" w:space="0" w:color="000000"/>
            </w:tcBorders>
          </w:tcPr>
          <w:p w:rsidR="00A70FF9" w:rsidRDefault="00CB7636">
            <w:pPr>
              <w:pStyle w:val="TableParagraph"/>
              <w:spacing w:before="34"/>
              <w:ind w:left="585" w:right="566"/>
              <w:rPr>
                <w:sz w:val="20"/>
              </w:rPr>
            </w:pPr>
            <w:r>
              <w:rPr>
                <w:sz w:val="20"/>
              </w:rPr>
              <w:t>1.2</w:t>
            </w:r>
          </w:p>
        </w:tc>
        <w:tc>
          <w:tcPr>
            <w:tcW w:w="1485" w:type="dxa"/>
            <w:tcBorders>
              <w:top w:val="single" w:sz="2" w:space="0" w:color="000000"/>
              <w:left w:val="single" w:sz="2" w:space="0" w:color="000000"/>
              <w:bottom w:val="single" w:sz="2" w:space="0" w:color="000000"/>
            </w:tcBorders>
          </w:tcPr>
          <w:p w:rsidR="00A70FF9" w:rsidRDefault="00CB7636">
            <w:pPr>
              <w:pStyle w:val="TableParagraph"/>
              <w:spacing w:before="34"/>
              <w:ind w:left="21"/>
              <w:rPr>
                <w:sz w:val="20"/>
              </w:rPr>
            </w:pPr>
            <w:r>
              <w:rPr>
                <w:w w:val="99"/>
                <w:sz w:val="20"/>
              </w:rPr>
              <w:t>5</w:t>
            </w:r>
          </w:p>
        </w:tc>
      </w:tr>
      <w:tr w:rsidR="00A70FF9">
        <w:trPr>
          <w:trHeight w:val="311"/>
        </w:trPr>
        <w:tc>
          <w:tcPr>
            <w:tcW w:w="842" w:type="dxa"/>
            <w:tcBorders>
              <w:top w:val="single" w:sz="2" w:space="0" w:color="000000"/>
              <w:right w:val="single" w:sz="2" w:space="0" w:color="000000"/>
            </w:tcBorders>
          </w:tcPr>
          <w:p w:rsidR="00A70FF9" w:rsidRDefault="00CB7636">
            <w:pPr>
              <w:pStyle w:val="TableParagraph"/>
              <w:spacing w:before="34"/>
              <w:ind w:left="369"/>
              <w:jc w:val="left"/>
              <w:rPr>
                <w:sz w:val="20"/>
              </w:rPr>
            </w:pPr>
            <w:r>
              <w:rPr>
                <w:w w:val="99"/>
                <w:sz w:val="20"/>
              </w:rPr>
              <w:t>3</w:t>
            </w:r>
          </w:p>
        </w:tc>
        <w:tc>
          <w:tcPr>
            <w:tcW w:w="600" w:type="dxa"/>
            <w:tcBorders>
              <w:top w:val="single" w:sz="2" w:space="0" w:color="000000"/>
              <w:left w:val="single" w:sz="2" w:space="0" w:color="000000"/>
              <w:right w:val="single" w:sz="2" w:space="0" w:color="000000"/>
            </w:tcBorders>
          </w:tcPr>
          <w:p w:rsidR="00A70FF9" w:rsidRDefault="00CB7636">
            <w:pPr>
              <w:pStyle w:val="TableParagraph"/>
              <w:spacing w:before="34"/>
              <w:ind w:left="9"/>
              <w:rPr>
                <w:sz w:val="20"/>
              </w:rPr>
            </w:pPr>
            <w:r>
              <w:rPr>
                <w:w w:val="99"/>
                <w:sz w:val="20"/>
              </w:rPr>
              <w:t>3</w:t>
            </w:r>
          </w:p>
        </w:tc>
        <w:tc>
          <w:tcPr>
            <w:tcW w:w="770" w:type="dxa"/>
            <w:tcBorders>
              <w:top w:val="single" w:sz="2" w:space="0" w:color="000000"/>
              <w:left w:val="single" w:sz="2" w:space="0" w:color="000000"/>
              <w:right w:val="single" w:sz="2" w:space="0" w:color="000000"/>
            </w:tcBorders>
          </w:tcPr>
          <w:p w:rsidR="00A70FF9" w:rsidRDefault="00CB7636">
            <w:pPr>
              <w:pStyle w:val="TableParagraph"/>
              <w:spacing w:before="34"/>
              <w:ind w:left="12"/>
              <w:rPr>
                <w:sz w:val="20"/>
              </w:rPr>
            </w:pPr>
            <w:r>
              <w:rPr>
                <w:w w:val="99"/>
                <w:sz w:val="20"/>
              </w:rPr>
              <w:t>3</w:t>
            </w:r>
          </w:p>
        </w:tc>
        <w:tc>
          <w:tcPr>
            <w:tcW w:w="600" w:type="dxa"/>
            <w:tcBorders>
              <w:top w:val="single" w:sz="2" w:space="0" w:color="000000"/>
              <w:left w:val="single" w:sz="2" w:space="0" w:color="000000"/>
              <w:right w:val="single" w:sz="2" w:space="0" w:color="000000"/>
            </w:tcBorders>
          </w:tcPr>
          <w:p w:rsidR="00A70FF9" w:rsidRDefault="00CB7636">
            <w:pPr>
              <w:pStyle w:val="TableParagraph"/>
              <w:spacing w:before="34"/>
              <w:ind w:left="10"/>
              <w:rPr>
                <w:sz w:val="20"/>
              </w:rPr>
            </w:pPr>
            <w:r>
              <w:rPr>
                <w:w w:val="99"/>
                <w:sz w:val="20"/>
              </w:rPr>
              <w:t>2</w:t>
            </w:r>
          </w:p>
        </w:tc>
        <w:tc>
          <w:tcPr>
            <w:tcW w:w="770" w:type="dxa"/>
            <w:tcBorders>
              <w:top w:val="single" w:sz="2" w:space="0" w:color="000000"/>
              <w:left w:val="single" w:sz="2" w:space="0" w:color="000000"/>
              <w:right w:val="single" w:sz="2" w:space="0" w:color="000000"/>
            </w:tcBorders>
          </w:tcPr>
          <w:p w:rsidR="00A70FF9" w:rsidRDefault="00CB7636">
            <w:pPr>
              <w:pStyle w:val="TableParagraph"/>
              <w:spacing w:before="34"/>
              <w:ind w:left="12"/>
              <w:rPr>
                <w:sz w:val="20"/>
              </w:rPr>
            </w:pPr>
            <w:r>
              <w:rPr>
                <w:w w:val="99"/>
                <w:sz w:val="20"/>
              </w:rPr>
              <w:t>2</w:t>
            </w:r>
          </w:p>
        </w:tc>
        <w:tc>
          <w:tcPr>
            <w:tcW w:w="1221" w:type="dxa"/>
            <w:tcBorders>
              <w:top w:val="single" w:sz="2" w:space="0" w:color="000000"/>
              <w:left w:val="single" w:sz="2" w:space="0" w:color="000000"/>
              <w:right w:val="single" w:sz="2" w:space="0" w:color="000000"/>
            </w:tcBorders>
          </w:tcPr>
          <w:p w:rsidR="00A70FF9" w:rsidRDefault="00D56536">
            <w:pPr>
              <w:pStyle w:val="TableParagraph"/>
              <w:spacing w:before="34"/>
              <w:ind w:left="66" w:right="50"/>
              <w:rPr>
                <w:sz w:val="20"/>
              </w:rPr>
            </w:pPr>
            <w:r>
              <w:rPr>
                <w:sz w:val="20"/>
              </w:rPr>
              <w:t>PROJECT 17-2</w:t>
            </w:r>
          </w:p>
        </w:tc>
        <w:tc>
          <w:tcPr>
            <w:tcW w:w="1365" w:type="dxa"/>
            <w:tcBorders>
              <w:top w:val="single" w:sz="2" w:space="0" w:color="000000"/>
              <w:left w:val="single" w:sz="2" w:space="0" w:color="000000"/>
              <w:right w:val="single" w:sz="2" w:space="0" w:color="000000"/>
            </w:tcBorders>
          </w:tcPr>
          <w:p w:rsidR="00A70FF9" w:rsidRDefault="00CB7636">
            <w:pPr>
              <w:pStyle w:val="TableParagraph"/>
              <w:spacing w:before="34"/>
              <w:ind w:left="15"/>
              <w:rPr>
                <w:sz w:val="20"/>
              </w:rPr>
            </w:pPr>
            <w:r>
              <w:rPr>
                <w:w w:val="99"/>
                <w:sz w:val="20"/>
              </w:rPr>
              <w:t>6</w:t>
            </w:r>
          </w:p>
        </w:tc>
        <w:tc>
          <w:tcPr>
            <w:tcW w:w="1447" w:type="dxa"/>
            <w:tcBorders>
              <w:top w:val="single" w:sz="2" w:space="0" w:color="000000"/>
              <w:left w:val="single" w:sz="2" w:space="0" w:color="000000"/>
              <w:right w:val="single" w:sz="2" w:space="0" w:color="000000"/>
            </w:tcBorders>
          </w:tcPr>
          <w:p w:rsidR="00A70FF9" w:rsidRDefault="00CB7636">
            <w:pPr>
              <w:pStyle w:val="TableParagraph"/>
              <w:spacing w:before="34"/>
              <w:ind w:left="585" w:right="566"/>
              <w:rPr>
                <w:sz w:val="20"/>
              </w:rPr>
            </w:pPr>
            <w:r>
              <w:rPr>
                <w:sz w:val="20"/>
              </w:rPr>
              <w:t>1.2</w:t>
            </w:r>
          </w:p>
        </w:tc>
        <w:tc>
          <w:tcPr>
            <w:tcW w:w="1485" w:type="dxa"/>
            <w:tcBorders>
              <w:top w:val="single" w:sz="2" w:space="0" w:color="000000"/>
              <w:left w:val="single" w:sz="2" w:space="0" w:color="000000"/>
            </w:tcBorders>
          </w:tcPr>
          <w:p w:rsidR="00A70FF9" w:rsidRDefault="00CB7636">
            <w:pPr>
              <w:pStyle w:val="TableParagraph"/>
              <w:spacing w:before="34"/>
              <w:ind w:left="21"/>
              <w:rPr>
                <w:sz w:val="20"/>
              </w:rPr>
            </w:pPr>
            <w:r>
              <w:rPr>
                <w:w w:val="99"/>
                <w:sz w:val="20"/>
              </w:rPr>
              <w:t>5</w:t>
            </w:r>
          </w:p>
        </w:tc>
      </w:tr>
    </w:tbl>
    <w:p w:rsidR="00A70FF9" w:rsidRDefault="00CB7636">
      <w:pPr>
        <w:spacing w:before="54"/>
        <w:ind w:left="232"/>
        <w:rPr>
          <w:sz w:val="20"/>
        </w:rPr>
      </w:pPr>
      <w:r>
        <w:rPr>
          <w:sz w:val="20"/>
        </w:rPr>
        <w:t>NA: not applicable.</w:t>
      </w:r>
    </w:p>
    <w:p w:rsidR="00A70FF9" w:rsidRDefault="00CB7636">
      <w:pPr>
        <w:spacing w:before="60" w:line="300" w:lineRule="auto"/>
        <w:ind w:left="232" w:right="3865"/>
        <w:rPr>
          <w:sz w:val="20"/>
        </w:rPr>
      </w:pPr>
      <w:r>
        <w:rPr>
          <w:sz w:val="20"/>
        </w:rPr>
        <w:t>†Main study and recovery animals were euthanized on days 29 and 71, respectively. Source: Study 20015047</w:t>
      </w:r>
    </w:p>
    <w:p w:rsidR="00A70FF9" w:rsidRDefault="00CB7636">
      <w:pPr>
        <w:pStyle w:val="a3"/>
        <w:spacing w:before="89" w:line="261" w:lineRule="auto"/>
        <w:ind w:left="232" w:right="1613"/>
      </w:pPr>
      <w:r>
        <w:t xml:space="preserve">The intravenous route of exposure was selected because this is the intended route of human exposure. The dose level of 6 mg/kg chosen for comparison of </w:t>
      </w:r>
      <w:r w:rsidR="00D56536">
        <w:t>PROJECT 17-3</w:t>
      </w:r>
      <w:r>
        <w:t xml:space="preserve"> and </w:t>
      </w:r>
      <w:r w:rsidR="00D56536">
        <w:t>PROJECT 17-2</w:t>
      </w:r>
      <w:r>
        <w:t xml:space="preserve"> was based on the maximum dose tested and NOAEL dose from exploratory and GLP multiple dose toxicity studies conducted with </w:t>
      </w:r>
      <w:r w:rsidR="00D56536">
        <w:t>PROJECT 17-3</w:t>
      </w:r>
      <w:r>
        <w:t>. Individual ADC,</w:t>
      </w:r>
      <w:r>
        <w:rPr>
          <w:spacing w:val="-11"/>
        </w:rPr>
        <w:t xml:space="preserve"> </w:t>
      </w:r>
      <w:proofErr w:type="spellStart"/>
      <w:r>
        <w:t>TAb</w:t>
      </w:r>
      <w:proofErr w:type="spellEnd"/>
    </w:p>
    <w:p w:rsidR="00A70FF9" w:rsidRDefault="00CB7636">
      <w:pPr>
        <w:pStyle w:val="a3"/>
        <w:spacing w:line="261" w:lineRule="auto"/>
        <w:ind w:left="232" w:right="1690"/>
      </w:pPr>
      <w:r>
        <w:t>(</w:t>
      </w:r>
      <w:r w:rsidR="00D56536">
        <w:t>PROJECT 17-3</w:t>
      </w:r>
      <w:r>
        <w:t xml:space="preserve"> or </w:t>
      </w:r>
      <w:r w:rsidR="00D56536">
        <w:t>PROJECT 17-2</w:t>
      </w:r>
      <w:r>
        <w:t xml:space="preserve">) and </w:t>
      </w:r>
      <w:r w:rsidR="00D56536">
        <w:t>Project 17-5</w:t>
      </w:r>
      <w:r>
        <w:t xml:space="preserve"> serum concentration-time data obtained following 4 weekly doses were analyzed by noncompartmental methods using </w:t>
      </w:r>
      <w:proofErr w:type="spellStart"/>
      <w:r>
        <w:t>WinNonlin</w:t>
      </w:r>
      <w:proofErr w:type="spellEnd"/>
      <w:r>
        <w:t xml:space="preserve"> Pro version 5.2.1 (Pharsight Corp., Mountain View, CA). ADC, </w:t>
      </w:r>
      <w:proofErr w:type="spellStart"/>
      <w:r>
        <w:t>TAb</w:t>
      </w:r>
      <w:proofErr w:type="spellEnd"/>
      <w:r>
        <w:t xml:space="preserve"> and </w:t>
      </w:r>
      <w:r w:rsidR="00D56536">
        <w:t>Project 17-5</w:t>
      </w:r>
      <w:r>
        <w:t xml:space="preserve"> concentrations that were below the assay’s lower limit of quantification were set to missing prior to toxicokinetic analyses. The sample size for each group was based on achieving 80% power for the primary comparison of AUC</w:t>
      </w:r>
      <w:r>
        <w:rPr>
          <w:vertAlign w:val="subscript"/>
        </w:rPr>
        <w:t>0-7d</w:t>
      </w:r>
      <w:r>
        <w:t xml:space="preserve"> with the assumption of a true geometric mean ratio (GMR) of 1.1 and a coefficient of variation of approximately 20% based on studies conducted previously. The primary analysis for comparability was based on calculation of AUC</w:t>
      </w:r>
      <w:r>
        <w:rPr>
          <w:vertAlign w:val="subscript"/>
        </w:rPr>
        <w:t>0-7d</w:t>
      </w:r>
      <w:r>
        <w:t xml:space="preserve"> and </w:t>
      </w:r>
      <w:proofErr w:type="spellStart"/>
      <w:r>
        <w:t>C</w:t>
      </w:r>
      <w:r>
        <w:rPr>
          <w:vertAlign w:val="subscript"/>
        </w:rPr>
        <w:t>max</w:t>
      </w:r>
      <w:proofErr w:type="spellEnd"/>
      <w:r>
        <w:t xml:space="preserve"> after the first dose for </w:t>
      </w:r>
      <w:r w:rsidR="00D56536">
        <w:t>PROJECT 17-3</w:t>
      </w:r>
      <w:r>
        <w:t xml:space="preserve"> and </w:t>
      </w:r>
      <w:r w:rsidR="00D56536">
        <w:t>PROJECT 17-2</w:t>
      </w:r>
      <w:r>
        <w:t>. The materials were to be considered comparable if the following criteria were met: 90% CIs of GMRs are within</w:t>
      </w:r>
    </w:p>
    <w:p w:rsidR="00A70FF9" w:rsidRDefault="00CB7636">
      <w:pPr>
        <w:pStyle w:val="a3"/>
        <w:spacing w:line="268" w:lineRule="exact"/>
        <w:ind w:left="232"/>
      </w:pPr>
      <w:r>
        <w:t xml:space="preserve">0.70 to 1.43 for </w:t>
      </w:r>
      <w:proofErr w:type="spellStart"/>
      <w:r>
        <w:t>C</w:t>
      </w:r>
      <w:r>
        <w:rPr>
          <w:vertAlign w:val="subscript"/>
        </w:rPr>
        <w:t>max</w:t>
      </w:r>
      <w:proofErr w:type="spellEnd"/>
      <w:r>
        <w:t xml:space="preserve"> and AUC</w:t>
      </w:r>
      <w:r>
        <w:rPr>
          <w:vertAlign w:val="subscript"/>
        </w:rPr>
        <w:t>0-7d</w:t>
      </w:r>
      <w:r>
        <w:t>.</w:t>
      </w:r>
    </w:p>
    <w:p w:rsidR="00A70FF9" w:rsidRDefault="00CB7636">
      <w:pPr>
        <w:pStyle w:val="a3"/>
        <w:spacing w:before="141" w:line="261" w:lineRule="auto"/>
        <w:ind w:left="232" w:right="2136"/>
      </w:pPr>
      <w:r>
        <w:t xml:space="preserve">Administration of </w:t>
      </w:r>
      <w:r w:rsidR="00D56536">
        <w:t>PROJECT 17-3</w:t>
      </w:r>
      <w:r>
        <w:t xml:space="preserve"> (Group 2) or </w:t>
      </w:r>
      <w:r w:rsidR="00D56536">
        <w:t>PROJECT 17-2</w:t>
      </w:r>
      <w:r>
        <w:t xml:space="preserve"> (Group 3) by once-weekly intravenous infusion for 4 weeks was well tolerated in cynomolgus monkeys at levels of</w:t>
      </w:r>
    </w:p>
    <w:p w:rsidR="00A70FF9" w:rsidRDefault="00CB7636">
      <w:pPr>
        <w:pStyle w:val="a3"/>
        <w:spacing w:line="261" w:lineRule="auto"/>
        <w:ind w:left="232" w:right="1762"/>
      </w:pPr>
      <w:r>
        <w:t xml:space="preserve">6 mg/kg per week. All animals survived to the duration of the study. There were no clinical signs or changes in food consumption, detailed clinical observations, </w:t>
      </w:r>
      <w:proofErr w:type="spellStart"/>
      <w:r>
        <w:t>postdose</w:t>
      </w:r>
      <w:proofErr w:type="spellEnd"/>
      <w:r>
        <w:t xml:space="preserve"> observations, body weight, physical examination parameters that were attributed to </w:t>
      </w:r>
      <w:r w:rsidR="00D56536">
        <w:t>PROJECT 17-3</w:t>
      </w:r>
      <w:r>
        <w:t xml:space="preserve"> or</w:t>
      </w:r>
    </w:p>
    <w:p w:rsidR="00A70FF9" w:rsidRDefault="00D56536">
      <w:pPr>
        <w:pStyle w:val="a3"/>
        <w:spacing w:line="274" w:lineRule="exact"/>
        <w:ind w:left="232"/>
      </w:pPr>
      <w:r>
        <w:t>PROJECT 17-2</w:t>
      </w:r>
      <w:r w:rsidR="00CB7636">
        <w:t xml:space="preserve"> administrations.</w:t>
      </w:r>
    </w:p>
    <w:p w:rsidR="00A70FF9" w:rsidRDefault="00CB7636">
      <w:pPr>
        <w:pStyle w:val="a3"/>
        <w:spacing w:before="142" w:line="261" w:lineRule="auto"/>
        <w:ind w:left="232" w:right="2336"/>
      </w:pPr>
      <w:r>
        <w:t xml:space="preserve">There were </w:t>
      </w:r>
      <w:r w:rsidR="00D56536">
        <w:t>PROJECT 17-3</w:t>
      </w:r>
      <w:r>
        <w:t xml:space="preserve"> and </w:t>
      </w:r>
      <w:r w:rsidR="00D56536">
        <w:t>PROJECT 17-2</w:t>
      </w:r>
      <w:r>
        <w:t>-related changes in hematology and clinical chemistry parameters. In general, the magnitude of these changes was similar for</w:t>
      </w:r>
    </w:p>
    <w:p w:rsidR="00A70FF9" w:rsidRDefault="00D56536">
      <w:pPr>
        <w:pStyle w:val="a3"/>
        <w:spacing w:line="261" w:lineRule="auto"/>
        <w:ind w:left="232" w:right="1618"/>
      </w:pPr>
      <w:r>
        <w:t>PROJECT 17-3</w:t>
      </w:r>
      <w:r w:rsidR="00CB7636">
        <w:t xml:space="preserve"> and </w:t>
      </w:r>
      <w:r>
        <w:t>PROJECT 17-2</w:t>
      </w:r>
      <w:r w:rsidR="00CB7636">
        <w:t xml:space="preserve">-treated male and female animals. Changes in hematology parameters included decreased platelet counts and increased monocyte counts. Platelet counts were decreased approximately 40% from </w:t>
      </w:r>
      <w:proofErr w:type="spellStart"/>
      <w:r w:rsidR="00CB7636">
        <w:t>prestudy</w:t>
      </w:r>
      <w:proofErr w:type="spellEnd"/>
      <w:r w:rsidR="00CB7636">
        <w:t xml:space="preserve"> values for </w:t>
      </w:r>
      <w:r>
        <w:t>PROJECT 17-3</w:t>
      </w:r>
      <w:r w:rsidR="00CB7636">
        <w:t xml:space="preserve">- </w:t>
      </w:r>
      <w:r w:rsidR="00CB7636">
        <w:lastRenderedPageBreak/>
        <w:t xml:space="preserve">and </w:t>
      </w:r>
      <w:r>
        <w:t>PROJECT 17-2</w:t>
      </w:r>
    </w:p>
    <w:p w:rsidR="00A70FF9" w:rsidRDefault="00CB7636" w:rsidP="00D56536">
      <w:pPr>
        <w:pStyle w:val="a3"/>
        <w:spacing w:line="261" w:lineRule="auto"/>
        <w:ind w:left="232" w:right="1690"/>
      </w:pPr>
      <w:r>
        <w:t>–treated groups. The platelet changes were noted at all time points during the study and were generally not progressive over time. Since there were normal numbers of megakaryocytes in the bone marrow, increased platelet removal or decreased platelet production were not considered contributing factors and the cause of the decreased platelet counts was not</w:t>
      </w:r>
      <w:r w:rsidR="00D56536">
        <w:t xml:space="preserve"> </w:t>
      </w:r>
      <w:r>
        <w:t xml:space="preserve">determined. Mean monocyte counts were increased to approximately 5.7x-prestudy for </w:t>
      </w:r>
      <w:r w:rsidR="00D56536">
        <w:t>PROJECT 17-3</w:t>
      </w:r>
      <w:r>
        <w:t xml:space="preserve"> and </w:t>
      </w:r>
      <w:r w:rsidR="00D56536">
        <w:t>PROJECT 17-2</w:t>
      </w:r>
      <w:r>
        <w:t xml:space="preserve"> groups at all time points during the dosing phase with the differences being statistically significant for Group 3 females only on day 22. The increased monocyte counts were attributed to undefined acute-phase response, which is further supported by the clinical chemistry changes described below.</w:t>
      </w:r>
    </w:p>
    <w:p w:rsidR="00A70FF9" w:rsidRDefault="00CB7636">
      <w:pPr>
        <w:pStyle w:val="a3"/>
        <w:spacing w:before="116" w:line="261" w:lineRule="auto"/>
        <w:ind w:left="232" w:right="1837"/>
      </w:pPr>
      <w:r>
        <w:t xml:space="preserve">Changes in clinical chemistry parameters included increased ALT, AST, LDH, ALP, GGT, globulin and total protein and decreased albumin and A:G ratio. </w:t>
      </w:r>
      <w:r w:rsidR="00D56536">
        <w:t>PROJECT 17-3</w:t>
      </w:r>
      <w:r>
        <w:t xml:space="preserve"> and</w:t>
      </w:r>
    </w:p>
    <w:p w:rsidR="00A70FF9" w:rsidRDefault="00D56536">
      <w:pPr>
        <w:pStyle w:val="a3"/>
        <w:spacing w:line="261" w:lineRule="auto"/>
        <w:ind w:left="232" w:right="1610"/>
      </w:pPr>
      <w:r>
        <w:t>PROJECT 17-2</w:t>
      </w:r>
      <w:r w:rsidR="00CB7636">
        <w:t>-related increases in ALT, AST and LDH were of similar magnitude for both test articles and the collective increase in these 3 enzymes was attributed to soft tissue injury.</w:t>
      </w:r>
    </w:p>
    <w:p w:rsidR="00A70FF9" w:rsidRDefault="00CB7636">
      <w:pPr>
        <w:pStyle w:val="a3"/>
        <w:spacing w:line="261" w:lineRule="auto"/>
        <w:ind w:left="232" w:right="1698"/>
      </w:pPr>
      <w:r>
        <w:t xml:space="preserve">Increased ALP and GGT are usually associated with hepatobiliary injury. Increases in ALP and GGT were small (&lt; 2-fold) and since there was no microscopic correlate in the liver, the cause for their increase is undetermined. In general mean globulin progressively increased to 1.5x </w:t>
      </w:r>
      <w:proofErr w:type="spellStart"/>
      <w:r>
        <w:t>prestudy</w:t>
      </w:r>
      <w:proofErr w:type="spellEnd"/>
      <w:r>
        <w:t xml:space="preserve"> and mean A:G ratio and albumin decreased to approximately 0.6x and 0.9x </w:t>
      </w:r>
      <w:proofErr w:type="spellStart"/>
      <w:r>
        <w:t>prestudy</w:t>
      </w:r>
      <w:proofErr w:type="spellEnd"/>
      <w:r>
        <w:t xml:space="preserve"> values for </w:t>
      </w:r>
      <w:r w:rsidR="00D56536">
        <w:t>PROJECT 17-3</w:t>
      </w:r>
      <w:r>
        <w:t xml:space="preserve"> and </w:t>
      </w:r>
      <w:r w:rsidR="00D56536">
        <w:t>PROJECT 17-2</w:t>
      </w:r>
      <w:r>
        <w:t>- treated groups. These changes are consistent with an acute-phase protein response. The above changes in hematology and clinical chemistry parameters returned to baseline levels by the end of recovery period suggesting full recovery.</w:t>
      </w:r>
    </w:p>
    <w:p w:rsidR="00A70FF9" w:rsidRDefault="00CB7636">
      <w:pPr>
        <w:pStyle w:val="a3"/>
        <w:spacing w:before="111" w:line="261" w:lineRule="auto"/>
        <w:ind w:left="232" w:right="1977"/>
      </w:pPr>
      <w:r>
        <w:t>Since these changes in hematology and clinical chemistry parameters did not result in any clinical signs and/or correlative changes in histopathology, none of these changes were considered adverse.</w:t>
      </w:r>
    </w:p>
    <w:p w:rsidR="00A70FF9" w:rsidRDefault="00CB7636">
      <w:pPr>
        <w:pStyle w:val="a3"/>
        <w:spacing w:before="117"/>
        <w:ind w:left="232"/>
      </w:pPr>
      <w:r>
        <w:t>Toxicokinetic data indicated that the maximum serum AGS-16 concentrations for both</w:t>
      </w:r>
    </w:p>
    <w:p w:rsidR="00A70FF9" w:rsidRDefault="00D56536">
      <w:pPr>
        <w:pStyle w:val="a3"/>
        <w:spacing w:before="24" w:line="259" w:lineRule="auto"/>
        <w:ind w:left="232" w:right="1706"/>
      </w:pPr>
      <w:r>
        <w:t>PROJECT 17-3</w:t>
      </w:r>
      <w:r w:rsidR="00CB7636">
        <w:t xml:space="preserve"> and </w:t>
      </w:r>
      <w:r>
        <w:t>PROJECT 17-2</w:t>
      </w:r>
      <w:r w:rsidR="00CB7636">
        <w:t xml:space="preserve"> were generally attained at the end of the intravenous infusion and showed a bi-exponential decline thereafter. Serum AGS-16 concentrations of the </w:t>
      </w:r>
      <w:proofErr w:type="spellStart"/>
      <w:r w:rsidR="00CB7636">
        <w:t>TAb</w:t>
      </w:r>
      <w:proofErr w:type="spellEnd"/>
      <w:r w:rsidR="00CB7636">
        <w:t xml:space="preserve"> were generally higher than the ADC concentrations. There were no sex related differences observed in the toxicokinetic characteristics for ADC, </w:t>
      </w:r>
      <w:proofErr w:type="spellStart"/>
      <w:r w:rsidR="00CB7636">
        <w:t>TAb</w:t>
      </w:r>
      <w:proofErr w:type="spellEnd"/>
      <w:r w:rsidR="00CB7636">
        <w:t xml:space="preserve"> and small molecule metabolite (</w:t>
      </w:r>
      <w:r>
        <w:t>Project 17-5</w:t>
      </w:r>
      <w:r w:rsidR="00CB7636">
        <w:t xml:space="preserve">) for both ADCs. </w:t>
      </w:r>
      <w:r>
        <w:t>Project 17-5</w:t>
      </w:r>
      <w:r w:rsidR="00CB7636">
        <w:t xml:space="preserve"> </w:t>
      </w:r>
      <w:proofErr w:type="spellStart"/>
      <w:r w:rsidR="00CB7636">
        <w:t>C</w:t>
      </w:r>
      <w:r w:rsidR="00CB7636">
        <w:rPr>
          <w:vertAlign w:val="subscript"/>
        </w:rPr>
        <w:t>max</w:t>
      </w:r>
      <w:proofErr w:type="spellEnd"/>
      <w:r w:rsidR="00CB7636">
        <w:t xml:space="preserve"> for both ADCs was attained between 6 to 12 hours post AGS-16 dose administration. The T</w:t>
      </w:r>
      <w:r w:rsidR="00CB7636">
        <w:rPr>
          <w:vertAlign w:val="subscript"/>
        </w:rPr>
        <w:t>½</w:t>
      </w:r>
      <w:r w:rsidR="00CB7636">
        <w:t xml:space="preserve"> </w:t>
      </w:r>
      <w:r w:rsidR="00CB7636">
        <w:rPr>
          <w:rFonts w:ascii="Symbol" w:hAnsi="Symbol"/>
          <w:vertAlign w:val="subscript"/>
        </w:rPr>
        <w:t></w:t>
      </w:r>
      <w:r w:rsidR="00CB7636">
        <w:rPr>
          <w:vertAlign w:val="subscript"/>
        </w:rPr>
        <w:t>z</w:t>
      </w:r>
      <w:r w:rsidR="00CB7636">
        <w:t xml:space="preserve"> for </w:t>
      </w:r>
      <w:r>
        <w:t>Project 17-5</w:t>
      </w:r>
      <w:r w:rsidR="00CB7636">
        <w:t xml:space="preserve"> after administration of </w:t>
      </w:r>
      <w:r>
        <w:t>PROJECT 17-3</w:t>
      </w:r>
      <w:r w:rsidR="00CB7636">
        <w:t xml:space="preserve"> was calculated as 3.13 days and 3.89 days, after the first and last dose, respectively and for </w:t>
      </w:r>
      <w:r>
        <w:t>PROJECT 17-2</w:t>
      </w:r>
      <w:r w:rsidR="00CB7636">
        <w:t xml:space="preserve"> as 3.35 and 3.43 days after the first and last dose, respectively. The </w:t>
      </w:r>
      <w:proofErr w:type="spellStart"/>
      <w:r w:rsidR="00CB7636">
        <w:t>C</w:t>
      </w:r>
      <w:r w:rsidR="00CB7636">
        <w:rPr>
          <w:vertAlign w:val="subscript"/>
        </w:rPr>
        <w:t>max</w:t>
      </w:r>
      <w:proofErr w:type="spellEnd"/>
      <w:r w:rsidR="00CB7636">
        <w:t xml:space="preserve"> values for both ADC and </w:t>
      </w:r>
      <w:proofErr w:type="spellStart"/>
      <w:r w:rsidR="00CB7636">
        <w:t>TAb</w:t>
      </w:r>
      <w:proofErr w:type="spellEnd"/>
      <w:r w:rsidR="00CB7636">
        <w:t xml:space="preserve"> suggested a slight</w:t>
      </w:r>
      <w:r w:rsidR="00CB7636">
        <w:rPr>
          <w:spacing w:val="-22"/>
        </w:rPr>
        <w:t xml:space="preserve"> </w:t>
      </w:r>
      <w:r w:rsidR="00CB7636">
        <w:t>accumulation</w:t>
      </w:r>
    </w:p>
    <w:p w:rsidR="00A70FF9" w:rsidRDefault="00CB7636">
      <w:pPr>
        <w:pStyle w:val="a3"/>
        <w:spacing w:line="275" w:lineRule="exact"/>
        <w:ind w:left="232"/>
      </w:pPr>
      <w:r>
        <w:t>(~1.35 – 2-fold). The 90% CIs of the GMRs for AUC</w:t>
      </w:r>
      <w:r>
        <w:rPr>
          <w:vertAlign w:val="subscript"/>
        </w:rPr>
        <w:t>0</w:t>
      </w:r>
      <w:r>
        <w:rPr>
          <w:rFonts w:ascii="Symbol" w:hAnsi="Symbol"/>
          <w:vertAlign w:val="subscript"/>
        </w:rPr>
        <w:t></w:t>
      </w:r>
      <w:r>
        <w:rPr>
          <w:vertAlign w:val="subscript"/>
        </w:rPr>
        <w:t>7d</w:t>
      </w:r>
      <w:r>
        <w:t xml:space="preserve"> and </w:t>
      </w:r>
      <w:proofErr w:type="spellStart"/>
      <w:r>
        <w:t>C</w:t>
      </w:r>
      <w:r>
        <w:rPr>
          <w:vertAlign w:val="subscript"/>
        </w:rPr>
        <w:t>max</w:t>
      </w:r>
      <w:proofErr w:type="spellEnd"/>
      <w:r>
        <w:t xml:space="preserve"> of ADC after the first dose</w:t>
      </w:r>
    </w:p>
    <w:p w:rsidR="00A70FF9" w:rsidRDefault="00CB7636">
      <w:pPr>
        <w:pStyle w:val="a3"/>
        <w:spacing w:before="6" w:line="259" w:lineRule="auto"/>
        <w:ind w:left="232" w:right="1679"/>
      </w:pPr>
      <w:r>
        <w:t>were within the prespecified comparability criteria (0.7</w:t>
      </w:r>
      <w:r>
        <w:rPr>
          <w:rFonts w:ascii="Symbol" w:hAnsi="Symbol"/>
        </w:rPr>
        <w:t></w:t>
      </w:r>
      <w:r>
        <w:t xml:space="preserve">1.43) and therefore toxicokinetics of the 2 materials, </w:t>
      </w:r>
      <w:r w:rsidR="00D56536">
        <w:t>PROJECT 17-3</w:t>
      </w:r>
      <w:r>
        <w:t xml:space="preserve"> and </w:t>
      </w:r>
      <w:r w:rsidR="00D56536">
        <w:t>PROJECT 17-2</w:t>
      </w:r>
      <w:r>
        <w:t xml:space="preserve">, were considered to be comparable. ADA formation was observed in a single </w:t>
      </w:r>
      <w:r w:rsidR="00D56536">
        <w:t>PROJECT 17-2</w:t>
      </w:r>
      <w:r>
        <w:t>-treated female during recovery phase.</w:t>
      </w:r>
    </w:p>
    <w:p w:rsidR="00A70FF9" w:rsidRDefault="00CB7636">
      <w:pPr>
        <w:pStyle w:val="a3"/>
        <w:spacing w:before="124" w:line="261" w:lineRule="auto"/>
        <w:ind w:left="232" w:right="1672"/>
      </w:pPr>
      <w:r>
        <w:t xml:space="preserve">There were no macroscopic findings at terminal or recovery euthanasia that were associated with </w:t>
      </w:r>
      <w:r w:rsidR="00D56536">
        <w:t>PROJECT 17-3</w:t>
      </w:r>
      <w:r>
        <w:t xml:space="preserve">. Macroscopic findings at terminal euthanasia that were associated with </w:t>
      </w:r>
      <w:r w:rsidR="00D56536">
        <w:t>PROJECT 17-2</w:t>
      </w:r>
      <w:r>
        <w:t xml:space="preserve"> administration were limited to multiple dark black pinpoint foci of the liver </w:t>
      </w:r>
      <w:r>
        <w:lastRenderedPageBreak/>
        <w:t>that were present in 1 male animal. The histological correlate for the finding was minimal hepatic sinusoid dilation.</w:t>
      </w:r>
    </w:p>
    <w:p w:rsidR="00A70FF9" w:rsidRDefault="00D56536" w:rsidP="00D56536">
      <w:pPr>
        <w:pStyle w:val="a3"/>
        <w:spacing w:before="116" w:line="261" w:lineRule="auto"/>
        <w:ind w:left="232" w:right="1843"/>
      </w:pPr>
      <w:r>
        <w:t>PROJECT 17-3</w:t>
      </w:r>
      <w:r w:rsidR="00CB7636">
        <w:t xml:space="preserve">- and </w:t>
      </w:r>
      <w:r>
        <w:t>PROJECT 17-2</w:t>
      </w:r>
      <w:r w:rsidR="00CB7636">
        <w:t>-related organ weight changes at terminal sacrifice included increased spleen weight, spleen to body weight ratio and spleen to brain weight ratio for</w:t>
      </w:r>
      <w:r>
        <w:t xml:space="preserve"> PROJECT 17-3</w:t>
      </w:r>
      <w:r w:rsidR="00CB7636">
        <w:t xml:space="preserve"> and </w:t>
      </w:r>
      <w:r>
        <w:t>PROJECT 17-2</w:t>
      </w:r>
      <w:r w:rsidR="00CB7636">
        <w:t xml:space="preserve"> males and/or females; increased liver to body weight ratio in </w:t>
      </w:r>
      <w:r>
        <w:t>PROJECT 17-2</w:t>
      </w:r>
      <w:r w:rsidR="00CB7636">
        <w:t xml:space="preserve"> males; and decreased uterus weight, uterus to body weight ratio and uterus to brain weight ratio for </w:t>
      </w:r>
      <w:r>
        <w:t>PROJECT 17-3</w:t>
      </w:r>
      <w:r w:rsidR="00CB7636">
        <w:t xml:space="preserve"> and </w:t>
      </w:r>
      <w:r>
        <w:t>PROJECT 17-2</w:t>
      </w:r>
      <w:r w:rsidR="00CB7636">
        <w:t xml:space="preserve"> females. There was no histological correlate for the spleen and uterus weight changes; however, the liver weight corresponded to sinusoid dilation seen histologically. Since there were only 2 recovery animals each in</w:t>
      </w:r>
      <w:r>
        <w:t xml:space="preserve"> PROJECT 17-3</w:t>
      </w:r>
      <w:r w:rsidR="00CB7636">
        <w:t xml:space="preserve"> and </w:t>
      </w:r>
      <w:r>
        <w:t>PROJECT 17-2</w:t>
      </w:r>
      <w:r w:rsidR="00CB7636">
        <w:t xml:space="preserve"> groups and there were no control animals, organ weight changes in the recovery animals were not assessed.</w:t>
      </w:r>
    </w:p>
    <w:p w:rsidR="00A70FF9" w:rsidRDefault="00CB7636">
      <w:pPr>
        <w:pStyle w:val="a3"/>
        <w:spacing w:before="115" w:line="261" w:lineRule="auto"/>
        <w:ind w:left="232" w:right="1889"/>
      </w:pPr>
      <w:r>
        <w:t xml:space="preserve">Microscopic findings related to </w:t>
      </w:r>
      <w:r w:rsidR="00D56536">
        <w:t>PROJECT 17-2</w:t>
      </w:r>
      <w:r>
        <w:t xml:space="preserve"> at the end of the dosing phase were present in the liver and seminal vesicle, and microscopic findings related to </w:t>
      </w:r>
      <w:r w:rsidR="00D56536">
        <w:t>PROJECT 17-3</w:t>
      </w:r>
      <w:r>
        <w:t xml:space="preserve"> and</w:t>
      </w:r>
    </w:p>
    <w:p w:rsidR="00A70FF9" w:rsidRDefault="00D56536">
      <w:pPr>
        <w:pStyle w:val="a3"/>
        <w:spacing w:line="261" w:lineRule="auto"/>
        <w:ind w:left="232" w:right="1617"/>
      </w:pPr>
      <w:r>
        <w:t>PROJECT 17-2</w:t>
      </w:r>
      <w:r w:rsidR="00CB7636">
        <w:t xml:space="preserve"> were present in the uterus. </w:t>
      </w:r>
      <w:r w:rsidR="00CB7636">
        <w:rPr>
          <w:spacing w:val="-3"/>
        </w:rPr>
        <w:t xml:space="preserve">In </w:t>
      </w:r>
      <w:r w:rsidR="00CB7636">
        <w:t xml:space="preserve">the liver, minimal to moderate focal to multifocal dilation of the hepatic sinusoids was present in 2 of 3 </w:t>
      </w:r>
      <w:r>
        <w:t>PROJECT 17-2</w:t>
      </w:r>
      <w:r w:rsidR="00CB7636">
        <w:t xml:space="preserve"> dosed males. No female animals exhibited this finding. The small focal dilations were blood filled and were visible at necropsy in 1 animal. Liver sinusoid dilation is uncommon in young cynomolgus monkeys; however, the biological significance of the finding in the 2 monkeys in this study is unclear as there was no clinical pathology correlate and the change did not affect the clinical health of the animals. In the seminal vesicle, a mild increase in cellular apoptosis and mitotic figures was present in the glandular epithelium in 1 of 3 males treated with 6 mg/kg per</w:t>
      </w:r>
      <w:r w:rsidR="00CB7636">
        <w:rPr>
          <w:spacing w:val="-18"/>
        </w:rPr>
        <w:t xml:space="preserve"> </w:t>
      </w:r>
      <w:r w:rsidR="00CB7636">
        <w:t>week</w:t>
      </w:r>
    </w:p>
    <w:p w:rsidR="00A70FF9" w:rsidRDefault="00D56536">
      <w:pPr>
        <w:pStyle w:val="a3"/>
        <w:spacing w:line="261" w:lineRule="auto"/>
        <w:ind w:left="232" w:right="1633"/>
      </w:pPr>
      <w:r>
        <w:t>PROJECT 17-2</w:t>
      </w:r>
      <w:r w:rsidR="00CB7636">
        <w:t xml:space="preserve">. This was the only male with a sexually mature seminal vesicle among all test animals. </w:t>
      </w:r>
      <w:r w:rsidR="00CB7636">
        <w:rPr>
          <w:spacing w:val="-3"/>
        </w:rPr>
        <w:t xml:space="preserve">In </w:t>
      </w:r>
      <w:r w:rsidR="00CB7636">
        <w:t xml:space="preserve">the uterus, minimal to moderate increases in cellular apoptosis and/or mitotic figures were present in the endometrial glandular epithelium in 2 of 3 females treated with </w:t>
      </w:r>
      <w:r>
        <w:t>PROJECT 17-3</w:t>
      </w:r>
      <w:r w:rsidR="00CB7636">
        <w:t xml:space="preserve"> and in 2 of 3 females treated with </w:t>
      </w:r>
      <w:r>
        <w:t>PROJECT 17-2</w:t>
      </w:r>
      <w:r w:rsidR="00CB7636">
        <w:t xml:space="preserve">. The seminal vesicle and uterus changes were not present in any control animals. The increased cellular apoptosis and mitosis in dosed animals were considered likely due to the MMAF component of the ADC and expected pharmacologic effect based on its antimitotic activity. The degree of sexual maturity may also have affected the occurrence in individual animals. </w:t>
      </w:r>
      <w:r w:rsidR="00CB7636">
        <w:rPr>
          <w:spacing w:val="-4"/>
        </w:rPr>
        <w:t xml:space="preserve">In </w:t>
      </w:r>
      <w:r w:rsidR="00CB7636">
        <w:t xml:space="preserve">recovery animals, there were no </w:t>
      </w:r>
      <w:r>
        <w:t>PROJECT 17-3</w:t>
      </w:r>
      <w:r w:rsidR="00CB7636">
        <w:t xml:space="preserve"> or </w:t>
      </w:r>
      <w:r>
        <w:t>PROJECT 17-2</w:t>
      </w:r>
      <w:r w:rsidR="00CB7636">
        <w:t>-related microscopic findings in liver, seminal vesicle or</w:t>
      </w:r>
      <w:r w:rsidR="00CB7636">
        <w:rPr>
          <w:spacing w:val="-3"/>
        </w:rPr>
        <w:t xml:space="preserve"> </w:t>
      </w:r>
      <w:r w:rsidR="00CB7636">
        <w:t>uterus.</w:t>
      </w:r>
    </w:p>
    <w:p w:rsidR="00A70FF9" w:rsidRDefault="00CB7636">
      <w:pPr>
        <w:pStyle w:val="a3"/>
        <w:spacing w:before="103"/>
        <w:ind w:left="232"/>
      </w:pPr>
      <w:r>
        <w:t>Overall, there were no differences in toxicity and toxicokinetic characteristics of</w:t>
      </w:r>
    </w:p>
    <w:p w:rsidR="00A70FF9" w:rsidRDefault="00D56536">
      <w:pPr>
        <w:pStyle w:val="a3"/>
        <w:spacing w:before="24" w:line="261" w:lineRule="auto"/>
        <w:ind w:left="232" w:right="1730"/>
      </w:pPr>
      <w:r>
        <w:t>PROJECT 17-3</w:t>
      </w:r>
      <w:r w:rsidR="00CB7636">
        <w:t xml:space="preserve"> and </w:t>
      </w:r>
      <w:r>
        <w:t>PROJECT 17-2</w:t>
      </w:r>
      <w:r w:rsidR="00CB7636">
        <w:t xml:space="preserve"> when given at a comparable dose by intravenous infusion once weekly for 4 weeks to cynomolgus monkeys. The hepatic sinusoidal dilatation noted in 2 of 6 monkeys at the end of dosing is an uncommon finding in cynomolgus monkeys.</w:t>
      </w:r>
    </w:p>
    <w:p w:rsidR="00A70FF9" w:rsidRDefault="00CB7636">
      <w:pPr>
        <w:pStyle w:val="a3"/>
        <w:spacing w:line="261" w:lineRule="auto"/>
        <w:ind w:left="232" w:right="1724"/>
      </w:pPr>
      <w:r>
        <w:t>However, this finding was not associated with functional impairment of the liver based on lack of correlation to clinical pathology changes, clinical signs or other microscopic changes and, therefore, is not anticipated to be clinically significant.</w:t>
      </w:r>
    </w:p>
    <w:p w:rsidR="00A70FF9" w:rsidRDefault="00CB7636">
      <w:pPr>
        <w:pStyle w:val="3"/>
        <w:spacing w:before="120" w:line="261" w:lineRule="auto"/>
        <w:ind w:right="1895" w:hanging="852"/>
      </w:pPr>
      <w:bookmarkStart w:id="17" w:name="4.3.3.2_7-Week_Intravenous_Infusion_Peri"/>
      <w:bookmarkStart w:id="18" w:name="_bookmark58"/>
      <w:bookmarkEnd w:id="17"/>
      <w:bookmarkEnd w:id="18"/>
      <w:r>
        <w:t>4.3.3.2 7-Week Intravenous Infusion Peripheral Nervous System (PNS) and Ocular Toxicology Study in Cynomolgus Monkeys with a 6-Week Recovery Phase (Study 8285949)</w:t>
      </w:r>
    </w:p>
    <w:p w:rsidR="00A70FF9" w:rsidRDefault="00CB7636" w:rsidP="00D56536">
      <w:pPr>
        <w:pStyle w:val="a3"/>
        <w:spacing w:before="113" w:line="261" w:lineRule="auto"/>
        <w:ind w:left="232" w:right="1623"/>
      </w:pPr>
      <w:r>
        <w:lastRenderedPageBreak/>
        <w:t xml:space="preserve">This study evaluated the potential for peripheral nervous system (PNS) and ocular toxicity of 2 MMAF containing ADC products. </w:t>
      </w:r>
      <w:r w:rsidR="00D56536">
        <w:t>PROJECT 17-2</w:t>
      </w:r>
      <w:r>
        <w:t xml:space="preserve"> was included in this study to investigate if ocular toxicity could be detected in primates and to act as a negative control for the assessment of peripheral neuropathy. </w:t>
      </w:r>
      <w:r w:rsidR="00D56536">
        <w:t>PROJECT 17-2</w:t>
      </w:r>
      <w:r>
        <w:t xml:space="preserve"> was given to primates (3/sex) once weekly</w:t>
      </w:r>
      <w:r w:rsidR="00D56536">
        <w:t xml:space="preserve"> </w:t>
      </w:r>
      <w:r>
        <w:t xml:space="preserve">for up to 7 weeks at a dose level of 6 mg/kg; 6 mg/kg was also the NOAEL determined from the nonclinical bridging study </w:t>
      </w:r>
      <w:hyperlink w:anchor="_bookmark51" w:history="1">
        <w:r>
          <w:t>discussed in Section 4.3</w:t>
        </w:r>
      </w:hyperlink>
      <w:r>
        <w:t>.</w:t>
      </w:r>
    </w:p>
    <w:p w:rsidR="00A70FF9" w:rsidRDefault="00CB7636">
      <w:pPr>
        <w:pStyle w:val="a3"/>
        <w:spacing w:before="119" w:line="261" w:lineRule="auto"/>
        <w:ind w:left="232" w:right="1677"/>
      </w:pPr>
      <w:r>
        <w:t>Assessment of ocular toxicity was based on ophthalmic examinations (electroretinography and optical coherence tomography). Assessment of peripheral neuropathy was based on neurological examinations and electrophysiology measurements (nerve conduction velocity).</w:t>
      </w:r>
    </w:p>
    <w:p w:rsidR="00A70FF9" w:rsidRDefault="00CB7636">
      <w:pPr>
        <w:pStyle w:val="a3"/>
        <w:spacing w:before="117"/>
        <w:ind w:left="232"/>
      </w:pPr>
      <w:r>
        <w:t xml:space="preserve">Three animals given 6 mg/kg per dose </w:t>
      </w:r>
      <w:r w:rsidR="00D56536">
        <w:t>PROJECT 17-2</w:t>
      </w:r>
      <w:r>
        <w:t xml:space="preserve"> were sacrificed on days 32 (male),</w:t>
      </w:r>
      <w:r w:rsidR="00D56536">
        <w:t xml:space="preserve"> </w:t>
      </w:r>
    </w:p>
    <w:p w:rsidR="00A70FF9" w:rsidRDefault="00CB7636">
      <w:pPr>
        <w:pStyle w:val="a3"/>
        <w:spacing w:before="24" w:line="261" w:lineRule="auto"/>
        <w:ind w:left="232" w:right="1620"/>
      </w:pPr>
      <w:r>
        <w:t>40 (female) and 54 (male) of the dosing phase. The first animal was noted as ataxic and weak on day 19 of the dosing phase and continued to have observations, including hunched posture, ataxia, hypoactivity, low/no food consumption, thin body condition, pale gums and body weight loss. Consistent with ataxia, decreased muscle tone and flexor reflex were noted on day 25 of the dosing phase. As a result, the animal was not dosed on day 29 but due to persistent clinical observations and lack of recovery from these clinical symptoms, the animal was sacrificed on day 32 of the dosing phase. The next animal was noted as ataxic, weak, hypothermic and pale and with lean body condition on day 40 of the dosing phase, but became hunched and pale and was sacrificed that afternoon. Based on effects in these 2 animals, Group 4 was no longer dosed; the final dose for this group was at week 6 (day 36). The last animal was sacrificed after failing to recover from anesthesia following the electrophysiology procedure on day 54 of the dosing phase. A direct relationship of the early sacrifice of this animal to the drug could not be established, however, hunched posture, low food consumption and pale gingiva had previously been noted in this</w:t>
      </w:r>
      <w:r>
        <w:rPr>
          <w:spacing w:val="-15"/>
        </w:rPr>
        <w:t xml:space="preserve"> </w:t>
      </w:r>
      <w:r>
        <w:t>animal.</w:t>
      </w:r>
    </w:p>
    <w:p w:rsidR="00A70FF9" w:rsidRDefault="00D56536">
      <w:pPr>
        <w:pStyle w:val="a3"/>
        <w:spacing w:before="109" w:line="261" w:lineRule="auto"/>
        <w:ind w:left="232" w:right="1603"/>
      </w:pPr>
      <w:r>
        <w:t>PROJECT 17-2</w:t>
      </w:r>
      <w:r w:rsidR="00CB7636">
        <w:t>-related clinical pathology findings in animals sacrificed at unscheduled intervals included decreased red cell mass (i.e., red blood cell count, hemoglobin and hematocrit) with a regenerative response. Other notable clinical pathology findings in these animals were generally consistent with inflammation and muscle injury and included decreased albumin and A:G ratio and increased globulin and AST activity. A definitive cause for the early sacrifice was not apparent based on clinical pathology data.</w:t>
      </w:r>
    </w:p>
    <w:p w:rsidR="00A70FF9" w:rsidRDefault="00D56536">
      <w:pPr>
        <w:pStyle w:val="a3"/>
        <w:spacing w:before="115" w:line="261" w:lineRule="auto"/>
        <w:ind w:left="232" w:right="1630"/>
      </w:pPr>
      <w:r>
        <w:t>PROJECT 17-2</w:t>
      </w:r>
      <w:r w:rsidR="00CB7636">
        <w:t>-related microscopic findings in animals sacrificed at an unscheduled interval were mononuclear inflammation with histiocytic aggregates in the adipose tissue at the base of the heart; mononuclear and vascular/perivascular inflammation and proteinaceous casts in the kidney; mixed vascular/perivascular inflammation in the submucosa of the duodenum, jejunum, ileum and cecum; histiocytic aggregates in the submucosa of the colon; hemorrhages in the kidney and tunica muscularis of the duodenum, jejunum, cecum, colon and rectum; atrophy of centrilobular hepatocytes with congestion in the liver; mitosis/apoptosis of corneal epithelium of eyes; decreased lymphocytes in the thymus, spleen and mesenteric and mandibular lymph nodes; and hypercellularity of the marrow of the sternum.</w:t>
      </w:r>
    </w:p>
    <w:p w:rsidR="00A70FF9" w:rsidRDefault="00CB7636" w:rsidP="00D56536">
      <w:pPr>
        <w:pStyle w:val="a3"/>
        <w:spacing w:before="112" w:line="261" w:lineRule="auto"/>
        <w:ind w:left="232" w:right="1663"/>
      </w:pPr>
      <w:r>
        <w:t xml:space="preserve">Exposure to </w:t>
      </w:r>
      <w:r w:rsidR="00D56536">
        <w:t>PROJECT 17-2</w:t>
      </w:r>
      <w:r>
        <w:t xml:space="preserve"> resulted in slowing of sural and peroneal nerve velocities at week 5 of the dosing phase, which was when ataxia was noted. Although the data are limited, no evidence of coasting (e.g., worsening or initial presence of neuropathy after completion of </w:t>
      </w:r>
      <w:r>
        <w:lastRenderedPageBreak/>
        <w:t xml:space="preserve">dosing) was noted and evidence of partial improvement in the conduction deficits was noted in animals given </w:t>
      </w:r>
      <w:r w:rsidR="00D56536">
        <w:t>PROJECT 17-2</w:t>
      </w:r>
      <w:r>
        <w:t xml:space="preserve"> following 2 weeks of recovery.</w:t>
      </w:r>
      <w:r w:rsidR="001A7E10">
        <w:pict>
          <v:shape id="_x0000_s1059" style="position:absolute;left:0;text-align:left;margin-left:293.15pt;margin-top:403.45pt;width:26.25pt;height:20pt;z-index:-251600384;mso-position-horizontal-relative:page;mso-position-vertical-relative:page" coordorigin="5863,8069" coordsize="525,400" o:spt="100" adj="0,,0" path="m11716,1108r524,m12240,708r-524,l11716,1108e" filled="f" strokecolor="blue" strokeweight="1pt">
            <v:stroke joinstyle="round"/>
            <v:formulas/>
            <v:path arrowok="t" o:connecttype="segments"/>
            <w10:wrap anchorx="page" anchory="page"/>
          </v:shape>
        </w:pict>
      </w:r>
      <w:r w:rsidR="00D56536">
        <w:t xml:space="preserve"> </w:t>
      </w:r>
      <w:r>
        <w:t xml:space="preserve">Among animals that survived until the scheduled sacrifice, </w:t>
      </w:r>
      <w:r w:rsidR="00D56536">
        <w:t>PROJECT 17-2</w:t>
      </w:r>
      <w:r>
        <w:t xml:space="preserve"> administration had several clinical pathology effects generally consistent with inflammation and possible muscle injury. Notable hematology findings observed at multiple dosing phase time points were mostly limited to animals given 6 mg/kg per dose </w:t>
      </w:r>
      <w:r w:rsidR="00D56536">
        <w:t>PROJECT 17-2</w:t>
      </w:r>
      <w:r>
        <w:t xml:space="preserve"> and included decreased red cell mass and reticulocyte count (for males; </w:t>
      </w:r>
      <w:r w:rsidR="00D56536">
        <w:t>PROJECT 17-2</w:t>
      </w:r>
      <w:r>
        <w:t xml:space="preserve"> only), decreased platelet count and increased absolute monocyte and large unstained cell counts. Increased absolute neutrophil count and increased fibrinogen were also observed at a few dosing phase time points. Notable clinical chemistry findings observed at multiple dosing phase time points in animals given</w:t>
      </w:r>
    </w:p>
    <w:p w:rsidR="00A70FF9" w:rsidRDefault="00CB7636">
      <w:pPr>
        <w:pStyle w:val="a3"/>
        <w:spacing w:line="261" w:lineRule="auto"/>
        <w:ind w:left="232" w:right="1670"/>
      </w:pPr>
      <w:r>
        <w:t xml:space="preserve">6 mg/kg per dose </w:t>
      </w:r>
      <w:r w:rsidR="00D56536">
        <w:t>PROJECT 17-2</w:t>
      </w:r>
      <w:r>
        <w:t xml:space="preserve"> included decreased albumin and A:G ratio, increased globulin and increased AST activity. All clinical pathology findings exhibited reversibility at the end of the recovery phase.</w:t>
      </w:r>
    </w:p>
    <w:p w:rsidR="00A70FF9" w:rsidRDefault="00CB7636">
      <w:pPr>
        <w:pStyle w:val="a3"/>
        <w:spacing w:before="111" w:line="261" w:lineRule="auto"/>
        <w:ind w:left="232" w:right="1665"/>
      </w:pPr>
      <w:r>
        <w:t xml:space="preserve">At the terminal sacrifice, </w:t>
      </w:r>
      <w:r w:rsidR="00D56536">
        <w:t>PROJECT 17-2</w:t>
      </w:r>
      <w:r>
        <w:t xml:space="preserve">-related microscopic findings were present in the thymus, spleen and mesenteric and mandibular lymph nodes of the only surviving terminal sacrifice female. This animal had slightly decreased lymphocytes in the thymus and spleen and minimally decreased lymphocytes in the mesenteric and mandibular lymph nodes. None of the other </w:t>
      </w:r>
      <w:r w:rsidR="00D56536">
        <w:t>PROJECT 17-2</w:t>
      </w:r>
      <w:r>
        <w:t>-related microscopic findings observed in animals from the unscheduled or terminal sacrifices were present at the recovery sacrifice, indicating complete recovery of those findings.</w:t>
      </w:r>
    </w:p>
    <w:p w:rsidR="00A70FF9" w:rsidRDefault="00CB7636">
      <w:pPr>
        <w:pStyle w:val="3"/>
        <w:numPr>
          <w:ilvl w:val="2"/>
          <w:numId w:val="10"/>
        </w:numPr>
        <w:tabs>
          <w:tab w:val="left" w:pos="1084"/>
          <w:tab w:val="left" w:pos="1085"/>
        </w:tabs>
        <w:spacing w:before="120"/>
      </w:pPr>
      <w:bookmarkStart w:id="19" w:name="4.3.4_Toxicity_of_SGD-1362_(cys-mcMMAF)"/>
      <w:bookmarkStart w:id="20" w:name="_bookmark59"/>
      <w:bookmarkEnd w:id="19"/>
      <w:bookmarkEnd w:id="20"/>
      <w:r>
        <w:t xml:space="preserve">Toxicity of </w:t>
      </w:r>
      <w:r w:rsidR="00D56536">
        <w:t>PROJECT 17-1</w:t>
      </w:r>
      <w:r>
        <w:rPr>
          <w:spacing w:val="-1"/>
        </w:rPr>
        <w:t xml:space="preserve"> </w:t>
      </w:r>
      <w:r>
        <w:t>(</w:t>
      </w:r>
      <w:r w:rsidR="00D56536">
        <w:t>Project 17-5</w:t>
      </w:r>
      <w:r>
        <w:t>)</w:t>
      </w:r>
    </w:p>
    <w:p w:rsidR="00A70FF9" w:rsidRDefault="00CB7636">
      <w:pPr>
        <w:pStyle w:val="a3"/>
        <w:spacing w:before="139" w:line="261" w:lineRule="auto"/>
        <w:ind w:left="232" w:right="2103"/>
      </w:pPr>
      <w:r>
        <w:t xml:space="preserve">Repeat-dose toxicity studies of </w:t>
      </w:r>
      <w:r w:rsidR="00D56536">
        <w:t>Project 17-5</w:t>
      </w:r>
      <w:r>
        <w:t xml:space="preserve"> were conducted in rats and monkeys. The studies and summary </w:t>
      </w:r>
      <w:hyperlink w:anchor="_bookmark60" w:history="1">
        <w:r>
          <w:t>results are provided in Table 12.</w:t>
        </w:r>
      </w:hyperlink>
    </w:p>
    <w:p w:rsidR="00A70FF9" w:rsidRDefault="00A70FF9">
      <w:pPr>
        <w:spacing w:line="261" w:lineRule="auto"/>
        <w:sectPr w:rsidR="00A70FF9">
          <w:pgSz w:w="12240" w:h="15840"/>
          <w:pgMar w:top="1240" w:right="0" w:bottom="940" w:left="1380" w:header="580" w:footer="746" w:gutter="0"/>
          <w:cols w:space="720"/>
        </w:sectPr>
      </w:pPr>
    </w:p>
    <w:p w:rsidR="00A70FF9" w:rsidRDefault="00A70FF9">
      <w:pPr>
        <w:pStyle w:val="a3"/>
        <w:spacing w:before="6"/>
        <w:rPr>
          <w:sz w:val="21"/>
        </w:rPr>
      </w:pPr>
    </w:p>
    <w:p w:rsidR="00A70FF9" w:rsidRDefault="00CB7636">
      <w:pPr>
        <w:pStyle w:val="3"/>
        <w:tabs>
          <w:tab w:val="left" w:pos="1659"/>
        </w:tabs>
        <w:spacing w:before="90"/>
        <w:ind w:left="241"/>
      </w:pPr>
      <w:bookmarkStart w:id="21" w:name="_bookmark60"/>
      <w:bookmarkEnd w:id="21"/>
      <w:r>
        <w:t>Table</w:t>
      </w:r>
      <w:r>
        <w:rPr>
          <w:spacing w:val="-1"/>
        </w:rPr>
        <w:t xml:space="preserve"> </w:t>
      </w:r>
      <w:r>
        <w:t>12</w:t>
      </w:r>
      <w:r>
        <w:tab/>
        <w:t xml:space="preserve">Repeat-Dose Toxicity Studies with </w:t>
      </w:r>
      <w:r w:rsidR="00D56536">
        <w:t>PROJECT 17-1</w:t>
      </w:r>
      <w:r>
        <w:rPr>
          <w:spacing w:val="-1"/>
        </w:rPr>
        <w:t xml:space="preserve"> </w:t>
      </w:r>
      <w:r>
        <w:t>(</w:t>
      </w:r>
      <w:r w:rsidR="00D56536">
        <w:t>Project 17-5</w:t>
      </w:r>
      <w:r>
        <w:t>)</w:t>
      </w:r>
    </w:p>
    <w:p w:rsidR="00A70FF9" w:rsidRDefault="00A70FF9">
      <w:pPr>
        <w:pStyle w:val="a3"/>
        <w:spacing w:before="5"/>
        <w:rPr>
          <w:b/>
          <w:sz w:val="5"/>
        </w:rPr>
      </w:pPr>
    </w:p>
    <w:tbl>
      <w:tblPr>
        <w:tblStyle w:val="TableNormal"/>
        <w:tblW w:w="0" w:type="auto"/>
        <w:tblInd w:w="1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591"/>
        <w:gridCol w:w="2196"/>
        <w:gridCol w:w="1464"/>
        <w:gridCol w:w="9727"/>
      </w:tblGrid>
      <w:tr w:rsidR="00A70FF9">
        <w:trPr>
          <w:trHeight w:val="309"/>
        </w:trPr>
        <w:tc>
          <w:tcPr>
            <w:tcW w:w="1591" w:type="dxa"/>
            <w:tcBorders>
              <w:bottom w:val="single" w:sz="2" w:space="0" w:color="000000"/>
              <w:right w:val="single" w:sz="2" w:space="0" w:color="000000"/>
            </w:tcBorders>
          </w:tcPr>
          <w:p w:rsidR="00A70FF9" w:rsidRDefault="00CB7636">
            <w:pPr>
              <w:pStyle w:val="TableParagraph"/>
              <w:spacing w:before="38"/>
              <w:ind w:left="337" w:right="331"/>
              <w:rPr>
                <w:b/>
                <w:sz w:val="20"/>
              </w:rPr>
            </w:pPr>
            <w:r>
              <w:rPr>
                <w:b/>
                <w:sz w:val="20"/>
              </w:rPr>
              <w:t>Study No.</w:t>
            </w:r>
          </w:p>
        </w:tc>
        <w:tc>
          <w:tcPr>
            <w:tcW w:w="2196" w:type="dxa"/>
            <w:tcBorders>
              <w:left w:val="single" w:sz="2" w:space="0" w:color="000000"/>
              <w:bottom w:val="single" w:sz="2" w:space="0" w:color="000000"/>
              <w:right w:val="single" w:sz="2" w:space="0" w:color="000000"/>
            </w:tcBorders>
          </w:tcPr>
          <w:p w:rsidR="00A70FF9" w:rsidRDefault="00CB7636">
            <w:pPr>
              <w:pStyle w:val="TableParagraph"/>
              <w:spacing w:before="38"/>
              <w:ind w:left="624"/>
              <w:jc w:val="left"/>
              <w:rPr>
                <w:b/>
                <w:sz w:val="20"/>
              </w:rPr>
            </w:pPr>
            <w:r>
              <w:rPr>
                <w:b/>
                <w:sz w:val="20"/>
              </w:rPr>
              <w:t>Study Title</w:t>
            </w:r>
          </w:p>
        </w:tc>
        <w:tc>
          <w:tcPr>
            <w:tcW w:w="1464" w:type="dxa"/>
            <w:tcBorders>
              <w:left w:val="single" w:sz="2" w:space="0" w:color="000000"/>
              <w:bottom w:val="single" w:sz="2" w:space="0" w:color="000000"/>
              <w:right w:val="single" w:sz="2" w:space="0" w:color="000000"/>
            </w:tcBorders>
          </w:tcPr>
          <w:p w:rsidR="00A70FF9" w:rsidRDefault="00CB7636">
            <w:pPr>
              <w:pStyle w:val="TableParagraph"/>
              <w:spacing w:before="38"/>
              <w:ind w:left="338" w:right="333"/>
              <w:rPr>
                <w:b/>
                <w:sz w:val="20"/>
              </w:rPr>
            </w:pPr>
            <w:r>
              <w:rPr>
                <w:b/>
                <w:sz w:val="20"/>
              </w:rPr>
              <w:t>Species</w:t>
            </w:r>
          </w:p>
        </w:tc>
        <w:tc>
          <w:tcPr>
            <w:tcW w:w="9727" w:type="dxa"/>
            <w:tcBorders>
              <w:left w:val="single" w:sz="2" w:space="0" w:color="000000"/>
              <w:bottom w:val="single" w:sz="2" w:space="0" w:color="000000"/>
            </w:tcBorders>
          </w:tcPr>
          <w:p w:rsidR="00A70FF9" w:rsidRDefault="00CB7636">
            <w:pPr>
              <w:pStyle w:val="TableParagraph"/>
              <w:spacing w:before="38"/>
              <w:ind w:left="4147" w:right="4134"/>
              <w:rPr>
                <w:b/>
                <w:sz w:val="20"/>
              </w:rPr>
            </w:pPr>
            <w:r>
              <w:rPr>
                <w:b/>
                <w:sz w:val="20"/>
              </w:rPr>
              <w:t>Study Summary</w:t>
            </w:r>
          </w:p>
        </w:tc>
      </w:tr>
      <w:tr w:rsidR="00A70FF9">
        <w:trPr>
          <w:trHeight w:val="5370"/>
        </w:trPr>
        <w:tc>
          <w:tcPr>
            <w:tcW w:w="1591" w:type="dxa"/>
            <w:tcBorders>
              <w:top w:val="single" w:sz="2" w:space="0" w:color="000000"/>
              <w:bottom w:val="single" w:sz="2" w:space="0" w:color="000000"/>
              <w:right w:val="single" w:sz="2" w:space="0" w:color="000000"/>
            </w:tcBorders>
          </w:tcPr>
          <w:p w:rsidR="00A70FF9" w:rsidRDefault="00CB7636">
            <w:pPr>
              <w:pStyle w:val="TableParagraph"/>
              <w:spacing w:before="34"/>
              <w:ind w:left="342" w:right="331"/>
              <w:rPr>
                <w:sz w:val="20"/>
              </w:rPr>
            </w:pPr>
            <w:r>
              <w:rPr>
                <w:sz w:val="20"/>
              </w:rPr>
              <w:t>1019-1010</w:t>
            </w:r>
          </w:p>
        </w:tc>
        <w:tc>
          <w:tcPr>
            <w:tcW w:w="2196" w:type="dxa"/>
            <w:tcBorders>
              <w:top w:val="single" w:sz="2" w:space="0" w:color="000000"/>
              <w:left w:val="single" w:sz="2" w:space="0" w:color="000000"/>
              <w:bottom w:val="single" w:sz="2" w:space="0" w:color="000000"/>
              <w:right w:val="single" w:sz="2" w:space="0" w:color="000000"/>
            </w:tcBorders>
          </w:tcPr>
          <w:p w:rsidR="00A70FF9" w:rsidRDefault="00CB7636">
            <w:pPr>
              <w:pStyle w:val="TableParagraph"/>
              <w:spacing w:before="34"/>
              <w:ind w:left="132" w:right="120"/>
              <w:rPr>
                <w:sz w:val="20"/>
              </w:rPr>
            </w:pPr>
            <w:r>
              <w:rPr>
                <w:sz w:val="20"/>
              </w:rPr>
              <w:t>GLP Repeat Dose (once daily for 5 days) Intravenous Toxicity Study of SDG-1362 (</w:t>
            </w:r>
            <w:r w:rsidR="00D56536">
              <w:rPr>
                <w:sz w:val="20"/>
              </w:rPr>
              <w:t>Project 17-5</w:t>
            </w:r>
            <w:r>
              <w:rPr>
                <w:sz w:val="20"/>
              </w:rPr>
              <w:t>) in rats with a 2-week recovery period</w:t>
            </w:r>
          </w:p>
        </w:tc>
        <w:tc>
          <w:tcPr>
            <w:tcW w:w="1464" w:type="dxa"/>
            <w:tcBorders>
              <w:top w:val="single" w:sz="2" w:space="0" w:color="000000"/>
              <w:left w:val="single" w:sz="2" w:space="0" w:color="000000"/>
              <w:bottom w:val="single" w:sz="2" w:space="0" w:color="000000"/>
              <w:right w:val="single" w:sz="2" w:space="0" w:color="000000"/>
            </w:tcBorders>
          </w:tcPr>
          <w:p w:rsidR="00A70FF9" w:rsidRDefault="00CB7636">
            <w:pPr>
              <w:pStyle w:val="TableParagraph"/>
              <w:spacing w:before="34"/>
              <w:ind w:left="341" w:right="333"/>
              <w:rPr>
                <w:sz w:val="20"/>
              </w:rPr>
            </w:pPr>
            <w:r>
              <w:rPr>
                <w:sz w:val="20"/>
              </w:rPr>
              <w:t>Rats</w:t>
            </w:r>
          </w:p>
        </w:tc>
        <w:tc>
          <w:tcPr>
            <w:tcW w:w="9727" w:type="dxa"/>
            <w:tcBorders>
              <w:top w:val="single" w:sz="2" w:space="0" w:color="000000"/>
              <w:left w:val="single" w:sz="2" w:space="0" w:color="000000"/>
              <w:bottom w:val="single" w:sz="2" w:space="0" w:color="000000"/>
            </w:tcBorders>
          </w:tcPr>
          <w:p w:rsidR="00A70FF9" w:rsidRDefault="00CB7636">
            <w:pPr>
              <w:pStyle w:val="TableParagraph"/>
              <w:spacing w:before="34"/>
              <w:ind w:left="117" w:right="140"/>
              <w:jc w:val="left"/>
              <w:rPr>
                <w:sz w:val="20"/>
              </w:rPr>
            </w:pPr>
            <w:r>
              <w:rPr>
                <w:sz w:val="20"/>
              </w:rPr>
              <w:t xml:space="preserve">The objective of this GLP repeat-dose study was to characterize the toxicities of linear </w:t>
            </w:r>
            <w:r w:rsidR="00D56536">
              <w:rPr>
                <w:sz w:val="20"/>
              </w:rPr>
              <w:t>Project 17-5</w:t>
            </w:r>
            <w:r>
              <w:rPr>
                <w:sz w:val="20"/>
              </w:rPr>
              <w:t xml:space="preserve"> when administered intravenous once daily for 5 consecutive days in rats. Secondary objectives were to determine the reversibility of any toxicities and identify the HNSTD, NOAEL and/or NOEL. Fifteen CD</w:t>
            </w:r>
            <w:r>
              <w:rPr>
                <w:sz w:val="20"/>
                <w:vertAlign w:val="superscript"/>
              </w:rPr>
              <w:t>®</w:t>
            </w:r>
            <w:r>
              <w:rPr>
                <w:sz w:val="20"/>
              </w:rPr>
              <w:t xml:space="preserve"> [Crl:CD</w:t>
            </w:r>
            <w:r>
              <w:rPr>
                <w:sz w:val="20"/>
                <w:vertAlign w:val="superscript"/>
              </w:rPr>
              <w:t>®</w:t>
            </w:r>
            <w:r>
              <w:rPr>
                <w:sz w:val="20"/>
              </w:rPr>
              <w:t xml:space="preserve">(SD)] rats/sex were administered either vehicle or linear </w:t>
            </w:r>
            <w:r w:rsidR="00D56536">
              <w:rPr>
                <w:sz w:val="20"/>
              </w:rPr>
              <w:t>Project 17-5</w:t>
            </w:r>
            <w:r>
              <w:rPr>
                <w:sz w:val="20"/>
              </w:rPr>
              <w:t xml:space="preserve"> at dose levels of 1, 5 or 10 mg/kg per day. Animals were necropsied 3 days or 14 days post last dose. Study endpoints included morbidity and mortality, clinical observations, body weights, food consumption, clinical pathology (hematology, clinical chemistry, coagulation and urinalysis), ophthalmoscopic examinations, toxicokinetics, gross pathology and histopathology. Treatment-related findings were observed in clinical observations, ophthalmology, hematology, clinical chemistry and histopathology. No treatment- related findings were noted in body weights, food consumption, coagulation and urinalysis. Test article related changes included: increased incidence of corneal opacity, mild increase in neutrophils, platelet distribution width and minimal increases in liver enzymes (AST, ALT) without microscopic correlates in the liver. Microscopic findings in the lung consisted of minimal to mild increased alveolar histiocytosis in males and females at ≥ 1 mg/kg per day and minimal to mild increased subacute inflammation in males at ≥ 10 mg/kg per dose and females at ≥ 5 mg/kg per day and corresponded to increased lung weights. At recovery, minimal increased alveolar histiocytosis in the lung persisted in males and females at ≥ 5 mg/kg per day, but was resolved at the 1 mg/kg low dose level. There were no marked or consistent gender differences in the toxicokinetic parameters calculated for </w:t>
            </w:r>
            <w:r w:rsidR="00D56536">
              <w:rPr>
                <w:sz w:val="20"/>
              </w:rPr>
              <w:t>Project 17-5</w:t>
            </w:r>
            <w:r>
              <w:rPr>
                <w:sz w:val="20"/>
              </w:rPr>
              <w:t xml:space="preserve">. Plasma </w:t>
            </w:r>
            <w:proofErr w:type="spellStart"/>
            <w:r>
              <w:rPr>
                <w:sz w:val="20"/>
              </w:rPr>
              <w:t>C</w:t>
            </w:r>
            <w:r>
              <w:rPr>
                <w:sz w:val="20"/>
                <w:vertAlign w:val="subscript"/>
              </w:rPr>
              <w:t>max</w:t>
            </w:r>
            <w:proofErr w:type="spellEnd"/>
            <w:r>
              <w:rPr>
                <w:sz w:val="20"/>
              </w:rPr>
              <w:t xml:space="preserve"> was approximately dose proportional and exposure (AUC</w:t>
            </w:r>
            <w:r>
              <w:rPr>
                <w:sz w:val="20"/>
                <w:vertAlign w:val="subscript"/>
              </w:rPr>
              <w:t>0–24h</w:t>
            </w:r>
            <w:r>
              <w:rPr>
                <w:sz w:val="20"/>
              </w:rPr>
              <w:t xml:space="preserve">) was more than dose proportional across the dose range of 1 to 10 mg/kg per day of </w:t>
            </w:r>
            <w:r w:rsidR="00D56536">
              <w:rPr>
                <w:sz w:val="20"/>
              </w:rPr>
              <w:t>Project 17-5</w:t>
            </w:r>
            <w:r>
              <w:rPr>
                <w:sz w:val="20"/>
              </w:rPr>
              <w:t xml:space="preserve">. Repeated intravenous administration of linear </w:t>
            </w:r>
            <w:r w:rsidR="00D56536">
              <w:rPr>
                <w:sz w:val="20"/>
              </w:rPr>
              <w:t>Project 17-5</w:t>
            </w:r>
            <w:r>
              <w:rPr>
                <w:sz w:val="20"/>
              </w:rPr>
              <w:t xml:space="preserve"> (daily for</w:t>
            </w:r>
          </w:p>
          <w:p w:rsidR="00A70FF9" w:rsidRDefault="00CB7636">
            <w:pPr>
              <w:pStyle w:val="TableParagraph"/>
              <w:ind w:left="117" w:right="205"/>
              <w:jc w:val="left"/>
              <w:rPr>
                <w:sz w:val="20"/>
              </w:rPr>
            </w:pPr>
            <w:r>
              <w:rPr>
                <w:sz w:val="20"/>
              </w:rPr>
              <w:t xml:space="preserve">5 days) to male and female rats was tolerated at doses up to 10 mg/kg per day. Increased incidence in corneal opacity in males at ≥ 5 mg/kg per day was considered possibly related to treatment. Changes in lung weight and histopathology findings were likely </w:t>
            </w:r>
            <w:r w:rsidR="00D56536">
              <w:rPr>
                <w:sz w:val="20"/>
              </w:rPr>
              <w:t>Project 17-5</w:t>
            </w:r>
            <w:r>
              <w:rPr>
                <w:sz w:val="20"/>
              </w:rPr>
              <w:t xml:space="preserve"> related, but could not be unequivocally considered adverse. The HNSTD and NOAEL were considered to be the highest dose of 10 mg/kg per day in both sexes. The NOEL was considered to be &lt; 1 mg/kg per day due to increased alveolar histiocytosis in the lungs at all dose levels.</w:t>
            </w:r>
          </w:p>
        </w:tc>
      </w:tr>
      <w:tr w:rsidR="00A70FF9">
        <w:trPr>
          <w:trHeight w:val="309"/>
        </w:trPr>
        <w:tc>
          <w:tcPr>
            <w:tcW w:w="14978" w:type="dxa"/>
            <w:gridSpan w:val="4"/>
            <w:tcBorders>
              <w:top w:val="single" w:sz="2" w:space="0" w:color="000000"/>
            </w:tcBorders>
          </w:tcPr>
          <w:p w:rsidR="00A70FF9" w:rsidRDefault="00CB7636">
            <w:pPr>
              <w:pStyle w:val="TableParagraph"/>
              <w:spacing w:before="34"/>
              <w:ind w:left="114"/>
              <w:jc w:val="left"/>
              <w:rPr>
                <w:i/>
                <w:sz w:val="20"/>
              </w:rPr>
            </w:pPr>
            <w:r>
              <w:rPr>
                <w:i/>
                <w:sz w:val="20"/>
              </w:rPr>
              <w:t>Table continued on next page</w:t>
            </w:r>
          </w:p>
        </w:tc>
      </w:tr>
    </w:tbl>
    <w:p w:rsidR="00A70FF9" w:rsidRDefault="00A70FF9">
      <w:pPr>
        <w:rPr>
          <w:sz w:val="20"/>
        </w:rPr>
        <w:sectPr w:rsidR="00A70FF9">
          <w:headerReference w:type="default" r:id="rId8"/>
          <w:footerReference w:type="default" r:id="rId9"/>
          <w:pgSz w:w="15840" w:h="12240" w:orient="landscape"/>
          <w:pgMar w:top="1640" w:right="300" w:bottom="1180" w:left="320" w:header="967" w:footer="990" w:gutter="0"/>
          <w:pgNumType w:start="52"/>
          <w:cols w:space="720"/>
        </w:sectPr>
      </w:pPr>
    </w:p>
    <w:p w:rsidR="00A70FF9" w:rsidRDefault="00A70FF9">
      <w:pPr>
        <w:pStyle w:val="a3"/>
        <w:spacing w:before="7"/>
        <w:rPr>
          <w:b/>
          <w:sz w:val="29"/>
        </w:rPr>
      </w:pPr>
    </w:p>
    <w:tbl>
      <w:tblPr>
        <w:tblStyle w:val="TableNormal"/>
        <w:tblW w:w="0" w:type="auto"/>
        <w:tblInd w:w="1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591"/>
        <w:gridCol w:w="2196"/>
        <w:gridCol w:w="1464"/>
        <w:gridCol w:w="9727"/>
      </w:tblGrid>
      <w:tr w:rsidR="00A70FF9">
        <w:trPr>
          <w:trHeight w:val="309"/>
        </w:trPr>
        <w:tc>
          <w:tcPr>
            <w:tcW w:w="1591" w:type="dxa"/>
            <w:tcBorders>
              <w:bottom w:val="single" w:sz="2" w:space="0" w:color="000000"/>
              <w:right w:val="single" w:sz="2" w:space="0" w:color="000000"/>
            </w:tcBorders>
          </w:tcPr>
          <w:p w:rsidR="00A70FF9" w:rsidRDefault="00CB7636">
            <w:pPr>
              <w:pStyle w:val="TableParagraph"/>
              <w:spacing w:before="38"/>
              <w:ind w:left="371"/>
              <w:jc w:val="left"/>
              <w:rPr>
                <w:b/>
                <w:sz w:val="20"/>
              </w:rPr>
            </w:pPr>
            <w:r>
              <w:rPr>
                <w:b/>
                <w:sz w:val="20"/>
              </w:rPr>
              <w:t>Study No.</w:t>
            </w:r>
          </w:p>
        </w:tc>
        <w:tc>
          <w:tcPr>
            <w:tcW w:w="2196" w:type="dxa"/>
            <w:tcBorders>
              <w:left w:val="single" w:sz="2" w:space="0" w:color="000000"/>
              <w:bottom w:val="single" w:sz="2" w:space="0" w:color="000000"/>
              <w:right w:val="single" w:sz="2" w:space="0" w:color="000000"/>
            </w:tcBorders>
          </w:tcPr>
          <w:p w:rsidR="00A70FF9" w:rsidRDefault="00CB7636">
            <w:pPr>
              <w:pStyle w:val="TableParagraph"/>
              <w:spacing w:before="38"/>
              <w:ind w:left="624"/>
              <w:jc w:val="left"/>
              <w:rPr>
                <w:b/>
                <w:sz w:val="20"/>
              </w:rPr>
            </w:pPr>
            <w:r>
              <w:rPr>
                <w:b/>
                <w:sz w:val="20"/>
              </w:rPr>
              <w:t>Study Title</w:t>
            </w:r>
          </w:p>
        </w:tc>
        <w:tc>
          <w:tcPr>
            <w:tcW w:w="1464" w:type="dxa"/>
            <w:tcBorders>
              <w:left w:val="single" w:sz="2" w:space="0" w:color="000000"/>
              <w:bottom w:val="single" w:sz="2" w:space="0" w:color="000000"/>
              <w:right w:val="single" w:sz="2" w:space="0" w:color="000000"/>
            </w:tcBorders>
          </w:tcPr>
          <w:p w:rsidR="00A70FF9" w:rsidRDefault="00CB7636">
            <w:pPr>
              <w:pStyle w:val="TableParagraph"/>
              <w:spacing w:before="38"/>
              <w:ind w:left="338" w:right="333"/>
              <w:rPr>
                <w:b/>
                <w:sz w:val="20"/>
              </w:rPr>
            </w:pPr>
            <w:r>
              <w:rPr>
                <w:b/>
                <w:sz w:val="20"/>
              </w:rPr>
              <w:t>Species</w:t>
            </w:r>
          </w:p>
        </w:tc>
        <w:tc>
          <w:tcPr>
            <w:tcW w:w="9727" w:type="dxa"/>
            <w:tcBorders>
              <w:left w:val="single" w:sz="2" w:space="0" w:color="000000"/>
              <w:bottom w:val="single" w:sz="2" w:space="0" w:color="000000"/>
            </w:tcBorders>
          </w:tcPr>
          <w:p w:rsidR="00A70FF9" w:rsidRDefault="00CB7636">
            <w:pPr>
              <w:pStyle w:val="TableParagraph"/>
              <w:spacing w:before="38"/>
              <w:ind w:left="4147" w:right="4134"/>
              <w:rPr>
                <w:b/>
                <w:sz w:val="20"/>
              </w:rPr>
            </w:pPr>
            <w:r>
              <w:rPr>
                <w:b/>
                <w:sz w:val="20"/>
              </w:rPr>
              <w:t>Study Summary</w:t>
            </w:r>
          </w:p>
        </w:tc>
      </w:tr>
      <w:tr w:rsidR="00A70FF9">
        <w:trPr>
          <w:trHeight w:val="4221"/>
        </w:trPr>
        <w:tc>
          <w:tcPr>
            <w:tcW w:w="1591" w:type="dxa"/>
            <w:tcBorders>
              <w:top w:val="single" w:sz="2" w:space="0" w:color="000000"/>
              <w:right w:val="single" w:sz="2" w:space="0" w:color="000000"/>
            </w:tcBorders>
          </w:tcPr>
          <w:p w:rsidR="00A70FF9" w:rsidRPr="00E20F2B" w:rsidRDefault="00CB7636">
            <w:pPr>
              <w:pStyle w:val="TableParagraph"/>
              <w:spacing w:before="34"/>
              <w:ind w:left="412"/>
              <w:jc w:val="left"/>
              <w:rPr>
                <w:sz w:val="20"/>
                <w:highlight w:val="cyan"/>
              </w:rPr>
            </w:pPr>
            <w:r w:rsidRPr="00E20F2B">
              <w:rPr>
                <w:sz w:val="20"/>
                <w:highlight w:val="cyan"/>
              </w:rPr>
              <w:t>1019-009</w:t>
            </w:r>
          </w:p>
        </w:tc>
        <w:tc>
          <w:tcPr>
            <w:tcW w:w="2196" w:type="dxa"/>
            <w:tcBorders>
              <w:top w:val="single" w:sz="2" w:space="0" w:color="000000"/>
              <w:left w:val="single" w:sz="2" w:space="0" w:color="000000"/>
              <w:right w:val="single" w:sz="2" w:space="0" w:color="000000"/>
            </w:tcBorders>
          </w:tcPr>
          <w:p w:rsidR="00A70FF9" w:rsidRPr="00E20F2B" w:rsidRDefault="00CB7636">
            <w:pPr>
              <w:pStyle w:val="TableParagraph"/>
              <w:spacing w:before="34"/>
              <w:ind w:left="122" w:right="113"/>
              <w:rPr>
                <w:sz w:val="20"/>
                <w:highlight w:val="cyan"/>
              </w:rPr>
            </w:pPr>
            <w:r w:rsidRPr="00E20F2B">
              <w:rPr>
                <w:sz w:val="20"/>
                <w:highlight w:val="cyan"/>
              </w:rPr>
              <w:t xml:space="preserve">GLP Repeat-Dose (once daily for 5 days) intravenous toxicity study of </w:t>
            </w:r>
            <w:r w:rsidR="00D56536">
              <w:rPr>
                <w:sz w:val="20"/>
                <w:highlight w:val="cyan"/>
              </w:rPr>
              <w:t>PROJECT 17-1</w:t>
            </w:r>
          </w:p>
          <w:p w:rsidR="00A70FF9" w:rsidRPr="00E20F2B" w:rsidRDefault="00CB7636">
            <w:pPr>
              <w:pStyle w:val="TableParagraph"/>
              <w:ind w:left="160" w:right="149" w:hanging="3"/>
              <w:rPr>
                <w:sz w:val="20"/>
                <w:highlight w:val="cyan"/>
              </w:rPr>
            </w:pPr>
            <w:r w:rsidRPr="00E20F2B">
              <w:rPr>
                <w:sz w:val="20"/>
                <w:highlight w:val="cyan"/>
              </w:rPr>
              <w:t>(</w:t>
            </w:r>
            <w:r w:rsidR="00D56536">
              <w:rPr>
                <w:sz w:val="20"/>
                <w:highlight w:val="cyan"/>
              </w:rPr>
              <w:t>Project 17-5</w:t>
            </w:r>
            <w:r w:rsidRPr="00E20F2B">
              <w:rPr>
                <w:sz w:val="20"/>
                <w:highlight w:val="cyan"/>
              </w:rPr>
              <w:t>) in cynomolgus monkeys with a 2-week</w:t>
            </w:r>
            <w:r w:rsidRPr="00E20F2B">
              <w:rPr>
                <w:spacing w:val="-20"/>
                <w:sz w:val="20"/>
                <w:highlight w:val="cyan"/>
              </w:rPr>
              <w:t xml:space="preserve"> </w:t>
            </w:r>
            <w:r w:rsidRPr="00E20F2B">
              <w:rPr>
                <w:sz w:val="20"/>
                <w:highlight w:val="cyan"/>
              </w:rPr>
              <w:t>recovery period</w:t>
            </w:r>
          </w:p>
        </w:tc>
        <w:tc>
          <w:tcPr>
            <w:tcW w:w="1464" w:type="dxa"/>
            <w:tcBorders>
              <w:top w:val="single" w:sz="2" w:space="0" w:color="000000"/>
              <w:left w:val="single" w:sz="2" w:space="0" w:color="000000"/>
              <w:right w:val="single" w:sz="2" w:space="0" w:color="000000"/>
            </w:tcBorders>
          </w:tcPr>
          <w:p w:rsidR="00A70FF9" w:rsidRPr="00E20F2B" w:rsidRDefault="00CB7636">
            <w:pPr>
              <w:pStyle w:val="TableParagraph"/>
              <w:spacing w:before="34"/>
              <w:ind w:left="341" w:right="333"/>
              <w:rPr>
                <w:sz w:val="20"/>
                <w:highlight w:val="cyan"/>
              </w:rPr>
            </w:pPr>
            <w:r w:rsidRPr="00E20F2B">
              <w:rPr>
                <w:sz w:val="20"/>
                <w:highlight w:val="cyan"/>
              </w:rPr>
              <w:t>Monkeys</w:t>
            </w:r>
          </w:p>
        </w:tc>
        <w:tc>
          <w:tcPr>
            <w:tcW w:w="9727" w:type="dxa"/>
            <w:tcBorders>
              <w:top w:val="single" w:sz="2" w:space="0" w:color="000000"/>
              <w:left w:val="single" w:sz="2" w:space="0" w:color="000000"/>
            </w:tcBorders>
          </w:tcPr>
          <w:p w:rsidR="00A70FF9" w:rsidRPr="00E20F2B" w:rsidRDefault="00CB7636">
            <w:pPr>
              <w:pStyle w:val="TableParagraph"/>
              <w:spacing w:before="34"/>
              <w:ind w:left="117" w:right="155"/>
              <w:jc w:val="left"/>
              <w:rPr>
                <w:sz w:val="20"/>
                <w:highlight w:val="cyan"/>
              </w:rPr>
            </w:pPr>
            <w:r w:rsidRPr="00E20F2B">
              <w:rPr>
                <w:sz w:val="20"/>
                <w:highlight w:val="cyan"/>
              </w:rPr>
              <w:t xml:space="preserve">The objective of this GLP repeat-dose study was to characterize the toxicities of linear </w:t>
            </w:r>
            <w:r w:rsidR="00D56536">
              <w:rPr>
                <w:sz w:val="20"/>
                <w:highlight w:val="cyan"/>
              </w:rPr>
              <w:t>Project 17-5</w:t>
            </w:r>
            <w:r w:rsidRPr="00E20F2B">
              <w:rPr>
                <w:sz w:val="20"/>
                <w:highlight w:val="cyan"/>
              </w:rPr>
              <w:t xml:space="preserve"> when administered intravenous once daily for 5 consecutive days in monkeys. Secondary objectives were to determine the reversibility of any toxicities and identify the HNSTD, NOAEL and/or NOEL. Five cynomolgus monkeys/sex were administered either vehicle or linear </w:t>
            </w:r>
            <w:r w:rsidR="00D56536">
              <w:rPr>
                <w:sz w:val="20"/>
                <w:highlight w:val="cyan"/>
              </w:rPr>
              <w:t>Project 17-5</w:t>
            </w:r>
            <w:r w:rsidRPr="00E20F2B">
              <w:rPr>
                <w:sz w:val="20"/>
                <w:highlight w:val="cyan"/>
              </w:rPr>
              <w:t xml:space="preserve"> at dose levels of 0.5, 2 or 5 mg/kg per day daily for 5 consecutive days. Animals were necropsied 3 days or 14 days post last dose. Study endpoints included morbidity and mortality, clinical observations, body weights, food consumption, clinical pathology (hematology, clinical chemistry, coagulation and urinalysis), ophthalmoscopic examinations, electrocardiography evaluations, blood pressure, heart rate, respiratory rate, toxicokinetics, gross pathology, organ weights and histopathology. Treatment-related findings were limited to changes in hematology (increased lymphocytes, monocytes, large unstained cells) and serum chemistry (increased creatinine kinase). No treatment-related clinical signs of toxicity or effects on body weight, food consumption, coagulation, urinalysis, ophthalmology, electrocardiograms, blood pressure, heart rate, respiratory rate and gross and histopathology changes were observed. All changes had resolved by the end of study. There were no marked or consistent differences in the toxicokinetic parameters calculated for </w:t>
            </w:r>
            <w:r w:rsidR="00D56536">
              <w:rPr>
                <w:sz w:val="20"/>
                <w:highlight w:val="cyan"/>
              </w:rPr>
              <w:t>Project 17-5</w:t>
            </w:r>
            <w:r w:rsidRPr="00E20F2B">
              <w:rPr>
                <w:sz w:val="20"/>
                <w:highlight w:val="cyan"/>
              </w:rPr>
              <w:t xml:space="preserve"> in male and female monkeys on day 1 or day 5. AUC</w:t>
            </w:r>
            <w:r w:rsidRPr="00E20F2B">
              <w:rPr>
                <w:sz w:val="20"/>
                <w:highlight w:val="cyan"/>
                <w:vertAlign w:val="subscript"/>
              </w:rPr>
              <w:t>(0-24h)</w:t>
            </w:r>
            <w:r w:rsidRPr="00E20F2B">
              <w:rPr>
                <w:sz w:val="20"/>
                <w:highlight w:val="cyan"/>
              </w:rPr>
              <w:t xml:space="preserve"> and </w:t>
            </w:r>
            <w:proofErr w:type="spellStart"/>
            <w:r w:rsidRPr="00E20F2B">
              <w:rPr>
                <w:sz w:val="20"/>
                <w:highlight w:val="cyan"/>
              </w:rPr>
              <w:t>C</w:t>
            </w:r>
            <w:r w:rsidRPr="00E20F2B">
              <w:rPr>
                <w:sz w:val="20"/>
                <w:highlight w:val="cyan"/>
                <w:vertAlign w:val="subscript"/>
              </w:rPr>
              <w:t>max</w:t>
            </w:r>
            <w:proofErr w:type="spellEnd"/>
            <w:r w:rsidRPr="00E20F2B">
              <w:rPr>
                <w:sz w:val="20"/>
                <w:highlight w:val="cyan"/>
              </w:rPr>
              <w:t xml:space="preserve"> were approximately dose proportional. Repeated (daily for 5 days) intravenous administration of linear </w:t>
            </w:r>
            <w:r w:rsidR="00D56536">
              <w:rPr>
                <w:sz w:val="20"/>
                <w:highlight w:val="cyan"/>
              </w:rPr>
              <w:t>Project 17-5</w:t>
            </w:r>
            <w:r w:rsidRPr="00E20F2B">
              <w:rPr>
                <w:sz w:val="20"/>
                <w:highlight w:val="cyan"/>
              </w:rPr>
              <w:t xml:space="preserve"> to male and female cynomolgus monkeys was well tolerated at doses up to 5 mg/kg per day. The highest dose level tested (5 mg/kg per day, daily for 5 days) was the HNSTD and NOAEL for this study. The NOEL was &lt; 0.5 mg/kg per day due to increases in monocytes in both sexes and lymphocytes in females at all dose levels.</w:t>
            </w:r>
          </w:p>
        </w:tc>
      </w:tr>
    </w:tbl>
    <w:p w:rsidR="00A70FF9" w:rsidRDefault="00CB7636">
      <w:pPr>
        <w:spacing w:before="53"/>
        <w:ind w:left="241" w:right="718"/>
        <w:rPr>
          <w:sz w:val="20"/>
        </w:rPr>
      </w:pPr>
      <w:r>
        <w:rPr>
          <w:sz w:val="20"/>
        </w:rPr>
        <w:t xml:space="preserve">ALT: alanine aminotransferase; AST: aspartate aminotransferase; </w:t>
      </w:r>
      <w:r w:rsidR="00D56536">
        <w:rPr>
          <w:sz w:val="20"/>
        </w:rPr>
        <w:t>Project 17-5</w:t>
      </w:r>
      <w:r>
        <w:rPr>
          <w:sz w:val="20"/>
        </w:rPr>
        <w:t xml:space="preserve">: cysteine </w:t>
      </w:r>
      <w:proofErr w:type="spellStart"/>
      <w:r>
        <w:rPr>
          <w:sz w:val="20"/>
        </w:rPr>
        <w:t>maleimidocaproyl-monomethylauristatin</w:t>
      </w:r>
      <w:proofErr w:type="spellEnd"/>
      <w:r>
        <w:rPr>
          <w:sz w:val="20"/>
        </w:rPr>
        <w:t xml:space="preserve"> F; GLP: Good Laboratory Practice; HNSTD: highest </w:t>
      </w:r>
      <w:proofErr w:type="spellStart"/>
      <w:r>
        <w:rPr>
          <w:sz w:val="20"/>
        </w:rPr>
        <w:t>nonseverely</w:t>
      </w:r>
      <w:proofErr w:type="spellEnd"/>
      <w:r>
        <w:rPr>
          <w:sz w:val="20"/>
        </w:rPr>
        <w:t xml:space="preserve"> toxic dose; NOAEL: no-observed-adverse-effect-level; NOEL: no-observed-effect-level.</w:t>
      </w:r>
    </w:p>
    <w:p w:rsidR="00A70FF9" w:rsidRDefault="00A70FF9">
      <w:pPr>
        <w:rPr>
          <w:sz w:val="20"/>
        </w:rPr>
        <w:sectPr w:rsidR="00A70FF9">
          <w:pgSz w:w="15840" w:h="12240" w:orient="landscape"/>
          <w:pgMar w:top="1640" w:right="300" w:bottom="1180" w:left="320" w:header="967" w:footer="990" w:gutter="0"/>
          <w:cols w:space="720"/>
        </w:sectPr>
      </w:pPr>
    </w:p>
    <w:p w:rsidR="00A70FF9" w:rsidRDefault="00CB7636">
      <w:pPr>
        <w:pStyle w:val="3"/>
        <w:numPr>
          <w:ilvl w:val="2"/>
          <w:numId w:val="10"/>
        </w:numPr>
        <w:tabs>
          <w:tab w:val="left" w:pos="1084"/>
          <w:tab w:val="left" w:pos="1085"/>
        </w:tabs>
        <w:spacing w:before="148"/>
      </w:pPr>
      <w:bookmarkStart w:id="22" w:name="4.3.5_Genotoxicity"/>
      <w:bookmarkStart w:id="23" w:name="_bookmark61"/>
      <w:bookmarkEnd w:id="22"/>
      <w:bookmarkEnd w:id="23"/>
      <w:r>
        <w:lastRenderedPageBreak/>
        <w:t>Genotoxicity</w:t>
      </w:r>
    </w:p>
    <w:p w:rsidR="00A70FF9" w:rsidRDefault="00CB7636">
      <w:pPr>
        <w:pStyle w:val="a3"/>
        <w:spacing w:before="139" w:line="261" w:lineRule="auto"/>
        <w:ind w:left="232" w:right="850"/>
      </w:pPr>
      <w:r>
        <w:t xml:space="preserve">No genotoxicity studies of </w:t>
      </w:r>
      <w:r w:rsidR="00D56536">
        <w:t>PROJECT 17-2</w:t>
      </w:r>
      <w:r>
        <w:t xml:space="preserve"> have been conducted to date. The 3 genotoxicity studies summarized below were conducted with </w:t>
      </w:r>
      <w:r w:rsidR="00D56536">
        <w:t>Project 17-5</w:t>
      </w:r>
      <w:r>
        <w:t xml:space="preserve"> and were GLP compliant.</w:t>
      </w:r>
    </w:p>
    <w:p w:rsidR="00A70FF9" w:rsidRDefault="00CB7636">
      <w:pPr>
        <w:pStyle w:val="3"/>
        <w:numPr>
          <w:ilvl w:val="3"/>
          <w:numId w:val="10"/>
        </w:numPr>
        <w:tabs>
          <w:tab w:val="left" w:pos="1085"/>
        </w:tabs>
        <w:spacing w:before="123"/>
      </w:pPr>
      <w:bookmarkStart w:id="24" w:name="4.3.5.1_In_Vitro_Genotoxicity_of_SGD-136"/>
      <w:bookmarkStart w:id="25" w:name="_bookmark62"/>
      <w:bookmarkEnd w:id="24"/>
      <w:bookmarkEnd w:id="25"/>
      <w:r>
        <w:t xml:space="preserve">In Vitro Genotoxicity of </w:t>
      </w:r>
      <w:r w:rsidR="00D56536">
        <w:t>PROJECT 17-1</w:t>
      </w:r>
      <w:r>
        <w:rPr>
          <w:spacing w:val="-3"/>
        </w:rPr>
        <w:t xml:space="preserve"> </w:t>
      </w:r>
      <w:r>
        <w:t>(</w:t>
      </w:r>
      <w:r w:rsidR="00D56536">
        <w:t>Project 17-5</w:t>
      </w:r>
      <w:r>
        <w:t>)</w:t>
      </w:r>
    </w:p>
    <w:p w:rsidR="00A70FF9" w:rsidRDefault="00CB7636">
      <w:pPr>
        <w:pStyle w:val="a3"/>
        <w:spacing w:before="140" w:line="261" w:lineRule="auto"/>
        <w:ind w:left="232" w:right="840"/>
      </w:pPr>
      <w:r>
        <w:t>The studies listed in [</w:t>
      </w:r>
      <w:hyperlink w:anchor="_bookmark63" w:history="1">
        <w:r>
          <w:t>Table 13</w:t>
        </w:r>
      </w:hyperlink>
      <w:r>
        <w:t xml:space="preserve">] were conducted to evaluate the genotoxicity of </w:t>
      </w:r>
      <w:r w:rsidR="00D56536">
        <w:t>PROJECT 17-1</w:t>
      </w:r>
      <w:r>
        <w:t xml:space="preserve"> (</w:t>
      </w:r>
      <w:r w:rsidR="00D56536">
        <w:t>Project 17-5</w:t>
      </w:r>
      <w:r>
        <w:t>).</w:t>
      </w:r>
    </w:p>
    <w:p w:rsidR="00A70FF9" w:rsidRDefault="00CB7636">
      <w:pPr>
        <w:pStyle w:val="3"/>
        <w:tabs>
          <w:tab w:val="left" w:pos="1651"/>
        </w:tabs>
        <w:spacing w:before="96"/>
        <w:ind w:left="232"/>
      </w:pPr>
      <w:bookmarkStart w:id="26" w:name="_bookmark63"/>
      <w:bookmarkEnd w:id="26"/>
      <w:r>
        <w:t>Table</w:t>
      </w:r>
      <w:r>
        <w:rPr>
          <w:spacing w:val="-1"/>
        </w:rPr>
        <w:t xml:space="preserve"> </w:t>
      </w:r>
      <w:r>
        <w:t>13</w:t>
      </w:r>
      <w:r>
        <w:tab/>
        <w:t xml:space="preserve">Genotoxicity Studies with </w:t>
      </w:r>
      <w:r w:rsidR="00D56536">
        <w:t>PROJECT 17-1</w:t>
      </w:r>
      <w:r>
        <w:rPr>
          <w:spacing w:val="-4"/>
        </w:rPr>
        <w:t xml:space="preserve"> </w:t>
      </w:r>
      <w:r>
        <w:t>(</w:t>
      </w:r>
      <w:r w:rsidR="00D56536">
        <w:t>Project 17-5</w:t>
      </w:r>
      <w:r>
        <w:t>)</w:t>
      </w:r>
    </w:p>
    <w:p w:rsidR="00A70FF9" w:rsidRDefault="00A70FF9">
      <w:pPr>
        <w:pStyle w:val="a3"/>
        <w:spacing w:before="6"/>
        <w:rPr>
          <w:b/>
          <w:sz w:val="5"/>
        </w:rPr>
      </w:pPr>
    </w:p>
    <w:tbl>
      <w:tblPr>
        <w:tblStyle w:val="TableNormal"/>
        <w:tblW w:w="0" w:type="auto"/>
        <w:tblInd w:w="1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286"/>
        <w:gridCol w:w="1980"/>
        <w:gridCol w:w="900"/>
        <w:gridCol w:w="5081"/>
      </w:tblGrid>
      <w:tr w:rsidR="00A70FF9">
        <w:trPr>
          <w:trHeight w:val="270"/>
        </w:trPr>
        <w:tc>
          <w:tcPr>
            <w:tcW w:w="1286" w:type="dxa"/>
            <w:tcBorders>
              <w:bottom w:val="single" w:sz="2" w:space="0" w:color="000000"/>
              <w:right w:val="single" w:sz="2" w:space="0" w:color="000000"/>
            </w:tcBorders>
          </w:tcPr>
          <w:p w:rsidR="00A70FF9" w:rsidRDefault="00CB7636">
            <w:pPr>
              <w:pStyle w:val="TableParagraph"/>
              <w:spacing w:before="19"/>
              <w:ind w:left="220"/>
              <w:jc w:val="left"/>
              <w:rPr>
                <w:b/>
                <w:sz w:val="20"/>
              </w:rPr>
            </w:pPr>
            <w:r>
              <w:rPr>
                <w:b/>
                <w:sz w:val="20"/>
              </w:rPr>
              <w:t>Study No.</w:t>
            </w:r>
          </w:p>
        </w:tc>
        <w:tc>
          <w:tcPr>
            <w:tcW w:w="1980" w:type="dxa"/>
            <w:tcBorders>
              <w:left w:val="single" w:sz="2" w:space="0" w:color="000000"/>
              <w:bottom w:val="single" w:sz="2" w:space="0" w:color="000000"/>
              <w:right w:val="single" w:sz="2" w:space="0" w:color="000000"/>
            </w:tcBorders>
          </w:tcPr>
          <w:p w:rsidR="00A70FF9" w:rsidRDefault="00CB7636">
            <w:pPr>
              <w:pStyle w:val="TableParagraph"/>
              <w:spacing w:before="19"/>
              <w:ind w:left="516"/>
              <w:jc w:val="left"/>
              <w:rPr>
                <w:b/>
                <w:sz w:val="20"/>
              </w:rPr>
            </w:pPr>
            <w:r>
              <w:rPr>
                <w:b/>
                <w:sz w:val="20"/>
              </w:rPr>
              <w:t>Study Title</w:t>
            </w:r>
          </w:p>
        </w:tc>
        <w:tc>
          <w:tcPr>
            <w:tcW w:w="900" w:type="dxa"/>
            <w:tcBorders>
              <w:left w:val="single" w:sz="2" w:space="0" w:color="000000"/>
              <w:bottom w:val="single" w:sz="2" w:space="0" w:color="000000"/>
              <w:right w:val="single" w:sz="2" w:space="0" w:color="000000"/>
            </w:tcBorders>
          </w:tcPr>
          <w:p w:rsidR="00A70FF9" w:rsidRDefault="00CB7636">
            <w:pPr>
              <w:pStyle w:val="TableParagraph"/>
              <w:spacing w:before="19"/>
              <w:ind w:left="120" w:right="112"/>
              <w:rPr>
                <w:b/>
                <w:sz w:val="20"/>
              </w:rPr>
            </w:pPr>
            <w:r>
              <w:rPr>
                <w:b/>
                <w:sz w:val="20"/>
              </w:rPr>
              <w:t>Species</w:t>
            </w:r>
          </w:p>
        </w:tc>
        <w:tc>
          <w:tcPr>
            <w:tcW w:w="5081" w:type="dxa"/>
            <w:tcBorders>
              <w:left w:val="single" w:sz="2" w:space="0" w:color="000000"/>
              <w:bottom w:val="single" w:sz="2" w:space="0" w:color="000000"/>
            </w:tcBorders>
          </w:tcPr>
          <w:p w:rsidR="00A70FF9" w:rsidRDefault="00CB7636">
            <w:pPr>
              <w:pStyle w:val="TableParagraph"/>
              <w:spacing w:before="19"/>
              <w:ind w:left="1824" w:right="1811"/>
              <w:rPr>
                <w:b/>
                <w:sz w:val="20"/>
              </w:rPr>
            </w:pPr>
            <w:r>
              <w:rPr>
                <w:b/>
                <w:sz w:val="20"/>
              </w:rPr>
              <w:t>Study Summary</w:t>
            </w:r>
          </w:p>
        </w:tc>
      </w:tr>
      <w:tr w:rsidR="00A70FF9">
        <w:trPr>
          <w:trHeight w:val="1648"/>
        </w:trPr>
        <w:tc>
          <w:tcPr>
            <w:tcW w:w="1286" w:type="dxa"/>
            <w:tcBorders>
              <w:top w:val="single" w:sz="2" w:space="0" w:color="000000"/>
              <w:bottom w:val="single" w:sz="2" w:space="0" w:color="000000"/>
              <w:right w:val="single" w:sz="2" w:space="0" w:color="000000"/>
            </w:tcBorders>
          </w:tcPr>
          <w:p w:rsidR="00A70FF9" w:rsidRDefault="00CB7636">
            <w:pPr>
              <w:pStyle w:val="TableParagraph"/>
              <w:spacing w:before="14"/>
              <w:ind w:left="206" w:right="115" w:hanging="60"/>
              <w:jc w:val="left"/>
              <w:rPr>
                <w:sz w:val="20"/>
              </w:rPr>
            </w:pPr>
            <w:r>
              <w:rPr>
                <w:sz w:val="20"/>
              </w:rPr>
              <w:t>AE01BX.50 2ICH.BTL</w:t>
            </w:r>
          </w:p>
        </w:tc>
        <w:tc>
          <w:tcPr>
            <w:tcW w:w="1980" w:type="dxa"/>
            <w:tcBorders>
              <w:top w:val="single" w:sz="2" w:space="0" w:color="000000"/>
              <w:left w:val="single" w:sz="2" w:space="0" w:color="000000"/>
              <w:bottom w:val="single" w:sz="2" w:space="0" w:color="000000"/>
              <w:right w:val="single" w:sz="2" w:space="0" w:color="000000"/>
            </w:tcBorders>
          </w:tcPr>
          <w:p w:rsidR="00A70FF9" w:rsidRDefault="00CB7636">
            <w:pPr>
              <w:pStyle w:val="TableParagraph"/>
              <w:spacing w:before="14"/>
              <w:ind w:left="355" w:right="254" w:hanging="70"/>
              <w:jc w:val="left"/>
              <w:rPr>
                <w:sz w:val="20"/>
              </w:rPr>
            </w:pPr>
            <w:r>
              <w:rPr>
                <w:sz w:val="20"/>
              </w:rPr>
              <w:t>Bacterial Reverse Mutation Assay</w:t>
            </w:r>
          </w:p>
        </w:tc>
        <w:tc>
          <w:tcPr>
            <w:tcW w:w="900" w:type="dxa"/>
            <w:tcBorders>
              <w:top w:val="single" w:sz="2" w:space="0" w:color="000000"/>
              <w:left w:val="single" w:sz="2" w:space="0" w:color="000000"/>
              <w:bottom w:val="single" w:sz="2" w:space="0" w:color="000000"/>
              <w:right w:val="single" w:sz="2" w:space="0" w:color="000000"/>
            </w:tcBorders>
          </w:tcPr>
          <w:p w:rsidR="00A70FF9" w:rsidRDefault="00CB7636">
            <w:pPr>
              <w:pStyle w:val="TableParagraph"/>
              <w:spacing w:before="14"/>
              <w:ind w:left="119" w:right="112"/>
              <w:rPr>
                <w:sz w:val="20"/>
              </w:rPr>
            </w:pPr>
            <w:r>
              <w:rPr>
                <w:sz w:val="20"/>
              </w:rPr>
              <w:t>NA</w:t>
            </w:r>
          </w:p>
        </w:tc>
        <w:tc>
          <w:tcPr>
            <w:tcW w:w="5081" w:type="dxa"/>
            <w:tcBorders>
              <w:top w:val="single" w:sz="2" w:space="0" w:color="000000"/>
              <w:left w:val="single" w:sz="2" w:space="0" w:color="000000"/>
              <w:bottom w:val="single" w:sz="2" w:space="0" w:color="000000"/>
            </w:tcBorders>
          </w:tcPr>
          <w:p w:rsidR="00A70FF9" w:rsidRDefault="00D56536">
            <w:pPr>
              <w:pStyle w:val="TableParagraph"/>
              <w:spacing w:before="14"/>
              <w:ind w:left="117" w:right="317"/>
              <w:jc w:val="left"/>
              <w:rPr>
                <w:sz w:val="20"/>
              </w:rPr>
            </w:pPr>
            <w:r>
              <w:rPr>
                <w:sz w:val="20"/>
              </w:rPr>
              <w:t>PROJECT 17-1</w:t>
            </w:r>
            <w:r w:rsidR="00CB7636">
              <w:rPr>
                <w:sz w:val="20"/>
              </w:rPr>
              <w:t xml:space="preserve"> was tested in the Bacterial Reverse Mutation Assay using </w:t>
            </w:r>
            <w:r w:rsidR="00CB7636">
              <w:rPr>
                <w:i/>
                <w:sz w:val="20"/>
              </w:rPr>
              <w:t xml:space="preserve">Salmonella typhimurium </w:t>
            </w:r>
            <w:r w:rsidR="00CB7636">
              <w:rPr>
                <w:sz w:val="20"/>
              </w:rPr>
              <w:t xml:space="preserve">tester strains TA98, TA100, TA1535 and TA1537 and </w:t>
            </w:r>
            <w:r w:rsidR="00CB7636">
              <w:rPr>
                <w:i/>
                <w:sz w:val="20"/>
              </w:rPr>
              <w:t xml:space="preserve">Escherichia coli </w:t>
            </w:r>
            <w:r w:rsidR="00CB7636">
              <w:rPr>
                <w:sz w:val="20"/>
              </w:rPr>
              <w:t xml:space="preserve">tester strain WP2 </w:t>
            </w:r>
            <w:proofErr w:type="spellStart"/>
            <w:r w:rsidR="00CB7636">
              <w:rPr>
                <w:i/>
                <w:sz w:val="20"/>
              </w:rPr>
              <w:t>uvr</w:t>
            </w:r>
            <w:r w:rsidR="00CB7636">
              <w:rPr>
                <w:sz w:val="20"/>
              </w:rPr>
              <w:t>A</w:t>
            </w:r>
            <w:proofErr w:type="spellEnd"/>
            <w:r w:rsidR="00CB7636">
              <w:rPr>
                <w:sz w:val="20"/>
              </w:rPr>
              <w:t xml:space="preserve"> in the presence and absence of</w:t>
            </w:r>
          </w:p>
          <w:p w:rsidR="00A70FF9" w:rsidRDefault="00CB7636">
            <w:pPr>
              <w:pStyle w:val="TableParagraph"/>
              <w:spacing w:line="242" w:lineRule="auto"/>
              <w:ind w:left="117" w:right="123"/>
              <w:jc w:val="left"/>
              <w:rPr>
                <w:sz w:val="20"/>
              </w:rPr>
            </w:pPr>
            <w:proofErr w:type="spellStart"/>
            <w:r>
              <w:rPr>
                <w:sz w:val="20"/>
              </w:rPr>
              <w:t>Aroclor</w:t>
            </w:r>
            <w:proofErr w:type="spellEnd"/>
            <w:r>
              <w:rPr>
                <w:sz w:val="20"/>
              </w:rPr>
              <w:t xml:space="preserve">-induced rat liver S9. </w:t>
            </w:r>
            <w:r w:rsidR="00D56536">
              <w:rPr>
                <w:sz w:val="20"/>
              </w:rPr>
              <w:t>PROJECT 17-1</w:t>
            </w:r>
            <w:r>
              <w:rPr>
                <w:sz w:val="20"/>
              </w:rPr>
              <w:t xml:space="preserve"> at dose levels up to 5000 µg per plate was concluded to be negative in the Bacterial Reverse Mutation Assay.</w:t>
            </w:r>
          </w:p>
        </w:tc>
      </w:tr>
      <w:tr w:rsidR="00A70FF9">
        <w:trPr>
          <w:trHeight w:val="2800"/>
        </w:trPr>
        <w:tc>
          <w:tcPr>
            <w:tcW w:w="1286" w:type="dxa"/>
            <w:tcBorders>
              <w:top w:val="single" w:sz="2" w:space="0" w:color="000000"/>
              <w:bottom w:val="single" w:sz="2" w:space="0" w:color="000000"/>
              <w:right w:val="single" w:sz="2" w:space="0" w:color="000000"/>
            </w:tcBorders>
          </w:tcPr>
          <w:p w:rsidR="00A70FF9" w:rsidRDefault="00CB7636">
            <w:pPr>
              <w:pStyle w:val="TableParagraph"/>
              <w:spacing w:before="14"/>
              <w:ind w:left="146" w:right="132"/>
              <w:rPr>
                <w:sz w:val="20"/>
              </w:rPr>
            </w:pPr>
            <w:r>
              <w:rPr>
                <w:w w:val="95"/>
                <w:sz w:val="20"/>
              </w:rPr>
              <w:t xml:space="preserve">AE01BX.12 </w:t>
            </w:r>
            <w:r>
              <w:rPr>
                <w:sz w:val="20"/>
              </w:rPr>
              <w:t>5M012ICH. BTL</w:t>
            </w:r>
          </w:p>
        </w:tc>
        <w:tc>
          <w:tcPr>
            <w:tcW w:w="1980" w:type="dxa"/>
            <w:tcBorders>
              <w:top w:val="single" w:sz="2" w:space="0" w:color="000000"/>
              <w:left w:val="single" w:sz="2" w:space="0" w:color="000000"/>
              <w:bottom w:val="single" w:sz="2" w:space="0" w:color="000000"/>
              <w:right w:val="single" w:sz="2" w:space="0" w:color="000000"/>
            </w:tcBorders>
          </w:tcPr>
          <w:p w:rsidR="00A70FF9" w:rsidRDefault="00CB7636">
            <w:pPr>
              <w:pStyle w:val="TableParagraph"/>
              <w:spacing w:before="14"/>
              <w:ind w:left="132" w:right="120"/>
              <w:rPr>
                <w:sz w:val="20"/>
              </w:rPr>
            </w:pPr>
            <w:r>
              <w:rPr>
                <w:sz w:val="20"/>
              </w:rPr>
              <w:t xml:space="preserve">In vivo Micronucleus Assay in Rats with </w:t>
            </w:r>
            <w:r w:rsidR="00D56536">
              <w:rPr>
                <w:sz w:val="20"/>
              </w:rPr>
              <w:t>PROJECT 17-1</w:t>
            </w:r>
          </w:p>
        </w:tc>
        <w:tc>
          <w:tcPr>
            <w:tcW w:w="900" w:type="dxa"/>
            <w:tcBorders>
              <w:top w:val="single" w:sz="2" w:space="0" w:color="000000"/>
              <w:left w:val="single" w:sz="2" w:space="0" w:color="000000"/>
              <w:bottom w:val="single" w:sz="2" w:space="0" w:color="000000"/>
              <w:right w:val="single" w:sz="2" w:space="0" w:color="000000"/>
            </w:tcBorders>
          </w:tcPr>
          <w:p w:rsidR="00A70FF9" w:rsidRDefault="00CB7636">
            <w:pPr>
              <w:pStyle w:val="TableParagraph"/>
              <w:spacing w:before="14"/>
              <w:ind w:left="117" w:right="112"/>
              <w:rPr>
                <w:sz w:val="20"/>
              </w:rPr>
            </w:pPr>
            <w:r>
              <w:rPr>
                <w:sz w:val="20"/>
              </w:rPr>
              <w:t>Rat</w:t>
            </w:r>
          </w:p>
        </w:tc>
        <w:tc>
          <w:tcPr>
            <w:tcW w:w="5081" w:type="dxa"/>
            <w:tcBorders>
              <w:top w:val="single" w:sz="2" w:space="0" w:color="000000"/>
              <w:left w:val="single" w:sz="2" w:space="0" w:color="000000"/>
              <w:bottom w:val="single" w:sz="2" w:space="0" w:color="000000"/>
            </w:tcBorders>
          </w:tcPr>
          <w:p w:rsidR="00A70FF9" w:rsidRDefault="00D56536">
            <w:pPr>
              <w:pStyle w:val="TableParagraph"/>
              <w:spacing w:before="14"/>
              <w:ind w:left="117" w:right="101"/>
              <w:jc w:val="left"/>
              <w:rPr>
                <w:sz w:val="20"/>
              </w:rPr>
            </w:pPr>
            <w:r>
              <w:rPr>
                <w:sz w:val="20"/>
              </w:rPr>
              <w:t>PROJECT 17-1</w:t>
            </w:r>
            <w:r w:rsidR="00CB7636">
              <w:rPr>
                <w:sz w:val="20"/>
              </w:rPr>
              <w:t>, was evaluated for its clastogenic activity and/or disruption of the mitotic apparatus by detecting micronuclei in polychromatic erythrocyte cells in Sprague Dawley (</w:t>
            </w:r>
            <w:proofErr w:type="spellStart"/>
            <w:r w:rsidR="00CB7636">
              <w:rPr>
                <w:sz w:val="20"/>
              </w:rPr>
              <w:t>Hsd:SD</w:t>
            </w:r>
            <w:proofErr w:type="spellEnd"/>
            <w:r w:rsidR="00CB7636">
              <w:rPr>
                <w:sz w:val="20"/>
              </w:rPr>
              <w:t xml:space="preserve">) rat bone marrow. Rats were administered vehicle control (PBS), positive control (cyclophosphamide monohydrate, 40 mg/kg) or </w:t>
            </w:r>
            <w:r>
              <w:rPr>
                <w:sz w:val="20"/>
              </w:rPr>
              <w:t>PROJECT 17-1</w:t>
            </w:r>
            <w:r w:rsidR="00CB7636">
              <w:rPr>
                <w:sz w:val="20"/>
              </w:rPr>
              <w:t xml:space="preserve"> as a single dose of 0, 10, 17.5 and 25 mg/kg. Femoral bone marrow was collected following scheduled euthanasia and bone marrow slides were prepared and stained with acridine orange. </w:t>
            </w:r>
            <w:r>
              <w:rPr>
                <w:sz w:val="20"/>
              </w:rPr>
              <w:t>PROJECT 17-1</w:t>
            </w:r>
            <w:r w:rsidR="00CB7636">
              <w:rPr>
                <w:sz w:val="20"/>
              </w:rPr>
              <w:t xml:space="preserve"> at doses up to and including a dose of 25 mg/kg was concluded to be negative in the rat bone marrow micronucleus assay.</w:t>
            </w:r>
          </w:p>
        </w:tc>
      </w:tr>
      <w:tr w:rsidR="00A70FF9">
        <w:trPr>
          <w:trHeight w:val="2570"/>
        </w:trPr>
        <w:tc>
          <w:tcPr>
            <w:tcW w:w="1286" w:type="dxa"/>
            <w:tcBorders>
              <w:top w:val="single" w:sz="2" w:space="0" w:color="000000"/>
              <w:right w:val="single" w:sz="2" w:space="0" w:color="000000"/>
            </w:tcBorders>
          </w:tcPr>
          <w:p w:rsidR="00A70FF9" w:rsidRDefault="00CB7636">
            <w:pPr>
              <w:pStyle w:val="TableParagraph"/>
              <w:spacing w:before="14"/>
              <w:ind w:left="206" w:right="115" w:hanging="60"/>
              <w:jc w:val="left"/>
              <w:rPr>
                <w:sz w:val="20"/>
              </w:rPr>
            </w:pPr>
            <w:r>
              <w:rPr>
                <w:sz w:val="20"/>
              </w:rPr>
              <w:t>AE01BX.70 4ICH.BTL</w:t>
            </w:r>
          </w:p>
        </w:tc>
        <w:tc>
          <w:tcPr>
            <w:tcW w:w="1980" w:type="dxa"/>
            <w:tcBorders>
              <w:top w:val="single" w:sz="2" w:space="0" w:color="000000"/>
              <w:left w:val="single" w:sz="2" w:space="0" w:color="000000"/>
              <w:right w:val="single" w:sz="2" w:space="0" w:color="000000"/>
            </w:tcBorders>
          </w:tcPr>
          <w:p w:rsidR="00A70FF9" w:rsidRDefault="00CB7636">
            <w:pPr>
              <w:pStyle w:val="TableParagraph"/>
              <w:spacing w:before="14"/>
              <w:ind w:left="149" w:right="137" w:firstLine="38"/>
              <w:jc w:val="both"/>
              <w:rPr>
                <w:sz w:val="20"/>
              </w:rPr>
            </w:pPr>
            <w:r>
              <w:rPr>
                <w:sz w:val="20"/>
              </w:rPr>
              <w:t>In vitro Mammalian Cell Gene Mutation Test(L5178Y/TK +/-</w:t>
            </w:r>
          </w:p>
          <w:p w:rsidR="00A70FF9" w:rsidRDefault="00CB7636">
            <w:pPr>
              <w:pStyle w:val="TableParagraph"/>
              <w:spacing w:line="242" w:lineRule="auto"/>
              <w:ind w:left="715" w:right="203" w:hanging="480"/>
              <w:jc w:val="left"/>
              <w:rPr>
                <w:sz w:val="20"/>
              </w:rPr>
            </w:pPr>
            <w:r>
              <w:rPr>
                <w:sz w:val="20"/>
              </w:rPr>
              <w:t>Mouse Lymphoma Assay)</w:t>
            </w:r>
          </w:p>
        </w:tc>
        <w:tc>
          <w:tcPr>
            <w:tcW w:w="900" w:type="dxa"/>
            <w:tcBorders>
              <w:top w:val="single" w:sz="2" w:space="0" w:color="000000"/>
              <w:left w:val="single" w:sz="2" w:space="0" w:color="000000"/>
              <w:right w:val="single" w:sz="2" w:space="0" w:color="000000"/>
            </w:tcBorders>
          </w:tcPr>
          <w:p w:rsidR="00A70FF9" w:rsidRDefault="00CB7636">
            <w:pPr>
              <w:pStyle w:val="TableParagraph"/>
              <w:spacing w:before="14"/>
              <w:ind w:left="119" w:right="112"/>
              <w:rPr>
                <w:sz w:val="20"/>
              </w:rPr>
            </w:pPr>
            <w:r>
              <w:rPr>
                <w:sz w:val="20"/>
              </w:rPr>
              <w:t>NA</w:t>
            </w:r>
          </w:p>
        </w:tc>
        <w:tc>
          <w:tcPr>
            <w:tcW w:w="5081" w:type="dxa"/>
            <w:tcBorders>
              <w:top w:val="single" w:sz="2" w:space="0" w:color="000000"/>
              <w:left w:val="single" w:sz="2" w:space="0" w:color="000000"/>
            </w:tcBorders>
          </w:tcPr>
          <w:p w:rsidR="00A70FF9" w:rsidRDefault="00CB7636">
            <w:pPr>
              <w:pStyle w:val="TableParagraph"/>
              <w:spacing w:before="14"/>
              <w:ind w:left="117" w:right="169"/>
              <w:jc w:val="left"/>
              <w:rPr>
                <w:sz w:val="20"/>
              </w:rPr>
            </w:pPr>
            <w:r>
              <w:rPr>
                <w:sz w:val="20"/>
              </w:rPr>
              <w:t xml:space="preserve">The objective of this study was to evaluate the genotoxic potential of </w:t>
            </w:r>
            <w:r w:rsidR="00D56536">
              <w:rPr>
                <w:sz w:val="20"/>
              </w:rPr>
              <w:t>PROJECT 17-1</w:t>
            </w:r>
            <w:r>
              <w:rPr>
                <w:sz w:val="20"/>
              </w:rPr>
              <w:t xml:space="preserve"> in a GLP-compliant in vitro mammalian cell gene mutation test. </w:t>
            </w:r>
            <w:r w:rsidR="00D56536">
              <w:rPr>
                <w:sz w:val="20"/>
              </w:rPr>
              <w:t>PROJECT 17-1</w:t>
            </w:r>
            <w:r>
              <w:rPr>
                <w:sz w:val="20"/>
              </w:rPr>
              <w:t xml:space="preserve"> was evaluated to determine its ability to induce forward mutations at the thymidine kinase locus in L5178Y mouse lymphoma cells with and without </w:t>
            </w:r>
            <w:proofErr w:type="spellStart"/>
            <w:r>
              <w:rPr>
                <w:sz w:val="20"/>
              </w:rPr>
              <w:t>Aroclor</w:t>
            </w:r>
            <w:proofErr w:type="spellEnd"/>
            <w:r>
              <w:rPr>
                <w:sz w:val="20"/>
              </w:rPr>
              <w:t xml:space="preserve">-induced rat liver S9. At concentrations ranging from 5.34 to 16.9 µg/mL (4- hour treatment with S9), 4 to 16.9 µg/mL (4-hour treatment without S9) and 0.475 to 3 µg/mL (24-hour treatment without S9), </w:t>
            </w:r>
            <w:r w:rsidR="00D56536">
              <w:rPr>
                <w:sz w:val="20"/>
              </w:rPr>
              <w:t>PROJECT 17-1</w:t>
            </w:r>
            <w:r>
              <w:rPr>
                <w:sz w:val="20"/>
              </w:rPr>
              <w:t xml:space="preserve"> was negative in the L5178Y/TK</w:t>
            </w:r>
            <w:r>
              <w:rPr>
                <w:sz w:val="20"/>
                <w:vertAlign w:val="superscript"/>
              </w:rPr>
              <w:t>+/-</w:t>
            </w:r>
            <w:r>
              <w:rPr>
                <w:sz w:val="20"/>
              </w:rPr>
              <w:t xml:space="preserve"> Mouse Lymphoma Mutagenesis Assay.</w:t>
            </w:r>
          </w:p>
        </w:tc>
      </w:tr>
    </w:tbl>
    <w:p w:rsidR="00A70FF9" w:rsidRDefault="00CB7636">
      <w:pPr>
        <w:spacing w:before="53"/>
        <w:ind w:left="232"/>
        <w:rPr>
          <w:sz w:val="20"/>
        </w:rPr>
      </w:pPr>
      <w:r>
        <w:rPr>
          <w:sz w:val="20"/>
        </w:rPr>
        <w:t>GLP: Good Laboratory Practice; NA: Not applicable; PBS: phosphate buffered saline.</w:t>
      </w:r>
    </w:p>
    <w:p w:rsidR="00A70FF9" w:rsidRDefault="00CB7636">
      <w:pPr>
        <w:pStyle w:val="3"/>
        <w:numPr>
          <w:ilvl w:val="2"/>
          <w:numId w:val="10"/>
        </w:numPr>
        <w:tabs>
          <w:tab w:val="left" w:pos="1084"/>
          <w:tab w:val="left" w:pos="1085"/>
        </w:tabs>
        <w:spacing w:before="151"/>
      </w:pPr>
      <w:bookmarkStart w:id="27" w:name="4.3.6_Carcinogenicity"/>
      <w:bookmarkStart w:id="28" w:name="_bookmark64"/>
      <w:bookmarkEnd w:id="27"/>
      <w:bookmarkEnd w:id="28"/>
      <w:r>
        <w:t>Carcinogenicity</w:t>
      </w:r>
    </w:p>
    <w:p w:rsidR="00A70FF9" w:rsidRDefault="00CB7636">
      <w:pPr>
        <w:pStyle w:val="a3"/>
        <w:spacing w:before="139"/>
        <w:ind w:left="232"/>
      </w:pPr>
      <w:r>
        <w:t xml:space="preserve">No studies have been conducted to date with </w:t>
      </w:r>
      <w:r w:rsidR="00D56536">
        <w:t>PROJECT 17-2</w:t>
      </w:r>
      <w:r>
        <w:t>.</w:t>
      </w:r>
    </w:p>
    <w:p w:rsidR="00A70FF9" w:rsidRDefault="00CB7636">
      <w:pPr>
        <w:pStyle w:val="3"/>
        <w:numPr>
          <w:ilvl w:val="2"/>
          <w:numId w:val="10"/>
        </w:numPr>
        <w:tabs>
          <w:tab w:val="left" w:pos="1084"/>
          <w:tab w:val="left" w:pos="1085"/>
        </w:tabs>
      </w:pPr>
      <w:bookmarkStart w:id="29" w:name="4.3.7_Reproductive_and_Developmental_Tox"/>
      <w:bookmarkStart w:id="30" w:name="_bookmark65"/>
      <w:bookmarkEnd w:id="29"/>
      <w:bookmarkEnd w:id="30"/>
      <w:r>
        <w:t>Reproductive and Developmental</w:t>
      </w:r>
      <w:r>
        <w:rPr>
          <w:spacing w:val="-5"/>
        </w:rPr>
        <w:t xml:space="preserve"> </w:t>
      </w:r>
      <w:r>
        <w:t>Toxicity</w:t>
      </w:r>
    </w:p>
    <w:p w:rsidR="00A70FF9" w:rsidRDefault="00CB7636">
      <w:pPr>
        <w:pStyle w:val="a3"/>
        <w:spacing w:before="139"/>
        <w:ind w:left="232"/>
      </w:pPr>
      <w:r>
        <w:t xml:space="preserve">No studies have been conducted to date with </w:t>
      </w:r>
      <w:r w:rsidR="00D56536">
        <w:t>PROJECT 17-2</w:t>
      </w:r>
      <w:r>
        <w:t>.</w:t>
      </w:r>
    </w:p>
    <w:p w:rsidR="00A70FF9" w:rsidRDefault="00CB7636">
      <w:pPr>
        <w:pStyle w:val="3"/>
        <w:numPr>
          <w:ilvl w:val="2"/>
          <w:numId w:val="10"/>
        </w:numPr>
        <w:tabs>
          <w:tab w:val="left" w:pos="1084"/>
          <w:tab w:val="left" w:pos="1085"/>
        </w:tabs>
      </w:pPr>
      <w:bookmarkStart w:id="31" w:name="4.3.8_Local_Tolerance"/>
      <w:bookmarkStart w:id="32" w:name="_bookmark66"/>
      <w:bookmarkEnd w:id="31"/>
      <w:bookmarkEnd w:id="32"/>
      <w:r>
        <w:t>Local</w:t>
      </w:r>
      <w:r>
        <w:rPr>
          <w:spacing w:val="-1"/>
        </w:rPr>
        <w:t xml:space="preserve"> </w:t>
      </w:r>
      <w:r>
        <w:t>Tolerance</w:t>
      </w:r>
    </w:p>
    <w:p w:rsidR="00A70FF9" w:rsidRDefault="00CB7636">
      <w:pPr>
        <w:pStyle w:val="a3"/>
        <w:spacing w:before="139"/>
        <w:ind w:left="232"/>
      </w:pPr>
      <w:r>
        <w:lastRenderedPageBreak/>
        <w:t xml:space="preserve">No studies have been conducted to date with </w:t>
      </w:r>
      <w:r w:rsidR="00D56536">
        <w:t>PROJECT 17-2</w:t>
      </w:r>
      <w:r>
        <w:t>.</w:t>
      </w:r>
    </w:p>
    <w:p w:rsidR="00A70FF9" w:rsidRDefault="00A70FF9">
      <w:pPr>
        <w:sectPr w:rsidR="00A70FF9">
          <w:headerReference w:type="default" r:id="rId10"/>
          <w:footerReference w:type="default" r:id="rId11"/>
          <w:pgSz w:w="12240" w:h="15840"/>
          <w:pgMar w:top="1560" w:right="1140" w:bottom="940" w:left="1380" w:header="578" w:footer="746" w:gutter="0"/>
          <w:pgNumType w:start="54"/>
          <w:cols w:space="720"/>
        </w:sectPr>
      </w:pPr>
    </w:p>
    <w:p w:rsidR="00A70FF9" w:rsidRDefault="00CB7636">
      <w:pPr>
        <w:pStyle w:val="3"/>
        <w:numPr>
          <w:ilvl w:val="2"/>
          <w:numId w:val="10"/>
        </w:numPr>
        <w:tabs>
          <w:tab w:val="left" w:pos="1084"/>
          <w:tab w:val="left" w:pos="1085"/>
        </w:tabs>
        <w:spacing w:before="148"/>
      </w:pPr>
      <w:bookmarkStart w:id="33" w:name="4.3.9_Other_Toxicity_Studies"/>
      <w:bookmarkStart w:id="34" w:name="_bookmark67"/>
      <w:bookmarkEnd w:id="33"/>
      <w:bookmarkEnd w:id="34"/>
      <w:r>
        <w:lastRenderedPageBreak/>
        <w:t>Other Toxicity</w:t>
      </w:r>
      <w:r>
        <w:rPr>
          <w:spacing w:val="-1"/>
        </w:rPr>
        <w:t xml:space="preserve"> </w:t>
      </w:r>
      <w:r>
        <w:t>Studies</w:t>
      </w:r>
    </w:p>
    <w:p w:rsidR="00A70FF9" w:rsidRDefault="00CB7636">
      <w:pPr>
        <w:pStyle w:val="3"/>
        <w:numPr>
          <w:ilvl w:val="3"/>
          <w:numId w:val="10"/>
        </w:numPr>
        <w:tabs>
          <w:tab w:val="left" w:pos="1085"/>
        </w:tabs>
        <w:spacing w:before="144"/>
      </w:pPr>
      <w:bookmarkStart w:id="35" w:name="4.3.9.1_Ocular_Toxicity"/>
      <w:bookmarkStart w:id="36" w:name="_bookmark68"/>
      <w:bookmarkEnd w:id="35"/>
      <w:bookmarkEnd w:id="36"/>
      <w:r>
        <w:t>Ocular Toxicity</w:t>
      </w:r>
    </w:p>
    <w:p w:rsidR="00A70FF9" w:rsidRDefault="00CB7636">
      <w:pPr>
        <w:pStyle w:val="a3"/>
        <w:spacing w:before="139" w:line="261" w:lineRule="auto"/>
        <w:ind w:left="232" w:right="556"/>
      </w:pPr>
      <w:r>
        <w:t xml:space="preserve">Six non-GLP studies have been conducted to establish an animal model of ocular tolerability which included </w:t>
      </w:r>
      <w:r w:rsidR="00D56536">
        <w:t>PROJECT 17-2</w:t>
      </w:r>
      <w:r>
        <w:t xml:space="preserve"> as a control. These studies are listed in [</w:t>
      </w:r>
      <w:hyperlink w:anchor="_bookmark69" w:history="1">
        <w:r>
          <w:t>Table 14</w:t>
        </w:r>
      </w:hyperlink>
      <w:r>
        <w:t>]. Additional details will be added to the IB should clinically meaningful information be obtained from these investigative studies.</w:t>
      </w:r>
    </w:p>
    <w:p w:rsidR="00A70FF9" w:rsidRDefault="00CB7636">
      <w:pPr>
        <w:pStyle w:val="3"/>
        <w:tabs>
          <w:tab w:val="left" w:pos="1651"/>
        </w:tabs>
        <w:spacing w:before="95"/>
        <w:ind w:left="232"/>
      </w:pPr>
      <w:bookmarkStart w:id="37" w:name="_bookmark69"/>
      <w:bookmarkEnd w:id="37"/>
      <w:r>
        <w:t>Table</w:t>
      </w:r>
      <w:r>
        <w:rPr>
          <w:spacing w:val="-1"/>
        </w:rPr>
        <w:t xml:space="preserve"> </w:t>
      </w:r>
      <w:r>
        <w:t>14</w:t>
      </w:r>
      <w:r>
        <w:tab/>
        <w:t>Non-GLP Models of Ocular</w:t>
      </w:r>
      <w:r>
        <w:rPr>
          <w:spacing w:val="-1"/>
        </w:rPr>
        <w:t xml:space="preserve"> </w:t>
      </w:r>
      <w:r>
        <w:t>Tolerability</w:t>
      </w:r>
    </w:p>
    <w:p w:rsidR="00A70FF9" w:rsidRDefault="00A70FF9">
      <w:pPr>
        <w:pStyle w:val="a3"/>
        <w:spacing w:before="6"/>
        <w:rPr>
          <w:b/>
          <w:sz w:val="5"/>
        </w:rPr>
      </w:pPr>
    </w:p>
    <w:tbl>
      <w:tblPr>
        <w:tblStyle w:val="TableNormal"/>
        <w:tblW w:w="0" w:type="auto"/>
        <w:tblInd w:w="1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046"/>
        <w:gridCol w:w="2200"/>
      </w:tblGrid>
      <w:tr w:rsidR="00A70FF9">
        <w:trPr>
          <w:trHeight w:val="309"/>
        </w:trPr>
        <w:tc>
          <w:tcPr>
            <w:tcW w:w="7046" w:type="dxa"/>
            <w:tcBorders>
              <w:bottom w:val="single" w:sz="2" w:space="0" w:color="000000"/>
              <w:right w:val="single" w:sz="2" w:space="0" w:color="000000"/>
            </w:tcBorders>
          </w:tcPr>
          <w:p w:rsidR="00A70FF9" w:rsidRDefault="00CB7636">
            <w:pPr>
              <w:pStyle w:val="TableParagraph"/>
              <w:spacing w:before="38"/>
              <w:ind w:left="114"/>
              <w:jc w:val="left"/>
              <w:rPr>
                <w:b/>
                <w:sz w:val="20"/>
              </w:rPr>
            </w:pPr>
            <w:r>
              <w:rPr>
                <w:b/>
                <w:sz w:val="20"/>
              </w:rPr>
              <w:t>Study Title</w:t>
            </w:r>
          </w:p>
        </w:tc>
        <w:tc>
          <w:tcPr>
            <w:tcW w:w="2200" w:type="dxa"/>
            <w:tcBorders>
              <w:left w:val="single" w:sz="2" w:space="0" w:color="000000"/>
              <w:bottom w:val="single" w:sz="2" w:space="0" w:color="000000"/>
            </w:tcBorders>
          </w:tcPr>
          <w:p w:rsidR="00A70FF9" w:rsidRDefault="00CB7636">
            <w:pPr>
              <w:pStyle w:val="TableParagraph"/>
              <w:spacing w:before="38"/>
              <w:ind w:left="308" w:right="291"/>
              <w:rPr>
                <w:b/>
                <w:sz w:val="20"/>
              </w:rPr>
            </w:pPr>
            <w:r>
              <w:rPr>
                <w:b/>
                <w:sz w:val="20"/>
              </w:rPr>
              <w:t>Study/ Report No.</w:t>
            </w:r>
          </w:p>
        </w:tc>
      </w:tr>
      <w:tr w:rsidR="00A70FF9">
        <w:trPr>
          <w:trHeight w:val="539"/>
        </w:trPr>
        <w:tc>
          <w:tcPr>
            <w:tcW w:w="7046" w:type="dxa"/>
            <w:tcBorders>
              <w:top w:val="single" w:sz="2" w:space="0" w:color="000000"/>
              <w:bottom w:val="single" w:sz="2" w:space="0" w:color="000000"/>
              <w:right w:val="single" w:sz="2" w:space="0" w:color="000000"/>
            </w:tcBorders>
          </w:tcPr>
          <w:p w:rsidR="00A70FF9" w:rsidRDefault="00CB7636">
            <w:pPr>
              <w:pStyle w:val="TableParagraph"/>
              <w:spacing w:before="34"/>
              <w:ind w:left="114" w:right="186"/>
              <w:jc w:val="left"/>
              <w:rPr>
                <w:sz w:val="20"/>
              </w:rPr>
            </w:pPr>
            <w:r>
              <w:rPr>
                <w:sz w:val="20"/>
              </w:rPr>
              <w:t>A 4-Week Intravenous Administration – Ocular Tolerability Study Comparing Four Antibody Drug Conjugates in Dutch Belted Rabbits</w:t>
            </w:r>
          </w:p>
        </w:tc>
        <w:tc>
          <w:tcPr>
            <w:tcW w:w="2200" w:type="dxa"/>
            <w:tcBorders>
              <w:top w:val="single" w:sz="2" w:space="0" w:color="000000"/>
              <w:left w:val="single" w:sz="2" w:space="0" w:color="000000"/>
              <w:bottom w:val="single" w:sz="2" w:space="0" w:color="000000"/>
            </w:tcBorders>
          </w:tcPr>
          <w:p w:rsidR="00A70FF9" w:rsidRDefault="00CB7636">
            <w:pPr>
              <w:pStyle w:val="TableParagraph"/>
              <w:spacing w:before="149"/>
              <w:ind w:left="308" w:right="288"/>
              <w:rPr>
                <w:sz w:val="20"/>
              </w:rPr>
            </w:pPr>
            <w:r>
              <w:rPr>
                <w:sz w:val="20"/>
              </w:rPr>
              <w:t>COV 8330867</w:t>
            </w:r>
          </w:p>
        </w:tc>
      </w:tr>
      <w:tr w:rsidR="00A70FF9">
        <w:trPr>
          <w:trHeight w:val="770"/>
        </w:trPr>
        <w:tc>
          <w:tcPr>
            <w:tcW w:w="7046" w:type="dxa"/>
            <w:tcBorders>
              <w:top w:val="single" w:sz="2" w:space="0" w:color="000000"/>
              <w:bottom w:val="single" w:sz="2" w:space="0" w:color="000000"/>
              <w:right w:val="single" w:sz="2" w:space="0" w:color="000000"/>
            </w:tcBorders>
          </w:tcPr>
          <w:p w:rsidR="00A70FF9" w:rsidRDefault="00CB7636">
            <w:pPr>
              <w:pStyle w:val="TableParagraph"/>
              <w:spacing w:before="34"/>
              <w:ind w:left="114" w:right="186"/>
              <w:jc w:val="left"/>
              <w:rPr>
                <w:sz w:val="20"/>
              </w:rPr>
            </w:pPr>
            <w:r>
              <w:rPr>
                <w:sz w:val="20"/>
              </w:rPr>
              <w:t xml:space="preserve">Ocular Tolerability Study Comparing AGS34F and </w:t>
            </w:r>
            <w:r w:rsidR="00D56536">
              <w:rPr>
                <w:sz w:val="20"/>
              </w:rPr>
              <w:t>PROJECT 17-2</w:t>
            </w:r>
            <w:r>
              <w:rPr>
                <w:sz w:val="20"/>
              </w:rPr>
              <w:t xml:space="preserve"> Antibody Drug Conjugates in Male Dutch Belted Rabbits During Weekly Intravenous Administration for Six Weeks</w:t>
            </w:r>
          </w:p>
        </w:tc>
        <w:tc>
          <w:tcPr>
            <w:tcW w:w="2200" w:type="dxa"/>
            <w:tcBorders>
              <w:top w:val="single" w:sz="2" w:space="0" w:color="000000"/>
              <w:left w:val="single" w:sz="2" w:space="0" w:color="000000"/>
              <w:bottom w:val="single" w:sz="2" w:space="0" w:color="000000"/>
            </w:tcBorders>
          </w:tcPr>
          <w:p w:rsidR="00A70FF9" w:rsidRDefault="00A70FF9">
            <w:pPr>
              <w:pStyle w:val="TableParagraph"/>
              <w:spacing w:before="11"/>
              <w:jc w:val="left"/>
              <w:rPr>
                <w:b/>
              </w:rPr>
            </w:pPr>
          </w:p>
          <w:p w:rsidR="00A70FF9" w:rsidRDefault="00CB7636">
            <w:pPr>
              <w:pStyle w:val="TableParagraph"/>
              <w:ind w:left="308" w:right="288"/>
              <w:rPr>
                <w:sz w:val="20"/>
              </w:rPr>
            </w:pPr>
            <w:r>
              <w:rPr>
                <w:sz w:val="20"/>
              </w:rPr>
              <w:t>COV 8298493</w:t>
            </w:r>
          </w:p>
        </w:tc>
      </w:tr>
      <w:tr w:rsidR="00A70FF9">
        <w:trPr>
          <w:trHeight w:val="539"/>
        </w:trPr>
        <w:tc>
          <w:tcPr>
            <w:tcW w:w="7046" w:type="dxa"/>
            <w:tcBorders>
              <w:top w:val="single" w:sz="2" w:space="0" w:color="000000"/>
              <w:bottom w:val="single" w:sz="2" w:space="0" w:color="000000"/>
              <w:right w:val="single" w:sz="2" w:space="0" w:color="000000"/>
            </w:tcBorders>
          </w:tcPr>
          <w:p w:rsidR="00A70FF9" w:rsidRDefault="00CB7636">
            <w:pPr>
              <w:pStyle w:val="TableParagraph"/>
              <w:spacing w:before="34"/>
              <w:ind w:left="114" w:right="441"/>
              <w:jc w:val="left"/>
              <w:rPr>
                <w:sz w:val="20"/>
              </w:rPr>
            </w:pPr>
            <w:r>
              <w:rPr>
                <w:sz w:val="20"/>
              </w:rPr>
              <w:t xml:space="preserve">A Single Dose Study of </w:t>
            </w:r>
            <w:r w:rsidR="00D56536">
              <w:rPr>
                <w:sz w:val="20"/>
              </w:rPr>
              <w:t>PROJECT 17-2</w:t>
            </w:r>
            <w:r>
              <w:rPr>
                <w:sz w:val="20"/>
              </w:rPr>
              <w:t xml:space="preserve"> by Intravenous Bolus Injection in Sprague- Dawley Rats</w:t>
            </w:r>
          </w:p>
        </w:tc>
        <w:tc>
          <w:tcPr>
            <w:tcW w:w="2200" w:type="dxa"/>
            <w:tcBorders>
              <w:top w:val="single" w:sz="2" w:space="0" w:color="000000"/>
              <w:left w:val="single" w:sz="2" w:space="0" w:color="000000"/>
              <w:bottom w:val="single" w:sz="2" w:space="0" w:color="000000"/>
            </w:tcBorders>
          </w:tcPr>
          <w:p w:rsidR="00A70FF9" w:rsidRDefault="00CB7636">
            <w:pPr>
              <w:pStyle w:val="TableParagraph"/>
              <w:spacing w:before="149"/>
              <w:ind w:left="308" w:right="288"/>
              <w:rPr>
                <w:sz w:val="20"/>
              </w:rPr>
            </w:pPr>
            <w:r>
              <w:rPr>
                <w:sz w:val="20"/>
              </w:rPr>
              <w:t>CRL 20064570</w:t>
            </w:r>
          </w:p>
        </w:tc>
      </w:tr>
      <w:tr w:rsidR="00A70FF9">
        <w:trPr>
          <w:trHeight w:val="539"/>
        </w:trPr>
        <w:tc>
          <w:tcPr>
            <w:tcW w:w="7046" w:type="dxa"/>
            <w:tcBorders>
              <w:top w:val="single" w:sz="2" w:space="0" w:color="000000"/>
              <w:bottom w:val="single" w:sz="2" w:space="0" w:color="000000"/>
              <w:right w:val="single" w:sz="2" w:space="0" w:color="000000"/>
            </w:tcBorders>
          </w:tcPr>
          <w:p w:rsidR="00A70FF9" w:rsidRDefault="00CB7636">
            <w:pPr>
              <w:pStyle w:val="TableParagraph"/>
              <w:spacing w:before="34"/>
              <w:ind w:left="114" w:right="441"/>
              <w:jc w:val="left"/>
              <w:rPr>
                <w:sz w:val="20"/>
              </w:rPr>
            </w:pPr>
            <w:r>
              <w:rPr>
                <w:sz w:val="20"/>
              </w:rPr>
              <w:t xml:space="preserve">A Single Dose Study of </w:t>
            </w:r>
            <w:r w:rsidR="00D56536">
              <w:rPr>
                <w:sz w:val="20"/>
              </w:rPr>
              <w:t>PROJECT 17-2</w:t>
            </w:r>
            <w:r>
              <w:rPr>
                <w:sz w:val="20"/>
              </w:rPr>
              <w:t xml:space="preserve"> by Intravenous Bolus Injection in Sprague- Dawley Rats</w:t>
            </w:r>
          </w:p>
        </w:tc>
        <w:tc>
          <w:tcPr>
            <w:tcW w:w="2200" w:type="dxa"/>
            <w:tcBorders>
              <w:top w:val="single" w:sz="2" w:space="0" w:color="000000"/>
              <w:left w:val="single" w:sz="2" w:space="0" w:color="000000"/>
              <w:bottom w:val="single" w:sz="2" w:space="0" w:color="000000"/>
            </w:tcBorders>
          </w:tcPr>
          <w:p w:rsidR="00A70FF9" w:rsidRDefault="00CB7636">
            <w:pPr>
              <w:pStyle w:val="TableParagraph"/>
              <w:spacing w:before="149"/>
              <w:ind w:left="308" w:right="288"/>
              <w:rPr>
                <w:sz w:val="20"/>
              </w:rPr>
            </w:pPr>
            <w:r>
              <w:rPr>
                <w:sz w:val="20"/>
              </w:rPr>
              <w:t>CRL 20068088</w:t>
            </w:r>
          </w:p>
        </w:tc>
      </w:tr>
      <w:tr w:rsidR="00A70FF9">
        <w:trPr>
          <w:trHeight w:val="539"/>
        </w:trPr>
        <w:tc>
          <w:tcPr>
            <w:tcW w:w="7046" w:type="dxa"/>
            <w:tcBorders>
              <w:top w:val="single" w:sz="2" w:space="0" w:color="000000"/>
              <w:bottom w:val="single" w:sz="2" w:space="0" w:color="000000"/>
              <w:right w:val="single" w:sz="2" w:space="0" w:color="000000"/>
            </w:tcBorders>
          </w:tcPr>
          <w:p w:rsidR="00A70FF9" w:rsidRDefault="00CB7636">
            <w:pPr>
              <w:pStyle w:val="TableParagraph"/>
              <w:spacing w:before="34"/>
              <w:ind w:left="114" w:right="658"/>
              <w:jc w:val="left"/>
              <w:rPr>
                <w:sz w:val="20"/>
              </w:rPr>
            </w:pPr>
            <w:r>
              <w:rPr>
                <w:sz w:val="20"/>
              </w:rPr>
              <w:t>Non-GLP, 4-week Ocular Tolerability Study Comparing Four Antibody-Drug Conjugates in Dutch-Belted Rabbits</w:t>
            </w:r>
          </w:p>
        </w:tc>
        <w:tc>
          <w:tcPr>
            <w:tcW w:w="2200" w:type="dxa"/>
            <w:tcBorders>
              <w:top w:val="single" w:sz="2" w:space="0" w:color="000000"/>
              <w:left w:val="single" w:sz="2" w:space="0" w:color="000000"/>
              <w:bottom w:val="single" w:sz="2" w:space="0" w:color="000000"/>
            </w:tcBorders>
          </w:tcPr>
          <w:p w:rsidR="00A70FF9" w:rsidRDefault="00CB7636">
            <w:pPr>
              <w:pStyle w:val="TableParagraph"/>
              <w:spacing w:before="149"/>
              <w:ind w:left="308" w:right="288"/>
              <w:rPr>
                <w:sz w:val="20"/>
              </w:rPr>
            </w:pPr>
            <w:r>
              <w:rPr>
                <w:sz w:val="20"/>
              </w:rPr>
              <w:t>COV 8320275</w:t>
            </w:r>
          </w:p>
        </w:tc>
      </w:tr>
      <w:tr w:rsidR="00A70FF9">
        <w:trPr>
          <w:trHeight w:val="542"/>
        </w:trPr>
        <w:tc>
          <w:tcPr>
            <w:tcW w:w="7046" w:type="dxa"/>
            <w:tcBorders>
              <w:top w:val="single" w:sz="2" w:space="0" w:color="000000"/>
              <w:right w:val="single" w:sz="2" w:space="0" w:color="000000"/>
            </w:tcBorders>
          </w:tcPr>
          <w:p w:rsidR="00A70FF9" w:rsidRDefault="00CB7636">
            <w:pPr>
              <w:pStyle w:val="TableParagraph"/>
              <w:spacing w:before="36"/>
              <w:ind w:left="114"/>
              <w:jc w:val="left"/>
              <w:rPr>
                <w:sz w:val="20"/>
              </w:rPr>
            </w:pPr>
            <w:r>
              <w:rPr>
                <w:sz w:val="20"/>
              </w:rPr>
              <w:t xml:space="preserve">Non-GLP, single-dose, </w:t>
            </w:r>
            <w:r w:rsidR="00D56536">
              <w:rPr>
                <w:sz w:val="20"/>
              </w:rPr>
              <w:t>PROJECT 17-2</w:t>
            </w:r>
            <w:r>
              <w:rPr>
                <w:sz w:val="20"/>
              </w:rPr>
              <w:t xml:space="preserve"> Intravenous Bolus in Sprague-Dawley Rat Assessing Corneal Mitotic Figures</w:t>
            </w:r>
          </w:p>
        </w:tc>
        <w:tc>
          <w:tcPr>
            <w:tcW w:w="2200" w:type="dxa"/>
            <w:tcBorders>
              <w:top w:val="single" w:sz="2" w:space="0" w:color="000000"/>
              <w:left w:val="single" w:sz="2" w:space="0" w:color="000000"/>
            </w:tcBorders>
          </w:tcPr>
          <w:p w:rsidR="00A70FF9" w:rsidRDefault="00CB7636">
            <w:pPr>
              <w:pStyle w:val="TableParagraph"/>
              <w:spacing w:before="149"/>
              <w:ind w:left="308" w:right="288"/>
              <w:rPr>
                <w:sz w:val="20"/>
              </w:rPr>
            </w:pPr>
            <w:r>
              <w:rPr>
                <w:sz w:val="20"/>
              </w:rPr>
              <w:t>CRL 20073394</w:t>
            </w:r>
          </w:p>
        </w:tc>
      </w:tr>
    </w:tbl>
    <w:p w:rsidR="00A70FF9" w:rsidRDefault="00A70FF9">
      <w:pPr>
        <w:pStyle w:val="a3"/>
        <w:rPr>
          <w:b/>
          <w:sz w:val="26"/>
        </w:rPr>
      </w:pPr>
    </w:p>
    <w:p w:rsidR="00A70FF9" w:rsidRDefault="00A70FF9">
      <w:pPr>
        <w:pStyle w:val="a3"/>
        <w:spacing w:before="9"/>
        <w:rPr>
          <w:b/>
          <w:sz w:val="20"/>
        </w:rPr>
      </w:pPr>
    </w:p>
    <w:p w:rsidR="00A70FF9" w:rsidRDefault="00CB7636">
      <w:pPr>
        <w:pStyle w:val="2"/>
        <w:tabs>
          <w:tab w:val="left" w:pos="1084"/>
        </w:tabs>
        <w:spacing w:before="0"/>
        <w:ind w:left="1084" w:right="556"/>
      </w:pPr>
      <w:bookmarkStart w:id="38" w:name="4.4_Integrated_Nonclinical_Overview_and_"/>
      <w:bookmarkStart w:id="39" w:name="_bookmark70"/>
      <w:bookmarkEnd w:id="38"/>
      <w:bookmarkEnd w:id="39"/>
      <w:r>
        <w:t>4.4</w:t>
      </w:r>
      <w:r>
        <w:tab/>
        <w:t>Integrated Nonclinical Overview and Conclusion: Potential Clinical Relevance</w:t>
      </w:r>
    </w:p>
    <w:p w:rsidR="00A70FF9" w:rsidRDefault="00CB7636">
      <w:pPr>
        <w:pStyle w:val="a3"/>
        <w:spacing w:before="140" w:line="261" w:lineRule="auto"/>
        <w:ind w:left="232" w:right="889"/>
      </w:pPr>
      <w:r>
        <w:t>This section cannot be completed in this update due to some of the toxicology reports not being available.</w:t>
      </w:r>
    </w:p>
    <w:p w:rsidR="00A70FF9" w:rsidRDefault="00CB7636">
      <w:pPr>
        <w:pStyle w:val="3"/>
        <w:spacing w:before="123"/>
        <w:ind w:left="232"/>
      </w:pPr>
      <w:r>
        <w:t>List of References</w:t>
      </w:r>
    </w:p>
    <w:p w:rsidR="00A70FF9" w:rsidRDefault="00CB7636">
      <w:pPr>
        <w:spacing w:before="115"/>
        <w:ind w:left="799" w:right="761" w:hanging="567"/>
      </w:pPr>
      <w:r>
        <w:t xml:space="preserve">Alley SC, Zhang X, </w:t>
      </w:r>
      <w:proofErr w:type="spellStart"/>
      <w:r>
        <w:t>Okeley</w:t>
      </w:r>
      <w:proofErr w:type="spellEnd"/>
      <w:r>
        <w:t xml:space="preserve"> NM, Anderson M, Law CL, </w:t>
      </w:r>
      <w:proofErr w:type="spellStart"/>
      <w:r>
        <w:t>Senter</w:t>
      </w:r>
      <w:proofErr w:type="spellEnd"/>
      <w:r>
        <w:t xml:space="preserve"> PD, et al. The pharmacologic basis for antibody-auristatin conjugate activity. J </w:t>
      </w:r>
      <w:proofErr w:type="spellStart"/>
      <w:r>
        <w:t>Pharmacol</w:t>
      </w:r>
      <w:proofErr w:type="spellEnd"/>
      <w:r>
        <w:t xml:space="preserve"> Exp </w:t>
      </w:r>
      <w:proofErr w:type="spellStart"/>
      <w:r>
        <w:t>Ther</w:t>
      </w:r>
      <w:proofErr w:type="spellEnd"/>
      <w:r>
        <w:t>. 2009;330:932-8.</w:t>
      </w:r>
    </w:p>
    <w:p w:rsidR="00A70FF9" w:rsidRDefault="00A70FF9">
      <w:pPr>
        <w:pStyle w:val="a3"/>
        <w:spacing w:before="10"/>
        <w:rPr>
          <w:sz w:val="20"/>
        </w:rPr>
      </w:pPr>
    </w:p>
    <w:p w:rsidR="00A70FF9" w:rsidRDefault="00CB7636">
      <w:pPr>
        <w:ind w:left="799" w:right="384" w:hanging="567"/>
      </w:pPr>
      <w:proofErr w:type="spellStart"/>
      <w:r>
        <w:t>Boumiza</w:t>
      </w:r>
      <w:proofErr w:type="spellEnd"/>
      <w:r>
        <w:t xml:space="preserve"> R, </w:t>
      </w:r>
      <w:proofErr w:type="spellStart"/>
      <w:r>
        <w:t>Debard</w:t>
      </w:r>
      <w:proofErr w:type="spellEnd"/>
      <w:r>
        <w:t xml:space="preserve"> AL, </w:t>
      </w:r>
      <w:proofErr w:type="spellStart"/>
      <w:r>
        <w:t>Monneret</w:t>
      </w:r>
      <w:proofErr w:type="spellEnd"/>
      <w:r>
        <w:t xml:space="preserve"> G. The basophil activation test by flow cytometry: recent developments in clinical studies, standardization and emerging perspectives. Clin Mol Allergy. 2005;3:9.</w:t>
      </w:r>
    </w:p>
    <w:p w:rsidR="00A70FF9" w:rsidRDefault="00A70FF9">
      <w:pPr>
        <w:pStyle w:val="a3"/>
        <w:spacing w:before="9"/>
        <w:rPr>
          <w:sz w:val="20"/>
        </w:rPr>
      </w:pPr>
    </w:p>
    <w:p w:rsidR="00A70FF9" w:rsidRDefault="00CB7636">
      <w:pPr>
        <w:spacing w:before="1"/>
        <w:ind w:left="799" w:right="577" w:hanging="567"/>
      </w:pPr>
      <w:proofErr w:type="spellStart"/>
      <w:r>
        <w:t>Bühring</w:t>
      </w:r>
      <w:proofErr w:type="spellEnd"/>
      <w:r>
        <w:t xml:space="preserve"> HJ, Simmons PJ, </w:t>
      </w:r>
      <w:proofErr w:type="spellStart"/>
      <w:r>
        <w:t>Pudney</w:t>
      </w:r>
      <w:proofErr w:type="spellEnd"/>
      <w:r>
        <w:t xml:space="preserve"> M, Müller R, </w:t>
      </w:r>
      <w:proofErr w:type="spellStart"/>
      <w:r>
        <w:t>Jarrossay</w:t>
      </w:r>
      <w:proofErr w:type="spellEnd"/>
      <w:r>
        <w:t xml:space="preserve"> D, van </w:t>
      </w:r>
      <w:proofErr w:type="spellStart"/>
      <w:r>
        <w:t>Agthoven</w:t>
      </w:r>
      <w:proofErr w:type="spellEnd"/>
      <w:r>
        <w:t xml:space="preserve"> A, et al. The monoclonal antibody 97A6 defines a novel surface antigen expressed on human basophils and their multipotent and unipotent progenitors. Blood. 1999;94(7):2343-56.</w:t>
      </w:r>
    </w:p>
    <w:p w:rsidR="00A70FF9" w:rsidRDefault="00A70FF9">
      <w:pPr>
        <w:pStyle w:val="a3"/>
        <w:spacing w:before="9"/>
        <w:rPr>
          <w:sz w:val="20"/>
        </w:rPr>
      </w:pPr>
    </w:p>
    <w:p w:rsidR="00A70FF9" w:rsidRDefault="00CB7636">
      <w:pPr>
        <w:ind w:left="799" w:right="897" w:hanging="567"/>
      </w:pPr>
      <w:proofErr w:type="spellStart"/>
      <w:r>
        <w:t>Doronina</w:t>
      </w:r>
      <w:proofErr w:type="spellEnd"/>
      <w:r>
        <w:t xml:space="preserve"> SO, Mendelsohn BA, </w:t>
      </w:r>
      <w:proofErr w:type="spellStart"/>
      <w:r>
        <w:t>Bovee</w:t>
      </w:r>
      <w:proofErr w:type="spellEnd"/>
      <w:r>
        <w:t xml:space="preserve"> TD, </w:t>
      </w:r>
      <w:proofErr w:type="spellStart"/>
      <w:r>
        <w:t>Cerveny</w:t>
      </w:r>
      <w:proofErr w:type="spellEnd"/>
      <w:r>
        <w:t xml:space="preserve"> CG, Alley SC, Meyer DL, et al. Enhanced activity of </w:t>
      </w:r>
      <w:proofErr w:type="spellStart"/>
      <w:r>
        <w:t>monomethylauristatin</w:t>
      </w:r>
      <w:proofErr w:type="spellEnd"/>
      <w:r>
        <w:t xml:space="preserve"> F through monoclonal antibody delivery: effects of linker technology on efficacy and toxicity. </w:t>
      </w:r>
      <w:proofErr w:type="spellStart"/>
      <w:r>
        <w:t>Bioconjung</w:t>
      </w:r>
      <w:proofErr w:type="spellEnd"/>
      <w:r>
        <w:t xml:space="preserve"> Chem. 2006;17:114-24.</w:t>
      </w:r>
    </w:p>
    <w:p w:rsidR="00A70FF9" w:rsidRDefault="00A70FF9">
      <w:pPr>
        <w:sectPr w:rsidR="00A70FF9">
          <w:pgSz w:w="12240" w:h="15840"/>
          <w:pgMar w:top="1560" w:right="1140" w:bottom="940" w:left="1380" w:header="578" w:footer="746" w:gutter="0"/>
          <w:cols w:space="720"/>
        </w:sectPr>
      </w:pPr>
    </w:p>
    <w:p w:rsidR="00A70FF9" w:rsidRDefault="00CB7636">
      <w:pPr>
        <w:spacing w:before="119"/>
        <w:ind w:left="799" w:right="794" w:hanging="567"/>
      </w:pPr>
      <w:r>
        <w:lastRenderedPageBreak/>
        <w:t xml:space="preserve">Erickson HK, Park PU, </w:t>
      </w:r>
      <w:proofErr w:type="spellStart"/>
      <w:r>
        <w:t>Widdison</w:t>
      </w:r>
      <w:proofErr w:type="spellEnd"/>
      <w:r>
        <w:t xml:space="preserve"> WC, </w:t>
      </w:r>
      <w:proofErr w:type="spellStart"/>
      <w:r>
        <w:t>Kovtun</w:t>
      </w:r>
      <w:proofErr w:type="spellEnd"/>
      <w:r>
        <w:t xml:space="preserve"> YV, Garrett LM., </w:t>
      </w:r>
      <w:proofErr w:type="spellStart"/>
      <w:r>
        <w:t>Hofman</w:t>
      </w:r>
      <w:proofErr w:type="spellEnd"/>
      <w:r>
        <w:t xml:space="preserve"> K, et al. Antibody- </w:t>
      </w:r>
      <w:proofErr w:type="spellStart"/>
      <w:r>
        <w:t>maytansinoid</w:t>
      </w:r>
      <w:proofErr w:type="spellEnd"/>
      <w:r>
        <w:t xml:space="preserve"> conjugates are activated in targeted cancer cells by lysosomal degradation and linker-dependent intracellular processing. Cancer Res. 2006;66: 4426-33.</w:t>
      </w:r>
    </w:p>
    <w:p w:rsidR="00A70FF9" w:rsidRDefault="00A70FF9">
      <w:pPr>
        <w:pStyle w:val="a3"/>
        <w:spacing w:before="9"/>
        <w:rPr>
          <w:sz w:val="20"/>
        </w:rPr>
      </w:pPr>
    </w:p>
    <w:p w:rsidR="00A70FF9" w:rsidRDefault="00CB7636">
      <w:pPr>
        <w:ind w:left="799" w:right="384" w:hanging="567"/>
      </w:pPr>
      <w:r>
        <w:t xml:space="preserve">Hauswirth AW, Florian S, </w:t>
      </w:r>
      <w:proofErr w:type="spellStart"/>
      <w:r>
        <w:t>Schernthaner</w:t>
      </w:r>
      <w:proofErr w:type="spellEnd"/>
      <w:r>
        <w:t xml:space="preserve"> GH, Krauth MT, </w:t>
      </w:r>
      <w:proofErr w:type="spellStart"/>
      <w:r>
        <w:t>Sonneck</w:t>
      </w:r>
      <w:proofErr w:type="spellEnd"/>
      <w:r>
        <w:t xml:space="preserve"> K, </w:t>
      </w:r>
      <w:proofErr w:type="spellStart"/>
      <w:r>
        <w:t>Sperr</w:t>
      </w:r>
      <w:proofErr w:type="spellEnd"/>
      <w:r>
        <w:t xml:space="preserve"> WR, et al. Expression of cell surface antigens on mast cells: mast cell phenotyping. Methods Mol Biol. 2006;315:77-90.</w:t>
      </w:r>
    </w:p>
    <w:p w:rsidR="00A70FF9" w:rsidRDefault="00A70FF9">
      <w:pPr>
        <w:pStyle w:val="a3"/>
        <w:spacing w:before="10"/>
        <w:rPr>
          <w:sz w:val="20"/>
        </w:rPr>
      </w:pPr>
    </w:p>
    <w:p w:rsidR="00A70FF9" w:rsidRDefault="00CB7636">
      <w:pPr>
        <w:spacing w:before="1"/>
        <w:ind w:left="799" w:right="889" w:hanging="567"/>
      </w:pPr>
      <w:proofErr w:type="spellStart"/>
      <w:r>
        <w:t>Oflazoglu</w:t>
      </w:r>
      <w:proofErr w:type="spellEnd"/>
      <w:r>
        <w:t xml:space="preserve"> E, Stone IJ, Gordon K, Wood CG, </w:t>
      </w:r>
      <w:proofErr w:type="spellStart"/>
      <w:r>
        <w:t>Repasky</w:t>
      </w:r>
      <w:proofErr w:type="spellEnd"/>
      <w:r>
        <w:t xml:space="preserve"> EA, Grewal IS, et al. Potent anticarcinoma activity of the humanized anti-CD70 antibody h1F6 conjugated to the tubulin inhibitor auristatin via an uncleavable linker. Clin Cancer Res. 2008;14:6171-80.</w:t>
      </w:r>
    </w:p>
    <w:p w:rsidR="00A70FF9" w:rsidRDefault="00A70FF9">
      <w:pPr>
        <w:pStyle w:val="a3"/>
        <w:spacing w:before="9"/>
        <w:rPr>
          <w:sz w:val="20"/>
        </w:rPr>
      </w:pPr>
    </w:p>
    <w:p w:rsidR="00A70FF9" w:rsidRDefault="00CB7636">
      <w:pPr>
        <w:ind w:left="799" w:right="891" w:hanging="567"/>
      </w:pPr>
      <w:r>
        <w:t xml:space="preserve">Polson AG, </w:t>
      </w:r>
      <w:proofErr w:type="spellStart"/>
      <w:r>
        <w:t>Calemine-Fenaux</w:t>
      </w:r>
      <w:proofErr w:type="spellEnd"/>
      <w:r>
        <w:t xml:space="preserve"> J, Cahn P, Chang W, Christensen E, Clark S, et al. Antibody-drug conjugates for the treatment of non-Hodgkin’s lymphoma: target and linker-drug selection. Cancer Res.</w:t>
      </w:r>
      <w:r>
        <w:rPr>
          <w:spacing w:val="-2"/>
        </w:rPr>
        <w:t xml:space="preserve"> </w:t>
      </w:r>
      <w:r>
        <w:t>2009;69:2358-64.</w:t>
      </w:r>
    </w:p>
    <w:p w:rsidR="00A70FF9" w:rsidRDefault="00A70FF9">
      <w:pPr>
        <w:pStyle w:val="a3"/>
        <w:spacing w:before="9"/>
        <w:rPr>
          <w:sz w:val="20"/>
        </w:rPr>
      </w:pPr>
    </w:p>
    <w:p w:rsidR="00A70FF9" w:rsidRDefault="00CB7636">
      <w:pPr>
        <w:spacing w:before="1"/>
        <w:ind w:left="799" w:right="384" w:hanging="567"/>
      </w:pPr>
      <w:proofErr w:type="spellStart"/>
      <w:r>
        <w:t>Schernthaner</w:t>
      </w:r>
      <w:proofErr w:type="spellEnd"/>
      <w:r>
        <w:rPr>
          <w:spacing w:val="-4"/>
        </w:rPr>
        <w:t xml:space="preserve"> </w:t>
      </w:r>
      <w:r>
        <w:t>GH,</w:t>
      </w:r>
      <w:r>
        <w:rPr>
          <w:spacing w:val="-3"/>
        </w:rPr>
        <w:t xml:space="preserve"> </w:t>
      </w:r>
      <w:r>
        <w:t>Hauswirth</w:t>
      </w:r>
      <w:r>
        <w:rPr>
          <w:spacing w:val="-4"/>
        </w:rPr>
        <w:t xml:space="preserve"> </w:t>
      </w:r>
      <w:r>
        <w:t>AW,</w:t>
      </w:r>
      <w:r>
        <w:rPr>
          <w:spacing w:val="-3"/>
        </w:rPr>
        <w:t xml:space="preserve"> </w:t>
      </w:r>
      <w:proofErr w:type="spellStart"/>
      <w:r>
        <w:t>Baghestanian</w:t>
      </w:r>
      <w:proofErr w:type="spellEnd"/>
      <w:r>
        <w:rPr>
          <w:spacing w:val="-3"/>
        </w:rPr>
        <w:t xml:space="preserve"> </w:t>
      </w:r>
      <w:r>
        <w:t>M,</w:t>
      </w:r>
      <w:r>
        <w:rPr>
          <w:spacing w:val="-4"/>
        </w:rPr>
        <w:t xml:space="preserve"> </w:t>
      </w:r>
      <w:r>
        <w:t>Agis</w:t>
      </w:r>
      <w:r>
        <w:rPr>
          <w:spacing w:val="-3"/>
        </w:rPr>
        <w:t xml:space="preserve"> </w:t>
      </w:r>
      <w:r>
        <w:t>H,</w:t>
      </w:r>
      <w:r>
        <w:rPr>
          <w:spacing w:val="-3"/>
        </w:rPr>
        <w:t xml:space="preserve"> </w:t>
      </w:r>
      <w:proofErr w:type="spellStart"/>
      <w:r>
        <w:t>Ghannadan</w:t>
      </w:r>
      <w:proofErr w:type="spellEnd"/>
      <w:r>
        <w:rPr>
          <w:spacing w:val="-4"/>
        </w:rPr>
        <w:t xml:space="preserve"> </w:t>
      </w:r>
      <w:r>
        <w:t>M,</w:t>
      </w:r>
      <w:r>
        <w:rPr>
          <w:spacing w:val="-3"/>
        </w:rPr>
        <w:t xml:space="preserve"> </w:t>
      </w:r>
      <w:proofErr w:type="spellStart"/>
      <w:r>
        <w:t>Worda</w:t>
      </w:r>
      <w:proofErr w:type="spellEnd"/>
      <w:r>
        <w:rPr>
          <w:spacing w:val="-3"/>
        </w:rPr>
        <w:t xml:space="preserve"> </w:t>
      </w:r>
      <w:r>
        <w:t>C,</w:t>
      </w:r>
      <w:r>
        <w:rPr>
          <w:spacing w:val="-4"/>
        </w:rPr>
        <w:t xml:space="preserve"> </w:t>
      </w:r>
      <w:r>
        <w:t>et</w:t>
      </w:r>
      <w:r>
        <w:rPr>
          <w:spacing w:val="-3"/>
        </w:rPr>
        <w:t xml:space="preserve"> </w:t>
      </w:r>
      <w:r>
        <w:t>al.</w:t>
      </w:r>
      <w:r>
        <w:rPr>
          <w:spacing w:val="-3"/>
        </w:rPr>
        <w:t xml:space="preserve"> </w:t>
      </w:r>
      <w:r>
        <w:t>Detection of differentiation- and activation-linked cell surface antigens on cultured mast cell progenitors. Allergy.</w:t>
      </w:r>
      <w:r>
        <w:rPr>
          <w:spacing w:val="-2"/>
        </w:rPr>
        <w:t xml:space="preserve"> </w:t>
      </w:r>
      <w:r>
        <w:t>2005;60(10):1248-55.</w:t>
      </w:r>
    </w:p>
    <w:p w:rsidR="00A70FF9" w:rsidRDefault="00A70FF9">
      <w:pPr>
        <w:pStyle w:val="a3"/>
        <w:rPr>
          <w:sz w:val="21"/>
        </w:rPr>
      </w:pPr>
    </w:p>
    <w:p w:rsidR="00A70FF9" w:rsidRDefault="00CB7636">
      <w:pPr>
        <w:ind w:left="799" w:right="868" w:hanging="567"/>
      </w:pPr>
      <w:r>
        <w:t xml:space="preserve">Sutherland MS, Sanderson RJ, Gordon KA, </w:t>
      </w:r>
      <w:proofErr w:type="spellStart"/>
      <w:r>
        <w:t>Andreyka</w:t>
      </w:r>
      <w:proofErr w:type="spellEnd"/>
      <w:r>
        <w:t xml:space="preserve"> J, </w:t>
      </w:r>
      <w:proofErr w:type="spellStart"/>
      <w:r>
        <w:t>Cerveny</w:t>
      </w:r>
      <w:proofErr w:type="spellEnd"/>
      <w:r>
        <w:t xml:space="preserve"> CG, Yu C, et al. Lysosomal trafficking and cysteine protease metabolism confer target-specific cytotoxicity by peptide- linked anti-CD30-auristatin conjugates. J Biol Chem. 2006;281:10540-7.</w:t>
      </w:r>
    </w:p>
    <w:p w:rsidR="00A70FF9" w:rsidRDefault="00A70FF9">
      <w:pPr>
        <w:pStyle w:val="a3"/>
        <w:spacing w:before="9"/>
        <w:rPr>
          <w:sz w:val="20"/>
        </w:rPr>
      </w:pPr>
    </w:p>
    <w:p w:rsidR="00A70FF9" w:rsidRDefault="00CB7636" w:rsidP="00CB7636">
      <w:pPr>
        <w:ind w:left="799" w:right="629" w:hanging="567"/>
        <w:rPr>
          <w:sz w:val="20"/>
        </w:rPr>
      </w:pPr>
      <w:r>
        <w:t xml:space="preserve">Valent P, </w:t>
      </w:r>
      <w:proofErr w:type="spellStart"/>
      <w:r>
        <w:t>Schernthaner</w:t>
      </w:r>
      <w:proofErr w:type="spellEnd"/>
      <w:r>
        <w:t xml:space="preserve"> GH, </w:t>
      </w:r>
      <w:proofErr w:type="spellStart"/>
      <w:r>
        <w:t>Sperr</w:t>
      </w:r>
      <w:proofErr w:type="spellEnd"/>
      <w:r>
        <w:t xml:space="preserve"> WR, Fritsch G, Agis H, </w:t>
      </w:r>
      <w:proofErr w:type="spellStart"/>
      <w:r>
        <w:t>Willheim</w:t>
      </w:r>
      <w:proofErr w:type="spellEnd"/>
      <w:r>
        <w:t xml:space="preserve"> M, et al. Variable expression of activation-linked surface antigens on human mast cells in health and disease. Immunol Rev. 2011;79:74-81.</w:t>
      </w:r>
      <w:bookmarkStart w:id="40" w:name="5_EFFECTS_IN_HUMANS"/>
      <w:bookmarkStart w:id="41" w:name="_bookmark71"/>
      <w:bookmarkEnd w:id="40"/>
      <w:bookmarkEnd w:id="41"/>
    </w:p>
    <w:sectPr w:rsidR="00A70FF9" w:rsidSect="00CB7636">
      <w:headerReference w:type="default" r:id="rId12"/>
      <w:footerReference w:type="default" r:id="rId13"/>
      <w:pgSz w:w="12240" w:h="15840"/>
      <w:pgMar w:top="1560" w:right="1140" w:bottom="940" w:left="1380" w:header="578" w:footer="74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125A" w:rsidRDefault="005E125A">
      <w:r>
        <w:separator/>
      </w:r>
    </w:p>
  </w:endnote>
  <w:endnote w:type="continuationSeparator" w:id="0">
    <w:p w:rsidR="005E125A" w:rsidRDefault="005E12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0FF9" w:rsidRDefault="001A7E10">
    <w:pPr>
      <w:pStyle w:val="a3"/>
      <w:spacing w:line="14" w:lineRule="auto"/>
      <w:rPr>
        <w:sz w:val="20"/>
      </w:rPr>
    </w:pPr>
    <w:r>
      <w:pict>
        <v:shapetype id="_x0000_t202" coordsize="21600,21600" o:spt="202" path="m,l,21600r21600,l21600,xe">
          <v:stroke joinstyle="miter"/>
          <v:path gradientshapeok="t" o:connecttype="rect"/>
        </v:shapetype>
        <v:shape id="_x0000_s2092" type="#_x0000_t202" style="position:absolute;margin-left:27.1pt;margin-top:551.5pt;width:36.3pt;height:13.05pt;z-index:-377032;mso-position-horizontal-relative:page;mso-position-vertical-relative:page" filled="f" stroked="f">
          <v:textbox inset="0,0,0,0">
            <w:txbxContent>
              <w:p w:rsidR="00A70FF9" w:rsidRDefault="00CB7636">
                <w:pPr>
                  <w:spacing w:before="10"/>
                  <w:ind w:left="20"/>
                  <w:rPr>
                    <w:sz w:val="20"/>
                  </w:rPr>
                </w:pPr>
                <w:r>
                  <w:rPr>
                    <w:color w:val="323232"/>
                    <w:sz w:val="20"/>
                  </w:rPr>
                  <w:t>Jul 2018</w:t>
                </w:r>
              </w:p>
            </w:txbxContent>
          </v:textbox>
          <w10:wrap anchorx="page" anchory="page"/>
        </v:shape>
      </w:pict>
    </w:r>
    <w:r>
      <w:pict>
        <v:shape id="_x0000_s2091" type="#_x0000_t202" style="position:absolute;margin-left:379.5pt;margin-top:551.5pt;width:34.1pt;height:13.05pt;z-index:-377008;mso-position-horizontal-relative:page;mso-position-vertical-relative:page" filled="f" stroked="f">
          <v:textbox inset="0,0,0,0">
            <w:txbxContent>
              <w:p w:rsidR="00A70FF9" w:rsidRDefault="00CB7636">
                <w:pPr>
                  <w:spacing w:before="10"/>
                  <w:ind w:left="20"/>
                  <w:rPr>
                    <w:sz w:val="20"/>
                  </w:rPr>
                </w:pPr>
                <w:r>
                  <w:rPr>
                    <w:color w:val="323232"/>
                    <w:sz w:val="20"/>
                  </w:rPr>
                  <w:t>Astellas</w:t>
                </w:r>
              </w:p>
            </w:txbxContent>
          </v:textbox>
          <w10:wrap anchorx="page" anchory="page"/>
        </v:shape>
      </w:pict>
    </w:r>
    <w:r>
      <w:pict>
        <v:shape id="_x0000_s2090" type="#_x0000_t202" style="position:absolute;margin-left:708.9pt;margin-top:551.5pt;width:57.45pt;height:13.05pt;z-index:-376984;mso-position-horizontal-relative:page;mso-position-vertical-relative:page" filled="f" stroked="f">
          <v:textbox inset="0,0,0,0">
            <w:txbxContent>
              <w:p w:rsidR="00A70FF9" w:rsidRDefault="00CB7636">
                <w:pPr>
                  <w:spacing w:before="10"/>
                  <w:ind w:left="20"/>
                  <w:rPr>
                    <w:sz w:val="20"/>
                  </w:rPr>
                </w:pPr>
                <w:r>
                  <w:rPr>
                    <w:color w:val="323232"/>
                    <w:sz w:val="20"/>
                  </w:rPr>
                  <w:t xml:space="preserve">Page </w:t>
                </w:r>
                <w:r>
                  <w:fldChar w:fldCharType="begin"/>
                </w:r>
                <w:r>
                  <w:rPr>
                    <w:color w:val="323232"/>
                    <w:sz w:val="20"/>
                  </w:rPr>
                  <w:instrText xml:space="preserve"> PAGE </w:instrText>
                </w:r>
                <w:r>
                  <w:fldChar w:fldCharType="separate"/>
                </w:r>
                <w:r>
                  <w:t>52</w:t>
                </w:r>
                <w:r>
                  <w:fldChar w:fldCharType="end"/>
                </w:r>
                <w:r>
                  <w:rPr>
                    <w:color w:val="323232"/>
                    <w:sz w:val="20"/>
                  </w:rPr>
                  <w:t xml:space="preserve"> of 76</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0FF9" w:rsidRDefault="001A7E10">
    <w:pPr>
      <w:pStyle w:val="a3"/>
      <w:spacing w:line="14" w:lineRule="auto"/>
      <w:rPr>
        <w:sz w:val="20"/>
      </w:rPr>
    </w:pPr>
    <w:r>
      <w:pict>
        <v:shapetype id="_x0000_t202" coordsize="21600,21600" o:spt="202" path="m,l,21600r21600,l21600,xe">
          <v:stroke joinstyle="miter"/>
          <v:path gradientshapeok="t" o:connecttype="rect"/>
        </v:shapetype>
        <v:shape id="_x0000_s2087" type="#_x0000_t202" style="position:absolute;margin-left:79.75pt;margin-top:743.7pt;width:36.35pt;height:13.1pt;z-index:-376912;mso-position-horizontal-relative:page;mso-position-vertical-relative:page" filled="f" stroked="f">
          <v:textbox inset="0,0,0,0">
            <w:txbxContent>
              <w:p w:rsidR="00A70FF9" w:rsidRDefault="00CB7636">
                <w:pPr>
                  <w:spacing w:before="11"/>
                  <w:ind w:left="20"/>
                  <w:rPr>
                    <w:sz w:val="20"/>
                  </w:rPr>
                </w:pPr>
                <w:r>
                  <w:rPr>
                    <w:color w:val="323232"/>
                    <w:sz w:val="20"/>
                  </w:rPr>
                  <w:t>Jul 2018</w:t>
                </w:r>
              </w:p>
            </w:txbxContent>
          </v:textbox>
          <w10:wrap anchorx="page" anchory="page"/>
        </v:shape>
      </w:pict>
    </w:r>
    <w:r>
      <w:pict>
        <v:shape id="_x0000_s2086" type="#_x0000_t202" style="position:absolute;margin-left:290.5pt;margin-top:743.7pt;width:34.15pt;height:13.1pt;z-index:-376888;mso-position-horizontal-relative:page;mso-position-vertical-relative:page" filled="f" stroked="f">
          <v:textbox inset="0,0,0,0">
            <w:txbxContent>
              <w:p w:rsidR="00A70FF9" w:rsidRDefault="00CB7636">
                <w:pPr>
                  <w:spacing w:before="11"/>
                  <w:ind w:left="20"/>
                  <w:rPr>
                    <w:sz w:val="20"/>
                  </w:rPr>
                </w:pPr>
                <w:r>
                  <w:rPr>
                    <w:color w:val="323232"/>
                    <w:sz w:val="20"/>
                  </w:rPr>
                  <w:t>Astellas</w:t>
                </w:r>
              </w:p>
            </w:txbxContent>
          </v:textbox>
          <w10:wrap anchorx="page" anchory="page"/>
        </v:shape>
      </w:pict>
    </w:r>
    <w:r>
      <w:pict>
        <v:shape id="_x0000_s2085" type="#_x0000_t202" style="position:absolute;margin-left:478.05pt;margin-top:743.6pt;width:57.5pt;height:13.2pt;z-index:-376864;mso-position-horizontal-relative:page;mso-position-vertical-relative:page" filled="f" stroked="f">
          <v:textbox inset="0,0,0,0">
            <w:txbxContent>
              <w:p w:rsidR="00A70FF9" w:rsidRDefault="00CB7636">
                <w:pPr>
                  <w:spacing w:before="13"/>
                  <w:ind w:left="20"/>
                  <w:rPr>
                    <w:sz w:val="20"/>
                  </w:rPr>
                </w:pPr>
                <w:r>
                  <w:rPr>
                    <w:color w:val="323232"/>
                    <w:sz w:val="20"/>
                  </w:rPr>
                  <w:t xml:space="preserve">Page </w:t>
                </w:r>
                <w:r>
                  <w:fldChar w:fldCharType="begin"/>
                </w:r>
                <w:r>
                  <w:rPr>
                    <w:color w:val="323232"/>
                    <w:sz w:val="20"/>
                  </w:rPr>
                  <w:instrText xml:space="preserve"> PAGE </w:instrText>
                </w:r>
                <w:r>
                  <w:fldChar w:fldCharType="separate"/>
                </w:r>
                <w:r>
                  <w:t>58</w:t>
                </w:r>
                <w:r>
                  <w:fldChar w:fldCharType="end"/>
                </w:r>
                <w:r>
                  <w:rPr>
                    <w:color w:val="323232"/>
                    <w:sz w:val="20"/>
                  </w:rPr>
                  <w:t xml:space="preserve"> of 76</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0FF9" w:rsidRDefault="00A70FF9">
    <w:pPr>
      <w:pStyle w:val="a3"/>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125A" w:rsidRDefault="005E125A">
      <w:r>
        <w:separator/>
      </w:r>
    </w:p>
  </w:footnote>
  <w:footnote w:type="continuationSeparator" w:id="0">
    <w:p w:rsidR="005E125A" w:rsidRDefault="005E12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0FF9" w:rsidRDefault="00A70FF9">
    <w:pPr>
      <w:pStyle w:val="a3"/>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0FF9" w:rsidRDefault="00A70FF9">
    <w:pPr>
      <w:pStyle w:val="a3"/>
      <w:spacing w:line="14" w:lineRule="auto"/>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0FF9" w:rsidRDefault="001A7E10">
    <w:pPr>
      <w:pStyle w:val="a3"/>
      <w:spacing w:line="14" w:lineRule="auto"/>
      <w:rPr>
        <w:sz w:val="20"/>
      </w:rPr>
    </w:pPr>
    <w:r>
      <w:pict>
        <v:shapetype id="_x0000_t202" coordsize="21600,21600" o:spt="202" path="m,l,21600r21600,l21600,xe">
          <v:stroke joinstyle="miter"/>
          <v:path gradientshapeok="t" o:connecttype="rect"/>
        </v:shapetype>
        <v:shape id="_x0000_s2089" type="#_x0000_t202" style="position:absolute;margin-left:79.65pt;margin-top:27.9pt;width:137.55pt;height:24.55pt;z-index:-376960;mso-position-horizontal-relative:page;mso-position-vertical-relative:page" filled="f" stroked="f">
          <v:textbox inset="0,0,0,0">
            <w:txbxContent>
              <w:p w:rsidR="00A70FF9" w:rsidRDefault="00CB7636">
                <w:pPr>
                  <w:spacing w:before="10"/>
                  <w:ind w:left="20"/>
                  <w:rPr>
                    <w:sz w:val="20"/>
                  </w:rPr>
                </w:pPr>
                <w:r>
                  <w:rPr>
                    <w:color w:val="323232"/>
                    <w:sz w:val="20"/>
                  </w:rPr>
                  <w:t>AGS-16C3F</w:t>
                </w:r>
              </w:p>
              <w:p w:rsidR="00A70FF9" w:rsidRDefault="00CB7636">
                <w:pPr>
                  <w:spacing w:before="1"/>
                  <w:ind w:left="20"/>
                  <w:rPr>
                    <w:sz w:val="20"/>
                  </w:rPr>
                </w:pPr>
                <w:r>
                  <w:rPr>
                    <w:color w:val="323232"/>
                    <w:sz w:val="20"/>
                  </w:rPr>
                  <w:t>Metatstatic Renal Cell Carcinoma</w:t>
                </w:r>
              </w:p>
            </w:txbxContent>
          </v:textbox>
          <w10:wrap anchorx="page" anchory="page"/>
        </v:shape>
      </w:pict>
    </w:r>
    <w:r>
      <w:pict>
        <v:shape id="_x0000_s2088" type="#_x0000_t202" style="position:absolute;margin-left:438.55pt;margin-top:27.9pt;width:96.8pt;height:36.1pt;z-index:-376936;mso-position-horizontal-relative:page;mso-position-vertical-relative:page" filled="f" stroked="f">
          <v:textbox inset="0,0,0,0">
            <w:txbxContent>
              <w:p w:rsidR="00A70FF9" w:rsidRDefault="00CB7636">
                <w:pPr>
                  <w:spacing w:before="10"/>
                  <w:ind w:left="447"/>
                  <w:rPr>
                    <w:sz w:val="20"/>
                  </w:rPr>
                </w:pPr>
                <w:r>
                  <w:rPr>
                    <w:color w:val="323232"/>
                    <w:sz w:val="20"/>
                  </w:rPr>
                  <w:t>CONFIDENTIAL</w:t>
                </w:r>
              </w:p>
              <w:p w:rsidR="00A70FF9" w:rsidRDefault="00CB7636">
                <w:pPr>
                  <w:spacing w:before="1"/>
                  <w:ind w:left="20"/>
                  <w:rPr>
                    <w:sz w:val="20"/>
                  </w:rPr>
                </w:pPr>
                <w:r>
                  <w:rPr>
                    <w:color w:val="323232"/>
                    <w:sz w:val="20"/>
                  </w:rPr>
                  <w:t>Investigator’s</w:t>
                </w:r>
                <w:r>
                  <w:rPr>
                    <w:color w:val="323232"/>
                    <w:spacing w:val="-8"/>
                    <w:sz w:val="20"/>
                  </w:rPr>
                  <w:t xml:space="preserve"> </w:t>
                </w:r>
                <w:r>
                  <w:rPr>
                    <w:color w:val="323232"/>
                    <w:sz w:val="20"/>
                  </w:rPr>
                  <w:t>Brochure</w:t>
                </w:r>
              </w:p>
              <w:p w:rsidR="00A70FF9" w:rsidRDefault="00CB7636">
                <w:pPr>
                  <w:ind w:left="1025"/>
                  <w:rPr>
                    <w:sz w:val="20"/>
                  </w:rPr>
                </w:pPr>
                <w:r>
                  <w:rPr>
                    <w:color w:val="323232"/>
                    <w:sz w:val="20"/>
                  </w:rPr>
                  <w:t>Edition</w:t>
                </w:r>
                <w:r>
                  <w:rPr>
                    <w:color w:val="323232"/>
                    <w:spacing w:val="-4"/>
                    <w:sz w:val="20"/>
                  </w:rPr>
                  <w:t xml:space="preserve"> </w:t>
                </w:r>
                <w:r>
                  <w:rPr>
                    <w:color w:val="323232"/>
                    <w:sz w:val="20"/>
                  </w:rPr>
                  <w:t>6.0</w:t>
                </w: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0FF9" w:rsidRDefault="00A70FF9">
    <w:pPr>
      <w:pStyle w:val="a3"/>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373F4"/>
    <w:multiLevelType w:val="multilevel"/>
    <w:tmpl w:val="A8C89E26"/>
    <w:lvl w:ilvl="0">
      <w:start w:val="1"/>
      <w:numFmt w:val="decimal"/>
      <w:lvlText w:val="%1"/>
      <w:lvlJc w:val="left"/>
      <w:pPr>
        <w:ind w:left="1084" w:hanging="852"/>
        <w:jc w:val="left"/>
      </w:pPr>
      <w:rPr>
        <w:rFonts w:ascii="Times New Roman" w:eastAsia="Times New Roman" w:hAnsi="Times New Roman" w:cs="Times New Roman" w:hint="default"/>
        <w:b/>
        <w:bCs/>
        <w:w w:val="100"/>
        <w:sz w:val="28"/>
        <w:szCs w:val="28"/>
      </w:rPr>
    </w:lvl>
    <w:lvl w:ilvl="1">
      <w:start w:val="1"/>
      <w:numFmt w:val="decimal"/>
      <w:lvlText w:val="%1.%2"/>
      <w:lvlJc w:val="left"/>
      <w:pPr>
        <w:ind w:left="1087" w:hanging="852"/>
        <w:jc w:val="left"/>
      </w:pPr>
      <w:rPr>
        <w:rFonts w:ascii="Times New Roman" w:eastAsia="Times New Roman" w:hAnsi="Times New Roman" w:cs="Times New Roman" w:hint="default"/>
        <w:b/>
        <w:bCs/>
        <w:w w:val="100"/>
        <w:sz w:val="28"/>
        <w:szCs w:val="28"/>
      </w:rPr>
    </w:lvl>
    <w:lvl w:ilvl="2">
      <w:start w:val="1"/>
      <w:numFmt w:val="decimal"/>
      <w:lvlText w:val="%1.%2.%3"/>
      <w:lvlJc w:val="left"/>
      <w:pPr>
        <w:ind w:left="1084" w:hanging="852"/>
        <w:jc w:val="left"/>
      </w:pPr>
      <w:rPr>
        <w:rFonts w:ascii="Times New Roman" w:eastAsia="Times New Roman" w:hAnsi="Times New Roman" w:cs="Times New Roman" w:hint="default"/>
        <w:b/>
        <w:bCs/>
        <w:spacing w:val="-1"/>
        <w:w w:val="100"/>
        <w:sz w:val="24"/>
        <w:szCs w:val="24"/>
      </w:rPr>
    </w:lvl>
    <w:lvl w:ilvl="3">
      <w:start w:val="1"/>
      <w:numFmt w:val="decimal"/>
      <w:lvlText w:val="%1.%2.%3.%4"/>
      <w:lvlJc w:val="left"/>
      <w:pPr>
        <w:ind w:left="1084" w:hanging="852"/>
        <w:jc w:val="left"/>
      </w:pPr>
      <w:rPr>
        <w:rFonts w:ascii="Times New Roman" w:eastAsia="Times New Roman" w:hAnsi="Times New Roman" w:cs="Times New Roman" w:hint="default"/>
        <w:b/>
        <w:bCs/>
        <w:spacing w:val="-1"/>
        <w:w w:val="100"/>
        <w:sz w:val="24"/>
        <w:szCs w:val="24"/>
      </w:rPr>
    </w:lvl>
    <w:lvl w:ilvl="4">
      <w:start w:val="1"/>
      <w:numFmt w:val="decimal"/>
      <w:lvlText w:val="%1.%2.%3.%4.%5"/>
      <w:lvlJc w:val="left"/>
      <w:pPr>
        <w:ind w:left="1365" w:hanging="1133"/>
        <w:jc w:val="left"/>
      </w:pPr>
      <w:rPr>
        <w:rFonts w:ascii="Times New Roman" w:eastAsia="Times New Roman" w:hAnsi="Times New Roman" w:cs="Times New Roman" w:hint="default"/>
        <w:b/>
        <w:bCs/>
        <w:spacing w:val="-2"/>
        <w:w w:val="100"/>
        <w:sz w:val="24"/>
        <w:szCs w:val="24"/>
      </w:rPr>
    </w:lvl>
    <w:lvl w:ilvl="5">
      <w:numFmt w:val="bullet"/>
      <w:lvlText w:val="•"/>
      <w:lvlJc w:val="left"/>
      <w:pPr>
        <w:ind w:left="5582" w:hanging="1133"/>
      </w:pPr>
      <w:rPr>
        <w:rFonts w:hint="default"/>
      </w:rPr>
    </w:lvl>
    <w:lvl w:ilvl="6">
      <w:numFmt w:val="bullet"/>
      <w:lvlText w:val="•"/>
      <w:lvlJc w:val="left"/>
      <w:pPr>
        <w:ind w:left="6637" w:hanging="1133"/>
      </w:pPr>
      <w:rPr>
        <w:rFonts w:hint="default"/>
      </w:rPr>
    </w:lvl>
    <w:lvl w:ilvl="7">
      <w:numFmt w:val="bullet"/>
      <w:lvlText w:val="•"/>
      <w:lvlJc w:val="left"/>
      <w:pPr>
        <w:ind w:left="7693" w:hanging="1133"/>
      </w:pPr>
      <w:rPr>
        <w:rFonts w:hint="default"/>
      </w:rPr>
    </w:lvl>
    <w:lvl w:ilvl="8">
      <w:numFmt w:val="bullet"/>
      <w:lvlText w:val="•"/>
      <w:lvlJc w:val="left"/>
      <w:pPr>
        <w:ind w:left="8748" w:hanging="1133"/>
      </w:pPr>
      <w:rPr>
        <w:rFonts w:hint="default"/>
      </w:rPr>
    </w:lvl>
  </w:abstractNum>
  <w:abstractNum w:abstractNumId="1" w15:restartNumberingAfterBreak="0">
    <w:nsid w:val="046E2C81"/>
    <w:multiLevelType w:val="multilevel"/>
    <w:tmpl w:val="7DC09214"/>
    <w:lvl w:ilvl="0">
      <w:start w:val="4"/>
      <w:numFmt w:val="decimal"/>
      <w:lvlText w:val="%1"/>
      <w:lvlJc w:val="left"/>
      <w:pPr>
        <w:ind w:left="1792" w:hanging="994"/>
        <w:jc w:val="right"/>
      </w:pPr>
      <w:rPr>
        <w:rFonts w:hint="default"/>
      </w:rPr>
    </w:lvl>
    <w:lvl w:ilvl="1">
      <w:start w:val="3"/>
      <w:numFmt w:val="decimal"/>
      <w:lvlText w:val="%1.%2"/>
      <w:lvlJc w:val="left"/>
      <w:pPr>
        <w:ind w:left="1792" w:hanging="994"/>
        <w:jc w:val="right"/>
      </w:pPr>
      <w:rPr>
        <w:rFonts w:hint="default"/>
      </w:rPr>
    </w:lvl>
    <w:lvl w:ilvl="2">
      <w:start w:val="2"/>
      <w:numFmt w:val="decimal"/>
      <w:lvlText w:val="%1.%2.%3"/>
      <w:lvlJc w:val="left"/>
      <w:pPr>
        <w:ind w:left="1792" w:hanging="994"/>
        <w:jc w:val="left"/>
      </w:pPr>
      <w:rPr>
        <w:rFonts w:ascii="Times New Roman" w:eastAsia="Times New Roman" w:hAnsi="Times New Roman" w:cs="Times New Roman" w:hint="default"/>
        <w:w w:val="100"/>
        <w:sz w:val="22"/>
        <w:szCs w:val="22"/>
      </w:rPr>
    </w:lvl>
    <w:lvl w:ilvl="3">
      <w:start w:val="1"/>
      <w:numFmt w:val="decimal"/>
      <w:lvlText w:val="%1.%2.%3.%4"/>
      <w:lvlJc w:val="left"/>
      <w:pPr>
        <w:ind w:left="2217" w:hanging="1133"/>
        <w:jc w:val="left"/>
      </w:pPr>
      <w:rPr>
        <w:rFonts w:ascii="Times New Roman" w:eastAsia="Times New Roman" w:hAnsi="Times New Roman" w:cs="Times New Roman" w:hint="default"/>
        <w:w w:val="100"/>
        <w:sz w:val="22"/>
        <w:szCs w:val="22"/>
      </w:rPr>
    </w:lvl>
    <w:lvl w:ilvl="4">
      <w:numFmt w:val="bullet"/>
      <w:lvlText w:val="•"/>
      <w:lvlJc w:val="left"/>
      <w:pPr>
        <w:ind w:left="4515" w:hanging="1133"/>
      </w:pPr>
      <w:rPr>
        <w:rFonts w:hint="default"/>
      </w:rPr>
    </w:lvl>
    <w:lvl w:ilvl="5">
      <w:numFmt w:val="bullet"/>
      <w:lvlText w:val="•"/>
      <w:lvlJc w:val="left"/>
      <w:pPr>
        <w:ind w:left="5572" w:hanging="1133"/>
      </w:pPr>
      <w:rPr>
        <w:rFonts w:hint="default"/>
      </w:rPr>
    </w:lvl>
    <w:lvl w:ilvl="6">
      <w:numFmt w:val="bullet"/>
      <w:lvlText w:val="•"/>
      <w:lvlJc w:val="left"/>
      <w:pPr>
        <w:ind w:left="6630" w:hanging="1133"/>
      </w:pPr>
      <w:rPr>
        <w:rFonts w:hint="default"/>
      </w:rPr>
    </w:lvl>
    <w:lvl w:ilvl="7">
      <w:numFmt w:val="bullet"/>
      <w:lvlText w:val="•"/>
      <w:lvlJc w:val="left"/>
      <w:pPr>
        <w:ind w:left="7687" w:hanging="1133"/>
      </w:pPr>
      <w:rPr>
        <w:rFonts w:hint="default"/>
      </w:rPr>
    </w:lvl>
    <w:lvl w:ilvl="8">
      <w:numFmt w:val="bullet"/>
      <w:lvlText w:val="•"/>
      <w:lvlJc w:val="left"/>
      <w:pPr>
        <w:ind w:left="8745" w:hanging="1133"/>
      </w:pPr>
      <w:rPr>
        <w:rFonts w:hint="default"/>
      </w:rPr>
    </w:lvl>
  </w:abstractNum>
  <w:abstractNum w:abstractNumId="2" w15:restartNumberingAfterBreak="0">
    <w:nsid w:val="09FC4925"/>
    <w:multiLevelType w:val="multilevel"/>
    <w:tmpl w:val="DDDE1C98"/>
    <w:lvl w:ilvl="0">
      <w:start w:val="4"/>
      <w:numFmt w:val="decimal"/>
      <w:lvlText w:val="%1"/>
      <w:lvlJc w:val="left"/>
      <w:pPr>
        <w:ind w:left="1084" w:hanging="852"/>
      </w:pPr>
      <w:rPr>
        <w:rFonts w:hint="default"/>
      </w:rPr>
    </w:lvl>
    <w:lvl w:ilvl="1">
      <w:start w:val="3"/>
      <w:numFmt w:val="decimal"/>
      <w:lvlText w:val="%1.%2"/>
      <w:lvlJc w:val="left"/>
      <w:pPr>
        <w:ind w:left="1084" w:hanging="852"/>
      </w:pPr>
      <w:rPr>
        <w:rFonts w:ascii="Times New Roman" w:eastAsia="ＭＳ 明朝" w:hAnsi="Times New Roman" w:cs="Times New Roman" w:hint="default"/>
        <w:b/>
        <w:bCs/>
        <w:w w:val="100"/>
        <w:sz w:val="28"/>
        <w:szCs w:val="28"/>
      </w:rPr>
    </w:lvl>
    <w:lvl w:ilvl="2">
      <w:start w:val="1"/>
      <w:numFmt w:val="decimal"/>
      <w:lvlText w:val="%1.%2.%3"/>
      <w:lvlJc w:val="left"/>
      <w:pPr>
        <w:ind w:left="1084" w:hanging="852"/>
      </w:pPr>
      <w:rPr>
        <w:rFonts w:ascii="Times New Roman" w:eastAsia="ＭＳ 明朝" w:hAnsi="Times New Roman" w:cs="Times New Roman" w:hint="default"/>
        <w:b/>
        <w:bCs/>
        <w:w w:val="100"/>
        <w:sz w:val="24"/>
        <w:szCs w:val="24"/>
      </w:rPr>
    </w:lvl>
    <w:lvl w:ilvl="3">
      <w:numFmt w:val="bullet"/>
      <w:lvlText w:val="•"/>
      <w:lvlJc w:val="left"/>
      <w:pPr>
        <w:ind w:left="4014" w:hanging="852"/>
      </w:pPr>
      <w:rPr>
        <w:rFonts w:hint="default"/>
      </w:rPr>
    </w:lvl>
    <w:lvl w:ilvl="4">
      <w:numFmt w:val="bullet"/>
      <w:lvlText w:val="•"/>
      <w:lvlJc w:val="left"/>
      <w:pPr>
        <w:ind w:left="4992" w:hanging="852"/>
      </w:pPr>
      <w:rPr>
        <w:rFonts w:hint="default"/>
      </w:rPr>
    </w:lvl>
    <w:lvl w:ilvl="5">
      <w:numFmt w:val="bullet"/>
      <w:lvlText w:val="•"/>
      <w:lvlJc w:val="left"/>
      <w:pPr>
        <w:ind w:left="5970" w:hanging="852"/>
      </w:pPr>
      <w:rPr>
        <w:rFonts w:hint="default"/>
      </w:rPr>
    </w:lvl>
    <w:lvl w:ilvl="6">
      <w:numFmt w:val="bullet"/>
      <w:lvlText w:val="•"/>
      <w:lvlJc w:val="left"/>
      <w:pPr>
        <w:ind w:left="6948" w:hanging="852"/>
      </w:pPr>
      <w:rPr>
        <w:rFonts w:hint="default"/>
      </w:rPr>
    </w:lvl>
    <w:lvl w:ilvl="7">
      <w:numFmt w:val="bullet"/>
      <w:lvlText w:val="•"/>
      <w:lvlJc w:val="left"/>
      <w:pPr>
        <w:ind w:left="7926" w:hanging="852"/>
      </w:pPr>
      <w:rPr>
        <w:rFonts w:hint="default"/>
      </w:rPr>
    </w:lvl>
    <w:lvl w:ilvl="8">
      <w:numFmt w:val="bullet"/>
      <w:lvlText w:val="•"/>
      <w:lvlJc w:val="left"/>
      <w:pPr>
        <w:ind w:left="8904" w:hanging="852"/>
      </w:pPr>
      <w:rPr>
        <w:rFonts w:hint="default"/>
      </w:rPr>
    </w:lvl>
  </w:abstractNum>
  <w:abstractNum w:abstractNumId="3" w15:restartNumberingAfterBreak="0">
    <w:nsid w:val="0D2D3877"/>
    <w:multiLevelType w:val="multilevel"/>
    <w:tmpl w:val="BE6A594C"/>
    <w:lvl w:ilvl="0">
      <w:start w:val="4"/>
      <w:numFmt w:val="decimal"/>
      <w:lvlText w:val="%1"/>
      <w:lvlJc w:val="left"/>
      <w:pPr>
        <w:ind w:left="1087" w:hanging="852"/>
        <w:jc w:val="left"/>
      </w:pPr>
      <w:rPr>
        <w:rFonts w:hint="default"/>
      </w:rPr>
    </w:lvl>
    <w:lvl w:ilvl="1">
      <w:start w:val="1"/>
      <w:numFmt w:val="decimal"/>
      <w:lvlText w:val="%1.%2"/>
      <w:lvlJc w:val="left"/>
      <w:pPr>
        <w:ind w:left="1087" w:hanging="852"/>
        <w:jc w:val="left"/>
      </w:pPr>
      <w:rPr>
        <w:rFonts w:hint="default"/>
      </w:rPr>
    </w:lvl>
    <w:lvl w:ilvl="2">
      <w:start w:val="1"/>
      <w:numFmt w:val="decimal"/>
      <w:lvlText w:val="%1.%2.%3"/>
      <w:lvlJc w:val="left"/>
      <w:pPr>
        <w:ind w:left="1087" w:hanging="852"/>
        <w:jc w:val="left"/>
      </w:pPr>
      <w:rPr>
        <w:rFonts w:hint="default"/>
      </w:rPr>
    </w:lvl>
    <w:lvl w:ilvl="3">
      <w:start w:val="2"/>
      <w:numFmt w:val="decimal"/>
      <w:lvlText w:val="%1.%2.%3.%4"/>
      <w:lvlJc w:val="left"/>
      <w:pPr>
        <w:ind w:left="1087" w:hanging="852"/>
        <w:jc w:val="left"/>
      </w:pPr>
      <w:rPr>
        <w:rFonts w:ascii="Times New Roman" w:eastAsia="Times New Roman" w:hAnsi="Times New Roman" w:cs="Times New Roman" w:hint="default"/>
        <w:b/>
        <w:bCs/>
        <w:w w:val="99"/>
        <w:sz w:val="24"/>
        <w:szCs w:val="24"/>
      </w:rPr>
    </w:lvl>
    <w:lvl w:ilvl="4">
      <w:start w:val="1"/>
      <w:numFmt w:val="decimal"/>
      <w:lvlText w:val="%1.%2.%3.%4.%5"/>
      <w:lvlJc w:val="left"/>
      <w:pPr>
        <w:ind w:left="1368" w:hanging="1133"/>
        <w:jc w:val="left"/>
      </w:pPr>
      <w:rPr>
        <w:rFonts w:ascii="Times New Roman" w:eastAsia="Times New Roman" w:hAnsi="Times New Roman" w:cs="Times New Roman" w:hint="default"/>
        <w:b/>
        <w:bCs/>
        <w:w w:val="99"/>
        <w:sz w:val="24"/>
        <w:szCs w:val="24"/>
      </w:rPr>
    </w:lvl>
    <w:lvl w:ilvl="5">
      <w:numFmt w:val="bullet"/>
      <w:lvlText w:val="•"/>
      <w:lvlJc w:val="left"/>
      <w:pPr>
        <w:ind w:left="5582" w:hanging="1133"/>
      </w:pPr>
      <w:rPr>
        <w:rFonts w:hint="default"/>
      </w:rPr>
    </w:lvl>
    <w:lvl w:ilvl="6">
      <w:numFmt w:val="bullet"/>
      <w:lvlText w:val="•"/>
      <w:lvlJc w:val="left"/>
      <w:pPr>
        <w:ind w:left="6637" w:hanging="1133"/>
      </w:pPr>
      <w:rPr>
        <w:rFonts w:hint="default"/>
      </w:rPr>
    </w:lvl>
    <w:lvl w:ilvl="7">
      <w:numFmt w:val="bullet"/>
      <w:lvlText w:val="•"/>
      <w:lvlJc w:val="left"/>
      <w:pPr>
        <w:ind w:left="7693" w:hanging="1133"/>
      </w:pPr>
      <w:rPr>
        <w:rFonts w:hint="default"/>
      </w:rPr>
    </w:lvl>
    <w:lvl w:ilvl="8">
      <w:numFmt w:val="bullet"/>
      <w:lvlText w:val="•"/>
      <w:lvlJc w:val="left"/>
      <w:pPr>
        <w:ind w:left="8748" w:hanging="1133"/>
      </w:pPr>
      <w:rPr>
        <w:rFonts w:hint="default"/>
      </w:rPr>
    </w:lvl>
  </w:abstractNum>
  <w:abstractNum w:abstractNumId="4" w15:restartNumberingAfterBreak="0">
    <w:nsid w:val="296B35AD"/>
    <w:multiLevelType w:val="multilevel"/>
    <w:tmpl w:val="33104B10"/>
    <w:lvl w:ilvl="0">
      <w:start w:val="5"/>
      <w:numFmt w:val="decimal"/>
      <w:lvlText w:val="%1"/>
      <w:lvlJc w:val="left"/>
      <w:pPr>
        <w:ind w:left="1087" w:hanging="852"/>
        <w:jc w:val="left"/>
      </w:pPr>
      <w:rPr>
        <w:rFonts w:hint="default"/>
      </w:rPr>
    </w:lvl>
    <w:lvl w:ilvl="1">
      <w:start w:val="1"/>
      <w:numFmt w:val="decimal"/>
      <w:lvlText w:val="%1.%2"/>
      <w:lvlJc w:val="left"/>
      <w:pPr>
        <w:ind w:left="1087" w:hanging="852"/>
        <w:jc w:val="left"/>
      </w:pPr>
      <w:rPr>
        <w:rFonts w:hint="default"/>
      </w:rPr>
    </w:lvl>
    <w:lvl w:ilvl="2">
      <w:start w:val="3"/>
      <w:numFmt w:val="decimal"/>
      <w:lvlText w:val="%1.%2.%3"/>
      <w:lvlJc w:val="left"/>
      <w:pPr>
        <w:ind w:left="1087" w:hanging="852"/>
        <w:jc w:val="left"/>
      </w:pPr>
      <w:rPr>
        <w:rFonts w:ascii="Times New Roman" w:eastAsia="Times New Roman" w:hAnsi="Times New Roman" w:cs="Times New Roman" w:hint="default"/>
        <w:b/>
        <w:bCs/>
        <w:w w:val="99"/>
        <w:sz w:val="24"/>
        <w:szCs w:val="24"/>
      </w:rPr>
    </w:lvl>
    <w:lvl w:ilvl="3">
      <w:numFmt w:val="bullet"/>
      <w:lvlText w:val="•"/>
      <w:lvlJc w:val="left"/>
      <w:pPr>
        <w:ind w:left="3672" w:hanging="852"/>
      </w:pPr>
      <w:rPr>
        <w:rFonts w:hint="default"/>
      </w:rPr>
    </w:lvl>
    <w:lvl w:ilvl="4">
      <w:numFmt w:val="bullet"/>
      <w:lvlText w:val="•"/>
      <w:lvlJc w:val="left"/>
      <w:pPr>
        <w:ind w:left="4536" w:hanging="852"/>
      </w:pPr>
      <w:rPr>
        <w:rFonts w:hint="default"/>
      </w:rPr>
    </w:lvl>
    <w:lvl w:ilvl="5">
      <w:numFmt w:val="bullet"/>
      <w:lvlText w:val="•"/>
      <w:lvlJc w:val="left"/>
      <w:pPr>
        <w:ind w:left="5400" w:hanging="852"/>
      </w:pPr>
      <w:rPr>
        <w:rFonts w:hint="default"/>
      </w:rPr>
    </w:lvl>
    <w:lvl w:ilvl="6">
      <w:numFmt w:val="bullet"/>
      <w:lvlText w:val="•"/>
      <w:lvlJc w:val="left"/>
      <w:pPr>
        <w:ind w:left="6264" w:hanging="852"/>
      </w:pPr>
      <w:rPr>
        <w:rFonts w:hint="default"/>
      </w:rPr>
    </w:lvl>
    <w:lvl w:ilvl="7">
      <w:numFmt w:val="bullet"/>
      <w:lvlText w:val="•"/>
      <w:lvlJc w:val="left"/>
      <w:pPr>
        <w:ind w:left="7128" w:hanging="852"/>
      </w:pPr>
      <w:rPr>
        <w:rFonts w:hint="default"/>
      </w:rPr>
    </w:lvl>
    <w:lvl w:ilvl="8">
      <w:numFmt w:val="bullet"/>
      <w:lvlText w:val="•"/>
      <w:lvlJc w:val="left"/>
      <w:pPr>
        <w:ind w:left="7992" w:hanging="852"/>
      </w:pPr>
      <w:rPr>
        <w:rFonts w:hint="default"/>
      </w:rPr>
    </w:lvl>
  </w:abstractNum>
  <w:abstractNum w:abstractNumId="5" w15:restartNumberingAfterBreak="0">
    <w:nsid w:val="2CA9067F"/>
    <w:multiLevelType w:val="multilevel"/>
    <w:tmpl w:val="3904A974"/>
    <w:lvl w:ilvl="0">
      <w:start w:val="5"/>
      <w:numFmt w:val="decimal"/>
      <w:lvlText w:val="%1"/>
      <w:lvlJc w:val="left"/>
      <w:pPr>
        <w:ind w:left="1084" w:hanging="852"/>
        <w:jc w:val="left"/>
      </w:pPr>
      <w:rPr>
        <w:rFonts w:hint="default"/>
      </w:rPr>
    </w:lvl>
    <w:lvl w:ilvl="1">
      <w:start w:val="2"/>
      <w:numFmt w:val="decimal"/>
      <w:lvlText w:val="%1.%2"/>
      <w:lvlJc w:val="left"/>
      <w:pPr>
        <w:ind w:left="1084" w:hanging="852"/>
        <w:jc w:val="left"/>
      </w:pPr>
      <w:rPr>
        <w:rFonts w:hint="default"/>
      </w:rPr>
    </w:lvl>
    <w:lvl w:ilvl="2">
      <w:start w:val="1"/>
      <w:numFmt w:val="decimal"/>
      <w:lvlText w:val="%1.%2.%3"/>
      <w:lvlJc w:val="left"/>
      <w:pPr>
        <w:ind w:left="1084" w:hanging="852"/>
        <w:jc w:val="right"/>
      </w:pPr>
      <w:rPr>
        <w:rFonts w:ascii="Times New Roman" w:eastAsia="Times New Roman" w:hAnsi="Times New Roman" w:cs="Times New Roman" w:hint="default"/>
        <w:b/>
        <w:bCs/>
        <w:w w:val="100"/>
        <w:sz w:val="24"/>
        <w:szCs w:val="24"/>
      </w:rPr>
    </w:lvl>
    <w:lvl w:ilvl="3">
      <w:start w:val="1"/>
      <w:numFmt w:val="decimal"/>
      <w:lvlText w:val="%1.%2.%3.%4"/>
      <w:lvlJc w:val="left"/>
      <w:pPr>
        <w:ind w:left="1084" w:hanging="852"/>
        <w:jc w:val="right"/>
      </w:pPr>
      <w:rPr>
        <w:rFonts w:ascii="Times New Roman" w:eastAsia="Times New Roman" w:hAnsi="Times New Roman" w:cs="Times New Roman" w:hint="default"/>
        <w:b/>
        <w:bCs/>
        <w:spacing w:val="-1"/>
        <w:w w:val="100"/>
        <w:sz w:val="24"/>
        <w:szCs w:val="24"/>
      </w:rPr>
    </w:lvl>
    <w:lvl w:ilvl="4">
      <w:numFmt w:val="bullet"/>
      <w:lvlText w:val="•"/>
      <w:lvlJc w:val="left"/>
      <w:pPr>
        <w:ind w:left="3255" w:hanging="852"/>
      </w:pPr>
      <w:rPr>
        <w:rFonts w:hint="default"/>
      </w:rPr>
    </w:lvl>
    <w:lvl w:ilvl="5">
      <w:numFmt w:val="bullet"/>
      <w:lvlText w:val="•"/>
      <w:lvlJc w:val="left"/>
      <w:pPr>
        <w:ind w:left="4262" w:hanging="852"/>
      </w:pPr>
      <w:rPr>
        <w:rFonts w:hint="default"/>
      </w:rPr>
    </w:lvl>
    <w:lvl w:ilvl="6">
      <w:numFmt w:val="bullet"/>
      <w:lvlText w:val="•"/>
      <w:lvlJc w:val="left"/>
      <w:pPr>
        <w:ind w:left="5270" w:hanging="852"/>
      </w:pPr>
      <w:rPr>
        <w:rFonts w:hint="default"/>
      </w:rPr>
    </w:lvl>
    <w:lvl w:ilvl="7">
      <w:numFmt w:val="bullet"/>
      <w:lvlText w:val="•"/>
      <w:lvlJc w:val="left"/>
      <w:pPr>
        <w:ind w:left="6277" w:hanging="852"/>
      </w:pPr>
      <w:rPr>
        <w:rFonts w:hint="default"/>
      </w:rPr>
    </w:lvl>
    <w:lvl w:ilvl="8">
      <w:numFmt w:val="bullet"/>
      <w:lvlText w:val="•"/>
      <w:lvlJc w:val="left"/>
      <w:pPr>
        <w:ind w:left="7285" w:hanging="852"/>
      </w:pPr>
      <w:rPr>
        <w:rFonts w:hint="default"/>
      </w:rPr>
    </w:lvl>
  </w:abstractNum>
  <w:abstractNum w:abstractNumId="6" w15:restartNumberingAfterBreak="0">
    <w:nsid w:val="36324898"/>
    <w:multiLevelType w:val="multilevel"/>
    <w:tmpl w:val="56F085B2"/>
    <w:lvl w:ilvl="0">
      <w:start w:val="4"/>
      <w:numFmt w:val="decimal"/>
      <w:lvlText w:val="%1"/>
      <w:lvlJc w:val="left"/>
      <w:pPr>
        <w:ind w:left="1368" w:hanging="1133"/>
        <w:jc w:val="left"/>
      </w:pPr>
      <w:rPr>
        <w:rFonts w:hint="default"/>
      </w:rPr>
    </w:lvl>
    <w:lvl w:ilvl="1">
      <w:start w:val="1"/>
      <w:numFmt w:val="decimal"/>
      <w:lvlText w:val="%1.%2"/>
      <w:lvlJc w:val="left"/>
      <w:pPr>
        <w:ind w:left="1368" w:hanging="1133"/>
        <w:jc w:val="left"/>
      </w:pPr>
      <w:rPr>
        <w:rFonts w:hint="default"/>
      </w:rPr>
    </w:lvl>
    <w:lvl w:ilvl="2">
      <w:start w:val="1"/>
      <w:numFmt w:val="decimal"/>
      <w:lvlText w:val="%1.%2.%3"/>
      <w:lvlJc w:val="left"/>
      <w:pPr>
        <w:ind w:left="1368" w:hanging="1133"/>
        <w:jc w:val="left"/>
      </w:pPr>
      <w:rPr>
        <w:rFonts w:hint="default"/>
      </w:rPr>
    </w:lvl>
    <w:lvl w:ilvl="3">
      <w:start w:val="1"/>
      <w:numFmt w:val="decimal"/>
      <w:lvlText w:val="%1.%2.%3.%4"/>
      <w:lvlJc w:val="left"/>
      <w:pPr>
        <w:ind w:left="1368" w:hanging="1133"/>
        <w:jc w:val="left"/>
      </w:pPr>
      <w:rPr>
        <w:rFonts w:hint="default"/>
      </w:rPr>
    </w:lvl>
    <w:lvl w:ilvl="4">
      <w:start w:val="7"/>
      <w:numFmt w:val="decimal"/>
      <w:lvlText w:val="%1.%2.%3.%4.%5"/>
      <w:lvlJc w:val="left"/>
      <w:pPr>
        <w:ind w:left="1368" w:hanging="1133"/>
        <w:jc w:val="left"/>
      </w:pPr>
      <w:rPr>
        <w:rFonts w:ascii="Times New Roman" w:eastAsia="Times New Roman" w:hAnsi="Times New Roman" w:cs="Times New Roman" w:hint="default"/>
        <w:b/>
        <w:bCs/>
        <w:w w:val="99"/>
        <w:sz w:val="24"/>
        <w:szCs w:val="24"/>
      </w:rPr>
    </w:lvl>
    <w:lvl w:ilvl="5">
      <w:numFmt w:val="bullet"/>
      <w:lvlText w:val="•"/>
      <w:lvlJc w:val="left"/>
      <w:pPr>
        <w:ind w:left="6110" w:hanging="1133"/>
      </w:pPr>
      <w:rPr>
        <w:rFonts w:hint="default"/>
      </w:rPr>
    </w:lvl>
    <w:lvl w:ilvl="6">
      <w:numFmt w:val="bullet"/>
      <w:lvlText w:val="•"/>
      <w:lvlJc w:val="left"/>
      <w:pPr>
        <w:ind w:left="7060" w:hanging="1133"/>
      </w:pPr>
      <w:rPr>
        <w:rFonts w:hint="default"/>
      </w:rPr>
    </w:lvl>
    <w:lvl w:ilvl="7">
      <w:numFmt w:val="bullet"/>
      <w:lvlText w:val="•"/>
      <w:lvlJc w:val="left"/>
      <w:pPr>
        <w:ind w:left="8010" w:hanging="1133"/>
      </w:pPr>
      <w:rPr>
        <w:rFonts w:hint="default"/>
      </w:rPr>
    </w:lvl>
    <w:lvl w:ilvl="8">
      <w:numFmt w:val="bullet"/>
      <w:lvlText w:val="•"/>
      <w:lvlJc w:val="left"/>
      <w:pPr>
        <w:ind w:left="8960" w:hanging="1133"/>
      </w:pPr>
      <w:rPr>
        <w:rFonts w:hint="default"/>
      </w:rPr>
    </w:lvl>
  </w:abstractNum>
  <w:abstractNum w:abstractNumId="7" w15:restartNumberingAfterBreak="0">
    <w:nsid w:val="3DB206BB"/>
    <w:multiLevelType w:val="multilevel"/>
    <w:tmpl w:val="6310E434"/>
    <w:lvl w:ilvl="0">
      <w:start w:val="6"/>
      <w:numFmt w:val="decimal"/>
      <w:lvlText w:val="%1"/>
      <w:lvlJc w:val="left"/>
      <w:pPr>
        <w:ind w:left="1004" w:hanging="852"/>
        <w:jc w:val="left"/>
      </w:pPr>
      <w:rPr>
        <w:rFonts w:ascii="Times New Roman" w:eastAsia="Times New Roman" w:hAnsi="Times New Roman" w:cs="Times New Roman" w:hint="default"/>
        <w:b/>
        <w:bCs/>
        <w:w w:val="100"/>
        <w:sz w:val="28"/>
        <w:szCs w:val="28"/>
      </w:rPr>
    </w:lvl>
    <w:lvl w:ilvl="1">
      <w:start w:val="1"/>
      <w:numFmt w:val="decimal"/>
      <w:lvlText w:val="%1.%2"/>
      <w:lvlJc w:val="left"/>
      <w:pPr>
        <w:ind w:left="1004" w:hanging="852"/>
        <w:jc w:val="left"/>
      </w:pPr>
      <w:rPr>
        <w:rFonts w:ascii="Times New Roman" w:eastAsia="Times New Roman" w:hAnsi="Times New Roman" w:cs="Times New Roman" w:hint="default"/>
        <w:b/>
        <w:bCs/>
        <w:w w:val="100"/>
        <w:sz w:val="28"/>
        <w:szCs w:val="28"/>
      </w:rPr>
    </w:lvl>
    <w:lvl w:ilvl="2">
      <w:numFmt w:val="bullet"/>
      <w:lvlText w:val="•"/>
      <w:lvlJc w:val="left"/>
      <w:pPr>
        <w:ind w:left="2668" w:hanging="852"/>
      </w:pPr>
      <w:rPr>
        <w:rFonts w:hint="default"/>
      </w:rPr>
    </w:lvl>
    <w:lvl w:ilvl="3">
      <w:numFmt w:val="bullet"/>
      <w:lvlText w:val="•"/>
      <w:lvlJc w:val="left"/>
      <w:pPr>
        <w:ind w:left="3502" w:hanging="852"/>
      </w:pPr>
      <w:rPr>
        <w:rFonts w:hint="default"/>
      </w:rPr>
    </w:lvl>
    <w:lvl w:ilvl="4">
      <w:numFmt w:val="bullet"/>
      <w:lvlText w:val="•"/>
      <w:lvlJc w:val="left"/>
      <w:pPr>
        <w:ind w:left="4336" w:hanging="852"/>
      </w:pPr>
      <w:rPr>
        <w:rFonts w:hint="default"/>
      </w:rPr>
    </w:lvl>
    <w:lvl w:ilvl="5">
      <w:numFmt w:val="bullet"/>
      <w:lvlText w:val="•"/>
      <w:lvlJc w:val="left"/>
      <w:pPr>
        <w:ind w:left="5170" w:hanging="852"/>
      </w:pPr>
      <w:rPr>
        <w:rFonts w:hint="default"/>
      </w:rPr>
    </w:lvl>
    <w:lvl w:ilvl="6">
      <w:numFmt w:val="bullet"/>
      <w:lvlText w:val="•"/>
      <w:lvlJc w:val="left"/>
      <w:pPr>
        <w:ind w:left="6004" w:hanging="852"/>
      </w:pPr>
      <w:rPr>
        <w:rFonts w:hint="default"/>
      </w:rPr>
    </w:lvl>
    <w:lvl w:ilvl="7">
      <w:numFmt w:val="bullet"/>
      <w:lvlText w:val="•"/>
      <w:lvlJc w:val="left"/>
      <w:pPr>
        <w:ind w:left="6838" w:hanging="852"/>
      </w:pPr>
      <w:rPr>
        <w:rFonts w:hint="default"/>
      </w:rPr>
    </w:lvl>
    <w:lvl w:ilvl="8">
      <w:numFmt w:val="bullet"/>
      <w:lvlText w:val="•"/>
      <w:lvlJc w:val="left"/>
      <w:pPr>
        <w:ind w:left="7672" w:hanging="852"/>
      </w:pPr>
      <w:rPr>
        <w:rFonts w:hint="default"/>
      </w:rPr>
    </w:lvl>
  </w:abstractNum>
  <w:abstractNum w:abstractNumId="8" w15:restartNumberingAfterBreak="0">
    <w:nsid w:val="3EC83E6C"/>
    <w:multiLevelType w:val="multilevel"/>
    <w:tmpl w:val="2A08EBB8"/>
    <w:lvl w:ilvl="0">
      <w:start w:val="5"/>
      <w:numFmt w:val="decimal"/>
      <w:lvlText w:val="%1"/>
      <w:lvlJc w:val="left"/>
      <w:pPr>
        <w:ind w:left="1084" w:hanging="852"/>
        <w:jc w:val="left"/>
      </w:pPr>
      <w:rPr>
        <w:rFonts w:hint="default"/>
      </w:rPr>
    </w:lvl>
    <w:lvl w:ilvl="1">
      <w:start w:val="1"/>
      <w:numFmt w:val="decimal"/>
      <w:lvlText w:val="%1.%2"/>
      <w:lvlJc w:val="left"/>
      <w:pPr>
        <w:ind w:left="1084" w:hanging="852"/>
        <w:jc w:val="left"/>
      </w:pPr>
      <w:rPr>
        <w:rFonts w:ascii="Times New Roman" w:eastAsia="Times New Roman" w:hAnsi="Times New Roman" w:cs="Times New Roman" w:hint="default"/>
        <w:b/>
        <w:bCs/>
        <w:w w:val="100"/>
        <w:sz w:val="28"/>
        <w:szCs w:val="28"/>
      </w:rPr>
    </w:lvl>
    <w:lvl w:ilvl="2">
      <w:start w:val="1"/>
      <w:numFmt w:val="decimal"/>
      <w:lvlText w:val="%1.%2.%3"/>
      <w:lvlJc w:val="left"/>
      <w:pPr>
        <w:ind w:left="1084" w:hanging="852"/>
        <w:jc w:val="left"/>
      </w:pPr>
      <w:rPr>
        <w:rFonts w:ascii="Times New Roman" w:eastAsia="Times New Roman" w:hAnsi="Times New Roman" w:cs="Times New Roman" w:hint="default"/>
        <w:b/>
        <w:bCs/>
        <w:spacing w:val="-1"/>
        <w:w w:val="100"/>
        <w:sz w:val="24"/>
        <w:szCs w:val="24"/>
      </w:rPr>
    </w:lvl>
    <w:lvl w:ilvl="3">
      <w:numFmt w:val="bullet"/>
      <w:lvlText w:val="•"/>
      <w:lvlJc w:val="left"/>
      <w:pPr>
        <w:ind w:left="3217" w:hanging="852"/>
      </w:pPr>
      <w:rPr>
        <w:rFonts w:hint="default"/>
      </w:rPr>
    </w:lvl>
    <w:lvl w:ilvl="4">
      <w:numFmt w:val="bullet"/>
      <w:lvlText w:val="•"/>
      <w:lvlJc w:val="left"/>
      <w:pPr>
        <w:ind w:left="4146" w:hanging="852"/>
      </w:pPr>
      <w:rPr>
        <w:rFonts w:hint="default"/>
      </w:rPr>
    </w:lvl>
    <w:lvl w:ilvl="5">
      <w:numFmt w:val="bullet"/>
      <w:lvlText w:val="•"/>
      <w:lvlJc w:val="left"/>
      <w:pPr>
        <w:ind w:left="5075" w:hanging="852"/>
      </w:pPr>
      <w:rPr>
        <w:rFonts w:hint="default"/>
      </w:rPr>
    </w:lvl>
    <w:lvl w:ilvl="6">
      <w:numFmt w:val="bullet"/>
      <w:lvlText w:val="•"/>
      <w:lvlJc w:val="left"/>
      <w:pPr>
        <w:ind w:left="6004" w:hanging="852"/>
      </w:pPr>
      <w:rPr>
        <w:rFonts w:hint="default"/>
      </w:rPr>
    </w:lvl>
    <w:lvl w:ilvl="7">
      <w:numFmt w:val="bullet"/>
      <w:lvlText w:val="•"/>
      <w:lvlJc w:val="left"/>
      <w:pPr>
        <w:ind w:left="6933" w:hanging="852"/>
      </w:pPr>
      <w:rPr>
        <w:rFonts w:hint="default"/>
      </w:rPr>
    </w:lvl>
    <w:lvl w:ilvl="8">
      <w:numFmt w:val="bullet"/>
      <w:lvlText w:val="•"/>
      <w:lvlJc w:val="left"/>
      <w:pPr>
        <w:ind w:left="7862" w:hanging="852"/>
      </w:pPr>
      <w:rPr>
        <w:rFonts w:hint="default"/>
      </w:rPr>
    </w:lvl>
  </w:abstractNum>
  <w:abstractNum w:abstractNumId="9" w15:restartNumberingAfterBreak="0">
    <w:nsid w:val="3F515102"/>
    <w:multiLevelType w:val="multilevel"/>
    <w:tmpl w:val="70B2F708"/>
    <w:lvl w:ilvl="0">
      <w:start w:val="4"/>
      <w:numFmt w:val="decimal"/>
      <w:lvlText w:val="%1"/>
      <w:lvlJc w:val="left"/>
      <w:pPr>
        <w:ind w:left="1368" w:hanging="1133"/>
        <w:jc w:val="left"/>
      </w:pPr>
      <w:rPr>
        <w:rFonts w:hint="default"/>
      </w:rPr>
    </w:lvl>
    <w:lvl w:ilvl="1">
      <w:start w:val="1"/>
      <w:numFmt w:val="decimal"/>
      <w:lvlText w:val="%1.%2"/>
      <w:lvlJc w:val="left"/>
      <w:pPr>
        <w:ind w:left="1368" w:hanging="1133"/>
        <w:jc w:val="left"/>
      </w:pPr>
      <w:rPr>
        <w:rFonts w:hint="default"/>
      </w:rPr>
    </w:lvl>
    <w:lvl w:ilvl="2">
      <w:start w:val="1"/>
      <w:numFmt w:val="decimal"/>
      <w:lvlText w:val="%1.%2.%3"/>
      <w:lvlJc w:val="left"/>
      <w:pPr>
        <w:ind w:left="1368" w:hanging="1133"/>
        <w:jc w:val="left"/>
      </w:pPr>
      <w:rPr>
        <w:rFonts w:hint="default"/>
      </w:rPr>
    </w:lvl>
    <w:lvl w:ilvl="3">
      <w:start w:val="1"/>
      <w:numFmt w:val="decimal"/>
      <w:lvlText w:val="%1.%2.%3.%4"/>
      <w:lvlJc w:val="left"/>
      <w:pPr>
        <w:ind w:left="1368" w:hanging="1133"/>
        <w:jc w:val="left"/>
      </w:pPr>
      <w:rPr>
        <w:rFonts w:hint="default"/>
      </w:rPr>
    </w:lvl>
    <w:lvl w:ilvl="4">
      <w:start w:val="4"/>
      <w:numFmt w:val="decimal"/>
      <w:lvlText w:val="%1.%2.%3.%4.%5"/>
      <w:lvlJc w:val="left"/>
      <w:pPr>
        <w:ind w:left="1368" w:hanging="1133"/>
        <w:jc w:val="left"/>
      </w:pPr>
      <w:rPr>
        <w:rFonts w:ascii="Times New Roman" w:eastAsia="Times New Roman" w:hAnsi="Times New Roman" w:cs="Times New Roman" w:hint="default"/>
        <w:b/>
        <w:bCs/>
        <w:w w:val="99"/>
        <w:sz w:val="24"/>
        <w:szCs w:val="24"/>
      </w:rPr>
    </w:lvl>
    <w:lvl w:ilvl="5">
      <w:numFmt w:val="bullet"/>
      <w:lvlText w:val="•"/>
      <w:lvlJc w:val="left"/>
      <w:pPr>
        <w:ind w:left="6110" w:hanging="1133"/>
      </w:pPr>
      <w:rPr>
        <w:rFonts w:hint="default"/>
      </w:rPr>
    </w:lvl>
    <w:lvl w:ilvl="6">
      <w:numFmt w:val="bullet"/>
      <w:lvlText w:val="•"/>
      <w:lvlJc w:val="left"/>
      <w:pPr>
        <w:ind w:left="7060" w:hanging="1133"/>
      </w:pPr>
      <w:rPr>
        <w:rFonts w:hint="default"/>
      </w:rPr>
    </w:lvl>
    <w:lvl w:ilvl="7">
      <w:numFmt w:val="bullet"/>
      <w:lvlText w:val="•"/>
      <w:lvlJc w:val="left"/>
      <w:pPr>
        <w:ind w:left="8010" w:hanging="1133"/>
      </w:pPr>
      <w:rPr>
        <w:rFonts w:hint="default"/>
      </w:rPr>
    </w:lvl>
    <w:lvl w:ilvl="8">
      <w:numFmt w:val="bullet"/>
      <w:lvlText w:val="•"/>
      <w:lvlJc w:val="left"/>
      <w:pPr>
        <w:ind w:left="8960" w:hanging="1133"/>
      </w:pPr>
      <w:rPr>
        <w:rFonts w:hint="default"/>
      </w:rPr>
    </w:lvl>
  </w:abstractNum>
  <w:abstractNum w:abstractNumId="10" w15:restartNumberingAfterBreak="0">
    <w:nsid w:val="4B47334D"/>
    <w:multiLevelType w:val="multilevel"/>
    <w:tmpl w:val="84F67B26"/>
    <w:lvl w:ilvl="0">
      <w:start w:val="4"/>
      <w:numFmt w:val="decimal"/>
      <w:lvlText w:val="%1"/>
      <w:lvlJc w:val="left"/>
      <w:pPr>
        <w:ind w:left="1365" w:hanging="1133"/>
        <w:jc w:val="left"/>
      </w:pPr>
      <w:rPr>
        <w:rFonts w:hint="default"/>
      </w:rPr>
    </w:lvl>
    <w:lvl w:ilvl="1">
      <w:start w:val="1"/>
      <w:numFmt w:val="decimal"/>
      <w:lvlText w:val="%1.%2"/>
      <w:lvlJc w:val="left"/>
      <w:pPr>
        <w:ind w:left="1365" w:hanging="1133"/>
        <w:jc w:val="left"/>
      </w:pPr>
      <w:rPr>
        <w:rFonts w:hint="default"/>
      </w:rPr>
    </w:lvl>
    <w:lvl w:ilvl="2">
      <w:start w:val="5"/>
      <w:numFmt w:val="decimal"/>
      <w:lvlText w:val="%1.%2.%3"/>
      <w:lvlJc w:val="left"/>
      <w:pPr>
        <w:ind w:left="1365" w:hanging="1133"/>
        <w:jc w:val="left"/>
      </w:pPr>
      <w:rPr>
        <w:rFonts w:hint="default"/>
      </w:rPr>
    </w:lvl>
    <w:lvl w:ilvl="3">
      <w:start w:val="1"/>
      <w:numFmt w:val="decimal"/>
      <w:lvlText w:val="%1.%2.%3.%4"/>
      <w:lvlJc w:val="left"/>
      <w:pPr>
        <w:ind w:left="1365" w:hanging="1133"/>
        <w:jc w:val="left"/>
      </w:pPr>
      <w:rPr>
        <w:rFonts w:hint="default"/>
      </w:rPr>
    </w:lvl>
    <w:lvl w:ilvl="4">
      <w:start w:val="2"/>
      <w:numFmt w:val="decimal"/>
      <w:lvlText w:val="%1.%2.%3.%4.%5"/>
      <w:lvlJc w:val="left"/>
      <w:pPr>
        <w:ind w:left="1365" w:hanging="1133"/>
        <w:jc w:val="left"/>
      </w:pPr>
      <w:rPr>
        <w:rFonts w:ascii="Times New Roman" w:eastAsia="Times New Roman" w:hAnsi="Times New Roman" w:cs="Times New Roman" w:hint="default"/>
        <w:b/>
        <w:bCs/>
        <w:spacing w:val="-1"/>
        <w:w w:val="100"/>
        <w:sz w:val="24"/>
        <w:szCs w:val="24"/>
      </w:rPr>
    </w:lvl>
    <w:lvl w:ilvl="5">
      <w:numFmt w:val="bullet"/>
      <w:lvlText w:val="•"/>
      <w:lvlJc w:val="left"/>
      <w:pPr>
        <w:ind w:left="6110" w:hanging="1133"/>
      </w:pPr>
      <w:rPr>
        <w:rFonts w:hint="default"/>
      </w:rPr>
    </w:lvl>
    <w:lvl w:ilvl="6">
      <w:numFmt w:val="bullet"/>
      <w:lvlText w:val="•"/>
      <w:lvlJc w:val="left"/>
      <w:pPr>
        <w:ind w:left="7060" w:hanging="1133"/>
      </w:pPr>
      <w:rPr>
        <w:rFonts w:hint="default"/>
      </w:rPr>
    </w:lvl>
    <w:lvl w:ilvl="7">
      <w:numFmt w:val="bullet"/>
      <w:lvlText w:val="•"/>
      <w:lvlJc w:val="left"/>
      <w:pPr>
        <w:ind w:left="8010" w:hanging="1133"/>
      </w:pPr>
      <w:rPr>
        <w:rFonts w:hint="default"/>
      </w:rPr>
    </w:lvl>
    <w:lvl w:ilvl="8">
      <w:numFmt w:val="bullet"/>
      <w:lvlText w:val="•"/>
      <w:lvlJc w:val="left"/>
      <w:pPr>
        <w:ind w:left="8960" w:hanging="1133"/>
      </w:pPr>
      <w:rPr>
        <w:rFonts w:hint="default"/>
      </w:rPr>
    </w:lvl>
  </w:abstractNum>
  <w:abstractNum w:abstractNumId="11" w15:restartNumberingAfterBreak="0">
    <w:nsid w:val="4F757CE6"/>
    <w:multiLevelType w:val="multilevel"/>
    <w:tmpl w:val="BFE4074E"/>
    <w:lvl w:ilvl="0">
      <w:start w:val="1"/>
      <w:numFmt w:val="decimal"/>
      <w:lvlText w:val="%1"/>
      <w:lvlJc w:val="left"/>
      <w:pPr>
        <w:ind w:left="1093" w:hanging="852"/>
        <w:jc w:val="left"/>
      </w:pPr>
      <w:rPr>
        <w:rFonts w:hint="default"/>
      </w:rPr>
    </w:lvl>
    <w:lvl w:ilvl="1">
      <w:start w:val="1"/>
      <w:numFmt w:val="decimal"/>
      <w:lvlText w:val="%1.%2"/>
      <w:lvlJc w:val="left"/>
      <w:pPr>
        <w:ind w:left="1093" w:hanging="852"/>
        <w:jc w:val="left"/>
      </w:pPr>
      <w:rPr>
        <w:rFonts w:ascii="Times New Roman" w:eastAsia="Times New Roman" w:hAnsi="Times New Roman" w:cs="Times New Roman" w:hint="default"/>
        <w:b/>
        <w:bCs/>
        <w:w w:val="100"/>
        <w:sz w:val="28"/>
        <w:szCs w:val="28"/>
      </w:rPr>
    </w:lvl>
    <w:lvl w:ilvl="2">
      <w:start w:val="1"/>
      <w:numFmt w:val="decimal"/>
      <w:lvlText w:val="%1.%2.%3"/>
      <w:lvlJc w:val="left"/>
      <w:pPr>
        <w:ind w:left="241" w:hanging="852"/>
        <w:jc w:val="left"/>
      </w:pPr>
      <w:rPr>
        <w:rFonts w:ascii="Times New Roman" w:eastAsia="Times New Roman" w:hAnsi="Times New Roman" w:cs="Times New Roman" w:hint="default"/>
        <w:b/>
        <w:bCs/>
        <w:spacing w:val="-1"/>
        <w:w w:val="100"/>
        <w:sz w:val="24"/>
        <w:szCs w:val="24"/>
      </w:rPr>
    </w:lvl>
    <w:lvl w:ilvl="3">
      <w:numFmt w:val="bullet"/>
      <w:lvlText w:val="•"/>
      <w:lvlJc w:val="left"/>
      <w:pPr>
        <w:ind w:left="4237" w:hanging="852"/>
      </w:pPr>
      <w:rPr>
        <w:rFonts w:hint="default"/>
      </w:rPr>
    </w:lvl>
    <w:lvl w:ilvl="4">
      <w:numFmt w:val="bullet"/>
      <w:lvlText w:val="•"/>
      <w:lvlJc w:val="left"/>
      <w:pPr>
        <w:ind w:left="5806" w:hanging="852"/>
      </w:pPr>
      <w:rPr>
        <w:rFonts w:hint="default"/>
      </w:rPr>
    </w:lvl>
    <w:lvl w:ilvl="5">
      <w:numFmt w:val="bullet"/>
      <w:lvlText w:val="•"/>
      <w:lvlJc w:val="left"/>
      <w:pPr>
        <w:ind w:left="7375" w:hanging="852"/>
      </w:pPr>
      <w:rPr>
        <w:rFonts w:hint="default"/>
      </w:rPr>
    </w:lvl>
    <w:lvl w:ilvl="6">
      <w:numFmt w:val="bullet"/>
      <w:lvlText w:val="•"/>
      <w:lvlJc w:val="left"/>
      <w:pPr>
        <w:ind w:left="8944" w:hanging="852"/>
      </w:pPr>
      <w:rPr>
        <w:rFonts w:hint="default"/>
      </w:rPr>
    </w:lvl>
    <w:lvl w:ilvl="7">
      <w:numFmt w:val="bullet"/>
      <w:lvlText w:val="•"/>
      <w:lvlJc w:val="left"/>
      <w:pPr>
        <w:ind w:left="10513" w:hanging="852"/>
      </w:pPr>
      <w:rPr>
        <w:rFonts w:hint="default"/>
      </w:rPr>
    </w:lvl>
    <w:lvl w:ilvl="8">
      <w:numFmt w:val="bullet"/>
      <w:lvlText w:val="•"/>
      <w:lvlJc w:val="left"/>
      <w:pPr>
        <w:ind w:left="12082" w:hanging="852"/>
      </w:pPr>
      <w:rPr>
        <w:rFonts w:hint="default"/>
      </w:rPr>
    </w:lvl>
  </w:abstractNum>
  <w:abstractNum w:abstractNumId="12" w15:restartNumberingAfterBreak="0">
    <w:nsid w:val="502D122A"/>
    <w:multiLevelType w:val="multilevel"/>
    <w:tmpl w:val="7D00F4F2"/>
    <w:lvl w:ilvl="0">
      <w:start w:val="6"/>
      <w:numFmt w:val="decimal"/>
      <w:lvlText w:val="%1"/>
      <w:lvlJc w:val="left"/>
      <w:pPr>
        <w:ind w:left="1004" w:hanging="852"/>
        <w:jc w:val="left"/>
      </w:pPr>
      <w:rPr>
        <w:rFonts w:hint="default"/>
      </w:rPr>
    </w:lvl>
    <w:lvl w:ilvl="1">
      <w:start w:val="2"/>
      <w:numFmt w:val="decimal"/>
      <w:lvlText w:val="%1.%2"/>
      <w:lvlJc w:val="left"/>
      <w:pPr>
        <w:ind w:left="1004" w:hanging="852"/>
        <w:jc w:val="left"/>
      </w:pPr>
      <w:rPr>
        <w:rFonts w:hint="default"/>
      </w:rPr>
    </w:lvl>
    <w:lvl w:ilvl="2">
      <w:start w:val="3"/>
      <w:numFmt w:val="decimal"/>
      <w:lvlText w:val="%1.%2.%3"/>
      <w:lvlJc w:val="left"/>
      <w:pPr>
        <w:ind w:left="1004" w:hanging="852"/>
        <w:jc w:val="left"/>
      </w:pPr>
      <w:rPr>
        <w:rFonts w:ascii="Times New Roman" w:eastAsia="Times New Roman" w:hAnsi="Times New Roman" w:cs="Times New Roman" w:hint="default"/>
        <w:b/>
        <w:bCs/>
        <w:spacing w:val="-1"/>
        <w:w w:val="100"/>
        <w:sz w:val="24"/>
        <w:szCs w:val="24"/>
      </w:rPr>
    </w:lvl>
    <w:lvl w:ilvl="3">
      <w:start w:val="1"/>
      <w:numFmt w:val="decimal"/>
      <w:lvlText w:val="%4"/>
      <w:lvlJc w:val="left"/>
      <w:pPr>
        <w:ind w:left="1091" w:hanging="850"/>
        <w:jc w:val="left"/>
      </w:pPr>
      <w:rPr>
        <w:rFonts w:ascii="Times New Roman" w:eastAsia="Times New Roman" w:hAnsi="Times New Roman" w:cs="Times New Roman" w:hint="default"/>
        <w:b/>
        <w:bCs/>
        <w:w w:val="100"/>
        <w:sz w:val="28"/>
        <w:szCs w:val="28"/>
      </w:rPr>
    </w:lvl>
    <w:lvl w:ilvl="4">
      <w:start w:val="1"/>
      <w:numFmt w:val="decimal"/>
      <w:lvlText w:val="%4.%5"/>
      <w:lvlJc w:val="left"/>
      <w:pPr>
        <w:ind w:left="1093" w:hanging="852"/>
        <w:jc w:val="left"/>
      </w:pPr>
      <w:rPr>
        <w:rFonts w:ascii="Times New Roman" w:eastAsia="Times New Roman" w:hAnsi="Times New Roman" w:cs="Times New Roman" w:hint="default"/>
        <w:b/>
        <w:bCs/>
        <w:w w:val="100"/>
        <w:sz w:val="28"/>
        <w:szCs w:val="28"/>
      </w:rPr>
    </w:lvl>
    <w:lvl w:ilvl="5">
      <w:numFmt w:val="bullet"/>
      <w:lvlText w:val="•"/>
      <w:lvlJc w:val="left"/>
      <w:pPr>
        <w:ind w:left="4762" w:hanging="852"/>
      </w:pPr>
      <w:rPr>
        <w:rFonts w:hint="default"/>
      </w:rPr>
    </w:lvl>
    <w:lvl w:ilvl="6">
      <w:numFmt w:val="bullet"/>
      <w:lvlText w:val="•"/>
      <w:lvlJc w:val="left"/>
      <w:pPr>
        <w:ind w:left="5677" w:hanging="852"/>
      </w:pPr>
      <w:rPr>
        <w:rFonts w:hint="default"/>
      </w:rPr>
    </w:lvl>
    <w:lvl w:ilvl="7">
      <w:numFmt w:val="bullet"/>
      <w:lvlText w:val="•"/>
      <w:lvlJc w:val="left"/>
      <w:pPr>
        <w:ind w:left="6593" w:hanging="852"/>
      </w:pPr>
      <w:rPr>
        <w:rFonts w:hint="default"/>
      </w:rPr>
    </w:lvl>
    <w:lvl w:ilvl="8">
      <w:numFmt w:val="bullet"/>
      <w:lvlText w:val="•"/>
      <w:lvlJc w:val="left"/>
      <w:pPr>
        <w:ind w:left="7508" w:hanging="852"/>
      </w:pPr>
      <w:rPr>
        <w:rFonts w:hint="default"/>
      </w:rPr>
    </w:lvl>
  </w:abstractNum>
  <w:abstractNum w:abstractNumId="13" w15:restartNumberingAfterBreak="0">
    <w:nsid w:val="51C37A8C"/>
    <w:multiLevelType w:val="multilevel"/>
    <w:tmpl w:val="97809750"/>
    <w:lvl w:ilvl="0">
      <w:start w:val="5"/>
      <w:numFmt w:val="decimal"/>
      <w:lvlText w:val="%1"/>
      <w:lvlJc w:val="left"/>
      <w:pPr>
        <w:ind w:left="1004" w:hanging="852"/>
        <w:jc w:val="left"/>
      </w:pPr>
      <w:rPr>
        <w:rFonts w:hint="default"/>
      </w:rPr>
    </w:lvl>
    <w:lvl w:ilvl="1">
      <w:start w:val="2"/>
      <w:numFmt w:val="decimal"/>
      <w:lvlText w:val="%1.%2"/>
      <w:lvlJc w:val="left"/>
      <w:pPr>
        <w:ind w:left="1004" w:hanging="852"/>
        <w:jc w:val="left"/>
      </w:pPr>
      <w:rPr>
        <w:rFonts w:hint="default"/>
      </w:rPr>
    </w:lvl>
    <w:lvl w:ilvl="2">
      <w:start w:val="2"/>
      <w:numFmt w:val="decimal"/>
      <w:lvlText w:val="%1.%2.%3"/>
      <w:lvlJc w:val="left"/>
      <w:pPr>
        <w:ind w:left="1004" w:hanging="852"/>
        <w:jc w:val="left"/>
      </w:pPr>
      <w:rPr>
        <w:rFonts w:hint="default"/>
      </w:rPr>
    </w:lvl>
    <w:lvl w:ilvl="3">
      <w:start w:val="6"/>
      <w:numFmt w:val="decimal"/>
      <w:lvlText w:val="%1.%2.%3.%4"/>
      <w:lvlJc w:val="left"/>
      <w:pPr>
        <w:ind w:left="1004" w:hanging="852"/>
        <w:jc w:val="left"/>
      </w:pPr>
      <w:rPr>
        <w:rFonts w:ascii="Times New Roman" w:eastAsia="Times New Roman" w:hAnsi="Times New Roman" w:cs="Times New Roman" w:hint="default"/>
        <w:b/>
        <w:bCs/>
        <w:spacing w:val="-1"/>
        <w:w w:val="100"/>
        <w:sz w:val="24"/>
        <w:szCs w:val="24"/>
      </w:rPr>
    </w:lvl>
    <w:lvl w:ilvl="4">
      <w:start w:val="1"/>
      <w:numFmt w:val="decimal"/>
      <w:lvlText w:val="%1.%2.%3.%4.%5"/>
      <w:lvlJc w:val="left"/>
      <w:pPr>
        <w:ind w:left="1285" w:hanging="1133"/>
        <w:jc w:val="left"/>
      </w:pPr>
      <w:rPr>
        <w:rFonts w:ascii="Times New Roman" w:eastAsia="Times New Roman" w:hAnsi="Times New Roman" w:cs="Times New Roman" w:hint="default"/>
        <w:b/>
        <w:bCs/>
        <w:spacing w:val="-1"/>
        <w:w w:val="100"/>
        <w:sz w:val="24"/>
        <w:szCs w:val="24"/>
      </w:rPr>
    </w:lvl>
    <w:lvl w:ilvl="5">
      <w:numFmt w:val="bullet"/>
      <w:lvlText w:val="•"/>
      <w:lvlJc w:val="left"/>
      <w:pPr>
        <w:ind w:left="4862" w:hanging="1133"/>
      </w:pPr>
      <w:rPr>
        <w:rFonts w:hint="default"/>
      </w:rPr>
    </w:lvl>
    <w:lvl w:ilvl="6">
      <w:numFmt w:val="bullet"/>
      <w:lvlText w:val="•"/>
      <w:lvlJc w:val="left"/>
      <w:pPr>
        <w:ind w:left="5757" w:hanging="1133"/>
      </w:pPr>
      <w:rPr>
        <w:rFonts w:hint="default"/>
      </w:rPr>
    </w:lvl>
    <w:lvl w:ilvl="7">
      <w:numFmt w:val="bullet"/>
      <w:lvlText w:val="•"/>
      <w:lvlJc w:val="left"/>
      <w:pPr>
        <w:ind w:left="6653" w:hanging="1133"/>
      </w:pPr>
      <w:rPr>
        <w:rFonts w:hint="default"/>
      </w:rPr>
    </w:lvl>
    <w:lvl w:ilvl="8">
      <w:numFmt w:val="bullet"/>
      <w:lvlText w:val="•"/>
      <w:lvlJc w:val="left"/>
      <w:pPr>
        <w:ind w:left="7548" w:hanging="1133"/>
      </w:pPr>
      <w:rPr>
        <w:rFonts w:hint="default"/>
      </w:rPr>
    </w:lvl>
  </w:abstractNum>
  <w:abstractNum w:abstractNumId="14" w15:restartNumberingAfterBreak="0">
    <w:nsid w:val="52901BD5"/>
    <w:multiLevelType w:val="multilevel"/>
    <w:tmpl w:val="84288562"/>
    <w:lvl w:ilvl="0">
      <w:start w:val="5"/>
      <w:numFmt w:val="decimal"/>
      <w:lvlText w:val="%1"/>
      <w:lvlJc w:val="left"/>
      <w:pPr>
        <w:ind w:left="1368" w:hanging="1133"/>
        <w:jc w:val="left"/>
      </w:pPr>
      <w:rPr>
        <w:rFonts w:hint="default"/>
      </w:rPr>
    </w:lvl>
    <w:lvl w:ilvl="1">
      <w:start w:val="1"/>
      <w:numFmt w:val="decimal"/>
      <w:lvlText w:val="%1.%2"/>
      <w:lvlJc w:val="left"/>
      <w:pPr>
        <w:ind w:left="1368" w:hanging="1133"/>
        <w:jc w:val="left"/>
      </w:pPr>
      <w:rPr>
        <w:rFonts w:hint="default"/>
      </w:rPr>
    </w:lvl>
    <w:lvl w:ilvl="2">
      <w:start w:val="2"/>
      <w:numFmt w:val="decimal"/>
      <w:lvlText w:val="%1.%2.%3"/>
      <w:lvlJc w:val="left"/>
      <w:pPr>
        <w:ind w:left="1368" w:hanging="1133"/>
        <w:jc w:val="left"/>
      </w:pPr>
      <w:rPr>
        <w:rFonts w:hint="default"/>
      </w:rPr>
    </w:lvl>
    <w:lvl w:ilvl="3">
      <w:start w:val="1"/>
      <w:numFmt w:val="decimal"/>
      <w:lvlText w:val="%1.%2.%3.%4"/>
      <w:lvlJc w:val="left"/>
      <w:pPr>
        <w:ind w:left="1368" w:hanging="1133"/>
        <w:jc w:val="left"/>
      </w:pPr>
      <w:rPr>
        <w:rFonts w:hint="default"/>
      </w:rPr>
    </w:lvl>
    <w:lvl w:ilvl="4">
      <w:start w:val="2"/>
      <w:numFmt w:val="decimal"/>
      <w:lvlText w:val="%1.%2.%3.%4.%5"/>
      <w:lvlJc w:val="left"/>
      <w:pPr>
        <w:ind w:left="1368" w:hanging="1133"/>
        <w:jc w:val="left"/>
      </w:pPr>
      <w:rPr>
        <w:rFonts w:ascii="Times New Roman" w:eastAsia="Times New Roman" w:hAnsi="Times New Roman" w:cs="Times New Roman" w:hint="default"/>
        <w:b/>
        <w:bCs/>
        <w:w w:val="99"/>
        <w:sz w:val="24"/>
        <w:szCs w:val="24"/>
      </w:rPr>
    </w:lvl>
    <w:lvl w:ilvl="5">
      <w:numFmt w:val="bullet"/>
      <w:lvlText w:val="•"/>
      <w:lvlJc w:val="left"/>
      <w:pPr>
        <w:ind w:left="5540" w:hanging="1133"/>
      </w:pPr>
      <w:rPr>
        <w:rFonts w:hint="default"/>
      </w:rPr>
    </w:lvl>
    <w:lvl w:ilvl="6">
      <w:numFmt w:val="bullet"/>
      <w:lvlText w:val="•"/>
      <w:lvlJc w:val="left"/>
      <w:pPr>
        <w:ind w:left="6376" w:hanging="1133"/>
      </w:pPr>
      <w:rPr>
        <w:rFonts w:hint="default"/>
      </w:rPr>
    </w:lvl>
    <w:lvl w:ilvl="7">
      <w:numFmt w:val="bullet"/>
      <w:lvlText w:val="•"/>
      <w:lvlJc w:val="left"/>
      <w:pPr>
        <w:ind w:left="7212" w:hanging="1133"/>
      </w:pPr>
      <w:rPr>
        <w:rFonts w:hint="default"/>
      </w:rPr>
    </w:lvl>
    <w:lvl w:ilvl="8">
      <w:numFmt w:val="bullet"/>
      <w:lvlText w:val="•"/>
      <w:lvlJc w:val="left"/>
      <w:pPr>
        <w:ind w:left="8048" w:hanging="1133"/>
      </w:pPr>
      <w:rPr>
        <w:rFonts w:hint="default"/>
      </w:rPr>
    </w:lvl>
  </w:abstractNum>
  <w:abstractNum w:abstractNumId="15" w15:restartNumberingAfterBreak="0">
    <w:nsid w:val="533B4F93"/>
    <w:multiLevelType w:val="multilevel"/>
    <w:tmpl w:val="A57CFDAE"/>
    <w:lvl w:ilvl="0">
      <w:start w:val="4"/>
      <w:numFmt w:val="decimal"/>
      <w:lvlText w:val="%1"/>
      <w:lvlJc w:val="left"/>
      <w:pPr>
        <w:ind w:left="1084" w:hanging="852"/>
        <w:jc w:val="left"/>
      </w:pPr>
      <w:rPr>
        <w:rFonts w:hint="default"/>
      </w:rPr>
    </w:lvl>
    <w:lvl w:ilvl="1">
      <w:start w:val="1"/>
      <w:numFmt w:val="decimal"/>
      <w:lvlText w:val="%1.%2"/>
      <w:lvlJc w:val="left"/>
      <w:pPr>
        <w:ind w:left="1084" w:hanging="852"/>
        <w:jc w:val="left"/>
      </w:pPr>
      <w:rPr>
        <w:rFonts w:hint="default"/>
      </w:rPr>
    </w:lvl>
    <w:lvl w:ilvl="2">
      <w:start w:val="2"/>
      <w:numFmt w:val="decimal"/>
      <w:lvlText w:val="%1.%2.%3"/>
      <w:lvlJc w:val="left"/>
      <w:pPr>
        <w:ind w:left="1084" w:hanging="852"/>
        <w:jc w:val="left"/>
      </w:pPr>
      <w:rPr>
        <w:rFonts w:ascii="Times New Roman" w:eastAsia="Times New Roman" w:hAnsi="Times New Roman" w:cs="Times New Roman" w:hint="default"/>
        <w:b/>
        <w:bCs/>
        <w:spacing w:val="-1"/>
        <w:w w:val="100"/>
        <w:sz w:val="24"/>
        <w:szCs w:val="24"/>
      </w:rPr>
    </w:lvl>
    <w:lvl w:ilvl="3">
      <w:numFmt w:val="bullet"/>
      <w:lvlText w:val="•"/>
      <w:lvlJc w:val="left"/>
      <w:pPr>
        <w:ind w:left="4014" w:hanging="852"/>
      </w:pPr>
      <w:rPr>
        <w:rFonts w:hint="default"/>
      </w:rPr>
    </w:lvl>
    <w:lvl w:ilvl="4">
      <w:numFmt w:val="bullet"/>
      <w:lvlText w:val="•"/>
      <w:lvlJc w:val="left"/>
      <w:pPr>
        <w:ind w:left="4992" w:hanging="852"/>
      </w:pPr>
      <w:rPr>
        <w:rFonts w:hint="default"/>
      </w:rPr>
    </w:lvl>
    <w:lvl w:ilvl="5">
      <w:numFmt w:val="bullet"/>
      <w:lvlText w:val="•"/>
      <w:lvlJc w:val="left"/>
      <w:pPr>
        <w:ind w:left="5970" w:hanging="852"/>
      </w:pPr>
      <w:rPr>
        <w:rFonts w:hint="default"/>
      </w:rPr>
    </w:lvl>
    <w:lvl w:ilvl="6">
      <w:numFmt w:val="bullet"/>
      <w:lvlText w:val="•"/>
      <w:lvlJc w:val="left"/>
      <w:pPr>
        <w:ind w:left="6948" w:hanging="852"/>
      </w:pPr>
      <w:rPr>
        <w:rFonts w:hint="default"/>
      </w:rPr>
    </w:lvl>
    <w:lvl w:ilvl="7">
      <w:numFmt w:val="bullet"/>
      <w:lvlText w:val="•"/>
      <w:lvlJc w:val="left"/>
      <w:pPr>
        <w:ind w:left="7926" w:hanging="852"/>
      </w:pPr>
      <w:rPr>
        <w:rFonts w:hint="default"/>
      </w:rPr>
    </w:lvl>
    <w:lvl w:ilvl="8">
      <w:numFmt w:val="bullet"/>
      <w:lvlText w:val="•"/>
      <w:lvlJc w:val="left"/>
      <w:pPr>
        <w:ind w:left="8904" w:hanging="852"/>
      </w:pPr>
      <w:rPr>
        <w:rFonts w:hint="default"/>
      </w:rPr>
    </w:lvl>
  </w:abstractNum>
  <w:abstractNum w:abstractNumId="16" w15:restartNumberingAfterBreak="0">
    <w:nsid w:val="5AE83AF4"/>
    <w:multiLevelType w:val="multilevel"/>
    <w:tmpl w:val="C4127790"/>
    <w:lvl w:ilvl="0">
      <w:start w:val="1"/>
      <w:numFmt w:val="decimal"/>
      <w:lvlText w:val="%1"/>
      <w:lvlJc w:val="left"/>
      <w:pPr>
        <w:ind w:left="2688" w:hanging="720"/>
        <w:jc w:val="left"/>
      </w:pPr>
      <w:rPr>
        <w:rFonts w:hint="default"/>
      </w:rPr>
    </w:lvl>
    <w:lvl w:ilvl="1">
      <w:start w:val="1"/>
      <w:numFmt w:val="decimal"/>
      <w:lvlText w:val="%1.%2"/>
      <w:lvlJc w:val="left"/>
      <w:pPr>
        <w:ind w:left="2688" w:hanging="720"/>
        <w:jc w:val="left"/>
      </w:pPr>
      <w:rPr>
        <w:rFonts w:ascii="Times New Roman" w:eastAsia="Times New Roman" w:hAnsi="Times New Roman" w:cs="Times New Roman" w:hint="default"/>
        <w:spacing w:val="-1"/>
        <w:w w:val="100"/>
        <w:sz w:val="24"/>
        <w:szCs w:val="24"/>
      </w:rPr>
    </w:lvl>
    <w:lvl w:ilvl="2">
      <w:start w:val="1"/>
      <w:numFmt w:val="decimal"/>
      <w:lvlText w:val="%1.%2.%3"/>
      <w:lvlJc w:val="left"/>
      <w:pPr>
        <w:ind w:left="3768" w:hanging="1080"/>
        <w:jc w:val="left"/>
      </w:pPr>
      <w:rPr>
        <w:rFonts w:ascii="Times New Roman" w:eastAsia="Times New Roman" w:hAnsi="Times New Roman" w:cs="Times New Roman" w:hint="default"/>
        <w:spacing w:val="-1"/>
        <w:w w:val="100"/>
        <w:sz w:val="24"/>
        <w:szCs w:val="24"/>
      </w:rPr>
    </w:lvl>
    <w:lvl w:ilvl="3">
      <w:numFmt w:val="bullet"/>
      <w:lvlText w:val="•"/>
      <w:lvlJc w:val="left"/>
      <w:pPr>
        <w:ind w:left="5337" w:hanging="1080"/>
      </w:pPr>
      <w:rPr>
        <w:rFonts w:hint="default"/>
      </w:rPr>
    </w:lvl>
    <w:lvl w:ilvl="4">
      <w:numFmt w:val="bullet"/>
      <w:lvlText w:val="•"/>
      <w:lvlJc w:val="left"/>
      <w:pPr>
        <w:ind w:left="6126" w:hanging="1080"/>
      </w:pPr>
      <w:rPr>
        <w:rFonts w:hint="default"/>
      </w:rPr>
    </w:lvl>
    <w:lvl w:ilvl="5">
      <w:numFmt w:val="bullet"/>
      <w:lvlText w:val="•"/>
      <w:lvlJc w:val="left"/>
      <w:pPr>
        <w:ind w:left="6915" w:hanging="1080"/>
      </w:pPr>
      <w:rPr>
        <w:rFonts w:hint="default"/>
      </w:rPr>
    </w:lvl>
    <w:lvl w:ilvl="6">
      <w:numFmt w:val="bullet"/>
      <w:lvlText w:val="•"/>
      <w:lvlJc w:val="left"/>
      <w:pPr>
        <w:ind w:left="7704" w:hanging="1080"/>
      </w:pPr>
      <w:rPr>
        <w:rFonts w:hint="default"/>
      </w:rPr>
    </w:lvl>
    <w:lvl w:ilvl="7">
      <w:numFmt w:val="bullet"/>
      <w:lvlText w:val="•"/>
      <w:lvlJc w:val="left"/>
      <w:pPr>
        <w:ind w:left="8493" w:hanging="1080"/>
      </w:pPr>
      <w:rPr>
        <w:rFonts w:hint="default"/>
      </w:rPr>
    </w:lvl>
    <w:lvl w:ilvl="8">
      <w:numFmt w:val="bullet"/>
      <w:lvlText w:val="•"/>
      <w:lvlJc w:val="left"/>
      <w:pPr>
        <w:ind w:left="9282" w:hanging="1080"/>
      </w:pPr>
      <w:rPr>
        <w:rFonts w:hint="default"/>
      </w:rPr>
    </w:lvl>
  </w:abstractNum>
  <w:abstractNum w:abstractNumId="17" w15:restartNumberingAfterBreak="0">
    <w:nsid w:val="5D640DCB"/>
    <w:multiLevelType w:val="multilevel"/>
    <w:tmpl w:val="42AAFE5A"/>
    <w:lvl w:ilvl="0">
      <w:start w:val="1"/>
      <w:numFmt w:val="decimal"/>
      <w:lvlText w:val="%1"/>
      <w:lvlJc w:val="left"/>
      <w:pPr>
        <w:ind w:left="940" w:hanging="708"/>
        <w:jc w:val="left"/>
      </w:pPr>
      <w:rPr>
        <w:rFonts w:ascii="Times New Roman" w:eastAsia="Times New Roman" w:hAnsi="Times New Roman" w:cs="Times New Roman" w:hint="default"/>
        <w:b/>
        <w:bCs/>
        <w:w w:val="100"/>
        <w:sz w:val="22"/>
        <w:szCs w:val="22"/>
      </w:rPr>
    </w:lvl>
    <w:lvl w:ilvl="1">
      <w:start w:val="1"/>
      <w:numFmt w:val="decimal"/>
      <w:lvlText w:val="%1.%2"/>
      <w:lvlJc w:val="left"/>
      <w:pPr>
        <w:ind w:left="1365" w:hanging="850"/>
        <w:jc w:val="left"/>
      </w:pPr>
      <w:rPr>
        <w:rFonts w:ascii="Times New Roman" w:eastAsia="Times New Roman" w:hAnsi="Times New Roman" w:cs="Times New Roman" w:hint="default"/>
        <w:w w:val="100"/>
        <w:sz w:val="22"/>
        <w:szCs w:val="22"/>
      </w:rPr>
    </w:lvl>
    <w:lvl w:ilvl="2">
      <w:start w:val="1"/>
      <w:numFmt w:val="decimal"/>
      <w:lvlText w:val="%1.%2.%3"/>
      <w:lvlJc w:val="left"/>
      <w:pPr>
        <w:ind w:left="1792" w:hanging="994"/>
        <w:jc w:val="left"/>
      </w:pPr>
      <w:rPr>
        <w:rFonts w:ascii="Times New Roman" w:eastAsia="Times New Roman" w:hAnsi="Times New Roman" w:cs="Times New Roman" w:hint="default"/>
        <w:w w:val="100"/>
        <w:sz w:val="22"/>
        <w:szCs w:val="22"/>
      </w:rPr>
    </w:lvl>
    <w:lvl w:ilvl="3">
      <w:start w:val="1"/>
      <w:numFmt w:val="decimal"/>
      <w:lvlText w:val="%1.%2.%3.%4"/>
      <w:lvlJc w:val="left"/>
      <w:pPr>
        <w:ind w:left="2217" w:hanging="1133"/>
        <w:jc w:val="left"/>
      </w:pPr>
      <w:rPr>
        <w:rFonts w:ascii="Times New Roman" w:eastAsia="Times New Roman" w:hAnsi="Times New Roman" w:cs="Times New Roman" w:hint="default"/>
        <w:w w:val="100"/>
        <w:sz w:val="22"/>
        <w:szCs w:val="22"/>
      </w:rPr>
    </w:lvl>
    <w:lvl w:ilvl="4">
      <w:numFmt w:val="bullet"/>
      <w:lvlText w:val="•"/>
      <w:lvlJc w:val="left"/>
      <w:pPr>
        <w:ind w:left="3454" w:hanging="1133"/>
      </w:pPr>
      <w:rPr>
        <w:rFonts w:hint="default"/>
      </w:rPr>
    </w:lvl>
    <w:lvl w:ilvl="5">
      <w:numFmt w:val="bullet"/>
      <w:lvlText w:val="•"/>
      <w:lvlJc w:val="left"/>
      <w:pPr>
        <w:ind w:left="4688" w:hanging="1133"/>
      </w:pPr>
      <w:rPr>
        <w:rFonts w:hint="default"/>
      </w:rPr>
    </w:lvl>
    <w:lvl w:ilvl="6">
      <w:numFmt w:val="bullet"/>
      <w:lvlText w:val="•"/>
      <w:lvlJc w:val="left"/>
      <w:pPr>
        <w:ind w:left="5922" w:hanging="1133"/>
      </w:pPr>
      <w:rPr>
        <w:rFonts w:hint="default"/>
      </w:rPr>
    </w:lvl>
    <w:lvl w:ilvl="7">
      <w:numFmt w:val="bullet"/>
      <w:lvlText w:val="•"/>
      <w:lvlJc w:val="left"/>
      <w:pPr>
        <w:ind w:left="7157" w:hanging="1133"/>
      </w:pPr>
      <w:rPr>
        <w:rFonts w:hint="default"/>
      </w:rPr>
    </w:lvl>
    <w:lvl w:ilvl="8">
      <w:numFmt w:val="bullet"/>
      <w:lvlText w:val="•"/>
      <w:lvlJc w:val="left"/>
      <w:pPr>
        <w:ind w:left="8391" w:hanging="1133"/>
      </w:pPr>
      <w:rPr>
        <w:rFonts w:hint="default"/>
      </w:rPr>
    </w:lvl>
  </w:abstractNum>
  <w:abstractNum w:abstractNumId="18" w15:restartNumberingAfterBreak="0">
    <w:nsid w:val="5FF763E9"/>
    <w:multiLevelType w:val="hybridMultilevel"/>
    <w:tmpl w:val="5F304674"/>
    <w:lvl w:ilvl="0" w:tplc="3C0886EE">
      <w:start w:val="1"/>
      <w:numFmt w:val="decimal"/>
      <w:lvlText w:val="%1"/>
      <w:lvlJc w:val="left"/>
      <w:pPr>
        <w:ind w:left="415" w:hanging="180"/>
        <w:jc w:val="left"/>
      </w:pPr>
      <w:rPr>
        <w:rFonts w:ascii="Times New Roman" w:eastAsia="Times New Roman" w:hAnsi="Times New Roman" w:cs="Times New Roman" w:hint="default"/>
        <w:w w:val="99"/>
        <w:sz w:val="24"/>
        <w:szCs w:val="24"/>
      </w:rPr>
    </w:lvl>
    <w:lvl w:ilvl="1" w:tplc="D4ECE406">
      <w:numFmt w:val="bullet"/>
      <w:lvlText w:val="•"/>
      <w:lvlJc w:val="left"/>
      <w:pPr>
        <w:ind w:left="1464" w:hanging="180"/>
      </w:pPr>
      <w:rPr>
        <w:rFonts w:hint="default"/>
      </w:rPr>
    </w:lvl>
    <w:lvl w:ilvl="2" w:tplc="39F00C74">
      <w:numFmt w:val="bullet"/>
      <w:lvlText w:val="•"/>
      <w:lvlJc w:val="left"/>
      <w:pPr>
        <w:ind w:left="2508" w:hanging="180"/>
      </w:pPr>
      <w:rPr>
        <w:rFonts w:hint="default"/>
      </w:rPr>
    </w:lvl>
    <w:lvl w:ilvl="3" w:tplc="FC608392">
      <w:numFmt w:val="bullet"/>
      <w:lvlText w:val="•"/>
      <w:lvlJc w:val="left"/>
      <w:pPr>
        <w:ind w:left="3552" w:hanging="180"/>
      </w:pPr>
      <w:rPr>
        <w:rFonts w:hint="default"/>
      </w:rPr>
    </w:lvl>
    <w:lvl w:ilvl="4" w:tplc="159C6C44">
      <w:numFmt w:val="bullet"/>
      <w:lvlText w:val="•"/>
      <w:lvlJc w:val="left"/>
      <w:pPr>
        <w:ind w:left="4596" w:hanging="180"/>
      </w:pPr>
      <w:rPr>
        <w:rFonts w:hint="default"/>
      </w:rPr>
    </w:lvl>
    <w:lvl w:ilvl="5" w:tplc="D0D4FD6A">
      <w:numFmt w:val="bullet"/>
      <w:lvlText w:val="•"/>
      <w:lvlJc w:val="left"/>
      <w:pPr>
        <w:ind w:left="5640" w:hanging="180"/>
      </w:pPr>
      <w:rPr>
        <w:rFonts w:hint="default"/>
      </w:rPr>
    </w:lvl>
    <w:lvl w:ilvl="6" w:tplc="5DEA514E">
      <w:numFmt w:val="bullet"/>
      <w:lvlText w:val="•"/>
      <w:lvlJc w:val="left"/>
      <w:pPr>
        <w:ind w:left="6684" w:hanging="180"/>
      </w:pPr>
      <w:rPr>
        <w:rFonts w:hint="default"/>
      </w:rPr>
    </w:lvl>
    <w:lvl w:ilvl="7" w:tplc="B43CF820">
      <w:numFmt w:val="bullet"/>
      <w:lvlText w:val="•"/>
      <w:lvlJc w:val="left"/>
      <w:pPr>
        <w:ind w:left="7728" w:hanging="180"/>
      </w:pPr>
      <w:rPr>
        <w:rFonts w:hint="default"/>
      </w:rPr>
    </w:lvl>
    <w:lvl w:ilvl="8" w:tplc="78F02FAA">
      <w:numFmt w:val="bullet"/>
      <w:lvlText w:val="•"/>
      <w:lvlJc w:val="left"/>
      <w:pPr>
        <w:ind w:left="8772" w:hanging="180"/>
      </w:pPr>
      <w:rPr>
        <w:rFonts w:hint="default"/>
      </w:rPr>
    </w:lvl>
  </w:abstractNum>
  <w:abstractNum w:abstractNumId="19" w15:restartNumberingAfterBreak="0">
    <w:nsid w:val="64CC3342"/>
    <w:multiLevelType w:val="multilevel"/>
    <w:tmpl w:val="6E762D8E"/>
    <w:lvl w:ilvl="0">
      <w:start w:val="5"/>
      <w:numFmt w:val="decimal"/>
      <w:lvlText w:val="%1"/>
      <w:lvlJc w:val="left"/>
      <w:pPr>
        <w:ind w:left="1004" w:hanging="852"/>
        <w:jc w:val="left"/>
      </w:pPr>
      <w:rPr>
        <w:rFonts w:hint="default"/>
      </w:rPr>
    </w:lvl>
    <w:lvl w:ilvl="1">
      <w:start w:val="2"/>
      <w:numFmt w:val="decimal"/>
      <w:lvlText w:val="%1.%2"/>
      <w:lvlJc w:val="left"/>
      <w:pPr>
        <w:ind w:left="1004" w:hanging="852"/>
        <w:jc w:val="left"/>
      </w:pPr>
      <w:rPr>
        <w:rFonts w:hint="default"/>
      </w:rPr>
    </w:lvl>
    <w:lvl w:ilvl="2">
      <w:start w:val="2"/>
      <w:numFmt w:val="decimal"/>
      <w:lvlText w:val="%1.%2.%3"/>
      <w:lvlJc w:val="left"/>
      <w:pPr>
        <w:ind w:left="1004" w:hanging="852"/>
        <w:jc w:val="left"/>
      </w:pPr>
      <w:rPr>
        <w:rFonts w:hint="default"/>
      </w:rPr>
    </w:lvl>
    <w:lvl w:ilvl="3">
      <w:start w:val="2"/>
      <w:numFmt w:val="decimal"/>
      <w:lvlText w:val="%1.%2.%3.%4"/>
      <w:lvlJc w:val="left"/>
      <w:pPr>
        <w:ind w:left="1004" w:hanging="852"/>
        <w:jc w:val="left"/>
      </w:pPr>
      <w:rPr>
        <w:rFonts w:ascii="Times New Roman" w:eastAsia="Times New Roman" w:hAnsi="Times New Roman" w:cs="Times New Roman" w:hint="default"/>
        <w:b/>
        <w:bCs/>
        <w:spacing w:val="-1"/>
        <w:w w:val="100"/>
        <w:sz w:val="24"/>
        <w:szCs w:val="24"/>
      </w:rPr>
    </w:lvl>
    <w:lvl w:ilvl="4">
      <w:start w:val="1"/>
      <w:numFmt w:val="decimal"/>
      <w:lvlText w:val="%1.%2.%3.%4.%5"/>
      <w:lvlJc w:val="left"/>
      <w:pPr>
        <w:ind w:left="1285" w:hanging="1133"/>
        <w:jc w:val="left"/>
      </w:pPr>
      <w:rPr>
        <w:rFonts w:ascii="Times New Roman" w:eastAsia="Times New Roman" w:hAnsi="Times New Roman" w:cs="Times New Roman" w:hint="default"/>
        <w:b/>
        <w:bCs/>
        <w:spacing w:val="-1"/>
        <w:w w:val="100"/>
        <w:sz w:val="24"/>
        <w:szCs w:val="24"/>
      </w:rPr>
    </w:lvl>
    <w:lvl w:ilvl="5">
      <w:numFmt w:val="bullet"/>
      <w:lvlText w:val="•"/>
      <w:lvlJc w:val="left"/>
      <w:pPr>
        <w:ind w:left="4862" w:hanging="1133"/>
      </w:pPr>
      <w:rPr>
        <w:rFonts w:hint="default"/>
      </w:rPr>
    </w:lvl>
    <w:lvl w:ilvl="6">
      <w:numFmt w:val="bullet"/>
      <w:lvlText w:val="•"/>
      <w:lvlJc w:val="left"/>
      <w:pPr>
        <w:ind w:left="5757" w:hanging="1133"/>
      </w:pPr>
      <w:rPr>
        <w:rFonts w:hint="default"/>
      </w:rPr>
    </w:lvl>
    <w:lvl w:ilvl="7">
      <w:numFmt w:val="bullet"/>
      <w:lvlText w:val="•"/>
      <w:lvlJc w:val="left"/>
      <w:pPr>
        <w:ind w:left="6653" w:hanging="1133"/>
      </w:pPr>
      <w:rPr>
        <w:rFonts w:hint="default"/>
      </w:rPr>
    </w:lvl>
    <w:lvl w:ilvl="8">
      <w:numFmt w:val="bullet"/>
      <w:lvlText w:val="•"/>
      <w:lvlJc w:val="left"/>
      <w:pPr>
        <w:ind w:left="7548" w:hanging="1133"/>
      </w:pPr>
      <w:rPr>
        <w:rFonts w:hint="default"/>
      </w:rPr>
    </w:lvl>
  </w:abstractNum>
  <w:abstractNum w:abstractNumId="20" w15:restartNumberingAfterBreak="0">
    <w:nsid w:val="68926574"/>
    <w:multiLevelType w:val="multilevel"/>
    <w:tmpl w:val="1CD81036"/>
    <w:lvl w:ilvl="0">
      <w:start w:val="4"/>
      <w:numFmt w:val="decimal"/>
      <w:lvlText w:val="%1"/>
      <w:lvlJc w:val="left"/>
      <w:pPr>
        <w:ind w:left="1084" w:hanging="852"/>
        <w:jc w:val="left"/>
      </w:pPr>
      <w:rPr>
        <w:rFonts w:hint="default"/>
      </w:rPr>
    </w:lvl>
    <w:lvl w:ilvl="1">
      <w:start w:val="1"/>
      <w:numFmt w:val="decimal"/>
      <w:lvlText w:val="%1.%2"/>
      <w:lvlJc w:val="left"/>
      <w:pPr>
        <w:ind w:left="1084" w:hanging="852"/>
        <w:jc w:val="left"/>
      </w:pPr>
      <w:rPr>
        <w:rFonts w:hint="default"/>
      </w:rPr>
    </w:lvl>
    <w:lvl w:ilvl="2">
      <w:start w:val="4"/>
      <w:numFmt w:val="decimal"/>
      <w:lvlText w:val="%1.%2.%3"/>
      <w:lvlJc w:val="left"/>
      <w:pPr>
        <w:ind w:left="1084" w:hanging="852"/>
        <w:jc w:val="left"/>
      </w:pPr>
      <w:rPr>
        <w:rFonts w:ascii="Times New Roman" w:eastAsia="Times New Roman" w:hAnsi="Times New Roman" w:cs="Times New Roman" w:hint="default"/>
        <w:b/>
        <w:bCs/>
        <w:spacing w:val="-1"/>
        <w:w w:val="100"/>
        <w:sz w:val="24"/>
        <w:szCs w:val="24"/>
      </w:rPr>
    </w:lvl>
    <w:lvl w:ilvl="3">
      <w:start w:val="1"/>
      <w:numFmt w:val="decimal"/>
      <w:lvlText w:val="%1.%2.%3.%4"/>
      <w:lvlJc w:val="left"/>
      <w:pPr>
        <w:ind w:left="1084" w:hanging="852"/>
        <w:jc w:val="left"/>
      </w:pPr>
      <w:rPr>
        <w:rFonts w:ascii="Times New Roman" w:eastAsia="Times New Roman" w:hAnsi="Times New Roman" w:cs="Times New Roman" w:hint="default"/>
        <w:b/>
        <w:bCs/>
        <w:spacing w:val="-1"/>
        <w:w w:val="100"/>
        <w:sz w:val="24"/>
        <w:szCs w:val="24"/>
      </w:rPr>
    </w:lvl>
    <w:lvl w:ilvl="4">
      <w:start w:val="1"/>
      <w:numFmt w:val="decimal"/>
      <w:lvlText w:val="%1.%2.%3.%4.%5"/>
      <w:lvlJc w:val="left"/>
      <w:pPr>
        <w:ind w:left="1365" w:hanging="1133"/>
        <w:jc w:val="left"/>
      </w:pPr>
      <w:rPr>
        <w:rFonts w:ascii="Times New Roman" w:eastAsia="Times New Roman" w:hAnsi="Times New Roman" w:cs="Times New Roman" w:hint="default"/>
        <w:b/>
        <w:bCs/>
        <w:spacing w:val="-1"/>
        <w:w w:val="100"/>
        <w:sz w:val="24"/>
        <w:szCs w:val="24"/>
      </w:rPr>
    </w:lvl>
    <w:lvl w:ilvl="5">
      <w:start w:val="1"/>
      <w:numFmt w:val="decimal"/>
      <w:lvlText w:val="%1.%2.%3.%4.%5.%6"/>
      <w:lvlJc w:val="left"/>
      <w:pPr>
        <w:ind w:left="1509" w:hanging="1277"/>
        <w:jc w:val="left"/>
      </w:pPr>
      <w:rPr>
        <w:rFonts w:ascii="Times New Roman" w:eastAsia="Times New Roman" w:hAnsi="Times New Roman" w:cs="Times New Roman" w:hint="default"/>
        <w:b/>
        <w:bCs/>
        <w:w w:val="100"/>
        <w:sz w:val="22"/>
        <w:szCs w:val="22"/>
      </w:rPr>
    </w:lvl>
    <w:lvl w:ilvl="6">
      <w:numFmt w:val="bullet"/>
      <w:lvlText w:val="•"/>
      <w:lvlJc w:val="left"/>
      <w:pPr>
        <w:ind w:left="6180" w:hanging="1277"/>
      </w:pPr>
      <w:rPr>
        <w:rFonts w:hint="default"/>
      </w:rPr>
    </w:lvl>
    <w:lvl w:ilvl="7">
      <w:numFmt w:val="bullet"/>
      <w:lvlText w:val="•"/>
      <w:lvlJc w:val="left"/>
      <w:pPr>
        <w:ind w:left="7350" w:hanging="1277"/>
      </w:pPr>
      <w:rPr>
        <w:rFonts w:hint="default"/>
      </w:rPr>
    </w:lvl>
    <w:lvl w:ilvl="8">
      <w:numFmt w:val="bullet"/>
      <w:lvlText w:val="•"/>
      <w:lvlJc w:val="left"/>
      <w:pPr>
        <w:ind w:left="8520" w:hanging="1277"/>
      </w:pPr>
      <w:rPr>
        <w:rFonts w:hint="default"/>
      </w:rPr>
    </w:lvl>
  </w:abstractNum>
  <w:abstractNum w:abstractNumId="21" w15:restartNumberingAfterBreak="0">
    <w:nsid w:val="6AC71671"/>
    <w:multiLevelType w:val="multilevel"/>
    <w:tmpl w:val="44B68B76"/>
    <w:lvl w:ilvl="0">
      <w:start w:val="4"/>
      <w:numFmt w:val="decimal"/>
      <w:lvlText w:val="%1"/>
      <w:lvlJc w:val="left"/>
      <w:pPr>
        <w:ind w:left="1084" w:hanging="852"/>
        <w:jc w:val="left"/>
      </w:pPr>
      <w:rPr>
        <w:rFonts w:hint="default"/>
      </w:rPr>
    </w:lvl>
    <w:lvl w:ilvl="1">
      <w:start w:val="3"/>
      <w:numFmt w:val="decimal"/>
      <w:lvlText w:val="%1.%2"/>
      <w:lvlJc w:val="left"/>
      <w:pPr>
        <w:ind w:left="1084" w:hanging="852"/>
        <w:jc w:val="left"/>
      </w:pPr>
      <w:rPr>
        <w:rFonts w:hint="default"/>
      </w:rPr>
    </w:lvl>
    <w:lvl w:ilvl="2">
      <w:start w:val="4"/>
      <w:numFmt w:val="decimal"/>
      <w:lvlText w:val="%1.%2.%3"/>
      <w:lvlJc w:val="left"/>
      <w:pPr>
        <w:ind w:left="1084" w:hanging="852"/>
        <w:jc w:val="left"/>
      </w:pPr>
      <w:rPr>
        <w:rFonts w:ascii="Times New Roman" w:eastAsia="Times New Roman" w:hAnsi="Times New Roman" w:cs="Times New Roman" w:hint="default"/>
        <w:b/>
        <w:bCs/>
        <w:spacing w:val="-1"/>
        <w:w w:val="100"/>
        <w:sz w:val="24"/>
        <w:szCs w:val="24"/>
      </w:rPr>
    </w:lvl>
    <w:lvl w:ilvl="3">
      <w:start w:val="1"/>
      <w:numFmt w:val="decimal"/>
      <w:lvlText w:val="%1.%2.%3.%4"/>
      <w:lvlJc w:val="left"/>
      <w:pPr>
        <w:ind w:left="1084" w:hanging="852"/>
        <w:jc w:val="left"/>
      </w:pPr>
      <w:rPr>
        <w:rFonts w:ascii="Times New Roman" w:eastAsia="Times New Roman" w:hAnsi="Times New Roman" w:cs="Times New Roman" w:hint="default"/>
        <w:b/>
        <w:bCs/>
        <w:spacing w:val="-1"/>
        <w:w w:val="100"/>
        <w:sz w:val="24"/>
        <w:szCs w:val="24"/>
      </w:rPr>
    </w:lvl>
    <w:lvl w:ilvl="4">
      <w:numFmt w:val="bullet"/>
      <w:lvlText w:val="•"/>
      <w:lvlJc w:val="left"/>
      <w:pPr>
        <w:ind w:left="4536" w:hanging="852"/>
      </w:pPr>
      <w:rPr>
        <w:rFonts w:hint="default"/>
      </w:rPr>
    </w:lvl>
    <w:lvl w:ilvl="5">
      <w:numFmt w:val="bullet"/>
      <w:lvlText w:val="•"/>
      <w:lvlJc w:val="left"/>
      <w:pPr>
        <w:ind w:left="5400" w:hanging="852"/>
      </w:pPr>
      <w:rPr>
        <w:rFonts w:hint="default"/>
      </w:rPr>
    </w:lvl>
    <w:lvl w:ilvl="6">
      <w:numFmt w:val="bullet"/>
      <w:lvlText w:val="•"/>
      <w:lvlJc w:val="left"/>
      <w:pPr>
        <w:ind w:left="6264" w:hanging="852"/>
      </w:pPr>
      <w:rPr>
        <w:rFonts w:hint="default"/>
      </w:rPr>
    </w:lvl>
    <w:lvl w:ilvl="7">
      <w:numFmt w:val="bullet"/>
      <w:lvlText w:val="•"/>
      <w:lvlJc w:val="left"/>
      <w:pPr>
        <w:ind w:left="7128" w:hanging="852"/>
      </w:pPr>
      <w:rPr>
        <w:rFonts w:hint="default"/>
      </w:rPr>
    </w:lvl>
    <w:lvl w:ilvl="8">
      <w:numFmt w:val="bullet"/>
      <w:lvlText w:val="•"/>
      <w:lvlJc w:val="left"/>
      <w:pPr>
        <w:ind w:left="7992" w:hanging="852"/>
      </w:pPr>
      <w:rPr>
        <w:rFonts w:hint="default"/>
      </w:rPr>
    </w:lvl>
  </w:abstractNum>
  <w:abstractNum w:abstractNumId="22" w15:restartNumberingAfterBreak="0">
    <w:nsid w:val="7EDF1161"/>
    <w:multiLevelType w:val="multilevel"/>
    <w:tmpl w:val="B01EF1C0"/>
    <w:lvl w:ilvl="0">
      <w:start w:val="5"/>
      <w:numFmt w:val="decimal"/>
      <w:lvlText w:val="%1"/>
      <w:lvlJc w:val="left"/>
      <w:pPr>
        <w:ind w:left="1365" w:hanging="850"/>
        <w:jc w:val="right"/>
      </w:pPr>
      <w:rPr>
        <w:rFonts w:hint="default"/>
      </w:rPr>
    </w:lvl>
    <w:lvl w:ilvl="1">
      <w:start w:val="1"/>
      <w:numFmt w:val="decimal"/>
      <w:lvlText w:val="%1.%2"/>
      <w:lvlJc w:val="left"/>
      <w:pPr>
        <w:ind w:left="1365" w:hanging="850"/>
        <w:jc w:val="left"/>
      </w:pPr>
      <w:rPr>
        <w:rFonts w:ascii="Times New Roman" w:eastAsia="Times New Roman" w:hAnsi="Times New Roman" w:cs="Times New Roman" w:hint="default"/>
        <w:w w:val="100"/>
        <w:sz w:val="22"/>
        <w:szCs w:val="22"/>
      </w:rPr>
    </w:lvl>
    <w:lvl w:ilvl="2">
      <w:start w:val="1"/>
      <w:numFmt w:val="decimal"/>
      <w:lvlText w:val="%1.%2.%3"/>
      <w:lvlJc w:val="left"/>
      <w:pPr>
        <w:ind w:left="1792" w:hanging="994"/>
        <w:jc w:val="left"/>
      </w:pPr>
      <w:rPr>
        <w:rFonts w:ascii="Times New Roman" w:eastAsia="Times New Roman" w:hAnsi="Times New Roman" w:cs="Times New Roman" w:hint="default"/>
        <w:w w:val="100"/>
        <w:sz w:val="22"/>
        <w:szCs w:val="22"/>
      </w:rPr>
    </w:lvl>
    <w:lvl w:ilvl="3">
      <w:start w:val="1"/>
      <w:numFmt w:val="decimal"/>
      <w:lvlText w:val="%1.%2.%3.%4"/>
      <w:lvlJc w:val="left"/>
      <w:pPr>
        <w:ind w:left="2217" w:hanging="1133"/>
        <w:jc w:val="left"/>
      </w:pPr>
      <w:rPr>
        <w:rFonts w:ascii="Times New Roman" w:eastAsia="Times New Roman" w:hAnsi="Times New Roman" w:cs="Times New Roman" w:hint="default"/>
        <w:w w:val="100"/>
        <w:sz w:val="22"/>
        <w:szCs w:val="22"/>
      </w:rPr>
    </w:lvl>
    <w:lvl w:ilvl="4">
      <w:numFmt w:val="bullet"/>
      <w:lvlText w:val="•"/>
      <w:lvlJc w:val="left"/>
      <w:pPr>
        <w:ind w:left="4380" w:hanging="1133"/>
      </w:pPr>
      <w:rPr>
        <w:rFonts w:hint="default"/>
      </w:rPr>
    </w:lvl>
    <w:lvl w:ilvl="5">
      <w:numFmt w:val="bullet"/>
      <w:lvlText w:val="•"/>
      <w:lvlJc w:val="left"/>
      <w:pPr>
        <w:ind w:left="5460" w:hanging="1133"/>
      </w:pPr>
      <w:rPr>
        <w:rFonts w:hint="default"/>
      </w:rPr>
    </w:lvl>
    <w:lvl w:ilvl="6">
      <w:numFmt w:val="bullet"/>
      <w:lvlText w:val="•"/>
      <w:lvlJc w:val="left"/>
      <w:pPr>
        <w:ind w:left="6540" w:hanging="1133"/>
      </w:pPr>
      <w:rPr>
        <w:rFonts w:hint="default"/>
      </w:rPr>
    </w:lvl>
    <w:lvl w:ilvl="7">
      <w:numFmt w:val="bullet"/>
      <w:lvlText w:val="•"/>
      <w:lvlJc w:val="left"/>
      <w:pPr>
        <w:ind w:left="7620" w:hanging="1133"/>
      </w:pPr>
      <w:rPr>
        <w:rFonts w:hint="default"/>
      </w:rPr>
    </w:lvl>
    <w:lvl w:ilvl="8">
      <w:numFmt w:val="bullet"/>
      <w:lvlText w:val="•"/>
      <w:lvlJc w:val="left"/>
      <w:pPr>
        <w:ind w:left="8700" w:hanging="1133"/>
      </w:pPr>
      <w:rPr>
        <w:rFonts w:hint="default"/>
      </w:rPr>
    </w:lvl>
  </w:abstractNum>
  <w:num w:numId="1">
    <w:abstractNumId w:val="11"/>
  </w:num>
  <w:num w:numId="2">
    <w:abstractNumId w:val="12"/>
  </w:num>
  <w:num w:numId="3">
    <w:abstractNumId w:val="7"/>
  </w:num>
  <w:num w:numId="4">
    <w:abstractNumId w:val="13"/>
  </w:num>
  <w:num w:numId="5">
    <w:abstractNumId w:val="19"/>
  </w:num>
  <w:num w:numId="6">
    <w:abstractNumId w:val="5"/>
  </w:num>
  <w:num w:numId="7">
    <w:abstractNumId w:val="4"/>
  </w:num>
  <w:num w:numId="8">
    <w:abstractNumId w:val="14"/>
  </w:num>
  <w:num w:numId="9">
    <w:abstractNumId w:val="8"/>
  </w:num>
  <w:num w:numId="10">
    <w:abstractNumId w:val="21"/>
  </w:num>
  <w:num w:numId="11">
    <w:abstractNumId w:val="2"/>
  </w:num>
  <w:num w:numId="12">
    <w:abstractNumId w:val="10"/>
  </w:num>
  <w:num w:numId="13">
    <w:abstractNumId w:val="20"/>
  </w:num>
  <w:num w:numId="14">
    <w:abstractNumId w:val="15"/>
  </w:num>
  <w:num w:numId="15">
    <w:abstractNumId w:val="18"/>
  </w:num>
  <w:num w:numId="16">
    <w:abstractNumId w:val="3"/>
  </w:num>
  <w:num w:numId="17">
    <w:abstractNumId w:val="6"/>
  </w:num>
  <w:num w:numId="18">
    <w:abstractNumId w:val="9"/>
  </w:num>
  <w:num w:numId="19">
    <w:abstractNumId w:val="0"/>
  </w:num>
  <w:num w:numId="20">
    <w:abstractNumId w:val="16"/>
  </w:num>
  <w:num w:numId="21">
    <w:abstractNumId w:val="22"/>
  </w:num>
  <w:num w:numId="22">
    <w:abstractNumId w:val="1"/>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720"/>
  <w:drawingGridHorizontalSpacing w:val="110"/>
  <w:displayHorizontalDrawingGridEvery w:val="2"/>
  <w:characterSpacingControl w:val="doNotCompress"/>
  <w:hdrShapeDefaults>
    <o:shapedefaults v:ext="edit" spidmax="2096">
      <v:textbox inset="5.85pt,.7pt,5.85pt,.7pt"/>
    </o:shapedefaults>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Setting w:name="useWord2013TrackBottomHyphenation" w:uri="http://schemas.microsoft.com/office/word" w:val="1"/>
  </w:compat>
  <w:rsids>
    <w:rsidRoot w:val="00A70FF9"/>
    <w:rsid w:val="001A7E10"/>
    <w:rsid w:val="00322BBE"/>
    <w:rsid w:val="005E125A"/>
    <w:rsid w:val="00940FDF"/>
    <w:rsid w:val="00A06DE0"/>
    <w:rsid w:val="00A70FF9"/>
    <w:rsid w:val="00CB7636"/>
    <w:rsid w:val="00D56536"/>
    <w:rsid w:val="00E20F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96">
      <v:textbox inset="5.85pt,.7pt,5.85pt,.7pt"/>
    </o:shapedefaults>
    <o:shapelayout v:ext="edit">
      <o:idmap v:ext="edit" data="1"/>
    </o:shapelayout>
  </w:shapeDefaults>
  <w:decimalSymbol w:val="."/>
  <w:listSeparator w:val=","/>
  <w15:docId w15:val="{72477D4C-3BD2-452E-96E5-1B6C7631C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rPr>
  </w:style>
  <w:style w:type="paragraph" w:styleId="1">
    <w:name w:val="heading 1"/>
    <w:basedOn w:val="a"/>
    <w:uiPriority w:val="9"/>
    <w:qFormat/>
    <w:pPr>
      <w:spacing w:before="86"/>
      <w:ind w:left="3108"/>
      <w:outlineLvl w:val="0"/>
    </w:pPr>
    <w:rPr>
      <w:b/>
      <w:bCs/>
      <w:sz w:val="32"/>
      <w:szCs w:val="32"/>
    </w:rPr>
  </w:style>
  <w:style w:type="paragraph" w:styleId="2">
    <w:name w:val="heading 2"/>
    <w:basedOn w:val="a"/>
    <w:uiPriority w:val="9"/>
    <w:unhideWhenUsed/>
    <w:qFormat/>
    <w:pPr>
      <w:spacing w:before="89"/>
      <w:ind w:left="1093" w:hanging="852"/>
      <w:outlineLvl w:val="1"/>
    </w:pPr>
    <w:rPr>
      <w:b/>
      <w:bCs/>
      <w:sz w:val="28"/>
      <w:szCs w:val="28"/>
    </w:rPr>
  </w:style>
  <w:style w:type="paragraph" w:styleId="3">
    <w:name w:val="heading 3"/>
    <w:basedOn w:val="a"/>
    <w:uiPriority w:val="9"/>
    <w:unhideWhenUsed/>
    <w:qFormat/>
    <w:pPr>
      <w:spacing w:before="149"/>
      <w:ind w:left="1084"/>
      <w:outlineLvl w:val="2"/>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1"/>
    <w:qFormat/>
    <w:pPr>
      <w:spacing w:before="171"/>
      <w:ind w:left="940" w:hanging="708"/>
    </w:pPr>
    <w:rPr>
      <w:b/>
      <w:bCs/>
    </w:rPr>
  </w:style>
  <w:style w:type="paragraph" w:styleId="20">
    <w:name w:val="toc 2"/>
    <w:basedOn w:val="a"/>
    <w:uiPriority w:val="1"/>
    <w:qFormat/>
    <w:pPr>
      <w:spacing w:before="20"/>
      <w:ind w:left="8416" w:right="1551" w:hanging="8184"/>
      <w:jc w:val="right"/>
    </w:pPr>
    <w:rPr>
      <w:sz w:val="20"/>
      <w:szCs w:val="20"/>
    </w:rPr>
  </w:style>
  <w:style w:type="paragraph" w:styleId="30">
    <w:name w:val="toc 3"/>
    <w:basedOn w:val="a"/>
    <w:uiPriority w:val="1"/>
    <w:qFormat/>
    <w:pPr>
      <w:spacing w:before="107"/>
      <w:ind w:left="1365" w:hanging="849"/>
    </w:pPr>
  </w:style>
  <w:style w:type="paragraph" w:styleId="4">
    <w:name w:val="toc 4"/>
    <w:basedOn w:val="a"/>
    <w:uiPriority w:val="1"/>
    <w:qFormat/>
    <w:pPr>
      <w:spacing w:before="107"/>
      <w:ind w:left="1792" w:hanging="993"/>
    </w:pPr>
  </w:style>
  <w:style w:type="paragraph" w:styleId="5">
    <w:name w:val="toc 5"/>
    <w:basedOn w:val="a"/>
    <w:uiPriority w:val="1"/>
    <w:qFormat/>
    <w:pPr>
      <w:spacing w:before="107"/>
      <w:ind w:left="2217" w:hanging="1133"/>
    </w:pPr>
  </w:style>
  <w:style w:type="paragraph" w:styleId="6">
    <w:name w:val="toc 6"/>
    <w:basedOn w:val="a"/>
    <w:uiPriority w:val="1"/>
    <w:qFormat/>
    <w:pPr>
      <w:spacing w:line="251" w:lineRule="exact"/>
      <w:ind w:left="2217"/>
    </w:pPr>
  </w:style>
  <w:style w:type="paragraph" w:styleId="a3">
    <w:name w:val="Body Text"/>
    <w:basedOn w:val="a"/>
    <w:uiPriority w:val="1"/>
    <w:qFormat/>
    <w:rPr>
      <w:sz w:val="24"/>
      <w:szCs w:val="24"/>
    </w:rPr>
  </w:style>
  <w:style w:type="paragraph" w:styleId="a4">
    <w:name w:val="List Paragraph"/>
    <w:basedOn w:val="a"/>
    <w:uiPriority w:val="1"/>
    <w:qFormat/>
    <w:pPr>
      <w:spacing w:before="107"/>
      <w:ind w:left="1084" w:hanging="852"/>
    </w:pPr>
  </w:style>
  <w:style w:type="paragraph" w:customStyle="1" w:styleId="TableParagraph">
    <w:name w:val="Table Paragraph"/>
    <w:basedOn w:val="a"/>
    <w:uiPriority w:val="1"/>
    <w:qFormat/>
    <w:pPr>
      <w:jc w:val="center"/>
    </w:pPr>
  </w:style>
  <w:style w:type="paragraph" w:styleId="a5">
    <w:name w:val="header"/>
    <w:basedOn w:val="a"/>
    <w:link w:val="a6"/>
    <w:uiPriority w:val="99"/>
    <w:unhideWhenUsed/>
    <w:rsid w:val="00940FDF"/>
    <w:pPr>
      <w:tabs>
        <w:tab w:val="center" w:pos="4252"/>
        <w:tab w:val="right" w:pos="8504"/>
      </w:tabs>
      <w:snapToGrid w:val="0"/>
    </w:pPr>
  </w:style>
  <w:style w:type="character" w:customStyle="1" w:styleId="a6">
    <w:name w:val="ヘッダー (文字)"/>
    <w:basedOn w:val="a0"/>
    <w:link w:val="a5"/>
    <w:uiPriority w:val="99"/>
    <w:rsid w:val="00940FDF"/>
    <w:rPr>
      <w:rFonts w:ascii="Times New Roman" w:eastAsia="Times New Roman" w:hAnsi="Times New Roman" w:cs="Times New Roman"/>
    </w:rPr>
  </w:style>
  <w:style w:type="paragraph" w:styleId="a7">
    <w:name w:val="footer"/>
    <w:basedOn w:val="a"/>
    <w:link w:val="a8"/>
    <w:uiPriority w:val="99"/>
    <w:unhideWhenUsed/>
    <w:rsid w:val="00940FDF"/>
    <w:pPr>
      <w:tabs>
        <w:tab w:val="center" w:pos="4252"/>
        <w:tab w:val="right" w:pos="8504"/>
      </w:tabs>
      <w:snapToGrid w:val="0"/>
    </w:pPr>
  </w:style>
  <w:style w:type="character" w:customStyle="1" w:styleId="a8">
    <w:name w:val="フッター (文字)"/>
    <w:basedOn w:val="a0"/>
    <w:link w:val="a7"/>
    <w:uiPriority w:val="99"/>
    <w:rsid w:val="00940FDF"/>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3.xml"/><Relationship Id="rId18"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4.xml"/><Relationship Id="rId17"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7EA8C9399C6F4249AB6A1823D3F13C35" ma:contentTypeVersion="2" ma:contentTypeDescription="新しいドキュメントを作成します。" ma:contentTypeScope="" ma:versionID="c267b9b797f40c944765c8d30051a1e5">
  <xsd:schema xmlns:xsd="http://www.w3.org/2001/XMLSchema" xmlns:xs="http://www.w3.org/2001/XMLSchema" xmlns:p="http://schemas.microsoft.com/office/2006/metadata/properties" xmlns:ns2="d2d78206-1d2d-40f9-bf0a-cbf8439a388f" targetNamespace="http://schemas.microsoft.com/office/2006/metadata/properties" ma:root="true" ma:fieldsID="84d7a9bbb7a6b358c850931979e06c8a" ns2:_="">
    <xsd:import namespace="d2d78206-1d2d-40f9-bf0a-cbf8439a388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d78206-1d2d-40f9-bf0a-cbf8439a38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C208E5D-B3F6-4A98-9D81-37BF069248C6}"/>
</file>

<file path=customXml/itemProps2.xml><?xml version="1.0" encoding="utf-8"?>
<ds:datastoreItem xmlns:ds="http://schemas.openxmlformats.org/officeDocument/2006/customXml" ds:itemID="{865E00B0-D1E4-4768-AE58-C0356FC179FD}"/>
</file>

<file path=customXml/itemProps3.xml><?xml version="1.0" encoding="utf-8"?>
<ds:datastoreItem xmlns:ds="http://schemas.openxmlformats.org/officeDocument/2006/customXml" ds:itemID="{AC79575A-F68E-476F-91B3-DBF7725DBFA4}"/>
</file>

<file path=docProps/app.xml><?xml version="1.0" encoding="utf-8"?>
<Properties xmlns="http://schemas.openxmlformats.org/officeDocument/2006/extended-properties" xmlns:vt="http://schemas.openxmlformats.org/officeDocument/2006/docPropsVTypes">
  <Template>Normal</Template>
  <TotalTime>14</TotalTime>
  <Pages>14</Pages>
  <Words>5242</Words>
  <Characters>29885</Characters>
  <Application>Microsoft Office Word</Application>
  <DocSecurity>0</DocSecurity>
  <Lines>249</Lines>
  <Paragraphs>70</Paragraphs>
  <ScaleCrop>false</ScaleCrop>
  <Company/>
  <LinksUpToDate>false</LinksUpToDate>
  <CharactersWithSpaces>35057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Watanabe, Yudai(渡辺 雄大)</cp:lastModifiedBy>
  <cp:revision>6</cp:revision>
  <dcterms:created xsi:type="dcterms:W3CDTF">2021-06-22T00:59:00Z</dcterms:created>
  <dcterms:modified xsi:type="dcterms:W3CDTF">2021-07-08T09:36:00Z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2018-07-23T00:00:00Z</vt:filetime>
  </property>
  <property fmtid="{D5CDD505-2E9C-101B-9397-08002B2CF9AE}" pid="3" name="LastSaved">
    <vt:filetime>2021-06-22T00:00:00Z</vt:filetime>
  </property>
  <property fmtid="{D5CDD505-2E9C-101B-9397-08002B2CF9AE}" pid="4" name="ContentTypeId">
    <vt:lpwstr>0x0101007EA8C9399C6F4249AB6A1823D3F13C35</vt:lpwstr>
  </property>
</Properties>
</file>