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67C" w:rsidRDefault="00785725">
      <w:pPr>
        <w:pStyle w:val="3"/>
        <w:numPr>
          <w:ilvl w:val="2"/>
          <w:numId w:val="16"/>
        </w:numPr>
        <w:tabs>
          <w:tab w:val="left" w:pos="1084"/>
          <w:tab w:val="left" w:pos="1085"/>
        </w:tabs>
      </w:pPr>
      <w:r>
        <w:t>Safety</w:t>
      </w:r>
      <w:r>
        <w:rPr>
          <w:spacing w:val="-2"/>
        </w:rPr>
        <w:t xml:space="preserve"> </w:t>
      </w:r>
      <w:r>
        <w:t>Pharmacology</w:t>
      </w:r>
    </w:p>
    <w:p w:rsidR="002A767C" w:rsidRDefault="00785725">
      <w:pPr>
        <w:pStyle w:val="a3"/>
        <w:spacing w:before="139" w:line="261" w:lineRule="auto"/>
        <w:ind w:left="232" w:right="1576"/>
      </w:pPr>
      <w:r>
        <w:t xml:space="preserve">The cardiovascular, respiratory and neurological effects of </w:t>
      </w:r>
      <w:r w:rsidR="00112D6E">
        <w:t>PROJECT 18</w:t>
      </w:r>
      <w:r>
        <w:t xml:space="preserve"> were assessed in the single ascending dose study in cynomolgus monkeys (Study 28895). </w:t>
      </w:r>
      <w:r w:rsidR="00112D6E">
        <w:t>PROJECT 18</w:t>
      </w:r>
      <w:r>
        <w:t xml:space="preserve"> was administered by intravenous bolus injection to 3 male and 3 female cynomolgus monkeys at a dose of 10, 30 or 100 mg/kg. Each administration was separated by a 14-day interval.</w:t>
      </w:r>
    </w:p>
    <w:p w:rsidR="002A767C" w:rsidRDefault="00785725">
      <w:pPr>
        <w:pStyle w:val="a3"/>
        <w:spacing w:before="117" w:line="261" w:lineRule="auto"/>
        <w:ind w:left="232" w:right="1875"/>
      </w:pPr>
      <w:r>
        <w:t xml:space="preserve">No </w:t>
      </w:r>
      <w:r w:rsidR="00112D6E">
        <w:t>PROJECT 18</w:t>
      </w:r>
      <w:r>
        <w:t>-related effects on the cardiovascular, respiratory or central nervous system were observed [</w:t>
      </w:r>
      <w:hyperlink w:anchor="_bookmark28" w:history="1">
        <w:r>
          <w:t>Table 2</w:t>
        </w:r>
      </w:hyperlink>
      <w:r>
        <w:t>].</w:t>
      </w:r>
    </w:p>
    <w:p w:rsidR="002A767C" w:rsidRDefault="00785725">
      <w:pPr>
        <w:pStyle w:val="3"/>
        <w:tabs>
          <w:tab w:val="left" w:pos="1651"/>
        </w:tabs>
        <w:spacing w:before="96"/>
        <w:ind w:left="232" w:firstLine="0"/>
      </w:pPr>
      <w:bookmarkStart w:id="0" w:name="_bookmark28"/>
      <w:bookmarkEnd w:id="0"/>
      <w:r>
        <w:t>Table</w:t>
      </w:r>
      <w:r>
        <w:rPr>
          <w:spacing w:val="-1"/>
        </w:rPr>
        <w:t xml:space="preserve"> </w:t>
      </w:r>
      <w:r>
        <w:t>2</w:t>
      </w:r>
      <w:r>
        <w:tab/>
        <w:t>Overview of Nonclinical Safety Pharmacology</w:t>
      </w:r>
      <w:r>
        <w:rPr>
          <w:spacing w:val="-2"/>
        </w:rPr>
        <w:t xml:space="preserve"> </w:t>
      </w:r>
      <w:r>
        <w:t>Study</w:t>
      </w:r>
    </w:p>
    <w:p w:rsidR="002A767C" w:rsidRDefault="002A767C">
      <w:pPr>
        <w:pStyle w:val="a3"/>
        <w:spacing w:before="6"/>
        <w:rPr>
          <w:b/>
          <w:sz w:val="5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1"/>
        <w:gridCol w:w="2311"/>
        <w:gridCol w:w="3696"/>
        <w:gridCol w:w="929"/>
      </w:tblGrid>
      <w:tr w:rsidR="002A767C">
        <w:trPr>
          <w:trHeight w:val="230"/>
        </w:trPr>
        <w:tc>
          <w:tcPr>
            <w:tcW w:w="2311" w:type="dxa"/>
            <w:tcBorders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Type of Study</w:t>
            </w:r>
          </w:p>
        </w:tc>
        <w:tc>
          <w:tcPr>
            <w:tcW w:w="23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59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Dose (mg/kg)</w:t>
            </w:r>
          </w:p>
        </w:tc>
        <w:tc>
          <w:tcPr>
            <w:tcW w:w="36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9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Noteworthy Findings</w:t>
            </w: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</w:tcBorders>
          </w:tcPr>
          <w:p w:rsidR="002A767C" w:rsidRDefault="00785725">
            <w:pPr>
              <w:pStyle w:val="TableParagraph"/>
              <w:ind w:left="239" w:right="224"/>
              <w:rPr>
                <w:b/>
                <w:sz w:val="20"/>
              </w:rPr>
            </w:pPr>
            <w:r>
              <w:rPr>
                <w:b/>
                <w:sz w:val="20"/>
              </w:rPr>
              <w:t>GLP</w:t>
            </w:r>
          </w:p>
        </w:tc>
      </w:tr>
      <w:tr w:rsidR="002A767C">
        <w:trPr>
          <w:trHeight w:val="1156"/>
        </w:trPr>
        <w:tc>
          <w:tcPr>
            <w:tcW w:w="2311" w:type="dxa"/>
            <w:tcBorders>
              <w:top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10" w:line="240" w:lineRule="auto"/>
              <w:ind w:left="114" w:right="350"/>
              <w:jc w:val="left"/>
              <w:rPr>
                <w:sz w:val="20"/>
              </w:rPr>
            </w:pPr>
            <w:r>
              <w:rPr>
                <w:sz w:val="20"/>
              </w:rPr>
              <w:t>Cardiovascular, respiratory and CNS (SAD study in cynomolgus monkeys)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10" w:line="240" w:lineRule="auto"/>
              <w:ind w:left="751" w:right="739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2A767C" w:rsidRDefault="00785725">
            <w:pPr>
              <w:pStyle w:val="TableParagraph"/>
              <w:spacing w:before="1" w:line="240" w:lineRule="auto"/>
              <w:ind w:left="751" w:right="739"/>
              <w:rPr>
                <w:sz w:val="20"/>
              </w:rPr>
            </w:pPr>
            <w:r>
              <w:rPr>
                <w:sz w:val="20"/>
              </w:rPr>
              <w:t>30</w:t>
            </w:r>
          </w:p>
          <w:p w:rsidR="002A767C" w:rsidRDefault="00785725">
            <w:pPr>
              <w:pStyle w:val="TableParagraph"/>
              <w:spacing w:line="229" w:lineRule="exact"/>
              <w:ind w:left="751" w:right="739"/>
              <w:rPr>
                <w:sz w:val="20"/>
              </w:rPr>
            </w:pPr>
            <w:r>
              <w:rPr>
                <w:sz w:val="20"/>
              </w:rPr>
              <w:t>100</w:t>
            </w:r>
          </w:p>
          <w:p w:rsidR="002A767C" w:rsidRDefault="00785725">
            <w:pPr>
              <w:pStyle w:val="TableParagraph"/>
              <w:spacing w:line="229" w:lineRule="exact"/>
              <w:ind w:left="751" w:right="742"/>
              <w:rPr>
                <w:sz w:val="20"/>
              </w:rPr>
            </w:pPr>
            <w:r>
              <w:rPr>
                <w:sz w:val="20"/>
              </w:rPr>
              <w:t>(iv bolus)</w:t>
            </w:r>
          </w:p>
        </w:tc>
        <w:tc>
          <w:tcPr>
            <w:tcW w:w="369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line="226" w:lineRule="exact"/>
              <w:ind w:left="642" w:right="630"/>
              <w:rPr>
                <w:b/>
                <w:sz w:val="20"/>
              </w:rPr>
            </w:pPr>
            <w:r>
              <w:rPr>
                <w:b/>
                <w:sz w:val="20"/>
              </w:rPr>
              <w:t>Parameters:</w:t>
            </w:r>
          </w:p>
          <w:p w:rsidR="002A767C" w:rsidRDefault="00785725">
            <w:pPr>
              <w:pStyle w:val="TableParagraph"/>
              <w:spacing w:line="244" w:lineRule="auto"/>
              <w:ind w:left="141" w:right="128" w:firstLine="3"/>
              <w:rPr>
                <w:b/>
                <w:sz w:val="20"/>
              </w:rPr>
            </w:pPr>
            <w:r>
              <w:rPr>
                <w:sz w:val="20"/>
              </w:rPr>
              <w:t xml:space="preserve">Heart rate, ECG, blood pressure and respiratory- and CNS-related clinical signs </w:t>
            </w:r>
            <w:r>
              <w:rPr>
                <w:b/>
                <w:sz w:val="20"/>
              </w:rPr>
              <w:t>Outcome:</w:t>
            </w:r>
          </w:p>
          <w:p w:rsidR="002A767C" w:rsidRDefault="00785725">
            <w:pPr>
              <w:pStyle w:val="TableParagraph"/>
              <w:spacing w:line="209" w:lineRule="exact"/>
              <w:ind w:left="642" w:right="631"/>
              <w:rPr>
                <w:sz w:val="20"/>
              </w:rPr>
            </w:pPr>
            <w:r>
              <w:rPr>
                <w:sz w:val="20"/>
              </w:rPr>
              <w:t xml:space="preserve">No </w:t>
            </w:r>
            <w:r w:rsidR="00112D6E">
              <w:rPr>
                <w:sz w:val="20"/>
              </w:rPr>
              <w:t>PROJECT 18</w:t>
            </w:r>
            <w:r>
              <w:rPr>
                <w:sz w:val="20"/>
              </w:rPr>
              <w:t>-related findings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</w:tcBorders>
          </w:tcPr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2A767C">
            <w:pPr>
              <w:pStyle w:val="TableParagraph"/>
              <w:spacing w:before="7" w:line="240" w:lineRule="auto"/>
              <w:ind w:left="0"/>
              <w:jc w:val="left"/>
              <w:rPr>
                <w:b/>
                <w:sz w:val="17"/>
              </w:rPr>
            </w:pPr>
          </w:p>
          <w:p w:rsidR="002A767C" w:rsidRDefault="00785725">
            <w:pPr>
              <w:pStyle w:val="TableParagraph"/>
              <w:spacing w:before="1" w:line="240" w:lineRule="auto"/>
              <w:ind w:left="241" w:right="223"/>
              <w:rPr>
                <w:sz w:val="20"/>
              </w:rPr>
            </w:pPr>
            <w:r>
              <w:rPr>
                <w:sz w:val="20"/>
              </w:rPr>
              <w:t>Yes†</w:t>
            </w:r>
          </w:p>
        </w:tc>
      </w:tr>
    </w:tbl>
    <w:p w:rsidR="002A767C" w:rsidRDefault="00785725">
      <w:pPr>
        <w:spacing w:before="34"/>
        <w:ind w:left="232" w:right="1590"/>
        <w:rPr>
          <w:sz w:val="20"/>
        </w:rPr>
      </w:pPr>
      <w:r>
        <w:rPr>
          <w:sz w:val="20"/>
        </w:rPr>
        <w:t>CNS: central nervous system; ECG: electrocardiogram; GLP: Good Laboratory Practice; SAD: single ascending dose</w:t>
      </w:r>
    </w:p>
    <w:p w:rsidR="002A767C" w:rsidRDefault="00785725">
      <w:pPr>
        <w:spacing w:before="39" w:line="280" w:lineRule="auto"/>
        <w:ind w:left="232" w:right="5516"/>
        <w:rPr>
          <w:sz w:val="20"/>
        </w:rPr>
      </w:pPr>
      <w:r>
        <w:rPr>
          <w:sz w:val="20"/>
        </w:rPr>
        <w:t>† Toxicokinetic analysis performed under non-GLP conditions. Source: Study 28895</w:t>
      </w:r>
    </w:p>
    <w:p w:rsidR="002A767C" w:rsidRDefault="00785725">
      <w:pPr>
        <w:pStyle w:val="3"/>
        <w:numPr>
          <w:ilvl w:val="2"/>
          <w:numId w:val="16"/>
        </w:numPr>
        <w:tabs>
          <w:tab w:val="left" w:pos="1084"/>
          <w:tab w:val="left" w:pos="1085"/>
        </w:tabs>
        <w:spacing w:before="148"/>
      </w:pPr>
      <w:bookmarkStart w:id="1" w:name="4.1.4_Pharmacodynamic_Drug_Interactions"/>
      <w:bookmarkStart w:id="2" w:name="_bookmark29"/>
      <w:bookmarkEnd w:id="1"/>
      <w:bookmarkEnd w:id="2"/>
      <w:r>
        <w:t>Pharmacodynamic Drug</w:t>
      </w:r>
      <w:r>
        <w:rPr>
          <w:spacing w:val="-1"/>
        </w:rPr>
        <w:t xml:space="preserve"> </w:t>
      </w:r>
      <w:r>
        <w:t>Interactions</w:t>
      </w:r>
    </w:p>
    <w:p w:rsidR="002A767C" w:rsidRDefault="00785725">
      <w:pPr>
        <w:pStyle w:val="a3"/>
        <w:spacing w:before="139" w:line="261" w:lineRule="auto"/>
        <w:ind w:left="232" w:right="1790"/>
      </w:pPr>
      <w:r>
        <w:t xml:space="preserve">No specific pharmacodynamic drug interaction studies with </w:t>
      </w:r>
      <w:r w:rsidR="00112D6E">
        <w:t>PROJECT 18</w:t>
      </w:r>
      <w:r>
        <w:t xml:space="preserve"> have been completed thus far.</w:t>
      </w:r>
    </w:p>
    <w:p w:rsidR="002A767C" w:rsidRDefault="002A767C" w:rsidP="00060C1B">
      <w:pPr>
        <w:pStyle w:val="2"/>
        <w:tabs>
          <w:tab w:val="left" w:pos="1084"/>
          <w:tab w:val="left" w:pos="1085"/>
        </w:tabs>
        <w:spacing w:before="98"/>
      </w:pPr>
      <w:bookmarkStart w:id="3" w:name="4.2_Pharmacokinetics_and_Product_Metabol"/>
      <w:bookmarkStart w:id="4" w:name="_bookmark30"/>
      <w:bookmarkEnd w:id="3"/>
      <w:bookmarkEnd w:id="4"/>
    </w:p>
    <w:p w:rsidR="002A767C" w:rsidRDefault="00785725" w:rsidP="00EB14AC">
      <w:pPr>
        <w:pStyle w:val="2"/>
        <w:numPr>
          <w:ilvl w:val="1"/>
          <w:numId w:val="14"/>
        </w:numPr>
        <w:tabs>
          <w:tab w:val="left" w:pos="1084"/>
          <w:tab w:val="left" w:pos="1085"/>
        </w:tabs>
        <w:spacing w:before="124"/>
      </w:pPr>
      <w:bookmarkStart w:id="5" w:name="4.3_Toxicology"/>
      <w:bookmarkStart w:id="6" w:name="_bookmark44"/>
      <w:bookmarkStart w:id="7" w:name="_GoBack"/>
      <w:bookmarkEnd w:id="5"/>
      <w:bookmarkEnd w:id="6"/>
      <w:bookmarkEnd w:id="7"/>
      <w:r>
        <w:t>Toxicology</w:t>
      </w:r>
    </w:p>
    <w:p w:rsidR="002A767C" w:rsidRDefault="00785725">
      <w:pPr>
        <w:pStyle w:val="a3"/>
        <w:spacing w:before="140" w:line="261" w:lineRule="auto"/>
        <w:ind w:left="232"/>
      </w:pPr>
      <w:r>
        <w:t xml:space="preserve">The nonclinical toxicology testing battery for </w:t>
      </w:r>
      <w:r w:rsidR="00112D6E">
        <w:t>PROJECT 18</w:t>
      </w:r>
      <w:r>
        <w:t xml:space="preserve"> referred to existing regulatory guidelines: ICH S6 (R1) biotechnology-derived pharmaceuticals and ICH S9 anticancer pharmaceuticals. A list of the studies conducted is presented in [</w:t>
      </w:r>
      <w:hyperlink w:anchor="_bookmark45" w:history="1">
        <w:r>
          <w:t>Table 4</w:t>
        </w:r>
      </w:hyperlink>
      <w:r>
        <w:t>].</w:t>
      </w:r>
    </w:p>
    <w:p w:rsidR="002A767C" w:rsidRDefault="002A767C">
      <w:pPr>
        <w:spacing w:line="261" w:lineRule="auto"/>
        <w:sectPr w:rsidR="002A767C">
          <w:headerReference w:type="default" r:id="rId7"/>
          <w:footerReference w:type="default" r:id="rId8"/>
          <w:pgSz w:w="12240" w:h="15840"/>
          <w:pgMar w:top="1560" w:right="1380" w:bottom="940" w:left="1380" w:header="578" w:footer="748" w:gutter="0"/>
          <w:cols w:space="720"/>
        </w:sectPr>
      </w:pPr>
    </w:p>
    <w:p w:rsidR="002A767C" w:rsidRDefault="00785725">
      <w:pPr>
        <w:pStyle w:val="3"/>
        <w:tabs>
          <w:tab w:val="left" w:pos="1651"/>
        </w:tabs>
        <w:ind w:left="232" w:firstLine="0"/>
      </w:pPr>
      <w:bookmarkStart w:id="8" w:name="_bookmark45"/>
      <w:bookmarkEnd w:id="8"/>
      <w:r>
        <w:lastRenderedPageBreak/>
        <w:t>Table</w:t>
      </w:r>
      <w:r>
        <w:rPr>
          <w:spacing w:val="-1"/>
        </w:rPr>
        <w:t xml:space="preserve"> </w:t>
      </w:r>
      <w:r>
        <w:t>4</w:t>
      </w:r>
      <w:r>
        <w:tab/>
        <w:t>Overview of Nonclinical Toxicity</w:t>
      </w:r>
      <w:r>
        <w:rPr>
          <w:spacing w:val="-1"/>
        </w:rPr>
        <w:t xml:space="preserve"> </w:t>
      </w:r>
      <w:r>
        <w:t>Studies</w:t>
      </w:r>
    </w:p>
    <w:p w:rsidR="002A767C" w:rsidRDefault="002A767C">
      <w:pPr>
        <w:pStyle w:val="a3"/>
        <w:spacing w:before="5"/>
        <w:rPr>
          <w:b/>
          <w:sz w:val="5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3"/>
        <w:gridCol w:w="5523"/>
        <w:gridCol w:w="812"/>
        <w:gridCol w:w="1482"/>
      </w:tblGrid>
      <w:tr w:rsidR="002A767C">
        <w:trPr>
          <w:trHeight w:val="539"/>
        </w:trPr>
        <w:tc>
          <w:tcPr>
            <w:tcW w:w="1433" w:type="dxa"/>
            <w:tcBorders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53" w:line="240" w:lineRule="auto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Type of Study</w:t>
            </w:r>
          </w:p>
        </w:tc>
        <w:tc>
          <w:tcPr>
            <w:tcW w:w="55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53" w:line="240" w:lineRule="auto"/>
              <w:ind w:left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Study Title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53" w:line="240" w:lineRule="auto"/>
              <w:ind w:left="178" w:right="173"/>
              <w:rPr>
                <w:b/>
                <w:sz w:val="20"/>
              </w:rPr>
            </w:pPr>
            <w:r>
              <w:rPr>
                <w:b/>
                <w:sz w:val="20"/>
              </w:rPr>
              <w:t>GLP</w:t>
            </w:r>
          </w:p>
        </w:tc>
        <w:tc>
          <w:tcPr>
            <w:tcW w:w="1482" w:type="dxa"/>
            <w:tcBorders>
              <w:left w:val="single" w:sz="2" w:space="0" w:color="000000"/>
              <w:bottom w:val="single" w:sz="2" w:space="0" w:color="000000"/>
            </w:tcBorders>
          </w:tcPr>
          <w:p w:rsidR="002A767C" w:rsidRDefault="00785725">
            <w:pPr>
              <w:pStyle w:val="TableParagraph"/>
              <w:spacing w:before="38" w:line="240" w:lineRule="auto"/>
              <w:ind w:left="384" w:firstLine="10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Study Number</w:t>
            </w:r>
          </w:p>
        </w:tc>
      </w:tr>
      <w:tr w:rsidR="002A767C">
        <w:trPr>
          <w:trHeight w:val="539"/>
        </w:trPr>
        <w:tc>
          <w:tcPr>
            <w:tcW w:w="14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Single-dose</w:t>
            </w:r>
          </w:p>
        </w:tc>
        <w:tc>
          <w:tcPr>
            <w:tcW w:w="5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19" w:right="402"/>
              <w:jc w:val="left"/>
              <w:rPr>
                <w:sz w:val="20"/>
              </w:rPr>
            </w:pPr>
            <w:r>
              <w:rPr>
                <w:sz w:val="20"/>
              </w:rPr>
              <w:t xml:space="preserve">Pharmacokinetic study of </w:t>
            </w:r>
            <w:r w:rsidR="00112D6E">
              <w:rPr>
                <w:sz w:val="20"/>
              </w:rPr>
              <w:t>PROJECT 18</w:t>
            </w:r>
            <w:r>
              <w:rPr>
                <w:sz w:val="20"/>
              </w:rPr>
              <w:t xml:space="preserve"> after multiple intravenous injections in cynomolgus monkeys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80" w:right="172"/>
              <w:rPr>
                <w:sz w:val="20"/>
              </w:rPr>
            </w:pPr>
            <w:r>
              <w:rPr>
                <w:sz w:val="20"/>
              </w:rPr>
              <w:t>Yes†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20" w:right="111"/>
              <w:rPr>
                <w:sz w:val="20"/>
              </w:rPr>
            </w:pPr>
            <w:r>
              <w:rPr>
                <w:sz w:val="20"/>
              </w:rPr>
              <w:t>28895</w:t>
            </w:r>
          </w:p>
        </w:tc>
      </w:tr>
      <w:tr w:rsidR="002A767C">
        <w:trPr>
          <w:trHeight w:val="309"/>
        </w:trPr>
        <w:tc>
          <w:tcPr>
            <w:tcW w:w="14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Repeat-dose</w:t>
            </w:r>
          </w:p>
        </w:tc>
        <w:tc>
          <w:tcPr>
            <w:tcW w:w="5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112D6E">
            <w:pPr>
              <w:pStyle w:val="TableParagraph"/>
              <w:spacing w:before="34" w:line="240" w:lineRule="auto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PROJECT 18</w:t>
            </w:r>
            <w:r w:rsidR="00785725">
              <w:rPr>
                <w:sz w:val="20"/>
              </w:rPr>
              <w:t xml:space="preserve"> 28-days repeated dose study in mice‡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80" w:right="17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21" w:right="110"/>
              <w:rPr>
                <w:sz w:val="20"/>
              </w:rPr>
            </w:pPr>
            <w:r>
              <w:rPr>
                <w:sz w:val="20"/>
              </w:rPr>
              <w:t>GP_P0081</w:t>
            </w:r>
          </w:p>
        </w:tc>
      </w:tr>
      <w:tr w:rsidR="002A767C">
        <w:trPr>
          <w:trHeight w:val="542"/>
        </w:trPr>
        <w:tc>
          <w:tcPr>
            <w:tcW w:w="14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6" w:line="240" w:lineRule="auto"/>
              <w:ind w:left="114" w:right="194"/>
              <w:jc w:val="left"/>
              <w:rPr>
                <w:sz w:val="20"/>
              </w:rPr>
            </w:pPr>
            <w:r>
              <w:rPr>
                <w:sz w:val="20"/>
              </w:rPr>
              <w:t>Tissue Cross- reactivity</w:t>
            </w:r>
          </w:p>
        </w:tc>
        <w:tc>
          <w:tcPr>
            <w:tcW w:w="5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Tissue cross reactivity study with five animal species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80" w:right="17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21" w:right="110"/>
              <w:rPr>
                <w:sz w:val="20"/>
              </w:rPr>
            </w:pPr>
            <w:r>
              <w:rPr>
                <w:sz w:val="20"/>
              </w:rPr>
              <w:t>GP_P0077</w:t>
            </w:r>
          </w:p>
        </w:tc>
      </w:tr>
      <w:tr w:rsidR="002A767C">
        <w:trPr>
          <w:trHeight w:val="539"/>
        </w:trPr>
        <w:tc>
          <w:tcPr>
            <w:tcW w:w="14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14" w:right="194"/>
              <w:jc w:val="left"/>
              <w:rPr>
                <w:sz w:val="20"/>
              </w:rPr>
            </w:pPr>
            <w:r>
              <w:rPr>
                <w:sz w:val="20"/>
              </w:rPr>
              <w:t>Tissue Cross- reactivity</w:t>
            </w:r>
          </w:p>
        </w:tc>
        <w:tc>
          <w:tcPr>
            <w:tcW w:w="5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 xml:space="preserve">TCR-study of </w:t>
            </w:r>
            <w:r w:rsidR="00112D6E">
              <w:rPr>
                <w:sz w:val="20"/>
              </w:rPr>
              <w:t>PROJECT 18</w:t>
            </w:r>
            <w:r>
              <w:rPr>
                <w:sz w:val="20"/>
              </w:rPr>
              <w:t xml:space="preserve"> with a human tissue panel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80" w:right="17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21" w:right="110"/>
              <w:rPr>
                <w:sz w:val="20"/>
              </w:rPr>
            </w:pPr>
            <w:r>
              <w:rPr>
                <w:sz w:val="20"/>
              </w:rPr>
              <w:t>GP_P0082</w:t>
            </w:r>
          </w:p>
        </w:tc>
      </w:tr>
      <w:tr w:rsidR="002A767C">
        <w:trPr>
          <w:trHeight w:val="539"/>
        </w:trPr>
        <w:tc>
          <w:tcPr>
            <w:tcW w:w="14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14" w:right="194"/>
              <w:jc w:val="left"/>
              <w:rPr>
                <w:sz w:val="20"/>
              </w:rPr>
            </w:pPr>
            <w:r>
              <w:rPr>
                <w:sz w:val="20"/>
              </w:rPr>
              <w:t>Tissue Cross- reactivity</w:t>
            </w:r>
          </w:p>
        </w:tc>
        <w:tc>
          <w:tcPr>
            <w:tcW w:w="5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19" w:right="146"/>
              <w:jc w:val="left"/>
              <w:rPr>
                <w:sz w:val="20"/>
              </w:rPr>
            </w:pPr>
            <w:r>
              <w:rPr>
                <w:sz w:val="20"/>
              </w:rPr>
              <w:t>A cross-reactivity study with human tissues selected according to FDA and EMA guidelines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80" w:right="170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20" w:right="111"/>
              <w:rPr>
                <w:sz w:val="20"/>
              </w:rPr>
            </w:pPr>
            <w:r>
              <w:rPr>
                <w:sz w:val="20"/>
              </w:rPr>
              <w:t>00468</w:t>
            </w:r>
          </w:p>
        </w:tc>
      </w:tr>
      <w:tr w:rsidR="002A767C">
        <w:trPr>
          <w:trHeight w:val="539"/>
        </w:trPr>
        <w:tc>
          <w:tcPr>
            <w:tcW w:w="14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14" w:right="128"/>
              <w:jc w:val="left"/>
              <w:rPr>
                <w:sz w:val="20"/>
              </w:rPr>
            </w:pPr>
            <w:r>
              <w:rPr>
                <w:sz w:val="20"/>
              </w:rPr>
              <w:t>Cytokine Release Assay</w:t>
            </w:r>
          </w:p>
        </w:tc>
        <w:tc>
          <w:tcPr>
            <w:tcW w:w="5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19" w:right="585"/>
              <w:jc w:val="left"/>
              <w:rPr>
                <w:sz w:val="20"/>
              </w:rPr>
            </w:pPr>
            <w:r>
              <w:rPr>
                <w:sz w:val="20"/>
              </w:rPr>
              <w:t xml:space="preserve">Cytokine release assay of </w:t>
            </w:r>
            <w:r w:rsidR="00112D6E">
              <w:rPr>
                <w:sz w:val="20"/>
              </w:rPr>
              <w:t>PROJECT 18</w:t>
            </w:r>
            <w:r>
              <w:rPr>
                <w:sz w:val="20"/>
              </w:rPr>
              <w:t xml:space="preserve"> using human peripheral blood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80" w:right="17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A767C" w:rsidRDefault="00112D6E">
            <w:pPr>
              <w:pStyle w:val="TableParagraph"/>
              <w:spacing w:before="149" w:line="240" w:lineRule="auto"/>
              <w:ind w:left="121" w:right="111"/>
              <w:rPr>
                <w:sz w:val="20"/>
              </w:rPr>
            </w:pPr>
            <w:r>
              <w:rPr>
                <w:sz w:val="20"/>
              </w:rPr>
              <w:t>Project 18</w:t>
            </w:r>
            <w:r w:rsidR="00785725">
              <w:rPr>
                <w:sz w:val="20"/>
              </w:rPr>
              <w:t>-TX-1001</w:t>
            </w:r>
          </w:p>
        </w:tc>
      </w:tr>
      <w:tr w:rsidR="002A767C">
        <w:trPr>
          <w:trHeight w:val="539"/>
        </w:trPr>
        <w:tc>
          <w:tcPr>
            <w:tcW w:w="143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Toxicokinetics</w:t>
            </w:r>
          </w:p>
        </w:tc>
        <w:tc>
          <w:tcPr>
            <w:tcW w:w="5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19" w:right="635"/>
              <w:jc w:val="left"/>
              <w:rPr>
                <w:sz w:val="20"/>
              </w:rPr>
            </w:pPr>
            <w:r>
              <w:rPr>
                <w:sz w:val="20"/>
              </w:rPr>
              <w:t xml:space="preserve">Preliminary single intravenous dose toxicokinetics study of </w:t>
            </w:r>
            <w:r w:rsidR="00112D6E">
              <w:rPr>
                <w:sz w:val="20"/>
              </w:rPr>
              <w:t>PROJECT 18</w:t>
            </w:r>
            <w:r>
              <w:rPr>
                <w:sz w:val="20"/>
              </w:rPr>
              <w:t xml:space="preserve"> in mice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80" w:right="17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A767C" w:rsidRDefault="00112D6E">
            <w:pPr>
              <w:pStyle w:val="TableParagraph"/>
              <w:spacing w:before="149" w:line="240" w:lineRule="auto"/>
              <w:ind w:left="121" w:right="111"/>
              <w:rPr>
                <w:sz w:val="20"/>
              </w:rPr>
            </w:pPr>
            <w:r>
              <w:rPr>
                <w:sz w:val="20"/>
              </w:rPr>
              <w:t>Project 18</w:t>
            </w:r>
            <w:r w:rsidR="00785725">
              <w:rPr>
                <w:sz w:val="20"/>
              </w:rPr>
              <w:t>-TX-1002</w:t>
            </w:r>
          </w:p>
        </w:tc>
      </w:tr>
      <w:tr w:rsidR="002A767C">
        <w:trPr>
          <w:trHeight w:val="539"/>
        </w:trPr>
        <w:tc>
          <w:tcPr>
            <w:tcW w:w="1433" w:type="dxa"/>
            <w:tcBorders>
              <w:top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Toxicokinetics</w:t>
            </w:r>
          </w:p>
        </w:tc>
        <w:tc>
          <w:tcPr>
            <w:tcW w:w="552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19" w:right="635"/>
              <w:jc w:val="left"/>
              <w:rPr>
                <w:sz w:val="20"/>
              </w:rPr>
            </w:pPr>
            <w:r>
              <w:rPr>
                <w:sz w:val="20"/>
              </w:rPr>
              <w:t xml:space="preserve">Preliminary single intravenous dose toxicokinetics study of </w:t>
            </w:r>
            <w:r w:rsidR="00112D6E">
              <w:rPr>
                <w:sz w:val="20"/>
              </w:rPr>
              <w:t>PROJECT 18</w:t>
            </w:r>
            <w:r>
              <w:rPr>
                <w:sz w:val="20"/>
              </w:rPr>
              <w:t xml:space="preserve"> in cynomolgus monkeys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80" w:right="17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</w:tcBorders>
          </w:tcPr>
          <w:p w:rsidR="002A767C" w:rsidRDefault="00112D6E">
            <w:pPr>
              <w:pStyle w:val="TableParagraph"/>
              <w:spacing w:before="149" w:line="240" w:lineRule="auto"/>
              <w:ind w:left="121" w:right="111"/>
              <w:rPr>
                <w:sz w:val="20"/>
              </w:rPr>
            </w:pPr>
            <w:r>
              <w:rPr>
                <w:sz w:val="20"/>
              </w:rPr>
              <w:t>Project 18</w:t>
            </w:r>
            <w:r w:rsidR="00785725">
              <w:rPr>
                <w:sz w:val="20"/>
              </w:rPr>
              <w:t>-TX-1003</w:t>
            </w:r>
          </w:p>
        </w:tc>
      </w:tr>
    </w:tbl>
    <w:p w:rsidR="002A767C" w:rsidRDefault="00785725">
      <w:pPr>
        <w:spacing w:before="54"/>
        <w:ind w:left="232"/>
        <w:rPr>
          <w:sz w:val="20"/>
        </w:rPr>
      </w:pPr>
      <w:r>
        <w:rPr>
          <w:sz w:val="20"/>
        </w:rPr>
        <w:t>GLP: Good Laboratory Practice.</w:t>
      </w:r>
    </w:p>
    <w:p w:rsidR="002A767C" w:rsidRDefault="00785725">
      <w:pPr>
        <w:spacing w:before="60"/>
        <w:ind w:left="232"/>
        <w:rPr>
          <w:sz w:val="20"/>
        </w:rPr>
      </w:pPr>
      <w:r>
        <w:rPr>
          <w:sz w:val="20"/>
        </w:rPr>
        <w:t>† Toxicokinetic analysis performed under non-GLP conditions.</w:t>
      </w:r>
    </w:p>
    <w:p w:rsidR="002A767C" w:rsidRDefault="00785725">
      <w:pPr>
        <w:spacing w:before="61"/>
        <w:ind w:left="232"/>
        <w:rPr>
          <w:sz w:val="20"/>
        </w:rPr>
      </w:pPr>
      <w:r>
        <w:rPr>
          <w:sz w:val="20"/>
        </w:rPr>
        <w:t>‡ Study drug was administered on days 1, 8, 15, 22 and 29.</w:t>
      </w:r>
    </w:p>
    <w:p w:rsidR="002A767C" w:rsidRDefault="00785725">
      <w:pPr>
        <w:pStyle w:val="3"/>
        <w:numPr>
          <w:ilvl w:val="2"/>
          <w:numId w:val="13"/>
        </w:numPr>
        <w:tabs>
          <w:tab w:val="left" w:pos="1084"/>
          <w:tab w:val="left" w:pos="1085"/>
        </w:tabs>
        <w:spacing w:before="150"/>
      </w:pPr>
      <w:bookmarkStart w:id="9" w:name="4.3.1_Single-dose_Toxicity"/>
      <w:bookmarkStart w:id="10" w:name="_bookmark46"/>
      <w:bookmarkEnd w:id="9"/>
      <w:bookmarkEnd w:id="10"/>
      <w:r>
        <w:t>Single-dose</w:t>
      </w:r>
      <w:r>
        <w:rPr>
          <w:spacing w:val="-2"/>
        </w:rPr>
        <w:t xml:space="preserve"> </w:t>
      </w:r>
      <w:r>
        <w:t>Toxicity</w:t>
      </w:r>
    </w:p>
    <w:p w:rsidR="002A767C" w:rsidRDefault="00785725">
      <w:pPr>
        <w:pStyle w:val="3"/>
        <w:numPr>
          <w:ilvl w:val="3"/>
          <w:numId w:val="13"/>
        </w:numPr>
        <w:tabs>
          <w:tab w:val="left" w:pos="1085"/>
        </w:tabs>
        <w:spacing w:before="144"/>
      </w:pPr>
      <w:bookmarkStart w:id="11" w:name="4.3.1.1_Single_Ascending_Dose_Study_in_C"/>
      <w:bookmarkStart w:id="12" w:name="_bookmark47"/>
      <w:bookmarkEnd w:id="11"/>
      <w:bookmarkEnd w:id="12"/>
      <w:r>
        <w:t>Single Ascending Dose Study in Cynomolgus Monkeys</w:t>
      </w:r>
      <w:r>
        <w:rPr>
          <w:spacing w:val="-11"/>
        </w:rPr>
        <w:t xml:space="preserve"> </w:t>
      </w:r>
      <w:r>
        <w:t>(GLP)</w:t>
      </w:r>
    </w:p>
    <w:p w:rsidR="002A767C" w:rsidRDefault="00785725">
      <w:pPr>
        <w:pStyle w:val="a3"/>
        <w:spacing w:before="139" w:line="261" w:lineRule="auto"/>
        <w:ind w:left="232" w:right="385"/>
      </w:pPr>
      <w:r>
        <w:t xml:space="preserve">A single ascending dose study of </w:t>
      </w:r>
      <w:r w:rsidR="00112D6E">
        <w:t>PROJECT 18</w:t>
      </w:r>
      <w:r>
        <w:t xml:space="preserve"> was performed in non-naïve cynomolgus monkeys (Study 28895) [</w:t>
      </w:r>
      <w:hyperlink w:anchor="_bookmark48" w:history="1">
        <w:r>
          <w:t>Table 5</w:t>
        </w:r>
      </w:hyperlink>
      <w:r>
        <w:t xml:space="preserve">]. </w:t>
      </w:r>
      <w:r w:rsidR="00112D6E">
        <w:t>PROJECT 18</w:t>
      </w:r>
      <w:r>
        <w:t xml:space="preserve"> in buffer (25 mmo/L histidine, 8% trehalose, 0.01% polysorbate 20, pH5.7) was administered by intravenous bolus injection to 3 males and 3 females at doses of 10, 30 or 100 mg/kg. A 14-day interval was placed between each administration. The animals were returned to the stock colony on day</w:t>
      </w:r>
      <w:r>
        <w:rPr>
          <w:spacing w:val="-12"/>
        </w:rPr>
        <w:t xml:space="preserve"> </w:t>
      </w:r>
      <w:r>
        <w:t>60.</w:t>
      </w:r>
    </w:p>
    <w:p w:rsidR="002A767C" w:rsidRDefault="00785725">
      <w:pPr>
        <w:pStyle w:val="a3"/>
        <w:spacing w:before="116" w:line="261" w:lineRule="auto"/>
        <w:ind w:left="232" w:right="660"/>
      </w:pPr>
      <w:r>
        <w:t>The following investigations were performed: local tolerance of injection sites,</w:t>
      </w:r>
      <w:r>
        <w:rPr>
          <w:spacing w:val="-17"/>
        </w:rPr>
        <w:t xml:space="preserve"> </w:t>
      </w:r>
      <w:r>
        <w:t>mortality, clinical signs, body weight, food and water consumption, ECG (including heart rate and blood pressure), hematology, clinical biochemistry, urinalysis, ophthalmology, auditory function and toxicokinetics. Postmortem examination was not</w:t>
      </w:r>
      <w:r>
        <w:rPr>
          <w:spacing w:val="-10"/>
        </w:rPr>
        <w:t xml:space="preserve"> </w:t>
      </w:r>
      <w:r>
        <w:t>conducted.</w:t>
      </w:r>
    </w:p>
    <w:p w:rsidR="002A767C" w:rsidRDefault="00785725">
      <w:pPr>
        <w:pStyle w:val="a3"/>
        <w:spacing w:before="117"/>
        <w:ind w:left="232"/>
      </w:pPr>
      <w:r>
        <w:t xml:space="preserve">The study did not show any </w:t>
      </w:r>
      <w:r w:rsidR="00112D6E">
        <w:t>PROJECT 18</w:t>
      </w:r>
      <w:r>
        <w:t>-related findings at any dose levels.</w:t>
      </w:r>
    </w:p>
    <w:p w:rsidR="002A767C" w:rsidRDefault="002A767C">
      <w:pPr>
        <w:sectPr w:rsidR="002A767C">
          <w:pgSz w:w="12240" w:h="15840"/>
          <w:pgMar w:top="1560" w:right="1380" w:bottom="940" w:left="1380" w:header="578" w:footer="748" w:gutter="0"/>
          <w:cols w:space="720"/>
        </w:sectPr>
      </w:pPr>
    </w:p>
    <w:p w:rsidR="002A767C" w:rsidRDefault="00785725">
      <w:pPr>
        <w:pStyle w:val="3"/>
        <w:tabs>
          <w:tab w:val="left" w:pos="1651"/>
        </w:tabs>
        <w:ind w:left="1651" w:right="1053" w:hanging="1419"/>
      </w:pPr>
      <w:bookmarkStart w:id="13" w:name="_bookmark48"/>
      <w:bookmarkEnd w:id="13"/>
      <w:r>
        <w:lastRenderedPageBreak/>
        <w:t>Table</w:t>
      </w:r>
      <w:r>
        <w:rPr>
          <w:spacing w:val="-1"/>
        </w:rPr>
        <w:t xml:space="preserve"> </w:t>
      </w:r>
      <w:r>
        <w:t>5</w:t>
      </w:r>
      <w:r>
        <w:tab/>
        <w:t>Findings of Single Ascending Dose Study in Cynomolgus</w:t>
      </w:r>
      <w:r>
        <w:rPr>
          <w:spacing w:val="-35"/>
        </w:rPr>
        <w:t xml:space="preserve"> </w:t>
      </w:r>
      <w:r>
        <w:t>Monkeys (Study 28895)</w:t>
      </w:r>
    </w:p>
    <w:p w:rsidR="002A767C" w:rsidRDefault="002A767C">
      <w:pPr>
        <w:pStyle w:val="a3"/>
        <w:spacing w:before="5"/>
        <w:rPr>
          <w:b/>
          <w:sz w:val="5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5"/>
        <w:gridCol w:w="4272"/>
      </w:tblGrid>
      <w:tr w:rsidR="002A767C">
        <w:trPr>
          <w:trHeight w:val="309"/>
        </w:trPr>
        <w:tc>
          <w:tcPr>
            <w:tcW w:w="4975" w:type="dxa"/>
            <w:tcBorders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8" w:line="240" w:lineRule="auto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4272" w:type="dxa"/>
            <w:tcBorders>
              <w:left w:val="single" w:sz="2" w:space="0" w:color="000000"/>
              <w:bottom w:val="single" w:sz="2" w:space="0" w:color="000000"/>
            </w:tcBorders>
          </w:tcPr>
          <w:p w:rsidR="002A767C" w:rsidRDefault="00785725">
            <w:pPr>
              <w:pStyle w:val="TableParagraph"/>
              <w:spacing w:before="38" w:line="240" w:lineRule="auto"/>
              <w:ind w:left="1745" w:right="1732"/>
              <w:rPr>
                <w:b/>
                <w:sz w:val="20"/>
              </w:rPr>
            </w:pPr>
            <w:r>
              <w:rPr>
                <w:b/>
                <w:sz w:val="20"/>
              </w:rPr>
              <w:t>Findings</w:t>
            </w:r>
          </w:p>
        </w:tc>
      </w:tr>
      <w:tr w:rsidR="002A767C">
        <w:trPr>
          <w:trHeight w:val="311"/>
        </w:trPr>
        <w:tc>
          <w:tcPr>
            <w:tcW w:w="497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Local tolerance</w:t>
            </w:r>
          </w:p>
        </w:tc>
        <w:tc>
          <w:tcPr>
            <w:tcW w:w="4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2A767C">
            <w:pPr>
              <w:pStyle w:val="TableParagraph"/>
              <w:spacing w:before="7" w:line="240" w:lineRule="auto"/>
              <w:ind w:left="0"/>
              <w:jc w:val="left"/>
              <w:rPr>
                <w:b/>
                <w:sz w:val="21"/>
              </w:rPr>
            </w:pPr>
          </w:p>
          <w:p w:rsidR="002A767C" w:rsidRDefault="00785725">
            <w:pPr>
              <w:pStyle w:val="TableParagraph"/>
              <w:spacing w:line="240" w:lineRule="auto"/>
              <w:ind w:left="117"/>
              <w:jc w:val="left"/>
              <w:rPr>
                <w:sz w:val="20"/>
              </w:rPr>
            </w:pPr>
            <w:r>
              <w:rPr>
                <w:sz w:val="20"/>
              </w:rPr>
              <w:t xml:space="preserve">No </w:t>
            </w:r>
            <w:r w:rsidR="00112D6E">
              <w:rPr>
                <w:sz w:val="20"/>
              </w:rPr>
              <w:t>PROJECT 18</w:t>
            </w:r>
            <w:r>
              <w:rPr>
                <w:sz w:val="20"/>
              </w:rPr>
              <w:t>-related changes at any dose.</w:t>
            </w:r>
          </w:p>
        </w:tc>
      </w:tr>
      <w:tr w:rsidR="002A767C">
        <w:trPr>
          <w:trHeight w:val="309"/>
        </w:trPr>
        <w:tc>
          <w:tcPr>
            <w:tcW w:w="497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Mortality</w:t>
            </w:r>
          </w:p>
        </w:tc>
        <w:tc>
          <w:tcPr>
            <w:tcW w:w="4272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2A767C" w:rsidRDefault="002A767C">
            <w:pPr>
              <w:rPr>
                <w:sz w:val="2"/>
                <w:szCs w:val="2"/>
              </w:rPr>
            </w:pPr>
          </w:p>
        </w:tc>
      </w:tr>
      <w:tr w:rsidR="002A767C">
        <w:trPr>
          <w:trHeight w:val="309"/>
        </w:trPr>
        <w:tc>
          <w:tcPr>
            <w:tcW w:w="497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Clinical signs</w:t>
            </w:r>
          </w:p>
        </w:tc>
        <w:tc>
          <w:tcPr>
            <w:tcW w:w="4272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2A767C" w:rsidRDefault="002A767C">
            <w:pPr>
              <w:rPr>
                <w:sz w:val="2"/>
                <w:szCs w:val="2"/>
              </w:rPr>
            </w:pPr>
          </w:p>
        </w:tc>
      </w:tr>
      <w:tr w:rsidR="002A767C">
        <w:trPr>
          <w:trHeight w:val="309"/>
        </w:trPr>
        <w:tc>
          <w:tcPr>
            <w:tcW w:w="497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Body weight</w:t>
            </w:r>
          </w:p>
        </w:tc>
        <w:tc>
          <w:tcPr>
            <w:tcW w:w="4272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2A767C" w:rsidRDefault="002A767C">
            <w:pPr>
              <w:rPr>
                <w:sz w:val="2"/>
                <w:szCs w:val="2"/>
              </w:rPr>
            </w:pPr>
          </w:p>
        </w:tc>
      </w:tr>
      <w:tr w:rsidR="002A767C">
        <w:trPr>
          <w:trHeight w:val="311"/>
        </w:trPr>
        <w:tc>
          <w:tcPr>
            <w:tcW w:w="497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Food and water consumption</w:t>
            </w:r>
          </w:p>
        </w:tc>
        <w:tc>
          <w:tcPr>
            <w:tcW w:w="4272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2A767C" w:rsidRDefault="002A767C">
            <w:pPr>
              <w:rPr>
                <w:sz w:val="2"/>
                <w:szCs w:val="2"/>
              </w:rPr>
            </w:pPr>
          </w:p>
        </w:tc>
      </w:tr>
      <w:tr w:rsidR="002A767C">
        <w:trPr>
          <w:trHeight w:val="309"/>
        </w:trPr>
        <w:tc>
          <w:tcPr>
            <w:tcW w:w="497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Electrocardiography</w:t>
            </w:r>
          </w:p>
        </w:tc>
        <w:tc>
          <w:tcPr>
            <w:tcW w:w="4272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2A767C" w:rsidRDefault="002A767C">
            <w:pPr>
              <w:rPr>
                <w:sz w:val="2"/>
                <w:szCs w:val="2"/>
              </w:rPr>
            </w:pPr>
          </w:p>
        </w:tc>
      </w:tr>
      <w:tr w:rsidR="002A767C">
        <w:trPr>
          <w:trHeight w:val="309"/>
        </w:trPr>
        <w:tc>
          <w:tcPr>
            <w:tcW w:w="497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Peripheral arterial systolic and diastolic blood pressure</w:t>
            </w:r>
          </w:p>
        </w:tc>
        <w:tc>
          <w:tcPr>
            <w:tcW w:w="4272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2A767C" w:rsidRDefault="002A767C">
            <w:pPr>
              <w:rPr>
                <w:sz w:val="2"/>
                <w:szCs w:val="2"/>
              </w:rPr>
            </w:pPr>
          </w:p>
        </w:tc>
      </w:tr>
      <w:tr w:rsidR="002A767C">
        <w:trPr>
          <w:trHeight w:val="309"/>
        </w:trPr>
        <w:tc>
          <w:tcPr>
            <w:tcW w:w="497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Hematology</w:t>
            </w:r>
          </w:p>
        </w:tc>
        <w:tc>
          <w:tcPr>
            <w:tcW w:w="4272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2A767C" w:rsidRDefault="002A767C">
            <w:pPr>
              <w:rPr>
                <w:sz w:val="2"/>
                <w:szCs w:val="2"/>
              </w:rPr>
            </w:pPr>
          </w:p>
        </w:tc>
      </w:tr>
      <w:tr w:rsidR="002A767C">
        <w:trPr>
          <w:trHeight w:val="309"/>
        </w:trPr>
        <w:tc>
          <w:tcPr>
            <w:tcW w:w="497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Clinical biochemistry</w:t>
            </w:r>
          </w:p>
        </w:tc>
        <w:tc>
          <w:tcPr>
            <w:tcW w:w="4272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2A767C" w:rsidRDefault="002A767C">
            <w:pPr>
              <w:rPr>
                <w:sz w:val="2"/>
                <w:szCs w:val="2"/>
              </w:rPr>
            </w:pPr>
          </w:p>
        </w:tc>
      </w:tr>
      <w:tr w:rsidR="002A767C">
        <w:trPr>
          <w:trHeight w:val="311"/>
        </w:trPr>
        <w:tc>
          <w:tcPr>
            <w:tcW w:w="497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6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Urinalysis</w:t>
            </w:r>
          </w:p>
        </w:tc>
        <w:tc>
          <w:tcPr>
            <w:tcW w:w="4272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2A767C" w:rsidRDefault="002A767C">
            <w:pPr>
              <w:rPr>
                <w:sz w:val="2"/>
                <w:szCs w:val="2"/>
              </w:rPr>
            </w:pPr>
          </w:p>
        </w:tc>
      </w:tr>
      <w:tr w:rsidR="002A767C">
        <w:trPr>
          <w:trHeight w:val="309"/>
        </w:trPr>
        <w:tc>
          <w:tcPr>
            <w:tcW w:w="497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Ophthalmology</w:t>
            </w:r>
          </w:p>
        </w:tc>
        <w:tc>
          <w:tcPr>
            <w:tcW w:w="4272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2A767C" w:rsidRDefault="002A767C">
            <w:pPr>
              <w:rPr>
                <w:sz w:val="2"/>
                <w:szCs w:val="2"/>
              </w:rPr>
            </w:pPr>
          </w:p>
        </w:tc>
      </w:tr>
      <w:tr w:rsidR="002A767C">
        <w:trPr>
          <w:trHeight w:val="309"/>
        </w:trPr>
        <w:tc>
          <w:tcPr>
            <w:tcW w:w="497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Auditory function test†</w:t>
            </w:r>
          </w:p>
        </w:tc>
        <w:tc>
          <w:tcPr>
            <w:tcW w:w="4272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2A767C" w:rsidRDefault="002A767C">
            <w:pPr>
              <w:rPr>
                <w:sz w:val="2"/>
                <w:szCs w:val="2"/>
              </w:rPr>
            </w:pPr>
          </w:p>
        </w:tc>
      </w:tr>
      <w:tr w:rsidR="002A767C">
        <w:trPr>
          <w:trHeight w:val="3340"/>
        </w:trPr>
        <w:tc>
          <w:tcPr>
            <w:tcW w:w="4975" w:type="dxa"/>
            <w:tcBorders>
              <w:top w:val="single" w:sz="2" w:space="0" w:color="000000"/>
              <w:right w:val="single" w:sz="2" w:space="0" w:color="000000"/>
            </w:tcBorders>
          </w:tcPr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2A767C">
            <w:pPr>
              <w:pStyle w:val="TableParagraph"/>
              <w:spacing w:before="9" w:line="240" w:lineRule="auto"/>
              <w:ind w:left="0"/>
              <w:jc w:val="left"/>
              <w:rPr>
                <w:b/>
                <w:sz w:val="24"/>
              </w:rPr>
            </w:pPr>
          </w:p>
          <w:p w:rsidR="002A767C" w:rsidRDefault="00785725">
            <w:pPr>
              <w:pStyle w:val="TableParagraph"/>
              <w:spacing w:before="1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Toxicokinetics†</w:t>
            </w:r>
          </w:p>
        </w:tc>
        <w:tc>
          <w:tcPr>
            <w:tcW w:w="4272" w:type="dxa"/>
            <w:tcBorders>
              <w:top w:val="single" w:sz="2" w:space="0" w:color="000000"/>
              <w:left w:val="single" w:sz="2" w:space="0" w:color="000000"/>
            </w:tcBorders>
          </w:tcPr>
          <w:p w:rsidR="002A767C" w:rsidRDefault="00785725">
            <w:pPr>
              <w:pStyle w:val="TableParagraph"/>
              <w:spacing w:before="33" w:line="276" w:lineRule="auto"/>
              <w:ind w:left="261" w:right="2048" w:hanging="144"/>
              <w:jc w:val="left"/>
              <w:rPr>
                <w:sz w:val="20"/>
              </w:rPr>
            </w:pPr>
            <w:r>
              <w:rPr>
                <w:position w:val="2"/>
                <w:sz w:val="20"/>
              </w:rPr>
              <w:t>C</w:t>
            </w:r>
            <w:r>
              <w:rPr>
                <w:sz w:val="13"/>
              </w:rPr>
              <w:t xml:space="preserve">max </w:t>
            </w:r>
            <w:r>
              <w:rPr>
                <w:position w:val="2"/>
                <w:sz w:val="20"/>
              </w:rPr>
              <w:t>(</w:t>
            </w:r>
            <w:r>
              <w:rPr>
                <w:rFonts w:ascii="Symbol" w:hAnsi="Symbol"/>
                <w:position w:val="2"/>
                <w:sz w:val="20"/>
              </w:rPr>
              <w:t></w:t>
            </w:r>
            <w:r>
              <w:rPr>
                <w:position w:val="2"/>
                <w:sz w:val="20"/>
              </w:rPr>
              <w:t xml:space="preserve">g/mL) at 10 mg/kg </w:t>
            </w:r>
            <w:r>
              <w:rPr>
                <w:sz w:val="20"/>
              </w:rPr>
              <w:t>male: 339</w:t>
            </w:r>
          </w:p>
          <w:p w:rsidR="002A767C" w:rsidRDefault="00785725">
            <w:pPr>
              <w:pStyle w:val="TableParagraph"/>
              <w:spacing w:before="5" w:line="240" w:lineRule="auto"/>
              <w:ind w:left="261"/>
              <w:jc w:val="left"/>
              <w:rPr>
                <w:sz w:val="20"/>
              </w:rPr>
            </w:pPr>
            <w:r>
              <w:rPr>
                <w:sz w:val="20"/>
              </w:rPr>
              <w:t>female: 315</w:t>
            </w:r>
          </w:p>
          <w:p w:rsidR="002A767C" w:rsidRDefault="00785725">
            <w:pPr>
              <w:pStyle w:val="TableParagraph"/>
              <w:spacing w:before="40" w:line="273" w:lineRule="auto"/>
              <w:ind w:left="261" w:right="1948" w:hanging="144"/>
              <w:jc w:val="left"/>
              <w:rPr>
                <w:sz w:val="20"/>
              </w:rPr>
            </w:pPr>
            <w:r>
              <w:rPr>
                <w:position w:val="2"/>
                <w:sz w:val="20"/>
              </w:rPr>
              <w:t>C</w:t>
            </w:r>
            <w:r>
              <w:rPr>
                <w:sz w:val="13"/>
              </w:rPr>
              <w:t xml:space="preserve">max </w:t>
            </w:r>
            <w:r>
              <w:rPr>
                <w:position w:val="2"/>
                <w:sz w:val="20"/>
              </w:rPr>
              <w:t>(</w:t>
            </w:r>
            <w:r>
              <w:rPr>
                <w:rFonts w:ascii="Symbol" w:hAnsi="Symbol"/>
                <w:position w:val="2"/>
                <w:sz w:val="20"/>
              </w:rPr>
              <w:t></w:t>
            </w:r>
            <w:r>
              <w:rPr>
                <w:position w:val="2"/>
                <w:sz w:val="20"/>
              </w:rPr>
              <w:t xml:space="preserve">g/mL) at 100 mg/kg </w:t>
            </w:r>
            <w:r>
              <w:rPr>
                <w:sz w:val="20"/>
              </w:rPr>
              <w:t>male: 3356</w:t>
            </w:r>
          </w:p>
          <w:p w:rsidR="002A767C" w:rsidRDefault="00785725">
            <w:pPr>
              <w:pStyle w:val="TableParagraph"/>
              <w:spacing w:before="10" w:line="240" w:lineRule="auto"/>
              <w:ind w:left="261"/>
              <w:jc w:val="left"/>
              <w:rPr>
                <w:sz w:val="20"/>
              </w:rPr>
            </w:pPr>
            <w:r>
              <w:rPr>
                <w:sz w:val="20"/>
              </w:rPr>
              <w:t>female: 3180</w:t>
            </w:r>
          </w:p>
          <w:p w:rsidR="002A767C" w:rsidRDefault="00785725">
            <w:pPr>
              <w:pStyle w:val="TableParagraph"/>
              <w:spacing w:before="38" w:line="276" w:lineRule="auto"/>
              <w:ind w:left="261" w:right="1521" w:hanging="144"/>
              <w:jc w:val="left"/>
              <w:rPr>
                <w:sz w:val="20"/>
              </w:rPr>
            </w:pPr>
            <w:r>
              <w:rPr>
                <w:position w:val="2"/>
                <w:sz w:val="20"/>
              </w:rPr>
              <w:t>AUC</w:t>
            </w:r>
            <w:r>
              <w:rPr>
                <w:sz w:val="13"/>
              </w:rPr>
              <w:t xml:space="preserve">168 </w:t>
            </w:r>
            <w:r>
              <w:rPr>
                <w:position w:val="2"/>
                <w:sz w:val="20"/>
              </w:rPr>
              <w:t>(</w:t>
            </w:r>
            <w:r>
              <w:rPr>
                <w:rFonts w:ascii="Symbol" w:hAnsi="Symbol"/>
                <w:position w:val="2"/>
                <w:sz w:val="20"/>
              </w:rPr>
              <w:t></w:t>
            </w:r>
            <w:r>
              <w:rPr>
                <w:position w:val="2"/>
                <w:sz w:val="20"/>
              </w:rPr>
              <w:t xml:space="preserve">g·h/mL) at 10 mg/kg </w:t>
            </w:r>
            <w:r>
              <w:rPr>
                <w:sz w:val="20"/>
              </w:rPr>
              <w:t>male: 21851</w:t>
            </w:r>
          </w:p>
          <w:p w:rsidR="002A767C" w:rsidRDefault="00785725">
            <w:pPr>
              <w:pStyle w:val="TableParagraph"/>
              <w:spacing w:before="7" w:line="240" w:lineRule="auto"/>
              <w:ind w:left="261"/>
              <w:jc w:val="left"/>
              <w:rPr>
                <w:sz w:val="20"/>
              </w:rPr>
            </w:pPr>
            <w:r>
              <w:rPr>
                <w:sz w:val="20"/>
              </w:rPr>
              <w:t>female: 16924</w:t>
            </w:r>
          </w:p>
          <w:p w:rsidR="002A767C" w:rsidRDefault="00785725">
            <w:pPr>
              <w:pStyle w:val="TableParagraph"/>
              <w:spacing w:before="38" w:line="276" w:lineRule="auto"/>
              <w:ind w:left="261" w:right="1521" w:hanging="144"/>
              <w:jc w:val="left"/>
              <w:rPr>
                <w:sz w:val="20"/>
              </w:rPr>
            </w:pPr>
            <w:r>
              <w:rPr>
                <w:position w:val="2"/>
                <w:sz w:val="20"/>
              </w:rPr>
              <w:t>AUC</w:t>
            </w:r>
            <w:r>
              <w:rPr>
                <w:sz w:val="13"/>
              </w:rPr>
              <w:t xml:space="preserve">168 </w:t>
            </w:r>
            <w:r>
              <w:rPr>
                <w:position w:val="2"/>
                <w:sz w:val="20"/>
              </w:rPr>
              <w:t>(</w:t>
            </w:r>
            <w:r>
              <w:rPr>
                <w:rFonts w:ascii="Symbol" w:hAnsi="Symbol"/>
                <w:position w:val="2"/>
                <w:sz w:val="20"/>
              </w:rPr>
              <w:t></w:t>
            </w:r>
            <w:r>
              <w:rPr>
                <w:position w:val="2"/>
                <w:sz w:val="20"/>
              </w:rPr>
              <w:t xml:space="preserve">g·h/mL) at 100 mg/kg </w:t>
            </w:r>
            <w:r>
              <w:rPr>
                <w:sz w:val="20"/>
              </w:rPr>
              <w:t>male: 181500</w:t>
            </w:r>
          </w:p>
          <w:p w:rsidR="002A767C" w:rsidRDefault="00785725">
            <w:pPr>
              <w:pStyle w:val="TableParagraph"/>
              <w:spacing w:before="5" w:line="240" w:lineRule="auto"/>
              <w:ind w:left="261"/>
              <w:jc w:val="left"/>
              <w:rPr>
                <w:sz w:val="20"/>
              </w:rPr>
            </w:pPr>
            <w:r>
              <w:rPr>
                <w:sz w:val="20"/>
              </w:rPr>
              <w:t>female: 167306</w:t>
            </w:r>
          </w:p>
        </w:tc>
      </w:tr>
    </w:tbl>
    <w:p w:rsidR="002A767C" w:rsidRDefault="00785725">
      <w:pPr>
        <w:spacing w:before="54" w:line="302" w:lineRule="auto"/>
        <w:ind w:left="232" w:right="6634"/>
        <w:rPr>
          <w:sz w:val="20"/>
        </w:rPr>
      </w:pPr>
      <w:r>
        <w:rPr>
          <w:sz w:val="20"/>
        </w:rPr>
        <w:t>† non-Good Laboratory Practice Source: Study 28895</w:t>
      </w:r>
    </w:p>
    <w:p w:rsidR="002A767C" w:rsidRDefault="00785725">
      <w:pPr>
        <w:pStyle w:val="3"/>
        <w:numPr>
          <w:ilvl w:val="2"/>
          <w:numId w:val="13"/>
        </w:numPr>
        <w:tabs>
          <w:tab w:val="left" w:pos="1084"/>
          <w:tab w:val="left" w:pos="1085"/>
        </w:tabs>
        <w:spacing w:before="91"/>
      </w:pPr>
      <w:bookmarkStart w:id="14" w:name="4.3.2_Repeat-dose_Toxicity"/>
      <w:bookmarkStart w:id="15" w:name="_bookmark49"/>
      <w:bookmarkEnd w:id="14"/>
      <w:bookmarkEnd w:id="15"/>
      <w:r>
        <w:t>Repeat-dose</w:t>
      </w:r>
      <w:r>
        <w:rPr>
          <w:spacing w:val="-2"/>
        </w:rPr>
        <w:t xml:space="preserve"> </w:t>
      </w:r>
      <w:r>
        <w:t>Toxicity</w:t>
      </w:r>
    </w:p>
    <w:p w:rsidR="002A767C" w:rsidRPr="00112D6E" w:rsidRDefault="00785725">
      <w:pPr>
        <w:pStyle w:val="3"/>
        <w:numPr>
          <w:ilvl w:val="3"/>
          <w:numId w:val="13"/>
        </w:numPr>
        <w:tabs>
          <w:tab w:val="left" w:pos="1085"/>
        </w:tabs>
        <w:spacing w:before="144"/>
        <w:rPr>
          <w:highlight w:val="cyan"/>
        </w:rPr>
      </w:pPr>
      <w:bookmarkStart w:id="16" w:name="4.3.2.1_29-Day,_Repeat-dose_Study_in_Mic"/>
      <w:bookmarkStart w:id="17" w:name="_bookmark50"/>
      <w:bookmarkEnd w:id="16"/>
      <w:bookmarkEnd w:id="17"/>
      <w:r w:rsidRPr="00112D6E">
        <w:rPr>
          <w:highlight w:val="cyan"/>
        </w:rPr>
        <w:t>29-Day, Repeat-dose Study in Mice</w:t>
      </w:r>
      <w:r w:rsidRPr="00112D6E">
        <w:rPr>
          <w:spacing w:val="-2"/>
          <w:highlight w:val="cyan"/>
        </w:rPr>
        <w:t xml:space="preserve"> </w:t>
      </w:r>
      <w:r w:rsidRPr="00112D6E">
        <w:rPr>
          <w:highlight w:val="cyan"/>
        </w:rPr>
        <w:t>(Non-GLP)</w:t>
      </w:r>
    </w:p>
    <w:p w:rsidR="002A767C" w:rsidRPr="00112D6E" w:rsidRDefault="00785725">
      <w:pPr>
        <w:pStyle w:val="a3"/>
        <w:spacing w:before="139" w:line="261" w:lineRule="auto"/>
        <w:ind w:left="232" w:right="300"/>
        <w:rPr>
          <w:highlight w:val="cyan"/>
        </w:rPr>
      </w:pPr>
      <w:r w:rsidRPr="00112D6E">
        <w:rPr>
          <w:highlight w:val="cyan"/>
        </w:rPr>
        <w:t xml:space="preserve">A 29-day repeat-dose toxicity study of </w:t>
      </w:r>
      <w:r w:rsidR="00112D6E" w:rsidRPr="00112D6E">
        <w:rPr>
          <w:highlight w:val="cyan"/>
        </w:rPr>
        <w:t>PROJECT 18</w:t>
      </w:r>
      <w:r w:rsidRPr="00112D6E">
        <w:rPr>
          <w:highlight w:val="cyan"/>
        </w:rPr>
        <w:t xml:space="preserve"> was performed in mice (Study GP_P0081). Vehicle (25 mmol/L histidine, 8% trehalose, 0.01% polysorbate 20, pH 5.7) or </w:t>
      </w:r>
      <w:r w:rsidR="00112D6E" w:rsidRPr="00112D6E">
        <w:rPr>
          <w:highlight w:val="cyan"/>
        </w:rPr>
        <w:t>PROJECT 18</w:t>
      </w:r>
      <w:r w:rsidRPr="00112D6E">
        <w:rPr>
          <w:spacing w:val="-31"/>
          <w:highlight w:val="cyan"/>
        </w:rPr>
        <w:t xml:space="preserve"> </w:t>
      </w:r>
      <w:r w:rsidRPr="00112D6E">
        <w:rPr>
          <w:highlight w:val="cyan"/>
        </w:rPr>
        <w:t xml:space="preserve">was administered once weekly by intravenous bolus injection to groups of 5 male and 5 female NMRI mice at a dose level of 400 mg/kg for 29 days; 5 applications in total. Necropsies were performed within 48 hours or 4 weeks after the last injection. A further 3 mice per sex were assigned to control and </w:t>
      </w:r>
      <w:r w:rsidR="00112D6E" w:rsidRPr="00112D6E">
        <w:rPr>
          <w:highlight w:val="cyan"/>
        </w:rPr>
        <w:t>PROJECT 18</w:t>
      </w:r>
      <w:r w:rsidRPr="00112D6E">
        <w:rPr>
          <w:highlight w:val="cyan"/>
        </w:rPr>
        <w:t xml:space="preserve"> 400 mg/kg to assess</w:t>
      </w:r>
      <w:r w:rsidRPr="00112D6E">
        <w:rPr>
          <w:spacing w:val="-6"/>
          <w:highlight w:val="cyan"/>
        </w:rPr>
        <w:t xml:space="preserve"> </w:t>
      </w:r>
      <w:r w:rsidRPr="00112D6E">
        <w:rPr>
          <w:highlight w:val="cyan"/>
        </w:rPr>
        <w:t>toxicokinetics.</w:t>
      </w:r>
    </w:p>
    <w:p w:rsidR="002A767C" w:rsidRPr="00112D6E" w:rsidRDefault="00785725">
      <w:pPr>
        <w:pStyle w:val="a3"/>
        <w:spacing w:before="115" w:line="261" w:lineRule="auto"/>
        <w:ind w:left="232" w:right="216"/>
        <w:rPr>
          <w:highlight w:val="cyan"/>
        </w:rPr>
      </w:pPr>
      <w:r w:rsidRPr="00112D6E">
        <w:rPr>
          <w:highlight w:val="cyan"/>
        </w:rPr>
        <w:t>The following investigations were performed: mortality, clinical signs, body weight, food and water consumption, microscopic examination and toxicokinetics.</w:t>
      </w:r>
    </w:p>
    <w:p w:rsidR="002A767C" w:rsidRPr="00112D6E" w:rsidRDefault="00785725">
      <w:pPr>
        <w:pStyle w:val="a3"/>
        <w:spacing w:before="119"/>
        <w:ind w:left="232"/>
        <w:rPr>
          <w:highlight w:val="cyan"/>
        </w:rPr>
      </w:pPr>
      <w:r w:rsidRPr="00112D6E">
        <w:rPr>
          <w:highlight w:val="cyan"/>
        </w:rPr>
        <w:t xml:space="preserve">The study did not show any </w:t>
      </w:r>
      <w:r w:rsidR="00112D6E" w:rsidRPr="00112D6E">
        <w:rPr>
          <w:highlight w:val="cyan"/>
        </w:rPr>
        <w:t>PROJECT 18</w:t>
      </w:r>
      <w:r w:rsidRPr="00112D6E">
        <w:rPr>
          <w:highlight w:val="cyan"/>
        </w:rPr>
        <w:t>-related findings.</w:t>
      </w:r>
    </w:p>
    <w:p w:rsidR="002A767C" w:rsidRPr="00112D6E" w:rsidRDefault="002A767C">
      <w:pPr>
        <w:rPr>
          <w:highlight w:val="cyan"/>
        </w:rPr>
        <w:sectPr w:rsidR="002A767C" w:rsidRPr="00112D6E">
          <w:pgSz w:w="12240" w:h="15840"/>
          <w:pgMar w:top="1560" w:right="1380" w:bottom="940" w:left="1380" w:header="578" w:footer="748" w:gutter="0"/>
          <w:cols w:space="720"/>
        </w:sectPr>
      </w:pPr>
    </w:p>
    <w:p w:rsidR="002A767C" w:rsidRPr="00112D6E" w:rsidRDefault="00785725">
      <w:pPr>
        <w:pStyle w:val="3"/>
        <w:tabs>
          <w:tab w:val="left" w:pos="1651"/>
        </w:tabs>
        <w:ind w:left="1651" w:right="1438" w:hanging="1419"/>
        <w:rPr>
          <w:highlight w:val="cyan"/>
        </w:rPr>
      </w:pPr>
      <w:bookmarkStart w:id="18" w:name="_bookmark51"/>
      <w:bookmarkEnd w:id="18"/>
      <w:r w:rsidRPr="00112D6E">
        <w:rPr>
          <w:highlight w:val="cyan"/>
        </w:rPr>
        <w:lastRenderedPageBreak/>
        <w:t>Table</w:t>
      </w:r>
      <w:r w:rsidRPr="00112D6E">
        <w:rPr>
          <w:spacing w:val="-1"/>
          <w:highlight w:val="cyan"/>
        </w:rPr>
        <w:t xml:space="preserve"> </w:t>
      </w:r>
      <w:r w:rsidRPr="00112D6E">
        <w:rPr>
          <w:highlight w:val="cyan"/>
        </w:rPr>
        <w:t>6</w:t>
      </w:r>
      <w:r w:rsidRPr="00112D6E">
        <w:rPr>
          <w:highlight w:val="cyan"/>
        </w:rPr>
        <w:tab/>
        <w:t>Findings of 29-Day Repeat-dose Toxicity Study in Mice (Study GP_P0081)</w:t>
      </w:r>
    </w:p>
    <w:p w:rsidR="002A767C" w:rsidRPr="00112D6E" w:rsidRDefault="002A767C">
      <w:pPr>
        <w:pStyle w:val="a3"/>
        <w:spacing w:before="5"/>
        <w:rPr>
          <w:b/>
          <w:sz w:val="5"/>
          <w:highlight w:val="cyan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25"/>
        <w:gridCol w:w="4623"/>
      </w:tblGrid>
      <w:tr w:rsidR="002A767C" w:rsidRPr="00112D6E">
        <w:trPr>
          <w:trHeight w:val="230"/>
        </w:trPr>
        <w:tc>
          <w:tcPr>
            <w:tcW w:w="4625" w:type="dxa"/>
            <w:tcBorders>
              <w:bottom w:val="single" w:sz="2" w:space="0" w:color="000000"/>
              <w:right w:val="single" w:sz="2" w:space="0" w:color="000000"/>
            </w:tcBorders>
          </w:tcPr>
          <w:p w:rsidR="002A767C" w:rsidRPr="00112D6E" w:rsidRDefault="00785725">
            <w:pPr>
              <w:pStyle w:val="TableParagraph"/>
              <w:ind w:left="114"/>
              <w:jc w:val="left"/>
              <w:rPr>
                <w:b/>
                <w:sz w:val="20"/>
                <w:highlight w:val="cyan"/>
              </w:rPr>
            </w:pPr>
            <w:r w:rsidRPr="00112D6E">
              <w:rPr>
                <w:b/>
                <w:sz w:val="20"/>
                <w:highlight w:val="cyan"/>
              </w:rPr>
              <w:t>Parameter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</w:tcBorders>
          </w:tcPr>
          <w:p w:rsidR="002A767C" w:rsidRPr="00112D6E" w:rsidRDefault="00785725">
            <w:pPr>
              <w:pStyle w:val="TableParagraph"/>
              <w:ind w:left="1922" w:right="1906"/>
              <w:rPr>
                <w:b/>
                <w:sz w:val="20"/>
                <w:highlight w:val="cyan"/>
              </w:rPr>
            </w:pPr>
            <w:r w:rsidRPr="00112D6E">
              <w:rPr>
                <w:b/>
                <w:sz w:val="20"/>
                <w:highlight w:val="cyan"/>
              </w:rPr>
              <w:t>Findings</w:t>
            </w:r>
          </w:p>
        </w:tc>
      </w:tr>
      <w:tr w:rsidR="002A767C" w:rsidRPr="00112D6E">
        <w:trPr>
          <w:trHeight w:val="230"/>
        </w:trPr>
        <w:tc>
          <w:tcPr>
            <w:tcW w:w="462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Pr="00112D6E" w:rsidRDefault="00785725">
            <w:pPr>
              <w:pStyle w:val="TableParagraph"/>
              <w:ind w:left="114"/>
              <w:jc w:val="left"/>
              <w:rPr>
                <w:sz w:val="20"/>
                <w:highlight w:val="cyan"/>
              </w:rPr>
            </w:pPr>
            <w:r w:rsidRPr="00112D6E">
              <w:rPr>
                <w:sz w:val="20"/>
                <w:highlight w:val="cyan"/>
              </w:rPr>
              <w:t>Mortality</w:t>
            </w:r>
          </w:p>
        </w:tc>
        <w:tc>
          <w:tcPr>
            <w:tcW w:w="46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A767C" w:rsidRPr="00112D6E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  <w:highlight w:val="cyan"/>
              </w:rPr>
            </w:pPr>
          </w:p>
          <w:p w:rsidR="002A767C" w:rsidRPr="00112D6E" w:rsidRDefault="002A767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18"/>
                <w:highlight w:val="cyan"/>
              </w:rPr>
            </w:pPr>
          </w:p>
          <w:p w:rsidR="002A767C" w:rsidRPr="00112D6E" w:rsidRDefault="00785725">
            <w:pPr>
              <w:pStyle w:val="TableParagraph"/>
              <w:spacing w:line="240" w:lineRule="auto"/>
              <w:ind w:left="119"/>
              <w:jc w:val="left"/>
              <w:rPr>
                <w:sz w:val="20"/>
                <w:highlight w:val="cyan"/>
              </w:rPr>
            </w:pPr>
            <w:r w:rsidRPr="00112D6E">
              <w:rPr>
                <w:sz w:val="20"/>
                <w:highlight w:val="cyan"/>
              </w:rPr>
              <w:t xml:space="preserve">No </w:t>
            </w:r>
            <w:r w:rsidR="00112D6E" w:rsidRPr="00112D6E">
              <w:rPr>
                <w:sz w:val="20"/>
                <w:highlight w:val="cyan"/>
              </w:rPr>
              <w:t>PROJECT 18</w:t>
            </w:r>
            <w:r w:rsidRPr="00112D6E">
              <w:rPr>
                <w:sz w:val="20"/>
                <w:highlight w:val="cyan"/>
              </w:rPr>
              <w:t>-related changes.</w:t>
            </w:r>
          </w:p>
        </w:tc>
      </w:tr>
      <w:tr w:rsidR="002A767C" w:rsidRPr="00112D6E">
        <w:trPr>
          <w:trHeight w:val="230"/>
        </w:trPr>
        <w:tc>
          <w:tcPr>
            <w:tcW w:w="462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Pr="00112D6E" w:rsidRDefault="00785725">
            <w:pPr>
              <w:pStyle w:val="TableParagraph"/>
              <w:ind w:left="114"/>
              <w:jc w:val="left"/>
              <w:rPr>
                <w:sz w:val="20"/>
                <w:highlight w:val="cyan"/>
              </w:rPr>
            </w:pPr>
            <w:r w:rsidRPr="00112D6E">
              <w:rPr>
                <w:sz w:val="20"/>
                <w:highlight w:val="cyan"/>
              </w:rPr>
              <w:t>Clinical signs</w:t>
            </w:r>
          </w:p>
        </w:tc>
        <w:tc>
          <w:tcPr>
            <w:tcW w:w="4623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2A767C" w:rsidRPr="00112D6E" w:rsidRDefault="002A767C">
            <w:pPr>
              <w:rPr>
                <w:sz w:val="2"/>
                <w:szCs w:val="2"/>
                <w:highlight w:val="cyan"/>
              </w:rPr>
            </w:pPr>
          </w:p>
        </w:tc>
      </w:tr>
      <w:tr w:rsidR="002A767C" w:rsidRPr="00112D6E">
        <w:trPr>
          <w:trHeight w:val="230"/>
        </w:trPr>
        <w:tc>
          <w:tcPr>
            <w:tcW w:w="462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Pr="00112D6E" w:rsidRDefault="00785725">
            <w:pPr>
              <w:pStyle w:val="TableParagraph"/>
              <w:ind w:left="114"/>
              <w:jc w:val="left"/>
              <w:rPr>
                <w:sz w:val="20"/>
                <w:highlight w:val="cyan"/>
              </w:rPr>
            </w:pPr>
            <w:r w:rsidRPr="00112D6E">
              <w:rPr>
                <w:sz w:val="20"/>
                <w:highlight w:val="cyan"/>
              </w:rPr>
              <w:t>Body weight</w:t>
            </w:r>
          </w:p>
        </w:tc>
        <w:tc>
          <w:tcPr>
            <w:tcW w:w="4623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2A767C" w:rsidRPr="00112D6E" w:rsidRDefault="002A767C">
            <w:pPr>
              <w:rPr>
                <w:sz w:val="2"/>
                <w:szCs w:val="2"/>
                <w:highlight w:val="cyan"/>
              </w:rPr>
            </w:pPr>
          </w:p>
        </w:tc>
      </w:tr>
      <w:tr w:rsidR="002A767C" w:rsidRPr="00112D6E">
        <w:trPr>
          <w:trHeight w:val="230"/>
        </w:trPr>
        <w:tc>
          <w:tcPr>
            <w:tcW w:w="462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Pr="00112D6E" w:rsidRDefault="00785725">
            <w:pPr>
              <w:pStyle w:val="TableParagraph"/>
              <w:ind w:left="114"/>
              <w:jc w:val="left"/>
              <w:rPr>
                <w:sz w:val="20"/>
                <w:highlight w:val="cyan"/>
              </w:rPr>
            </w:pPr>
            <w:r w:rsidRPr="00112D6E">
              <w:rPr>
                <w:sz w:val="20"/>
                <w:highlight w:val="cyan"/>
              </w:rPr>
              <w:t>Drinking water consumption†</w:t>
            </w:r>
          </w:p>
        </w:tc>
        <w:tc>
          <w:tcPr>
            <w:tcW w:w="4623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2A767C" w:rsidRPr="00112D6E" w:rsidRDefault="002A767C">
            <w:pPr>
              <w:rPr>
                <w:sz w:val="2"/>
                <w:szCs w:val="2"/>
                <w:highlight w:val="cyan"/>
              </w:rPr>
            </w:pPr>
          </w:p>
        </w:tc>
      </w:tr>
      <w:tr w:rsidR="002A767C" w:rsidRPr="00112D6E">
        <w:trPr>
          <w:trHeight w:val="230"/>
        </w:trPr>
        <w:tc>
          <w:tcPr>
            <w:tcW w:w="462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Pr="00112D6E" w:rsidRDefault="00785725">
            <w:pPr>
              <w:pStyle w:val="TableParagraph"/>
              <w:ind w:left="114"/>
              <w:jc w:val="left"/>
              <w:rPr>
                <w:sz w:val="20"/>
                <w:highlight w:val="cyan"/>
              </w:rPr>
            </w:pPr>
            <w:r w:rsidRPr="00112D6E">
              <w:rPr>
                <w:sz w:val="20"/>
                <w:highlight w:val="cyan"/>
              </w:rPr>
              <w:t>Microscopic examination</w:t>
            </w:r>
          </w:p>
        </w:tc>
        <w:tc>
          <w:tcPr>
            <w:tcW w:w="4623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:rsidR="002A767C" w:rsidRPr="00112D6E" w:rsidRDefault="002A767C">
            <w:pPr>
              <w:rPr>
                <w:sz w:val="2"/>
                <w:szCs w:val="2"/>
                <w:highlight w:val="cyan"/>
              </w:rPr>
            </w:pPr>
          </w:p>
        </w:tc>
      </w:tr>
      <w:tr w:rsidR="002A767C" w:rsidRPr="00112D6E">
        <w:trPr>
          <w:trHeight w:val="784"/>
        </w:trPr>
        <w:tc>
          <w:tcPr>
            <w:tcW w:w="4625" w:type="dxa"/>
            <w:tcBorders>
              <w:top w:val="single" w:sz="2" w:space="0" w:color="000000"/>
              <w:right w:val="single" w:sz="2" w:space="0" w:color="000000"/>
            </w:tcBorders>
          </w:tcPr>
          <w:p w:rsidR="002A767C" w:rsidRPr="00112D6E" w:rsidRDefault="002A767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23"/>
                <w:highlight w:val="cyan"/>
              </w:rPr>
            </w:pPr>
          </w:p>
          <w:p w:rsidR="002A767C" w:rsidRPr="00112D6E" w:rsidRDefault="00785725">
            <w:pPr>
              <w:pStyle w:val="TableParagraph"/>
              <w:spacing w:line="240" w:lineRule="auto"/>
              <w:ind w:left="114"/>
              <w:jc w:val="left"/>
              <w:rPr>
                <w:sz w:val="20"/>
                <w:highlight w:val="cyan"/>
              </w:rPr>
            </w:pPr>
            <w:r w:rsidRPr="00112D6E">
              <w:rPr>
                <w:sz w:val="20"/>
                <w:highlight w:val="cyan"/>
              </w:rPr>
              <w:t>Toxicokinetics</w:t>
            </w:r>
          </w:p>
        </w:tc>
        <w:tc>
          <w:tcPr>
            <w:tcW w:w="4623" w:type="dxa"/>
            <w:tcBorders>
              <w:top w:val="single" w:sz="2" w:space="0" w:color="000000"/>
              <w:left w:val="single" w:sz="2" w:space="0" w:color="000000"/>
            </w:tcBorders>
          </w:tcPr>
          <w:p w:rsidR="002A767C" w:rsidRPr="00112D6E" w:rsidRDefault="00785725">
            <w:pPr>
              <w:pStyle w:val="TableParagraph"/>
              <w:spacing w:before="14" w:line="254" w:lineRule="auto"/>
              <w:ind w:left="263" w:right="480" w:hanging="144"/>
              <w:jc w:val="left"/>
              <w:rPr>
                <w:sz w:val="20"/>
                <w:highlight w:val="cyan"/>
              </w:rPr>
            </w:pPr>
            <w:r w:rsidRPr="00112D6E">
              <w:rPr>
                <w:position w:val="2"/>
                <w:sz w:val="20"/>
                <w:highlight w:val="cyan"/>
              </w:rPr>
              <w:t>C</w:t>
            </w:r>
            <w:r w:rsidRPr="00112D6E">
              <w:rPr>
                <w:sz w:val="13"/>
                <w:highlight w:val="cyan"/>
              </w:rPr>
              <w:t xml:space="preserve">max </w:t>
            </w:r>
            <w:r w:rsidRPr="00112D6E">
              <w:rPr>
                <w:position w:val="2"/>
                <w:sz w:val="20"/>
                <w:highlight w:val="cyan"/>
              </w:rPr>
              <w:t>(</w:t>
            </w:r>
            <w:r w:rsidRPr="00112D6E">
              <w:rPr>
                <w:rFonts w:ascii="Symbol" w:hAnsi="Symbol"/>
                <w:position w:val="2"/>
                <w:sz w:val="20"/>
                <w:highlight w:val="cyan"/>
              </w:rPr>
              <w:t></w:t>
            </w:r>
            <w:r w:rsidRPr="00112D6E">
              <w:rPr>
                <w:position w:val="2"/>
                <w:sz w:val="20"/>
                <w:highlight w:val="cyan"/>
              </w:rPr>
              <w:t xml:space="preserve">g/mL) of 400 mg/kg at fifth administration </w:t>
            </w:r>
            <w:r w:rsidRPr="00112D6E">
              <w:rPr>
                <w:sz w:val="20"/>
                <w:highlight w:val="cyan"/>
              </w:rPr>
              <w:t>male: 10417</w:t>
            </w:r>
          </w:p>
          <w:p w:rsidR="002A767C" w:rsidRPr="00112D6E" w:rsidRDefault="00785725">
            <w:pPr>
              <w:pStyle w:val="TableParagraph"/>
              <w:spacing w:before="9" w:line="240" w:lineRule="auto"/>
              <w:ind w:left="263"/>
              <w:jc w:val="left"/>
              <w:rPr>
                <w:sz w:val="20"/>
                <w:highlight w:val="cyan"/>
              </w:rPr>
            </w:pPr>
            <w:r w:rsidRPr="00112D6E">
              <w:rPr>
                <w:sz w:val="20"/>
                <w:highlight w:val="cyan"/>
              </w:rPr>
              <w:t>female: 9367</w:t>
            </w:r>
          </w:p>
        </w:tc>
      </w:tr>
    </w:tbl>
    <w:p w:rsidR="002A767C" w:rsidRPr="00112D6E" w:rsidRDefault="00785725">
      <w:pPr>
        <w:spacing w:before="54"/>
        <w:ind w:left="232" w:right="558"/>
        <w:rPr>
          <w:sz w:val="20"/>
          <w:highlight w:val="cyan"/>
        </w:rPr>
      </w:pPr>
      <w:r w:rsidRPr="00112D6E">
        <w:rPr>
          <w:sz w:val="20"/>
          <w:highlight w:val="cyan"/>
        </w:rPr>
        <w:t>† Drinking water consumption was monitored every 3 to 4 days for each animal per cage; food consumption was not monitored during the study.</w:t>
      </w:r>
    </w:p>
    <w:p w:rsidR="002A767C" w:rsidRDefault="00785725">
      <w:pPr>
        <w:spacing w:before="61"/>
        <w:ind w:left="232"/>
        <w:rPr>
          <w:sz w:val="20"/>
        </w:rPr>
      </w:pPr>
      <w:r w:rsidRPr="00112D6E">
        <w:rPr>
          <w:sz w:val="20"/>
          <w:highlight w:val="cyan"/>
        </w:rPr>
        <w:t>Source: Study GP_P0081</w:t>
      </w:r>
    </w:p>
    <w:p w:rsidR="002A767C" w:rsidRDefault="00785725">
      <w:pPr>
        <w:pStyle w:val="3"/>
        <w:numPr>
          <w:ilvl w:val="2"/>
          <w:numId w:val="13"/>
        </w:numPr>
        <w:tabs>
          <w:tab w:val="left" w:pos="1084"/>
          <w:tab w:val="left" w:pos="1085"/>
        </w:tabs>
        <w:spacing w:before="147"/>
      </w:pPr>
      <w:bookmarkStart w:id="19" w:name="4.3.3_Genotoxicity"/>
      <w:bookmarkStart w:id="20" w:name="_bookmark52"/>
      <w:bookmarkEnd w:id="19"/>
      <w:bookmarkEnd w:id="20"/>
      <w:r>
        <w:t>Genotoxicity</w:t>
      </w:r>
    </w:p>
    <w:p w:rsidR="002A767C" w:rsidRDefault="00112D6E">
      <w:pPr>
        <w:pStyle w:val="a3"/>
        <w:spacing w:before="140" w:line="261" w:lineRule="auto"/>
        <w:ind w:left="232" w:right="528"/>
        <w:jc w:val="both"/>
      </w:pPr>
      <w:r>
        <w:t>PROJECT 18</w:t>
      </w:r>
      <w:r w:rsidR="00785725">
        <w:t xml:space="preserve"> is an antibody. Therefore, </w:t>
      </w:r>
      <w:r>
        <w:t>PROJECT 18</w:t>
      </w:r>
      <w:r w:rsidR="00785725">
        <w:t xml:space="preserve"> would not react directly with DNA or other chromosomal material and no genotoxicity studies have been conducted or are planned, in accordance with ICH S6(R1).</w:t>
      </w:r>
    </w:p>
    <w:p w:rsidR="002A767C" w:rsidRDefault="00785725">
      <w:pPr>
        <w:pStyle w:val="3"/>
        <w:numPr>
          <w:ilvl w:val="2"/>
          <w:numId w:val="13"/>
        </w:numPr>
        <w:tabs>
          <w:tab w:val="left" w:pos="1084"/>
          <w:tab w:val="left" w:pos="1085"/>
        </w:tabs>
      </w:pPr>
      <w:bookmarkStart w:id="21" w:name="4.3.4_Carcinogenicity"/>
      <w:bookmarkStart w:id="22" w:name="_bookmark53"/>
      <w:bookmarkEnd w:id="21"/>
      <w:bookmarkEnd w:id="22"/>
      <w:r>
        <w:t>Carcinogenicity</w:t>
      </w:r>
    </w:p>
    <w:p w:rsidR="002A767C" w:rsidRDefault="00785725">
      <w:pPr>
        <w:pStyle w:val="a3"/>
        <w:spacing w:before="139"/>
        <w:ind w:left="232"/>
      </w:pPr>
      <w:r>
        <w:t>No carcinogenicity studies are planned in accordance with ICH S9.</w:t>
      </w:r>
    </w:p>
    <w:p w:rsidR="002A767C" w:rsidRDefault="00785725">
      <w:pPr>
        <w:pStyle w:val="3"/>
        <w:numPr>
          <w:ilvl w:val="2"/>
          <w:numId w:val="13"/>
        </w:numPr>
        <w:tabs>
          <w:tab w:val="left" w:pos="1084"/>
          <w:tab w:val="left" w:pos="1085"/>
        </w:tabs>
        <w:spacing w:before="149"/>
      </w:pPr>
      <w:bookmarkStart w:id="23" w:name="4.3.5_Reproductive_and_Developmental_Tox"/>
      <w:bookmarkStart w:id="24" w:name="_bookmark54"/>
      <w:bookmarkEnd w:id="23"/>
      <w:bookmarkEnd w:id="24"/>
      <w:r>
        <w:t>Reproductive and Developmental</w:t>
      </w:r>
      <w:r>
        <w:rPr>
          <w:spacing w:val="-5"/>
        </w:rPr>
        <w:t xml:space="preserve"> </w:t>
      </w:r>
      <w:r>
        <w:t>Toxicity</w:t>
      </w:r>
    </w:p>
    <w:p w:rsidR="002A767C" w:rsidRDefault="00785725">
      <w:pPr>
        <w:pStyle w:val="a3"/>
        <w:spacing w:before="139" w:line="261" w:lineRule="auto"/>
        <w:ind w:left="232" w:right="317"/>
      </w:pPr>
      <w:r>
        <w:t>No reproductive and developmental toxicity studies have been conducted in accordance with ICH S9.</w:t>
      </w:r>
    </w:p>
    <w:p w:rsidR="002A767C" w:rsidRDefault="00785725">
      <w:pPr>
        <w:pStyle w:val="3"/>
        <w:numPr>
          <w:ilvl w:val="2"/>
          <w:numId w:val="13"/>
        </w:numPr>
        <w:tabs>
          <w:tab w:val="left" w:pos="1084"/>
          <w:tab w:val="left" w:pos="1085"/>
        </w:tabs>
        <w:spacing w:before="123"/>
      </w:pPr>
      <w:bookmarkStart w:id="25" w:name="4.3.6_Local_Tolerance"/>
      <w:bookmarkStart w:id="26" w:name="_bookmark55"/>
      <w:bookmarkEnd w:id="25"/>
      <w:bookmarkEnd w:id="26"/>
      <w:r>
        <w:t>Local</w:t>
      </w:r>
      <w:r>
        <w:rPr>
          <w:spacing w:val="-2"/>
        </w:rPr>
        <w:t xml:space="preserve"> </w:t>
      </w:r>
      <w:r>
        <w:t>Tolerance</w:t>
      </w:r>
    </w:p>
    <w:p w:rsidR="002A767C" w:rsidRDefault="00785725">
      <w:pPr>
        <w:pStyle w:val="a3"/>
        <w:spacing w:before="140" w:line="261" w:lineRule="auto"/>
        <w:ind w:left="232" w:right="238"/>
        <w:jc w:val="both"/>
      </w:pPr>
      <w:r>
        <w:t xml:space="preserve">No dedicated local tolerance studies have been conducted. In the single ascending dose study in cynomolgus monkeys (Study 28895), no </w:t>
      </w:r>
      <w:r w:rsidR="00112D6E">
        <w:t>PROJECT 18</w:t>
      </w:r>
      <w:r>
        <w:t>-related local intolerance reactions were noted during daily inspections of the injection sites.</w:t>
      </w:r>
    </w:p>
    <w:p w:rsidR="002A767C" w:rsidRDefault="00785725">
      <w:pPr>
        <w:pStyle w:val="3"/>
        <w:numPr>
          <w:ilvl w:val="2"/>
          <w:numId w:val="13"/>
        </w:numPr>
        <w:tabs>
          <w:tab w:val="left" w:pos="1084"/>
          <w:tab w:val="left" w:pos="1085"/>
        </w:tabs>
      </w:pPr>
      <w:bookmarkStart w:id="27" w:name="4.3.7_Other_Toxicity_Studies"/>
      <w:bookmarkStart w:id="28" w:name="_bookmark56"/>
      <w:bookmarkEnd w:id="27"/>
      <w:bookmarkEnd w:id="28"/>
      <w:r>
        <w:t>Other Toxicity</w:t>
      </w:r>
      <w:r>
        <w:rPr>
          <w:spacing w:val="-7"/>
        </w:rPr>
        <w:t xml:space="preserve"> </w:t>
      </w:r>
      <w:r>
        <w:t>Studies</w:t>
      </w:r>
    </w:p>
    <w:p w:rsidR="002A767C" w:rsidRDefault="00785725">
      <w:pPr>
        <w:pStyle w:val="3"/>
        <w:numPr>
          <w:ilvl w:val="3"/>
          <w:numId w:val="13"/>
        </w:numPr>
        <w:tabs>
          <w:tab w:val="left" w:pos="1085"/>
        </w:tabs>
        <w:spacing w:before="144"/>
      </w:pPr>
      <w:bookmarkStart w:id="29" w:name="4.3.7.1_Tissue_Cross-reactivity"/>
      <w:bookmarkStart w:id="30" w:name="_bookmark57"/>
      <w:bookmarkEnd w:id="29"/>
      <w:bookmarkEnd w:id="30"/>
      <w:r>
        <w:t>Tissue</w:t>
      </w:r>
      <w:r>
        <w:rPr>
          <w:spacing w:val="-5"/>
        </w:rPr>
        <w:t xml:space="preserve"> </w:t>
      </w:r>
      <w:r>
        <w:t>Cross-reactivity</w:t>
      </w:r>
    </w:p>
    <w:p w:rsidR="002A767C" w:rsidRDefault="00785725">
      <w:pPr>
        <w:pStyle w:val="a3"/>
        <w:spacing w:before="139" w:line="261" w:lineRule="auto"/>
        <w:ind w:left="232" w:right="385"/>
      </w:pPr>
      <w:r>
        <w:t xml:space="preserve">Cross-reactivity of </w:t>
      </w:r>
      <w:r w:rsidR="00112D6E">
        <w:t>PROJECT 18</w:t>
      </w:r>
      <w:r>
        <w:t xml:space="preserve"> was studied in 5 animal species: cynomolgus monkey, Himalayan rabbit, guinea pig, rat and NMRI mouse tissues (Study GP_P0077). No specific staining was noted in monkey, guinea pig or rabbit tissues. In the rat and mouse tissues, weak to moderate staining was noted in placenta [</w:t>
      </w:r>
      <w:hyperlink w:anchor="_bookmark58" w:history="1">
        <w:r>
          <w:t>Table 7</w:t>
        </w:r>
      </w:hyperlink>
      <w:r>
        <w:t>].</w:t>
      </w:r>
    </w:p>
    <w:p w:rsidR="002A767C" w:rsidRDefault="00785725">
      <w:pPr>
        <w:pStyle w:val="a3"/>
        <w:spacing w:before="117" w:line="261" w:lineRule="auto"/>
        <w:ind w:left="232" w:right="304"/>
      </w:pPr>
      <w:r>
        <w:t xml:space="preserve">Cross-reactivity of </w:t>
      </w:r>
      <w:r w:rsidR="00112D6E">
        <w:t>PROJECT 18</w:t>
      </w:r>
      <w:r>
        <w:t xml:space="preserve"> was also studied in human tissues (Studies GP_P0082 and 00468) [</w:t>
      </w:r>
      <w:hyperlink w:anchor="_bookmark58" w:history="1">
        <w:r>
          <w:t>Table 7</w:t>
        </w:r>
      </w:hyperlink>
      <w:r>
        <w:t xml:space="preserve">]. In a preliminary non-GLP study (Study GP_P0082), </w:t>
      </w:r>
      <w:r w:rsidR="00112D6E">
        <w:t>PROJECT 18</w:t>
      </w:r>
      <w:r>
        <w:t xml:space="preserve"> bound to testicular and ovarian cancer tissues. In the definitive GLP study, the tissue cross-reactivity pattern of </w:t>
      </w:r>
      <w:r w:rsidR="00112D6E">
        <w:t>PROJECT 18</w:t>
      </w:r>
      <w:r>
        <w:t xml:space="preserve"> on a panel of normal human tissues was studied (Study 00468). The results showed that </w:t>
      </w:r>
      <w:r w:rsidR="00112D6E">
        <w:t>PROJECT 18</w:t>
      </w:r>
      <w:r>
        <w:t xml:space="preserve"> did not bind to any normal adult human tissues except for intercalated duct cells of the pancreas and blood platelets. Immunohistochemistry with </w:t>
      </w:r>
      <w:r w:rsidR="00112D6E">
        <w:t>PROJECT 18</w:t>
      </w:r>
      <w:r>
        <w:t xml:space="preserve"> resulted in specific membrane binding in a few cells for a few intercalated ducts of</w:t>
      </w:r>
    </w:p>
    <w:p w:rsidR="002A767C" w:rsidRDefault="002A767C">
      <w:pPr>
        <w:spacing w:line="261" w:lineRule="auto"/>
        <w:sectPr w:rsidR="002A767C">
          <w:pgSz w:w="12240" w:h="15840"/>
          <w:pgMar w:top="1560" w:right="1380" w:bottom="940" w:left="1380" w:header="578" w:footer="748" w:gutter="0"/>
          <w:cols w:space="720"/>
        </w:sectPr>
      </w:pPr>
    </w:p>
    <w:p w:rsidR="002A767C" w:rsidRDefault="00785725">
      <w:pPr>
        <w:pStyle w:val="a3"/>
        <w:spacing w:before="143" w:line="261" w:lineRule="auto"/>
        <w:ind w:left="232" w:right="544"/>
      </w:pPr>
      <w:r>
        <w:lastRenderedPageBreak/>
        <w:t xml:space="preserve">the pancreas in 1 donor. This specific binding was not recorded in the other 2 donors. Specific binding with </w:t>
      </w:r>
      <w:r w:rsidR="00112D6E">
        <w:t>PROJECT 18</w:t>
      </w:r>
      <w:r>
        <w:t xml:space="preserve"> was also noted in blood platelets from all 3 donors. Since platelets are small cells, it was difficult to determine if this binding was cytoplasmic or membrane.</w:t>
      </w:r>
    </w:p>
    <w:p w:rsidR="002A767C" w:rsidRDefault="00785725">
      <w:pPr>
        <w:pStyle w:val="3"/>
        <w:tabs>
          <w:tab w:val="left" w:pos="1651"/>
        </w:tabs>
        <w:spacing w:before="95"/>
        <w:ind w:left="232" w:firstLine="0"/>
      </w:pPr>
      <w:bookmarkStart w:id="31" w:name="_bookmark58"/>
      <w:bookmarkEnd w:id="31"/>
      <w:r>
        <w:t>Table</w:t>
      </w:r>
      <w:r>
        <w:rPr>
          <w:spacing w:val="-1"/>
        </w:rPr>
        <w:t xml:space="preserve"> </w:t>
      </w:r>
      <w:r>
        <w:t>7</w:t>
      </w:r>
      <w:r>
        <w:tab/>
        <w:t>Overview of Tissue Cross-reactivity</w:t>
      </w:r>
      <w:r>
        <w:rPr>
          <w:spacing w:val="-1"/>
        </w:rPr>
        <w:t xml:space="preserve"> </w:t>
      </w:r>
      <w:r>
        <w:t>Studies</w:t>
      </w:r>
    </w:p>
    <w:p w:rsidR="002A767C" w:rsidRDefault="002A767C">
      <w:pPr>
        <w:pStyle w:val="a3"/>
        <w:spacing w:before="6"/>
        <w:rPr>
          <w:b/>
          <w:sz w:val="5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40"/>
        <w:gridCol w:w="1742"/>
        <w:gridCol w:w="3684"/>
        <w:gridCol w:w="1181"/>
      </w:tblGrid>
      <w:tr w:rsidR="002A767C">
        <w:trPr>
          <w:trHeight w:val="539"/>
        </w:trPr>
        <w:tc>
          <w:tcPr>
            <w:tcW w:w="2640" w:type="dxa"/>
            <w:tcBorders>
              <w:bottom w:val="single" w:sz="2" w:space="0" w:color="000000"/>
              <w:right w:val="single" w:sz="2" w:space="0" w:color="000000"/>
            </w:tcBorders>
          </w:tcPr>
          <w:p w:rsidR="002A767C" w:rsidRDefault="002A767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23"/>
              </w:rPr>
            </w:pPr>
          </w:p>
          <w:p w:rsidR="002A767C" w:rsidRDefault="00785725">
            <w:pPr>
              <w:pStyle w:val="TableParagraph"/>
              <w:spacing w:line="240" w:lineRule="auto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Antibody</w:t>
            </w:r>
          </w:p>
        </w:tc>
        <w:tc>
          <w:tcPr>
            <w:tcW w:w="17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2A767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23"/>
              </w:rPr>
            </w:pPr>
          </w:p>
          <w:p w:rsidR="002A767C" w:rsidRDefault="00785725">
            <w:pPr>
              <w:pStyle w:val="TableParagraph"/>
              <w:spacing w:line="240" w:lineRule="auto"/>
              <w:ind w:left="261" w:right="252"/>
              <w:rPr>
                <w:b/>
                <w:sz w:val="20"/>
              </w:rPr>
            </w:pPr>
            <w:r>
              <w:rPr>
                <w:b/>
                <w:sz w:val="20"/>
              </w:rPr>
              <w:t>Tissue Source</w:t>
            </w:r>
          </w:p>
        </w:tc>
        <w:tc>
          <w:tcPr>
            <w:tcW w:w="36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2A767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23"/>
              </w:rPr>
            </w:pPr>
          </w:p>
          <w:p w:rsidR="002A767C" w:rsidRDefault="00785725">
            <w:pPr>
              <w:pStyle w:val="TableParagraph"/>
              <w:spacing w:line="240" w:lineRule="auto"/>
              <w:ind w:left="147" w:right="134"/>
              <w:rPr>
                <w:b/>
                <w:sz w:val="20"/>
              </w:rPr>
            </w:pPr>
            <w:r>
              <w:rPr>
                <w:b/>
                <w:sz w:val="20"/>
              </w:rPr>
              <w:t>Noteworthy Findings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</w:tcPr>
          <w:p w:rsidR="002A767C" w:rsidRDefault="00785725">
            <w:pPr>
              <w:pStyle w:val="TableParagraph"/>
              <w:spacing w:before="38" w:line="240" w:lineRule="auto"/>
              <w:ind w:left="240" w:firstLine="10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Study Number</w:t>
            </w:r>
          </w:p>
        </w:tc>
      </w:tr>
      <w:tr w:rsidR="002A767C">
        <w:trPr>
          <w:trHeight w:val="539"/>
        </w:trPr>
        <w:tc>
          <w:tcPr>
            <w:tcW w:w="26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FITC conjugated-</w:t>
            </w:r>
            <w:r w:rsidR="00112D6E">
              <w:rPr>
                <w:sz w:val="20"/>
              </w:rPr>
              <w:t>PROJECT 18</w:t>
            </w: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554" w:hanging="19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 xml:space="preserve">Cynomolgus </w:t>
            </w:r>
            <w:r>
              <w:rPr>
                <w:sz w:val="20"/>
              </w:rPr>
              <w:t>monkey</w:t>
            </w:r>
          </w:p>
        </w:tc>
        <w:tc>
          <w:tcPr>
            <w:tcW w:w="3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48" w:right="134"/>
              <w:rPr>
                <w:sz w:val="20"/>
              </w:rPr>
            </w:pPr>
            <w:r>
              <w:rPr>
                <w:sz w:val="20"/>
              </w:rPr>
              <w:t>No staining on the tissues examined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41" w:right="123"/>
              <w:rPr>
                <w:sz w:val="20"/>
              </w:rPr>
            </w:pPr>
            <w:r>
              <w:rPr>
                <w:sz w:val="20"/>
              </w:rPr>
              <w:t>GP_P0077</w:t>
            </w:r>
          </w:p>
        </w:tc>
      </w:tr>
      <w:tr w:rsidR="002A767C">
        <w:trPr>
          <w:trHeight w:val="309"/>
        </w:trPr>
        <w:tc>
          <w:tcPr>
            <w:tcW w:w="26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FITC conjugated-</w:t>
            </w:r>
            <w:r w:rsidR="00112D6E">
              <w:rPr>
                <w:sz w:val="20"/>
              </w:rPr>
              <w:t>PROJECT 18</w:t>
            </w: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261" w:right="247"/>
              <w:rPr>
                <w:sz w:val="20"/>
              </w:rPr>
            </w:pPr>
            <w:r>
              <w:rPr>
                <w:sz w:val="20"/>
              </w:rPr>
              <w:t>Rabbit</w:t>
            </w:r>
          </w:p>
        </w:tc>
        <w:tc>
          <w:tcPr>
            <w:tcW w:w="3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48" w:right="134"/>
              <w:rPr>
                <w:sz w:val="20"/>
              </w:rPr>
            </w:pPr>
            <w:r>
              <w:rPr>
                <w:sz w:val="20"/>
              </w:rPr>
              <w:t>No staining on the tissues examined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41" w:right="123"/>
              <w:rPr>
                <w:sz w:val="20"/>
              </w:rPr>
            </w:pPr>
            <w:r>
              <w:rPr>
                <w:sz w:val="20"/>
              </w:rPr>
              <w:t>GP_P0077</w:t>
            </w:r>
          </w:p>
        </w:tc>
      </w:tr>
      <w:tr w:rsidR="002A767C">
        <w:trPr>
          <w:trHeight w:val="311"/>
        </w:trPr>
        <w:tc>
          <w:tcPr>
            <w:tcW w:w="26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6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FITC conjugated-</w:t>
            </w:r>
            <w:r w:rsidR="00112D6E">
              <w:rPr>
                <w:sz w:val="20"/>
              </w:rPr>
              <w:t>PROJECT 18</w:t>
            </w: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6" w:line="240" w:lineRule="auto"/>
              <w:ind w:left="261" w:right="250"/>
              <w:rPr>
                <w:sz w:val="20"/>
              </w:rPr>
            </w:pPr>
            <w:r>
              <w:rPr>
                <w:sz w:val="20"/>
              </w:rPr>
              <w:t>Guinea pig</w:t>
            </w:r>
          </w:p>
        </w:tc>
        <w:tc>
          <w:tcPr>
            <w:tcW w:w="3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6" w:line="240" w:lineRule="auto"/>
              <w:ind w:left="148" w:right="134"/>
              <w:rPr>
                <w:sz w:val="20"/>
              </w:rPr>
            </w:pPr>
            <w:r>
              <w:rPr>
                <w:sz w:val="20"/>
              </w:rPr>
              <w:t>No staining on the tissues examined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A767C" w:rsidRDefault="00785725">
            <w:pPr>
              <w:pStyle w:val="TableParagraph"/>
              <w:spacing w:before="36" w:line="240" w:lineRule="auto"/>
              <w:ind w:left="141" w:right="123"/>
              <w:rPr>
                <w:sz w:val="20"/>
              </w:rPr>
            </w:pPr>
            <w:r>
              <w:rPr>
                <w:sz w:val="20"/>
              </w:rPr>
              <w:t>GP_P0077</w:t>
            </w:r>
          </w:p>
        </w:tc>
      </w:tr>
      <w:tr w:rsidR="002A767C">
        <w:trPr>
          <w:trHeight w:val="539"/>
        </w:trPr>
        <w:tc>
          <w:tcPr>
            <w:tcW w:w="26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FITC conjugated-</w:t>
            </w:r>
            <w:r w:rsidR="00112D6E">
              <w:rPr>
                <w:sz w:val="20"/>
              </w:rPr>
              <w:t>PROJECT 18</w:t>
            </w: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261" w:right="249"/>
              <w:rPr>
                <w:sz w:val="20"/>
              </w:rPr>
            </w:pPr>
            <w:r>
              <w:rPr>
                <w:sz w:val="20"/>
              </w:rPr>
              <w:t>Rat</w:t>
            </w:r>
          </w:p>
        </w:tc>
        <w:tc>
          <w:tcPr>
            <w:tcW w:w="3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512" w:right="88" w:hanging="1390"/>
              <w:jc w:val="left"/>
              <w:rPr>
                <w:sz w:val="20"/>
              </w:rPr>
            </w:pPr>
            <w:r>
              <w:rPr>
                <w:sz w:val="20"/>
              </w:rPr>
              <w:t>Weak to moderate membranous staining of placenta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41" w:right="123"/>
              <w:rPr>
                <w:sz w:val="20"/>
              </w:rPr>
            </w:pPr>
            <w:r>
              <w:rPr>
                <w:sz w:val="20"/>
              </w:rPr>
              <w:t>GP_P0077</w:t>
            </w:r>
          </w:p>
        </w:tc>
      </w:tr>
      <w:tr w:rsidR="002A767C">
        <w:trPr>
          <w:trHeight w:val="539"/>
        </w:trPr>
        <w:tc>
          <w:tcPr>
            <w:tcW w:w="26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FITC conjugated-</w:t>
            </w:r>
            <w:r w:rsidR="00112D6E">
              <w:rPr>
                <w:sz w:val="20"/>
              </w:rPr>
              <w:t>PROJECT 18</w:t>
            </w: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261" w:right="247"/>
              <w:rPr>
                <w:sz w:val="20"/>
              </w:rPr>
            </w:pPr>
            <w:r>
              <w:rPr>
                <w:sz w:val="20"/>
              </w:rPr>
              <w:t>Mouse</w:t>
            </w:r>
          </w:p>
        </w:tc>
        <w:tc>
          <w:tcPr>
            <w:tcW w:w="3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512" w:right="88" w:hanging="1390"/>
              <w:jc w:val="left"/>
              <w:rPr>
                <w:sz w:val="20"/>
              </w:rPr>
            </w:pPr>
            <w:r>
              <w:rPr>
                <w:sz w:val="20"/>
              </w:rPr>
              <w:t>Weak to moderate membranous staining of placenta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A767C" w:rsidRDefault="00785725">
            <w:pPr>
              <w:pStyle w:val="TableParagraph"/>
              <w:spacing w:before="149" w:line="240" w:lineRule="auto"/>
              <w:ind w:left="141" w:right="123"/>
              <w:rPr>
                <w:sz w:val="20"/>
              </w:rPr>
            </w:pPr>
            <w:r>
              <w:rPr>
                <w:sz w:val="20"/>
              </w:rPr>
              <w:t>GP_P0077</w:t>
            </w:r>
          </w:p>
        </w:tc>
      </w:tr>
      <w:tr w:rsidR="002A767C">
        <w:trPr>
          <w:trHeight w:val="1079"/>
        </w:trPr>
        <w:tc>
          <w:tcPr>
            <w:tcW w:w="264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785725">
            <w:pPr>
              <w:pStyle w:val="TableParagraph"/>
              <w:spacing w:before="165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FITC conjugated-</w:t>
            </w:r>
            <w:r w:rsidR="00112D6E">
              <w:rPr>
                <w:sz w:val="20"/>
              </w:rPr>
              <w:t>PROJECT 18</w:t>
            </w: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785725">
            <w:pPr>
              <w:pStyle w:val="TableParagraph"/>
              <w:spacing w:before="165" w:line="240" w:lineRule="auto"/>
              <w:ind w:left="261" w:right="247"/>
              <w:rPr>
                <w:sz w:val="20"/>
              </w:rPr>
            </w:pPr>
            <w:r>
              <w:rPr>
                <w:sz w:val="20"/>
              </w:rPr>
              <w:t>Human</w:t>
            </w:r>
          </w:p>
        </w:tc>
        <w:tc>
          <w:tcPr>
            <w:tcW w:w="3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285"/>
              <w:jc w:val="left"/>
              <w:rPr>
                <w:sz w:val="20"/>
              </w:rPr>
            </w:pPr>
            <w:r>
              <w:rPr>
                <w:sz w:val="20"/>
              </w:rPr>
              <w:t>No staining on the adult normal tissues</w:t>
            </w:r>
          </w:p>
          <w:p w:rsidR="002A767C" w:rsidRDefault="002A767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26"/>
              </w:rPr>
            </w:pPr>
          </w:p>
          <w:p w:rsidR="002A767C" w:rsidRDefault="00785725">
            <w:pPr>
              <w:pStyle w:val="TableParagraph"/>
              <w:spacing w:line="240" w:lineRule="auto"/>
              <w:ind w:left="151" w:right="134"/>
              <w:rPr>
                <w:sz w:val="20"/>
              </w:rPr>
            </w:pPr>
            <w:r>
              <w:rPr>
                <w:sz w:val="20"/>
              </w:rPr>
              <w:t>Specific staining for testicular and ovarian cancer tissues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785725">
            <w:pPr>
              <w:pStyle w:val="TableParagraph"/>
              <w:spacing w:before="165" w:line="240" w:lineRule="auto"/>
              <w:ind w:left="141" w:right="123"/>
              <w:rPr>
                <w:sz w:val="20"/>
              </w:rPr>
            </w:pPr>
            <w:r>
              <w:rPr>
                <w:sz w:val="20"/>
              </w:rPr>
              <w:t>GP_P0082</w:t>
            </w:r>
          </w:p>
        </w:tc>
      </w:tr>
      <w:tr w:rsidR="002A767C">
        <w:trPr>
          <w:trHeight w:val="2080"/>
        </w:trPr>
        <w:tc>
          <w:tcPr>
            <w:tcW w:w="2640" w:type="dxa"/>
            <w:tcBorders>
              <w:top w:val="single" w:sz="2" w:space="0" w:color="000000"/>
              <w:right w:val="single" w:sz="2" w:space="0" w:color="000000"/>
            </w:tcBorders>
          </w:tcPr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785725">
            <w:pPr>
              <w:pStyle w:val="TableParagraph"/>
              <w:spacing w:before="160" w:line="240" w:lineRule="auto"/>
              <w:ind w:left="114"/>
              <w:jc w:val="left"/>
              <w:rPr>
                <w:sz w:val="20"/>
              </w:rPr>
            </w:pPr>
            <w:r>
              <w:rPr>
                <w:sz w:val="20"/>
              </w:rPr>
              <w:t>FITC conjugated-</w:t>
            </w:r>
            <w:r w:rsidR="00112D6E">
              <w:rPr>
                <w:sz w:val="20"/>
              </w:rPr>
              <w:t>PROJECT 18</w:t>
            </w: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785725">
            <w:pPr>
              <w:pStyle w:val="TableParagraph"/>
              <w:spacing w:before="160" w:line="240" w:lineRule="auto"/>
              <w:ind w:left="261" w:right="247"/>
              <w:rPr>
                <w:sz w:val="20"/>
              </w:rPr>
            </w:pPr>
            <w:r>
              <w:rPr>
                <w:sz w:val="20"/>
              </w:rPr>
              <w:t>Human</w:t>
            </w:r>
          </w:p>
        </w:tc>
        <w:tc>
          <w:tcPr>
            <w:tcW w:w="368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34" w:line="240" w:lineRule="auto"/>
              <w:ind w:left="151" w:right="136" w:firstLine="2"/>
              <w:rPr>
                <w:sz w:val="20"/>
              </w:rPr>
            </w:pPr>
            <w:r>
              <w:rPr>
                <w:sz w:val="20"/>
              </w:rPr>
              <w:t>Membrane binding in a few intercalated duct cells of pancreas for one donor out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 three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donors</w:t>
            </w:r>
          </w:p>
          <w:p w:rsidR="002A767C" w:rsidRDefault="002A767C">
            <w:pPr>
              <w:pStyle w:val="TableParagraph"/>
              <w:spacing w:before="9" w:line="240" w:lineRule="auto"/>
              <w:ind w:left="0"/>
              <w:jc w:val="left"/>
              <w:rPr>
                <w:b/>
                <w:sz w:val="26"/>
              </w:rPr>
            </w:pPr>
          </w:p>
          <w:p w:rsidR="002A767C" w:rsidRDefault="00785725">
            <w:pPr>
              <w:pStyle w:val="TableParagraph"/>
              <w:spacing w:line="240" w:lineRule="auto"/>
              <w:ind w:left="150" w:right="134"/>
              <w:rPr>
                <w:sz w:val="20"/>
              </w:rPr>
            </w:pPr>
            <w:r>
              <w:rPr>
                <w:sz w:val="20"/>
              </w:rPr>
              <w:t>Specific binding for blood platelets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from all 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donors</w:t>
            </w:r>
          </w:p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  <w:sz w:val="27"/>
              </w:rPr>
            </w:pPr>
          </w:p>
          <w:p w:rsidR="002A767C" w:rsidRDefault="00785725">
            <w:pPr>
              <w:pStyle w:val="TableParagraph"/>
              <w:spacing w:line="240" w:lineRule="auto"/>
              <w:ind w:left="147" w:right="134"/>
              <w:rPr>
                <w:sz w:val="20"/>
              </w:rPr>
            </w:pPr>
            <w:r>
              <w:rPr>
                <w:sz w:val="20"/>
              </w:rPr>
              <w:t>No staining for the other tissues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</w:tcBorders>
          </w:tcPr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2A767C">
            <w:pPr>
              <w:pStyle w:val="TableParagraph"/>
              <w:spacing w:line="240" w:lineRule="auto"/>
              <w:ind w:left="0"/>
              <w:jc w:val="left"/>
              <w:rPr>
                <w:b/>
              </w:rPr>
            </w:pPr>
          </w:p>
          <w:p w:rsidR="002A767C" w:rsidRDefault="00785725">
            <w:pPr>
              <w:pStyle w:val="TableParagraph"/>
              <w:spacing w:before="160" w:line="240" w:lineRule="auto"/>
              <w:ind w:left="141" w:right="120"/>
              <w:rPr>
                <w:sz w:val="20"/>
              </w:rPr>
            </w:pPr>
            <w:r>
              <w:rPr>
                <w:sz w:val="20"/>
              </w:rPr>
              <w:t>00468</w:t>
            </w:r>
          </w:p>
        </w:tc>
      </w:tr>
    </w:tbl>
    <w:p w:rsidR="002A767C" w:rsidRDefault="00785725">
      <w:pPr>
        <w:spacing w:before="53"/>
        <w:ind w:left="232"/>
        <w:rPr>
          <w:sz w:val="20"/>
        </w:rPr>
      </w:pPr>
      <w:r>
        <w:rPr>
          <w:sz w:val="20"/>
        </w:rPr>
        <w:t>FITC: fluorescein isothiocyanate</w:t>
      </w:r>
    </w:p>
    <w:p w:rsidR="002A767C" w:rsidRDefault="00785725">
      <w:pPr>
        <w:pStyle w:val="3"/>
        <w:numPr>
          <w:ilvl w:val="3"/>
          <w:numId w:val="13"/>
        </w:numPr>
        <w:tabs>
          <w:tab w:val="left" w:pos="1085"/>
        </w:tabs>
        <w:spacing w:before="151"/>
      </w:pPr>
      <w:bookmarkStart w:id="32" w:name="4.3.7.2_Cytokine_Release_Assay_Using_Hum"/>
      <w:bookmarkStart w:id="33" w:name="_bookmark59"/>
      <w:bookmarkEnd w:id="32"/>
      <w:bookmarkEnd w:id="33"/>
      <w:r>
        <w:t>Cytokine Release Assay Using Human Peripheral</w:t>
      </w:r>
      <w:r>
        <w:rPr>
          <w:spacing w:val="-3"/>
        </w:rPr>
        <w:t xml:space="preserve"> </w:t>
      </w:r>
      <w:r>
        <w:t>Blood</w:t>
      </w:r>
    </w:p>
    <w:p w:rsidR="002A767C" w:rsidRDefault="00785725">
      <w:pPr>
        <w:pStyle w:val="a3"/>
        <w:spacing w:before="139" w:line="261" w:lineRule="auto"/>
        <w:ind w:left="232" w:right="682"/>
      </w:pPr>
      <w:r>
        <w:t xml:space="preserve">The objective of the study (Study </w:t>
      </w:r>
      <w:r w:rsidR="00112D6E">
        <w:t>Project 18</w:t>
      </w:r>
      <w:r>
        <w:t xml:space="preserve">-TX-1001) was to evaluate the cytokine release potential of </w:t>
      </w:r>
      <w:r w:rsidR="00112D6E">
        <w:t>PROJECT 18</w:t>
      </w:r>
      <w:r>
        <w:t xml:space="preserve"> at higher doses of </w:t>
      </w:r>
      <w:r w:rsidR="00112D6E">
        <w:t>PROJECT 18</w:t>
      </w:r>
      <w:r>
        <w:t xml:space="preserve"> than those tested in the previous study (Study GP_P0073).</w:t>
      </w:r>
    </w:p>
    <w:p w:rsidR="002A767C" w:rsidRDefault="00785725">
      <w:pPr>
        <w:pStyle w:val="a3"/>
        <w:spacing w:before="118" w:line="261" w:lineRule="auto"/>
        <w:ind w:left="232"/>
      </w:pPr>
      <w:r>
        <w:t xml:space="preserve">Human peripheral blood samples obtained from 10 healthy volunteers were treated with </w:t>
      </w:r>
      <w:r w:rsidR="00112D6E">
        <w:t>PROJECT 18</w:t>
      </w:r>
      <w:r>
        <w:t xml:space="preserve"> at concentrations of 2, 20, 200 and 2000 µg/mL. After incubation for 24 hours, the concentrations of cytokines (IL-1β, IL-2, IL-4, IL-6, IL-8, IL-10, IFN-γ and TNF-α) in the supernatant were determined using the Luminex method.</w:t>
      </w:r>
    </w:p>
    <w:p w:rsidR="002A767C" w:rsidRDefault="00785725">
      <w:pPr>
        <w:pStyle w:val="a3"/>
        <w:spacing w:before="116" w:line="261" w:lineRule="auto"/>
        <w:ind w:left="232" w:right="383"/>
      </w:pPr>
      <w:r>
        <w:t xml:space="preserve">The study indicated that </w:t>
      </w:r>
      <w:r w:rsidR="00112D6E">
        <w:t>PROJECT 18</w:t>
      </w:r>
      <w:r>
        <w:t xml:space="preserve"> had no discernable potential to induce cytokine release at concentrations up to 2000 µg/mL in human peripheral blood.</w:t>
      </w:r>
    </w:p>
    <w:p w:rsidR="002A767C" w:rsidRDefault="00785725">
      <w:pPr>
        <w:pStyle w:val="3"/>
        <w:numPr>
          <w:ilvl w:val="3"/>
          <w:numId w:val="13"/>
        </w:numPr>
        <w:tabs>
          <w:tab w:val="left" w:pos="1085"/>
        </w:tabs>
        <w:spacing w:before="123"/>
      </w:pPr>
      <w:bookmarkStart w:id="34" w:name="4.3.7.3_Single_Intravenous_Dose_Toxicoki"/>
      <w:bookmarkStart w:id="35" w:name="_bookmark60"/>
      <w:bookmarkEnd w:id="34"/>
      <w:bookmarkEnd w:id="35"/>
      <w:r>
        <w:t>Single Intravenous Dose Toxicokinetics Study in</w:t>
      </w:r>
      <w:r>
        <w:rPr>
          <w:spacing w:val="-4"/>
        </w:rPr>
        <w:t xml:space="preserve"> </w:t>
      </w:r>
      <w:r>
        <w:t>Mice</w:t>
      </w:r>
    </w:p>
    <w:p w:rsidR="002A767C" w:rsidRDefault="00112D6E">
      <w:pPr>
        <w:pStyle w:val="a3"/>
        <w:spacing w:before="140" w:line="259" w:lineRule="auto"/>
        <w:ind w:left="232" w:right="535"/>
        <w:rPr>
          <w:sz w:val="16"/>
        </w:rPr>
      </w:pPr>
      <w:r>
        <w:t>PROJECT 18</w:t>
      </w:r>
      <w:r w:rsidR="00785725">
        <w:t xml:space="preserve"> was administered once by intravenous bolus injection to groups of 15 male and </w:t>
      </w:r>
      <w:r w:rsidR="00785725">
        <w:rPr>
          <w:position w:val="2"/>
        </w:rPr>
        <w:t xml:space="preserve">15 female ICR mice at dose levels of 50, 150 and 450 mg/kg (Study </w:t>
      </w:r>
      <w:r>
        <w:rPr>
          <w:position w:val="2"/>
        </w:rPr>
        <w:t>Project 18</w:t>
      </w:r>
      <w:r w:rsidR="00785725">
        <w:rPr>
          <w:position w:val="2"/>
        </w:rPr>
        <w:t>-TX-</w:t>
      </w:r>
      <w:r w:rsidR="00785725">
        <w:rPr>
          <w:position w:val="2"/>
        </w:rPr>
        <w:lastRenderedPageBreak/>
        <w:t>1002). C</w:t>
      </w:r>
      <w:r w:rsidR="00785725">
        <w:rPr>
          <w:sz w:val="16"/>
        </w:rPr>
        <w:t>max</w:t>
      </w:r>
    </w:p>
    <w:p w:rsidR="002A767C" w:rsidRDefault="002A767C">
      <w:pPr>
        <w:spacing w:line="259" w:lineRule="auto"/>
        <w:rPr>
          <w:sz w:val="16"/>
        </w:rPr>
        <w:sectPr w:rsidR="002A767C">
          <w:pgSz w:w="12240" w:h="15840"/>
          <w:pgMar w:top="1560" w:right="1380" w:bottom="940" w:left="1380" w:header="578" w:footer="748" w:gutter="0"/>
          <w:cols w:space="720"/>
        </w:sectPr>
      </w:pPr>
    </w:p>
    <w:p w:rsidR="002A767C" w:rsidRDefault="00785725">
      <w:pPr>
        <w:pStyle w:val="a3"/>
        <w:spacing w:before="142" w:line="259" w:lineRule="auto"/>
        <w:ind w:left="232"/>
      </w:pPr>
      <w:r>
        <w:rPr>
          <w:position w:val="2"/>
        </w:rPr>
        <w:lastRenderedPageBreak/>
        <w:t>and AUC</w:t>
      </w:r>
      <w:r>
        <w:rPr>
          <w:sz w:val="16"/>
        </w:rPr>
        <w:t xml:space="preserve">168 </w:t>
      </w:r>
      <w:r>
        <w:rPr>
          <w:position w:val="2"/>
        </w:rPr>
        <w:t xml:space="preserve">were calculated by sex for each </w:t>
      </w:r>
      <w:r w:rsidR="00112D6E">
        <w:rPr>
          <w:position w:val="2"/>
        </w:rPr>
        <w:t>PROJECT 18</w:t>
      </w:r>
      <w:r>
        <w:rPr>
          <w:position w:val="2"/>
        </w:rPr>
        <w:t xml:space="preserve"> dose level [</w:t>
      </w:r>
      <w:hyperlink w:anchor="_bookmark61" w:history="1">
        <w:r>
          <w:rPr>
            <w:position w:val="2"/>
          </w:rPr>
          <w:t>Table 8</w:t>
        </w:r>
      </w:hyperlink>
      <w:r>
        <w:rPr>
          <w:position w:val="2"/>
        </w:rPr>
        <w:t xml:space="preserve">]. During the 7-day </w:t>
      </w:r>
      <w:r>
        <w:t>observation period, no adverse clinical signs were recorded.</w:t>
      </w:r>
    </w:p>
    <w:p w:rsidR="002A767C" w:rsidRDefault="00785725">
      <w:pPr>
        <w:pStyle w:val="3"/>
        <w:tabs>
          <w:tab w:val="left" w:pos="1651"/>
        </w:tabs>
        <w:spacing w:before="101"/>
        <w:ind w:left="1651" w:right="1138" w:hanging="1419"/>
      </w:pPr>
      <w:bookmarkStart w:id="36" w:name="_bookmark61"/>
      <w:bookmarkEnd w:id="36"/>
      <w:r>
        <w:t>Table</w:t>
      </w:r>
      <w:r>
        <w:rPr>
          <w:spacing w:val="-1"/>
        </w:rPr>
        <w:t xml:space="preserve"> </w:t>
      </w:r>
      <w:r>
        <w:t>8</w:t>
      </w:r>
      <w:r>
        <w:tab/>
        <w:t xml:space="preserve">Toxicokinetics of a Single Intravenous Dose Study in Mice (Study </w:t>
      </w:r>
      <w:r w:rsidR="00112D6E">
        <w:t>Project 18</w:t>
      </w:r>
      <w:r>
        <w:t>-TX-1002)</w:t>
      </w:r>
    </w:p>
    <w:p w:rsidR="002A767C" w:rsidRDefault="002A767C">
      <w:pPr>
        <w:pStyle w:val="a3"/>
        <w:spacing w:before="5"/>
        <w:rPr>
          <w:b/>
          <w:sz w:val="5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9"/>
        <w:gridCol w:w="1238"/>
        <w:gridCol w:w="1238"/>
        <w:gridCol w:w="1238"/>
        <w:gridCol w:w="1236"/>
        <w:gridCol w:w="1236"/>
        <w:gridCol w:w="1241"/>
      </w:tblGrid>
      <w:tr w:rsidR="002A767C">
        <w:trPr>
          <w:trHeight w:val="230"/>
        </w:trPr>
        <w:tc>
          <w:tcPr>
            <w:tcW w:w="1819" w:type="dxa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2" w:line="230" w:lineRule="atLeast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Pharmacokinetic </w:t>
            </w:r>
            <w:r>
              <w:rPr>
                <w:b/>
                <w:sz w:val="20"/>
              </w:rPr>
              <w:t>Parameter</w:t>
            </w:r>
          </w:p>
        </w:tc>
        <w:tc>
          <w:tcPr>
            <w:tcW w:w="7427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:rsidR="002A767C" w:rsidRDefault="00112D6E">
            <w:pPr>
              <w:pStyle w:val="TableParagraph"/>
              <w:ind w:left="2717" w:right="2704"/>
              <w:rPr>
                <w:b/>
                <w:sz w:val="20"/>
              </w:rPr>
            </w:pPr>
            <w:r>
              <w:rPr>
                <w:b/>
                <w:sz w:val="20"/>
              </w:rPr>
              <w:t>PROJECT 18</w:t>
            </w:r>
            <w:r w:rsidR="00785725">
              <w:rPr>
                <w:b/>
                <w:sz w:val="20"/>
              </w:rPr>
              <w:t xml:space="preserve"> Dose (mg/kg)</w:t>
            </w:r>
          </w:p>
        </w:tc>
      </w:tr>
      <w:tr w:rsidR="002A767C">
        <w:trPr>
          <w:trHeight w:val="230"/>
        </w:trPr>
        <w:tc>
          <w:tcPr>
            <w:tcW w:w="1819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2A767C" w:rsidRDefault="002A767C">
            <w:pPr>
              <w:rPr>
                <w:sz w:val="2"/>
                <w:szCs w:val="2"/>
              </w:rPr>
            </w:pPr>
          </w:p>
        </w:tc>
        <w:tc>
          <w:tcPr>
            <w:tcW w:w="24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1123" w:right="1108"/>
              <w:rPr>
                <w:b/>
                <w:sz w:val="20"/>
              </w:rPr>
            </w:pPr>
            <w:r>
              <w:rPr>
                <w:b/>
                <w:sz w:val="20"/>
              </w:rPr>
              <w:t>50</w:t>
            </w:r>
          </w:p>
        </w:tc>
        <w:tc>
          <w:tcPr>
            <w:tcW w:w="24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1074" w:right="1055"/>
              <w:rPr>
                <w:b/>
                <w:sz w:val="20"/>
              </w:rPr>
            </w:pPr>
            <w:r>
              <w:rPr>
                <w:b/>
                <w:sz w:val="20"/>
              </w:rPr>
              <w:t>150</w:t>
            </w:r>
          </w:p>
        </w:tc>
        <w:tc>
          <w:tcPr>
            <w:tcW w:w="24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A767C" w:rsidRDefault="00785725">
            <w:pPr>
              <w:pStyle w:val="TableParagraph"/>
              <w:ind w:left="1074" w:right="1052"/>
              <w:rPr>
                <w:b/>
                <w:sz w:val="20"/>
              </w:rPr>
            </w:pPr>
            <w:r>
              <w:rPr>
                <w:b/>
                <w:sz w:val="20"/>
              </w:rPr>
              <w:t>450</w:t>
            </w:r>
          </w:p>
        </w:tc>
      </w:tr>
      <w:tr w:rsidR="002A767C">
        <w:trPr>
          <w:trHeight w:val="230"/>
        </w:trPr>
        <w:tc>
          <w:tcPr>
            <w:tcW w:w="181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0" w:right="102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Sex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288" w:right="270"/>
              <w:rPr>
                <w:b/>
                <w:sz w:val="20"/>
              </w:rPr>
            </w:pPr>
            <w:r>
              <w:rPr>
                <w:b/>
                <w:sz w:val="20"/>
              </w:rPr>
              <w:t>Male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288" w:right="282"/>
              <w:rPr>
                <w:b/>
                <w:sz w:val="20"/>
              </w:rPr>
            </w:pPr>
            <w:r>
              <w:rPr>
                <w:b/>
                <w:sz w:val="20"/>
              </w:rPr>
              <w:t>Female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288" w:right="269"/>
              <w:rPr>
                <w:b/>
                <w:sz w:val="20"/>
              </w:rPr>
            </w:pPr>
            <w:r>
              <w:rPr>
                <w:b/>
                <w:sz w:val="20"/>
              </w:rPr>
              <w:t>Male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287" w:right="277"/>
              <w:rPr>
                <w:b/>
                <w:sz w:val="20"/>
              </w:rPr>
            </w:pPr>
            <w:r>
              <w:rPr>
                <w:b/>
                <w:sz w:val="20"/>
              </w:rPr>
              <w:t>Female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289" w:right="267"/>
              <w:rPr>
                <w:b/>
                <w:sz w:val="20"/>
              </w:rPr>
            </w:pPr>
            <w:r>
              <w:rPr>
                <w:b/>
                <w:sz w:val="20"/>
              </w:rPr>
              <w:t>Male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A767C" w:rsidRDefault="00785725">
            <w:pPr>
              <w:pStyle w:val="TableParagraph"/>
              <w:ind w:left="289" w:right="275"/>
              <w:rPr>
                <w:b/>
                <w:sz w:val="20"/>
              </w:rPr>
            </w:pPr>
            <w:r>
              <w:rPr>
                <w:b/>
                <w:sz w:val="20"/>
              </w:rPr>
              <w:t>Female</w:t>
            </w:r>
          </w:p>
        </w:tc>
      </w:tr>
      <w:tr w:rsidR="002A767C">
        <w:trPr>
          <w:trHeight w:val="230"/>
        </w:trPr>
        <w:tc>
          <w:tcPr>
            <w:tcW w:w="181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114"/>
              <w:jc w:val="left"/>
              <w:rPr>
                <w:sz w:val="20"/>
              </w:rPr>
            </w:pPr>
            <w:r>
              <w:rPr>
                <w:position w:val="2"/>
                <w:sz w:val="20"/>
              </w:rPr>
              <w:t>C</w:t>
            </w:r>
            <w:r>
              <w:rPr>
                <w:sz w:val="13"/>
              </w:rPr>
              <w:t xml:space="preserve">max </w:t>
            </w:r>
            <w:r>
              <w:rPr>
                <w:position w:val="2"/>
                <w:sz w:val="20"/>
              </w:rPr>
              <w:t>(μg/mL)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288" w:right="273"/>
              <w:rPr>
                <w:sz w:val="20"/>
              </w:rPr>
            </w:pPr>
            <w:r>
              <w:rPr>
                <w:sz w:val="20"/>
              </w:rPr>
              <w:t>894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288" w:right="277"/>
              <w:rPr>
                <w:sz w:val="20"/>
              </w:rPr>
            </w:pPr>
            <w:r>
              <w:rPr>
                <w:sz w:val="20"/>
              </w:rPr>
              <w:t>824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288" w:right="272"/>
              <w:rPr>
                <w:sz w:val="20"/>
              </w:rPr>
            </w:pPr>
            <w:r>
              <w:rPr>
                <w:sz w:val="20"/>
              </w:rPr>
              <w:t>3290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289" w:right="275"/>
              <w:rPr>
                <w:sz w:val="20"/>
              </w:rPr>
            </w:pPr>
            <w:r>
              <w:rPr>
                <w:sz w:val="20"/>
              </w:rPr>
              <w:t>3330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289" w:right="270"/>
              <w:rPr>
                <w:sz w:val="20"/>
              </w:rPr>
            </w:pPr>
            <w:r>
              <w:rPr>
                <w:sz w:val="20"/>
              </w:rPr>
              <w:t>6680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A767C" w:rsidRDefault="00785725">
            <w:pPr>
              <w:pStyle w:val="TableParagraph"/>
              <w:ind w:left="289" w:right="270"/>
              <w:rPr>
                <w:sz w:val="20"/>
              </w:rPr>
            </w:pPr>
            <w:r>
              <w:rPr>
                <w:sz w:val="20"/>
              </w:rPr>
              <w:t>7310</w:t>
            </w:r>
          </w:p>
        </w:tc>
      </w:tr>
      <w:tr w:rsidR="002A767C">
        <w:trPr>
          <w:trHeight w:val="230"/>
        </w:trPr>
        <w:tc>
          <w:tcPr>
            <w:tcW w:w="1819" w:type="dxa"/>
            <w:tcBorders>
              <w:top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114"/>
              <w:jc w:val="left"/>
              <w:rPr>
                <w:sz w:val="20"/>
              </w:rPr>
            </w:pPr>
            <w:r>
              <w:rPr>
                <w:position w:val="2"/>
                <w:sz w:val="20"/>
              </w:rPr>
              <w:t>AUC</w:t>
            </w:r>
            <w:r>
              <w:rPr>
                <w:sz w:val="13"/>
              </w:rPr>
              <w:t xml:space="preserve">168 </w:t>
            </w:r>
            <w:r>
              <w:rPr>
                <w:position w:val="2"/>
                <w:sz w:val="20"/>
              </w:rPr>
              <w:t>(μg·h/mL)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288" w:right="271"/>
              <w:rPr>
                <w:sz w:val="20"/>
              </w:rPr>
            </w:pPr>
            <w:r>
              <w:rPr>
                <w:sz w:val="20"/>
              </w:rPr>
              <w:t>19800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288" w:right="275"/>
              <w:rPr>
                <w:sz w:val="20"/>
              </w:rPr>
            </w:pPr>
            <w:r>
              <w:rPr>
                <w:sz w:val="20"/>
              </w:rPr>
              <w:t>19200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288" w:right="270"/>
              <w:rPr>
                <w:sz w:val="20"/>
              </w:rPr>
            </w:pPr>
            <w:r>
              <w:rPr>
                <w:sz w:val="20"/>
              </w:rPr>
              <w:t>58700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289" w:right="273"/>
              <w:rPr>
                <w:sz w:val="20"/>
              </w:rPr>
            </w:pPr>
            <w:r>
              <w:rPr>
                <w:sz w:val="20"/>
              </w:rPr>
              <w:t>43100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289" w:right="268"/>
              <w:rPr>
                <w:sz w:val="20"/>
              </w:rPr>
            </w:pPr>
            <w:r>
              <w:rPr>
                <w:sz w:val="20"/>
              </w:rPr>
              <w:t>125000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</w:tcBorders>
          </w:tcPr>
          <w:p w:rsidR="002A767C" w:rsidRDefault="00785725">
            <w:pPr>
              <w:pStyle w:val="TableParagraph"/>
              <w:ind w:left="289" w:right="268"/>
              <w:rPr>
                <w:sz w:val="20"/>
              </w:rPr>
            </w:pPr>
            <w:r>
              <w:rPr>
                <w:sz w:val="20"/>
              </w:rPr>
              <w:t>118000</w:t>
            </w:r>
          </w:p>
        </w:tc>
      </w:tr>
    </w:tbl>
    <w:p w:rsidR="002A767C" w:rsidRDefault="00785725">
      <w:pPr>
        <w:spacing w:before="54"/>
        <w:ind w:left="232"/>
        <w:rPr>
          <w:sz w:val="20"/>
        </w:rPr>
      </w:pPr>
      <w:r>
        <w:rPr>
          <w:sz w:val="20"/>
        </w:rPr>
        <w:t xml:space="preserve">Source: Study </w:t>
      </w:r>
      <w:r w:rsidR="00112D6E">
        <w:rPr>
          <w:sz w:val="20"/>
        </w:rPr>
        <w:t>Project 18</w:t>
      </w:r>
      <w:r>
        <w:rPr>
          <w:sz w:val="20"/>
        </w:rPr>
        <w:t>-TX-1002</w:t>
      </w:r>
    </w:p>
    <w:p w:rsidR="002A767C" w:rsidRDefault="00785725">
      <w:pPr>
        <w:pStyle w:val="3"/>
        <w:numPr>
          <w:ilvl w:val="3"/>
          <w:numId w:val="13"/>
        </w:numPr>
        <w:tabs>
          <w:tab w:val="left" w:pos="1085"/>
        </w:tabs>
        <w:spacing w:before="150"/>
      </w:pPr>
      <w:bookmarkStart w:id="37" w:name="4.3.7.4_Single_Intravenous_Dose_Toxicoki"/>
      <w:bookmarkStart w:id="38" w:name="_bookmark62"/>
      <w:bookmarkEnd w:id="37"/>
      <w:bookmarkEnd w:id="38"/>
      <w:r>
        <w:t>Single Intravenous Dose Toxicokinetics Study in Cynomolgus</w:t>
      </w:r>
      <w:r>
        <w:rPr>
          <w:spacing w:val="-11"/>
        </w:rPr>
        <w:t xml:space="preserve"> </w:t>
      </w:r>
      <w:r>
        <w:t>Monkeys</w:t>
      </w:r>
    </w:p>
    <w:p w:rsidR="002A767C" w:rsidRDefault="00112D6E">
      <w:pPr>
        <w:pStyle w:val="a3"/>
        <w:spacing w:before="139"/>
        <w:ind w:left="232"/>
      </w:pPr>
      <w:r>
        <w:t>PROJECT 18</w:t>
      </w:r>
      <w:r w:rsidR="00785725">
        <w:t xml:space="preserve"> was administered once by intravenous bolus injection to groups of 1 male and</w:t>
      </w:r>
    </w:p>
    <w:p w:rsidR="002A767C" w:rsidRDefault="00785725">
      <w:pPr>
        <w:pStyle w:val="a3"/>
        <w:spacing w:before="24" w:line="259" w:lineRule="auto"/>
        <w:ind w:left="232" w:right="353"/>
        <w:jc w:val="both"/>
      </w:pPr>
      <w:r>
        <w:t xml:space="preserve">1 female cynomolgus monkeys at dose levels of 150 and 450 mg/kg (Study </w:t>
      </w:r>
      <w:r w:rsidR="00112D6E">
        <w:t>Project 18</w:t>
      </w:r>
      <w:r>
        <w:t>-TX-1003).</w:t>
      </w:r>
      <w:r>
        <w:rPr>
          <w:position w:val="2"/>
        </w:rPr>
        <w:t xml:space="preserve"> C</w:t>
      </w:r>
      <w:r>
        <w:rPr>
          <w:sz w:val="16"/>
        </w:rPr>
        <w:t xml:space="preserve">max </w:t>
      </w:r>
      <w:r>
        <w:rPr>
          <w:position w:val="2"/>
        </w:rPr>
        <w:t>and AUC</w:t>
      </w:r>
      <w:r>
        <w:rPr>
          <w:sz w:val="16"/>
        </w:rPr>
        <w:t xml:space="preserve">168 </w:t>
      </w:r>
      <w:r>
        <w:rPr>
          <w:position w:val="2"/>
        </w:rPr>
        <w:t xml:space="preserve">were calculated by sex for each </w:t>
      </w:r>
      <w:r w:rsidR="00112D6E">
        <w:rPr>
          <w:position w:val="2"/>
        </w:rPr>
        <w:t>PROJECT 18</w:t>
      </w:r>
      <w:r>
        <w:rPr>
          <w:position w:val="2"/>
        </w:rPr>
        <w:t xml:space="preserve"> dose level [</w:t>
      </w:r>
      <w:hyperlink w:anchor="_bookmark63" w:history="1">
        <w:r>
          <w:rPr>
            <w:position w:val="2"/>
          </w:rPr>
          <w:t>Table 9</w:t>
        </w:r>
      </w:hyperlink>
      <w:r>
        <w:rPr>
          <w:position w:val="2"/>
        </w:rPr>
        <w:t>]. During the</w:t>
      </w:r>
      <w:r>
        <w:t xml:space="preserve"> 7-day observation period, no adverse effects on clinical sign or body weight were recorded.</w:t>
      </w:r>
    </w:p>
    <w:p w:rsidR="002A767C" w:rsidRDefault="00785725">
      <w:pPr>
        <w:pStyle w:val="3"/>
        <w:tabs>
          <w:tab w:val="left" w:pos="1651"/>
        </w:tabs>
        <w:spacing w:before="102"/>
        <w:ind w:left="1651" w:right="1104" w:hanging="1419"/>
      </w:pPr>
      <w:bookmarkStart w:id="39" w:name="_bookmark63"/>
      <w:bookmarkEnd w:id="39"/>
      <w:r>
        <w:t>Table</w:t>
      </w:r>
      <w:r>
        <w:rPr>
          <w:spacing w:val="-1"/>
        </w:rPr>
        <w:t xml:space="preserve"> </w:t>
      </w:r>
      <w:r>
        <w:t>9</w:t>
      </w:r>
      <w:r>
        <w:tab/>
        <w:t>Toxicokinetics of a Single Intravenous Dose Study in Cynomolgus Monkeys (Study</w:t>
      </w:r>
      <w:r>
        <w:rPr>
          <w:spacing w:val="-2"/>
        </w:rPr>
        <w:t xml:space="preserve"> </w:t>
      </w:r>
      <w:r w:rsidR="00112D6E">
        <w:t>Project 18</w:t>
      </w:r>
      <w:r>
        <w:t>-TX-1003)</w:t>
      </w:r>
    </w:p>
    <w:p w:rsidR="002A767C" w:rsidRDefault="002A767C">
      <w:pPr>
        <w:pStyle w:val="a3"/>
        <w:spacing w:before="6"/>
        <w:rPr>
          <w:b/>
          <w:sz w:val="5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9"/>
        <w:gridCol w:w="1687"/>
        <w:gridCol w:w="1689"/>
        <w:gridCol w:w="1689"/>
        <w:gridCol w:w="1691"/>
      </w:tblGrid>
      <w:tr w:rsidR="002A767C">
        <w:trPr>
          <w:trHeight w:val="230"/>
        </w:trPr>
        <w:tc>
          <w:tcPr>
            <w:tcW w:w="2489" w:type="dxa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before="2" w:line="230" w:lineRule="atLeast"/>
              <w:ind w:left="114" w:right="92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Pharmacokinetic </w:t>
            </w:r>
            <w:r>
              <w:rPr>
                <w:b/>
                <w:sz w:val="20"/>
              </w:rPr>
              <w:t>Parameter</w:t>
            </w:r>
          </w:p>
        </w:tc>
        <w:tc>
          <w:tcPr>
            <w:tcW w:w="6756" w:type="dxa"/>
            <w:gridSpan w:val="4"/>
            <w:tcBorders>
              <w:left w:val="single" w:sz="2" w:space="0" w:color="000000"/>
              <w:bottom w:val="single" w:sz="2" w:space="0" w:color="000000"/>
            </w:tcBorders>
          </w:tcPr>
          <w:p w:rsidR="002A767C" w:rsidRDefault="00112D6E">
            <w:pPr>
              <w:pStyle w:val="TableParagraph"/>
              <w:ind w:left="2380" w:right="2369"/>
              <w:rPr>
                <w:b/>
                <w:sz w:val="20"/>
              </w:rPr>
            </w:pPr>
            <w:r>
              <w:rPr>
                <w:b/>
                <w:sz w:val="20"/>
              </w:rPr>
              <w:t>PROJECT 18</w:t>
            </w:r>
            <w:r w:rsidR="00785725">
              <w:rPr>
                <w:b/>
                <w:sz w:val="20"/>
              </w:rPr>
              <w:t xml:space="preserve"> Dose (mg/kg)</w:t>
            </w:r>
          </w:p>
        </w:tc>
      </w:tr>
      <w:tr w:rsidR="002A767C">
        <w:trPr>
          <w:trHeight w:val="230"/>
        </w:trPr>
        <w:tc>
          <w:tcPr>
            <w:tcW w:w="2489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2A767C" w:rsidRDefault="002A767C">
            <w:pPr>
              <w:rPr>
                <w:sz w:val="2"/>
                <w:szCs w:val="2"/>
              </w:rPr>
            </w:pPr>
          </w:p>
        </w:tc>
        <w:tc>
          <w:tcPr>
            <w:tcW w:w="3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1521" w:right="1509"/>
              <w:rPr>
                <w:b/>
                <w:sz w:val="20"/>
              </w:rPr>
            </w:pPr>
            <w:r>
              <w:rPr>
                <w:b/>
                <w:sz w:val="20"/>
              </w:rPr>
              <w:t>150</w:t>
            </w:r>
          </w:p>
        </w:tc>
        <w:tc>
          <w:tcPr>
            <w:tcW w:w="33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A767C" w:rsidRDefault="00785725">
            <w:pPr>
              <w:pStyle w:val="TableParagraph"/>
              <w:ind w:left="1527" w:right="1503"/>
              <w:rPr>
                <w:b/>
                <w:sz w:val="20"/>
              </w:rPr>
            </w:pPr>
            <w:r>
              <w:rPr>
                <w:b/>
                <w:sz w:val="20"/>
              </w:rPr>
              <w:t>450</w:t>
            </w:r>
          </w:p>
        </w:tc>
      </w:tr>
      <w:tr w:rsidR="002A767C">
        <w:trPr>
          <w:trHeight w:val="230"/>
        </w:trPr>
        <w:tc>
          <w:tcPr>
            <w:tcW w:w="24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0" w:right="10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Sex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525" w:right="515"/>
              <w:rPr>
                <w:b/>
                <w:sz w:val="20"/>
              </w:rPr>
            </w:pPr>
            <w:r>
              <w:rPr>
                <w:b/>
                <w:sz w:val="20"/>
              </w:rPr>
              <w:t>Male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516" w:right="506"/>
              <w:rPr>
                <w:b/>
                <w:sz w:val="20"/>
              </w:rPr>
            </w:pPr>
            <w:r>
              <w:rPr>
                <w:b/>
                <w:sz w:val="20"/>
              </w:rPr>
              <w:t>Female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ind w:left="516" w:right="502"/>
              <w:rPr>
                <w:b/>
                <w:sz w:val="20"/>
              </w:rPr>
            </w:pPr>
            <w:r>
              <w:rPr>
                <w:b/>
                <w:sz w:val="20"/>
              </w:rPr>
              <w:t>Male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A767C" w:rsidRDefault="00785725">
            <w:pPr>
              <w:pStyle w:val="TableParagraph"/>
              <w:ind w:left="517" w:right="502"/>
              <w:rPr>
                <w:b/>
                <w:sz w:val="20"/>
              </w:rPr>
            </w:pPr>
            <w:r>
              <w:rPr>
                <w:b/>
                <w:sz w:val="20"/>
              </w:rPr>
              <w:t>Female</w:t>
            </w:r>
          </w:p>
        </w:tc>
      </w:tr>
      <w:tr w:rsidR="002A767C">
        <w:trPr>
          <w:trHeight w:val="227"/>
        </w:trPr>
        <w:tc>
          <w:tcPr>
            <w:tcW w:w="24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line="208" w:lineRule="exact"/>
              <w:ind w:left="114"/>
              <w:jc w:val="left"/>
              <w:rPr>
                <w:sz w:val="20"/>
              </w:rPr>
            </w:pPr>
            <w:r>
              <w:rPr>
                <w:position w:val="2"/>
                <w:sz w:val="20"/>
              </w:rPr>
              <w:t>C</w:t>
            </w:r>
            <w:r>
              <w:rPr>
                <w:sz w:val="13"/>
              </w:rPr>
              <w:t xml:space="preserve">max </w:t>
            </w:r>
            <w:r>
              <w:rPr>
                <w:position w:val="2"/>
                <w:sz w:val="20"/>
              </w:rPr>
              <w:t>(μg/mL)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line="208" w:lineRule="exact"/>
              <w:ind w:left="525" w:right="514"/>
              <w:rPr>
                <w:sz w:val="20"/>
              </w:rPr>
            </w:pPr>
            <w:r>
              <w:rPr>
                <w:sz w:val="20"/>
              </w:rPr>
              <w:t>1930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line="208" w:lineRule="exact"/>
              <w:ind w:left="516" w:right="501"/>
              <w:rPr>
                <w:sz w:val="20"/>
              </w:rPr>
            </w:pPr>
            <w:r>
              <w:rPr>
                <w:sz w:val="20"/>
              </w:rPr>
              <w:t>3480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line="208" w:lineRule="exact"/>
              <w:ind w:left="516" w:right="500"/>
              <w:rPr>
                <w:sz w:val="20"/>
              </w:rPr>
            </w:pPr>
            <w:r>
              <w:rPr>
                <w:sz w:val="20"/>
              </w:rPr>
              <w:t>8800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A767C" w:rsidRDefault="00785725">
            <w:pPr>
              <w:pStyle w:val="TableParagraph"/>
              <w:spacing w:line="208" w:lineRule="exact"/>
              <w:ind w:left="517" w:right="497"/>
              <w:rPr>
                <w:sz w:val="20"/>
              </w:rPr>
            </w:pPr>
            <w:r>
              <w:rPr>
                <w:sz w:val="20"/>
              </w:rPr>
              <w:t>8410</w:t>
            </w:r>
          </w:p>
        </w:tc>
      </w:tr>
      <w:tr w:rsidR="002A767C">
        <w:trPr>
          <w:trHeight w:val="232"/>
        </w:trPr>
        <w:tc>
          <w:tcPr>
            <w:tcW w:w="2489" w:type="dxa"/>
            <w:tcBorders>
              <w:top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line="212" w:lineRule="exact"/>
              <w:ind w:left="114"/>
              <w:jc w:val="left"/>
              <w:rPr>
                <w:sz w:val="20"/>
              </w:rPr>
            </w:pPr>
            <w:r>
              <w:rPr>
                <w:position w:val="2"/>
                <w:sz w:val="20"/>
              </w:rPr>
              <w:t>AUC</w:t>
            </w:r>
            <w:r>
              <w:rPr>
                <w:sz w:val="13"/>
              </w:rPr>
              <w:t xml:space="preserve">168 </w:t>
            </w:r>
            <w:r>
              <w:rPr>
                <w:position w:val="2"/>
                <w:sz w:val="20"/>
              </w:rPr>
              <w:t>(μg·h/mL)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line="212" w:lineRule="exact"/>
              <w:ind w:left="525" w:right="517"/>
              <w:rPr>
                <w:sz w:val="20"/>
              </w:rPr>
            </w:pPr>
            <w:r>
              <w:rPr>
                <w:sz w:val="20"/>
              </w:rPr>
              <w:t>138000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line="212" w:lineRule="exact"/>
              <w:ind w:left="516" w:right="500"/>
              <w:rPr>
                <w:sz w:val="20"/>
              </w:rPr>
            </w:pPr>
            <w:r>
              <w:rPr>
                <w:sz w:val="20"/>
              </w:rPr>
              <w:t>210000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A767C" w:rsidRDefault="00785725">
            <w:pPr>
              <w:pStyle w:val="TableParagraph"/>
              <w:spacing w:line="212" w:lineRule="exact"/>
              <w:ind w:left="516" w:right="503"/>
              <w:rPr>
                <w:sz w:val="20"/>
              </w:rPr>
            </w:pPr>
            <w:r>
              <w:rPr>
                <w:sz w:val="20"/>
              </w:rPr>
              <w:t>484000</w:t>
            </w: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</w:tcBorders>
          </w:tcPr>
          <w:p w:rsidR="002A767C" w:rsidRDefault="00785725">
            <w:pPr>
              <w:pStyle w:val="TableParagraph"/>
              <w:spacing w:line="212" w:lineRule="exact"/>
              <w:ind w:left="517" w:right="500"/>
              <w:rPr>
                <w:sz w:val="20"/>
              </w:rPr>
            </w:pPr>
            <w:r>
              <w:rPr>
                <w:sz w:val="20"/>
              </w:rPr>
              <w:t>408000</w:t>
            </w:r>
          </w:p>
        </w:tc>
      </w:tr>
    </w:tbl>
    <w:p w:rsidR="002A767C" w:rsidRDefault="00785725">
      <w:pPr>
        <w:spacing w:before="53"/>
        <w:ind w:left="232"/>
        <w:rPr>
          <w:sz w:val="20"/>
        </w:rPr>
      </w:pPr>
      <w:r>
        <w:rPr>
          <w:sz w:val="20"/>
        </w:rPr>
        <w:t xml:space="preserve">Source: Study </w:t>
      </w:r>
      <w:r w:rsidR="00112D6E">
        <w:rPr>
          <w:sz w:val="20"/>
        </w:rPr>
        <w:t>Project 18</w:t>
      </w:r>
      <w:r>
        <w:rPr>
          <w:sz w:val="20"/>
        </w:rPr>
        <w:t>-TX-1003</w:t>
      </w:r>
    </w:p>
    <w:p w:rsidR="002A767C" w:rsidRDefault="00785725">
      <w:pPr>
        <w:pStyle w:val="2"/>
        <w:tabs>
          <w:tab w:val="left" w:pos="1084"/>
        </w:tabs>
        <w:spacing w:before="123" w:line="242" w:lineRule="auto"/>
        <w:ind w:right="314"/>
      </w:pPr>
      <w:bookmarkStart w:id="40" w:name="4.4_Integrated_Nonclinical_Overview_and_"/>
      <w:bookmarkStart w:id="41" w:name="_bookmark64"/>
      <w:bookmarkEnd w:id="40"/>
      <w:bookmarkEnd w:id="41"/>
      <w:r>
        <w:t>4.4</w:t>
      </w:r>
      <w:r>
        <w:tab/>
        <w:t>Integrated Nonclinical Overview and Conclusion: Potential Clinical Relevance</w:t>
      </w:r>
    </w:p>
    <w:p w:rsidR="002A767C" w:rsidRDefault="00785725">
      <w:pPr>
        <w:pStyle w:val="a3"/>
        <w:spacing w:before="135" w:line="261" w:lineRule="auto"/>
        <w:ind w:left="232" w:right="255"/>
      </w:pPr>
      <w:r>
        <w:t xml:space="preserve">CLDN6 is a cancer-specific antigen that is not expressed in normal adult human tissues. Thus, there exists no target organ for testing of on-target toxicity. Furthermore, as the relevant animal species for a nonclinical safety evaluation of </w:t>
      </w:r>
      <w:r w:rsidR="00112D6E">
        <w:t>PROJECT 18</w:t>
      </w:r>
      <w:r>
        <w:t xml:space="preserve"> should be one in which </w:t>
      </w:r>
      <w:r w:rsidR="00112D6E">
        <w:t>PROJECT 18</w:t>
      </w:r>
      <w:r>
        <w:t xml:space="preserve"> is pharmacologically active due to the expression of the epitope, there are no relevant animal</w:t>
      </w:r>
      <w:r>
        <w:rPr>
          <w:spacing w:val="-3"/>
        </w:rPr>
        <w:t xml:space="preserve"> </w:t>
      </w:r>
      <w:r>
        <w:t>species.</w:t>
      </w:r>
    </w:p>
    <w:p w:rsidR="002A767C" w:rsidRDefault="00785725">
      <w:pPr>
        <w:pStyle w:val="a3"/>
        <w:spacing w:before="116" w:line="261" w:lineRule="auto"/>
        <w:ind w:left="232" w:right="263"/>
      </w:pPr>
      <w:r>
        <w:t xml:space="preserve">Nevertheless, cynomolgus monkeys were chosen as a nonrodent species to assess the toxicity of </w:t>
      </w:r>
      <w:r w:rsidR="00112D6E">
        <w:t>PROJECT 18</w:t>
      </w:r>
      <w:r>
        <w:t xml:space="preserve"> due to the following characteristics:</w:t>
      </w:r>
    </w:p>
    <w:p w:rsidR="002A767C" w:rsidRDefault="00785725">
      <w:pPr>
        <w:pStyle w:val="a4"/>
        <w:numPr>
          <w:ilvl w:val="0"/>
          <w:numId w:val="12"/>
        </w:numPr>
        <w:tabs>
          <w:tab w:val="left" w:pos="657"/>
          <w:tab w:val="left" w:pos="658"/>
        </w:tabs>
        <w:spacing w:before="119" w:line="261" w:lineRule="auto"/>
        <w:ind w:right="233"/>
        <w:rPr>
          <w:sz w:val="24"/>
        </w:rPr>
      </w:pPr>
      <w:r>
        <w:rPr>
          <w:sz w:val="24"/>
        </w:rPr>
        <w:t>The tissue distribution of CLDN6 in cynomolgus monkeys was similar to that in humans, i.e., no expression in any normal adult</w:t>
      </w:r>
      <w:r>
        <w:rPr>
          <w:spacing w:val="-8"/>
          <w:sz w:val="24"/>
        </w:rPr>
        <w:t xml:space="preserve"> </w:t>
      </w:r>
      <w:r>
        <w:rPr>
          <w:sz w:val="24"/>
        </w:rPr>
        <w:t>tissue.</w:t>
      </w:r>
    </w:p>
    <w:p w:rsidR="002A767C" w:rsidRDefault="00785725">
      <w:pPr>
        <w:pStyle w:val="a4"/>
        <w:numPr>
          <w:ilvl w:val="0"/>
          <w:numId w:val="12"/>
        </w:numPr>
        <w:tabs>
          <w:tab w:val="left" w:pos="657"/>
          <w:tab w:val="left" w:pos="658"/>
        </w:tabs>
        <w:spacing w:before="0" w:line="261" w:lineRule="auto"/>
        <w:ind w:right="681"/>
        <w:rPr>
          <w:sz w:val="24"/>
        </w:rPr>
      </w:pPr>
      <w:r>
        <w:rPr>
          <w:sz w:val="24"/>
        </w:rPr>
        <w:t>The human and cynomolgus monkey CLDN6 molecules show high overall</w:t>
      </w:r>
      <w:r>
        <w:rPr>
          <w:spacing w:val="-32"/>
          <w:sz w:val="24"/>
        </w:rPr>
        <w:t xml:space="preserve"> </w:t>
      </w:r>
      <w:r>
        <w:rPr>
          <w:sz w:val="24"/>
        </w:rPr>
        <w:t>sequence similarity.</w:t>
      </w:r>
    </w:p>
    <w:p w:rsidR="002A767C" w:rsidRDefault="00785725">
      <w:pPr>
        <w:pStyle w:val="a4"/>
        <w:numPr>
          <w:ilvl w:val="0"/>
          <w:numId w:val="12"/>
        </w:numPr>
        <w:tabs>
          <w:tab w:val="left" w:pos="657"/>
          <w:tab w:val="left" w:pos="658"/>
        </w:tabs>
        <w:spacing w:before="0" w:line="261" w:lineRule="auto"/>
        <w:ind w:right="768"/>
        <w:rPr>
          <w:sz w:val="24"/>
        </w:rPr>
      </w:pPr>
      <w:r>
        <w:rPr>
          <w:sz w:val="24"/>
        </w:rPr>
        <w:t xml:space="preserve">The binding affinity of </w:t>
      </w:r>
      <w:r w:rsidR="00112D6E">
        <w:rPr>
          <w:sz w:val="24"/>
        </w:rPr>
        <w:t>PROJECT 18</w:t>
      </w:r>
      <w:r>
        <w:rPr>
          <w:sz w:val="24"/>
        </w:rPr>
        <w:t xml:space="preserve"> to cynomolgus and human orthologs of CLDN6 is identical.</w:t>
      </w:r>
    </w:p>
    <w:p w:rsidR="002A767C" w:rsidRDefault="00112D6E">
      <w:pPr>
        <w:pStyle w:val="a4"/>
        <w:numPr>
          <w:ilvl w:val="0"/>
          <w:numId w:val="12"/>
        </w:numPr>
        <w:tabs>
          <w:tab w:val="left" w:pos="657"/>
          <w:tab w:val="left" w:pos="658"/>
        </w:tabs>
        <w:spacing w:before="0" w:line="261" w:lineRule="auto"/>
        <w:ind w:right="560"/>
        <w:rPr>
          <w:sz w:val="24"/>
        </w:rPr>
      </w:pPr>
      <w:r>
        <w:rPr>
          <w:sz w:val="24"/>
        </w:rPr>
        <w:t>PROJECT 18</w:t>
      </w:r>
      <w:r w:rsidR="00785725">
        <w:rPr>
          <w:sz w:val="24"/>
        </w:rPr>
        <w:t>-induced immune effector functions (ADCC, CDC) are comparable between both</w:t>
      </w:r>
      <w:r w:rsidR="00785725">
        <w:rPr>
          <w:spacing w:val="-2"/>
          <w:sz w:val="24"/>
        </w:rPr>
        <w:t xml:space="preserve"> </w:t>
      </w:r>
      <w:r w:rsidR="00785725">
        <w:rPr>
          <w:sz w:val="24"/>
        </w:rPr>
        <w:t>species.</w:t>
      </w:r>
    </w:p>
    <w:p w:rsidR="002A767C" w:rsidRDefault="002A767C">
      <w:pPr>
        <w:spacing w:line="261" w:lineRule="auto"/>
        <w:rPr>
          <w:sz w:val="24"/>
        </w:rPr>
        <w:sectPr w:rsidR="002A767C">
          <w:pgSz w:w="12240" w:h="15840"/>
          <w:pgMar w:top="1560" w:right="1380" w:bottom="940" w:left="1380" w:header="578" w:footer="748" w:gutter="0"/>
          <w:cols w:space="720"/>
        </w:sectPr>
      </w:pPr>
    </w:p>
    <w:p w:rsidR="002A767C" w:rsidRDefault="00785725">
      <w:pPr>
        <w:pStyle w:val="a3"/>
        <w:spacing w:before="143" w:line="261" w:lineRule="auto"/>
        <w:ind w:left="232" w:right="544"/>
      </w:pPr>
      <w:r>
        <w:lastRenderedPageBreak/>
        <w:t xml:space="preserve">Limited toxicological endpoints were studied in mice as this species was considered less predictive for testing whether </w:t>
      </w:r>
      <w:r w:rsidR="00112D6E">
        <w:t>PROJECT 18</w:t>
      </w:r>
      <w:r>
        <w:t xml:space="preserve"> might affect human safety. Mice were considered less appropriate due to following characteristics:</w:t>
      </w:r>
    </w:p>
    <w:p w:rsidR="002A767C" w:rsidRDefault="00785725">
      <w:pPr>
        <w:pStyle w:val="a4"/>
        <w:numPr>
          <w:ilvl w:val="0"/>
          <w:numId w:val="12"/>
        </w:numPr>
        <w:tabs>
          <w:tab w:val="left" w:pos="657"/>
          <w:tab w:val="left" w:pos="658"/>
        </w:tabs>
        <w:spacing w:before="118" w:line="261" w:lineRule="auto"/>
        <w:ind w:right="1220"/>
        <w:rPr>
          <w:sz w:val="24"/>
        </w:rPr>
      </w:pPr>
      <w:r>
        <w:rPr>
          <w:sz w:val="24"/>
        </w:rPr>
        <w:t>The mouse protein, Cldn6, is expressed in several tissues that show no CLDN6 expression in humans (pancreas, thyroid and</w:t>
      </w:r>
      <w:r>
        <w:rPr>
          <w:spacing w:val="-11"/>
          <w:sz w:val="24"/>
        </w:rPr>
        <w:t xml:space="preserve"> </w:t>
      </w:r>
      <w:r>
        <w:rPr>
          <w:sz w:val="24"/>
        </w:rPr>
        <w:t>placenta).</w:t>
      </w:r>
    </w:p>
    <w:p w:rsidR="002A767C" w:rsidRDefault="00785725">
      <w:pPr>
        <w:pStyle w:val="a4"/>
        <w:numPr>
          <w:ilvl w:val="0"/>
          <w:numId w:val="12"/>
        </w:numPr>
        <w:tabs>
          <w:tab w:val="left" w:pos="657"/>
          <w:tab w:val="left" w:pos="658"/>
        </w:tabs>
        <w:spacing w:before="0" w:line="261" w:lineRule="auto"/>
        <w:ind w:right="1302"/>
        <w:rPr>
          <w:sz w:val="24"/>
        </w:rPr>
      </w:pPr>
      <w:r>
        <w:rPr>
          <w:sz w:val="24"/>
        </w:rPr>
        <w:t>Overall sequence homology between mouse and human is lower than between cynomolgus monkey and</w:t>
      </w:r>
      <w:r>
        <w:rPr>
          <w:spacing w:val="-6"/>
          <w:sz w:val="24"/>
        </w:rPr>
        <w:t xml:space="preserve"> </w:t>
      </w:r>
      <w:r>
        <w:rPr>
          <w:sz w:val="24"/>
        </w:rPr>
        <w:t>human.</w:t>
      </w:r>
    </w:p>
    <w:p w:rsidR="002A767C" w:rsidRDefault="00785725">
      <w:pPr>
        <w:pStyle w:val="a4"/>
        <w:numPr>
          <w:ilvl w:val="0"/>
          <w:numId w:val="12"/>
        </w:numPr>
        <w:tabs>
          <w:tab w:val="left" w:pos="657"/>
          <w:tab w:val="left" w:pos="658"/>
        </w:tabs>
        <w:spacing w:before="0" w:line="261" w:lineRule="auto"/>
        <w:ind w:right="642"/>
        <w:rPr>
          <w:sz w:val="24"/>
        </w:rPr>
      </w:pPr>
      <w:r>
        <w:rPr>
          <w:sz w:val="24"/>
        </w:rPr>
        <w:t xml:space="preserve">The binding affinity of </w:t>
      </w:r>
      <w:r w:rsidR="00112D6E">
        <w:rPr>
          <w:sz w:val="24"/>
        </w:rPr>
        <w:t>PROJECT 18</w:t>
      </w:r>
      <w:r>
        <w:rPr>
          <w:sz w:val="24"/>
        </w:rPr>
        <w:t xml:space="preserve"> to the mouse ortholog is 10-fold lower compared to human</w:t>
      </w:r>
      <w:r>
        <w:rPr>
          <w:spacing w:val="-1"/>
          <w:sz w:val="24"/>
        </w:rPr>
        <w:t xml:space="preserve"> </w:t>
      </w:r>
      <w:r>
        <w:rPr>
          <w:sz w:val="24"/>
        </w:rPr>
        <w:t>CLDN6.</w:t>
      </w:r>
    </w:p>
    <w:p w:rsidR="002A767C" w:rsidRDefault="00112D6E">
      <w:pPr>
        <w:pStyle w:val="a4"/>
        <w:numPr>
          <w:ilvl w:val="0"/>
          <w:numId w:val="12"/>
        </w:numPr>
        <w:tabs>
          <w:tab w:val="left" w:pos="657"/>
          <w:tab w:val="left" w:pos="658"/>
        </w:tabs>
        <w:spacing w:before="0" w:line="261" w:lineRule="auto"/>
        <w:ind w:right="569"/>
        <w:rPr>
          <w:sz w:val="24"/>
        </w:rPr>
      </w:pPr>
      <w:r>
        <w:rPr>
          <w:sz w:val="24"/>
        </w:rPr>
        <w:t>PROJECT 18</w:t>
      </w:r>
      <w:r w:rsidR="00785725">
        <w:rPr>
          <w:sz w:val="24"/>
        </w:rPr>
        <w:t>-induced immune effector functions (ADCC, CDC) differ between mice and humans.</w:t>
      </w:r>
    </w:p>
    <w:p w:rsidR="002A767C" w:rsidRDefault="00112D6E">
      <w:pPr>
        <w:pStyle w:val="a3"/>
        <w:spacing w:before="113" w:line="261" w:lineRule="auto"/>
        <w:ind w:left="232" w:right="332"/>
      </w:pPr>
      <w:r>
        <w:t>PROJECT 18</w:t>
      </w:r>
      <w:r w:rsidR="00785725">
        <w:t xml:space="preserve"> induced ADCC and CDC in testicular cancer cell lines expressing human CLDN6. </w:t>
      </w:r>
      <w:r>
        <w:t>PROJECT 18</w:t>
      </w:r>
      <w:r w:rsidR="00785725">
        <w:t xml:space="preserve">-directed cell killing was strictly dependent on the presence of CLDN6 and did not act via unspecific immune activation. In in vivo assessments, </w:t>
      </w:r>
      <w:r>
        <w:t>PROJECT 18</w:t>
      </w:r>
      <w:r w:rsidR="00785725">
        <w:t xml:space="preserve"> significantly inhibited testicular tumor growth in an immunocompromised xenografted mouse model. A combination of </w:t>
      </w:r>
      <w:r>
        <w:t>PROJECT 18</w:t>
      </w:r>
      <w:r w:rsidR="00785725">
        <w:t xml:space="preserve"> with platinum derivatives demonstrated a more potent antitumor effect than </w:t>
      </w:r>
      <w:r>
        <w:t>PROJECT 18</w:t>
      </w:r>
      <w:r w:rsidR="00785725">
        <w:t xml:space="preserve"> or chemotherapy alone.</w:t>
      </w:r>
    </w:p>
    <w:p w:rsidR="002A767C" w:rsidRDefault="00785725" w:rsidP="00112D6E">
      <w:pPr>
        <w:pStyle w:val="a3"/>
        <w:spacing w:before="115" w:line="261" w:lineRule="auto"/>
        <w:ind w:left="232" w:right="489"/>
      </w:pPr>
      <w:r>
        <w:t xml:space="preserve">Safety pharmacology and toxicity of </w:t>
      </w:r>
      <w:r w:rsidR="00112D6E">
        <w:t>PROJECT 18</w:t>
      </w:r>
      <w:r>
        <w:t xml:space="preserve"> were assessed in 1 single ascending dose study in cynomolgus monkeys (intravenous administration, up to 100 mg/kg), one 29-day repeated dose study in mice (weekly intravenous administration of </w:t>
      </w:r>
      <w:r w:rsidR="00112D6E">
        <w:t>PROJECT 18</w:t>
      </w:r>
      <w:r>
        <w:t xml:space="preserve"> at doses up to 400 mg/kg) and 2 single dose toxicokinetics studies (intravenous administration, up to</w:t>
      </w:r>
      <w:r w:rsidR="00112D6E">
        <w:t xml:space="preserve"> </w:t>
      </w:r>
      <w:r>
        <w:t xml:space="preserve">450 mg/kg in mice and cynomolgus monkeys). </w:t>
      </w:r>
      <w:r w:rsidRPr="00112D6E">
        <w:rPr>
          <w:highlight w:val="magenta"/>
        </w:rPr>
        <w:t>No target organs of toxicity were identified in these studies.</w:t>
      </w:r>
    </w:p>
    <w:p w:rsidR="002A767C" w:rsidRDefault="00785725">
      <w:pPr>
        <w:pStyle w:val="a3"/>
        <w:spacing w:before="116" w:line="261" w:lineRule="auto"/>
        <w:ind w:left="232" w:right="275"/>
      </w:pPr>
      <w:r>
        <w:t xml:space="preserve">Two tissue cross-reactivity studies were conducted using human tissues. The results showed that </w:t>
      </w:r>
      <w:r w:rsidR="00112D6E">
        <w:t>PROJECT 18</w:t>
      </w:r>
      <w:r>
        <w:t xml:space="preserve"> did not bind to any normal adult human tissues except for intercalated duct cells of the pancreas (in 1 of 3 donors) and blood platelets (in all 3 donors).</w:t>
      </w:r>
    </w:p>
    <w:p w:rsidR="002A767C" w:rsidRDefault="00785725">
      <w:pPr>
        <w:pStyle w:val="a3"/>
        <w:spacing w:before="117" w:line="261" w:lineRule="auto"/>
        <w:ind w:left="232" w:right="1137"/>
      </w:pPr>
      <w:r>
        <w:t xml:space="preserve">In summary, the nonclinical data outlined above support the clinical development of </w:t>
      </w:r>
      <w:r w:rsidR="00112D6E">
        <w:t>PROJECT 18</w:t>
      </w:r>
      <w:r>
        <w:t xml:space="preserve"> in patients with germ cell tumors.</w:t>
      </w:r>
    </w:p>
    <w:p w:rsidR="002A767C" w:rsidRDefault="00785725">
      <w:pPr>
        <w:pStyle w:val="3"/>
        <w:spacing w:before="123"/>
        <w:ind w:left="232" w:firstLine="0"/>
      </w:pPr>
      <w:r>
        <w:t>List of References</w:t>
      </w:r>
    </w:p>
    <w:p w:rsidR="002A767C" w:rsidRDefault="00785725">
      <w:pPr>
        <w:spacing w:before="115"/>
        <w:ind w:left="232"/>
      </w:pPr>
      <w:r>
        <w:t>Lal-Nag M, Morin PJ. The Claudins. Genome Biol. 2009;10:235.</w:t>
      </w:r>
    </w:p>
    <w:p w:rsidR="002A767C" w:rsidRDefault="002A767C">
      <w:pPr>
        <w:pStyle w:val="a3"/>
        <w:spacing w:before="9"/>
        <w:rPr>
          <w:sz w:val="20"/>
        </w:rPr>
      </w:pPr>
    </w:p>
    <w:p w:rsidR="002A767C" w:rsidRPr="00060C1B" w:rsidRDefault="00785725" w:rsidP="00785725">
      <w:pPr>
        <w:ind w:left="799" w:right="832" w:hanging="567"/>
        <w:rPr>
          <w:sz w:val="20"/>
        </w:rPr>
      </w:pPr>
      <w:r>
        <w:t>Vasquez KO, Casavant C, Peterson JD. Quantitative whole body biodistribution of fluorescent- labeled agents by non-invasive tomographic imaging. PloS one. 2011;6;e20594</w:t>
      </w:r>
      <w:bookmarkStart w:id="42" w:name="5_EFFECTS_IN_HUMANS"/>
      <w:bookmarkStart w:id="43" w:name="_bookmark65"/>
      <w:bookmarkEnd w:id="42"/>
      <w:bookmarkEnd w:id="43"/>
      <w:r>
        <w:t>.</w:t>
      </w:r>
      <w:r w:rsidRPr="00060C1B">
        <w:rPr>
          <w:sz w:val="20"/>
        </w:rPr>
        <w:t xml:space="preserve"> </w:t>
      </w:r>
    </w:p>
    <w:sectPr w:rsidR="002A767C" w:rsidRPr="00060C1B">
      <w:headerReference w:type="default" r:id="rId9"/>
      <w:footerReference w:type="default" r:id="rId10"/>
      <w:pgSz w:w="11910" w:h="16840"/>
      <w:pgMar w:top="1120" w:right="1220" w:bottom="280" w:left="12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1B5" w:rsidRDefault="008111B5">
      <w:r>
        <w:separator/>
      </w:r>
    </w:p>
  </w:endnote>
  <w:endnote w:type="continuationSeparator" w:id="0">
    <w:p w:rsidR="008111B5" w:rsidRDefault="00811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67C" w:rsidRDefault="00EB14AC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79.65pt;margin-top:743.6pt;width:40.75pt;height:13.05pt;z-index:-456016;mso-position-horizontal-relative:page;mso-position-vertical-relative:page" filled="f" stroked="f">
          <v:textbox inset="0,0,0,0">
            <w:txbxContent>
              <w:p w:rsidR="002A767C" w:rsidRDefault="00785725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color w:val="323232"/>
                    <w:sz w:val="20"/>
                  </w:rPr>
                  <w:t>Dec 2019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288.9pt;margin-top:743.6pt;width:34.1pt;height:13.05pt;z-index:-455992;mso-position-horizontal-relative:page;mso-position-vertical-relative:page" filled="f" stroked="f">
          <v:textbox inset="0,0,0,0">
            <w:txbxContent>
              <w:p w:rsidR="002A767C" w:rsidRDefault="00785725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color w:val="323232"/>
                    <w:sz w:val="20"/>
                  </w:rPr>
                  <w:t>Astellas</w:t>
                </w:r>
              </w:p>
            </w:txbxContent>
          </v:textbox>
          <w10:wrap anchorx="page" anchory="page"/>
        </v:shape>
      </w:pict>
    </w:r>
    <w:r>
      <w:pict>
        <v:shape id="_x0000_s2094" type="#_x0000_t202" style="position:absolute;margin-left:475.15pt;margin-top:743.6pt;width:57.45pt;height:13.05pt;z-index:-455968;mso-position-horizontal-relative:page;mso-position-vertical-relative:page" filled="f" stroked="f">
          <v:textbox inset="0,0,0,0">
            <w:txbxContent>
              <w:p w:rsidR="002A767C" w:rsidRDefault="00785725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color w:val="323232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color w:val="323232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35</w:t>
                </w:r>
                <w:r>
                  <w:fldChar w:fldCharType="end"/>
                </w:r>
                <w:r>
                  <w:rPr>
                    <w:color w:val="323232"/>
                    <w:sz w:val="20"/>
                  </w:rPr>
                  <w:t xml:space="preserve"> of 74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67C" w:rsidRDefault="002A767C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1B5" w:rsidRDefault="008111B5">
      <w:r>
        <w:separator/>
      </w:r>
    </w:p>
  </w:footnote>
  <w:footnote w:type="continuationSeparator" w:id="0">
    <w:p w:rsidR="008111B5" w:rsidRDefault="00811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67C" w:rsidRDefault="002A767C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67C" w:rsidRDefault="002A767C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01C2"/>
    <w:multiLevelType w:val="multilevel"/>
    <w:tmpl w:val="9D24E86A"/>
    <w:lvl w:ilvl="0">
      <w:start w:val="6"/>
      <w:numFmt w:val="decimal"/>
      <w:lvlText w:val="%1"/>
      <w:lvlJc w:val="left"/>
      <w:pPr>
        <w:ind w:left="1084" w:hanging="85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85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4" w:hanging="8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4" w:hanging="8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4">
      <w:numFmt w:val="bullet"/>
      <w:lvlText w:val="•"/>
      <w:lvlJc w:val="left"/>
      <w:pPr>
        <w:ind w:left="4440" w:hanging="852"/>
      </w:pPr>
      <w:rPr>
        <w:rFonts w:hint="default"/>
      </w:rPr>
    </w:lvl>
    <w:lvl w:ilvl="5">
      <w:numFmt w:val="bullet"/>
      <w:lvlText w:val="•"/>
      <w:lvlJc w:val="left"/>
      <w:pPr>
        <w:ind w:left="5280" w:hanging="852"/>
      </w:pPr>
      <w:rPr>
        <w:rFonts w:hint="default"/>
      </w:rPr>
    </w:lvl>
    <w:lvl w:ilvl="6">
      <w:numFmt w:val="bullet"/>
      <w:lvlText w:val="•"/>
      <w:lvlJc w:val="left"/>
      <w:pPr>
        <w:ind w:left="6120" w:hanging="852"/>
      </w:pPr>
      <w:rPr>
        <w:rFonts w:hint="default"/>
      </w:rPr>
    </w:lvl>
    <w:lvl w:ilvl="7">
      <w:numFmt w:val="bullet"/>
      <w:lvlText w:val="•"/>
      <w:lvlJc w:val="left"/>
      <w:pPr>
        <w:ind w:left="6960" w:hanging="852"/>
      </w:pPr>
      <w:rPr>
        <w:rFonts w:hint="default"/>
      </w:rPr>
    </w:lvl>
    <w:lvl w:ilvl="8">
      <w:numFmt w:val="bullet"/>
      <w:lvlText w:val="•"/>
      <w:lvlJc w:val="left"/>
      <w:pPr>
        <w:ind w:left="7800" w:hanging="852"/>
      </w:pPr>
      <w:rPr>
        <w:rFonts w:hint="default"/>
      </w:rPr>
    </w:lvl>
  </w:abstractNum>
  <w:abstractNum w:abstractNumId="1" w15:restartNumberingAfterBreak="0">
    <w:nsid w:val="0B027568"/>
    <w:multiLevelType w:val="multilevel"/>
    <w:tmpl w:val="55ECB498"/>
    <w:lvl w:ilvl="0">
      <w:start w:val="4"/>
      <w:numFmt w:val="decimal"/>
      <w:lvlText w:val="%1"/>
      <w:lvlJc w:val="left"/>
      <w:pPr>
        <w:ind w:left="1084" w:hanging="85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85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4" w:hanging="852"/>
      </w:pPr>
      <w:rPr>
        <w:rFonts w:ascii="Times New Roman" w:eastAsia="ＭＳ 明朝" w:hAnsi="Times New Roman" w:cs="Times New Roman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600" w:hanging="852"/>
      </w:pPr>
      <w:rPr>
        <w:rFonts w:hint="default"/>
      </w:rPr>
    </w:lvl>
    <w:lvl w:ilvl="4">
      <w:numFmt w:val="bullet"/>
      <w:lvlText w:val="•"/>
      <w:lvlJc w:val="left"/>
      <w:pPr>
        <w:ind w:left="4440" w:hanging="852"/>
      </w:pPr>
      <w:rPr>
        <w:rFonts w:hint="default"/>
      </w:rPr>
    </w:lvl>
    <w:lvl w:ilvl="5">
      <w:numFmt w:val="bullet"/>
      <w:lvlText w:val="•"/>
      <w:lvlJc w:val="left"/>
      <w:pPr>
        <w:ind w:left="5280" w:hanging="852"/>
      </w:pPr>
      <w:rPr>
        <w:rFonts w:hint="default"/>
      </w:rPr>
    </w:lvl>
    <w:lvl w:ilvl="6">
      <w:numFmt w:val="bullet"/>
      <w:lvlText w:val="•"/>
      <w:lvlJc w:val="left"/>
      <w:pPr>
        <w:ind w:left="6120" w:hanging="852"/>
      </w:pPr>
      <w:rPr>
        <w:rFonts w:hint="default"/>
      </w:rPr>
    </w:lvl>
    <w:lvl w:ilvl="7">
      <w:numFmt w:val="bullet"/>
      <w:lvlText w:val="•"/>
      <w:lvlJc w:val="left"/>
      <w:pPr>
        <w:ind w:left="6960" w:hanging="852"/>
      </w:pPr>
      <w:rPr>
        <w:rFonts w:hint="default"/>
      </w:rPr>
    </w:lvl>
    <w:lvl w:ilvl="8">
      <w:numFmt w:val="bullet"/>
      <w:lvlText w:val="•"/>
      <w:lvlJc w:val="left"/>
      <w:pPr>
        <w:ind w:left="7800" w:hanging="852"/>
      </w:pPr>
      <w:rPr>
        <w:rFonts w:hint="default"/>
      </w:rPr>
    </w:lvl>
  </w:abstractNum>
  <w:abstractNum w:abstractNumId="2" w15:restartNumberingAfterBreak="0">
    <w:nsid w:val="0B9342CB"/>
    <w:multiLevelType w:val="multilevel"/>
    <w:tmpl w:val="A2620D44"/>
    <w:lvl w:ilvl="0">
      <w:start w:val="5"/>
      <w:numFmt w:val="decimal"/>
      <w:lvlText w:val="%1"/>
      <w:lvlJc w:val="left"/>
      <w:pPr>
        <w:ind w:left="1365" w:hanging="113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5" w:hanging="1133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65" w:hanging="1133"/>
        <w:jc w:val="left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365" w:hanging="1133"/>
        <w:jc w:val="left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1365" w:hanging="113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509" w:hanging="127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6">
      <w:numFmt w:val="bullet"/>
      <w:lvlText w:val="•"/>
      <w:lvlJc w:val="left"/>
      <w:pPr>
        <w:ind w:left="5933" w:hanging="1277"/>
      </w:pPr>
      <w:rPr>
        <w:rFonts w:hint="default"/>
      </w:rPr>
    </w:lvl>
    <w:lvl w:ilvl="7">
      <w:numFmt w:val="bullet"/>
      <w:lvlText w:val="•"/>
      <w:lvlJc w:val="left"/>
      <w:pPr>
        <w:ind w:left="6820" w:hanging="1277"/>
      </w:pPr>
      <w:rPr>
        <w:rFonts w:hint="default"/>
      </w:rPr>
    </w:lvl>
    <w:lvl w:ilvl="8">
      <w:numFmt w:val="bullet"/>
      <w:lvlText w:val="•"/>
      <w:lvlJc w:val="left"/>
      <w:pPr>
        <w:ind w:left="7706" w:hanging="1277"/>
      </w:pPr>
      <w:rPr>
        <w:rFonts w:hint="default"/>
      </w:rPr>
    </w:lvl>
  </w:abstractNum>
  <w:abstractNum w:abstractNumId="3" w15:restartNumberingAfterBreak="0">
    <w:nsid w:val="0EC3012A"/>
    <w:multiLevelType w:val="multilevel"/>
    <w:tmpl w:val="4D2CF9C6"/>
    <w:lvl w:ilvl="0">
      <w:start w:val="4"/>
      <w:numFmt w:val="decimal"/>
      <w:lvlText w:val="%1"/>
      <w:lvlJc w:val="left"/>
      <w:pPr>
        <w:ind w:left="1084" w:hanging="85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852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4" w:hanging="8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4" w:hanging="8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4">
      <w:numFmt w:val="bullet"/>
      <w:lvlText w:val="•"/>
      <w:lvlJc w:val="left"/>
      <w:pPr>
        <w:ind w:left="4984" w:hanging="852"/>
      </w:pPr>
      <w:rPr>
        <w:rFonts w:hint="default"/>
      </w:rPr>
    </w:lvl>
    <w:lvl w:ilvl="5">
      <w:numFmt w:val="bullet"/>
      <w:lvlText w:val="•"/>
      <w:lvlJc w:val="left"/>
      <w:pPr>
        <w:ind w:left="5960" w:hanging="852"/>
      </w:pPr>
      <w:rPr>
        <w:rFonts w:hint="default"/>
      </w:rPr>
    </w:lvl>
    <w:lvl w:ilvl="6">
      <w:numFmt w:val="bullet"/>
      <w:lvlText w:val="•"/>
      <w:lvlJc w:val="left"/>
      <w:pPr>
        <w:ind w:left="6936" w:hanging="852"/>
      </w:pPr>
      <w:rPr>
        <w:rFonts w:hint="default"/>
      </w:rPr>
    </w:lvl>
    <w:lvl w:ilvl="7">
      <w:numFmt w:val="bullet"/>
      <w:lvlText w:val="•"/>
      <w:lvlJc w:val="left"/>
      <w:pPr>
        <w:ind w:left="7912" w:hanging="852"/>
      </w:pPr>
      <w:rPr>
        <w:rFonts w:hint="default"/>
      </w:rPr>
    </w:lvl>
    <w:lvl w:ilvl="8">
      <w:numFmt w:val="bullet"/>
      <w:lvlText w:val="•"/>
      <w:lvlJc w:val="left"/>
      <w:pPr>
        <w:ind w:left="8888" w:hanging="852"/>
      </w:pPr>
      <w:rPr>
        <w:rFonts w:hint="default"/>
      </w:rPr>
    </w:lvl>
  </w:abstractNum>
  <w:abstractNum w:abstractNumId="4" w15:restartNumberingAfterBreak="0">
    <w:nsid w:val="0EE462A5"/>
    <w:multiLevelType w:val="hybridMultilevel"/>
    <w:tmpl w:val="569E3C5E"/>
    <w:lvl w:ilvl="0" w:tplc="5E6CD514">
      <w:start w:val="5"/>
      <w:numFmt w:val="decimal"/>
      <w:lvlText w:val="%1"/>
      <w:lvlJc w:val="left"/>
      <w:pPr>
        <w:ind w:left="1082" w:hanging="850"/>
        <w:jc w:val="left"/>
      </w:pPr>
      <w:rPr>
        <w:rFonts w:hint="default"/>
        <w:b/>
        <w:bCs/>
        <w:w w:val="100"/>
      </w:rPr>
    </w:lvl>
    <w:lvl w:ilvl="1" w:tplc="2188A2E2">
      <w:numFmt w:val="bullet"/>
      <w:lvlText w:val="•"/>
      <w:lvlJc w:val="left"/>
      <w:pPr>
        <w:ind w:left="1920" w:hanging="850"/>
      </w:pPr>
      <w:rPr>
        <w:rFonts w:hint="default"/>
      </w:rPr>
    </w:lvl>
    <w:lvl w:ilvl="2" w:tplc="6B9E15C0">
      <w:numFmt w:val="bullet"/>
      <w:lvlText w:val="•"/>
      <w:lvlJc w:val="left"/>
      <w:pPr>
        <w:ind w:left="2760" w:hanging="850"/>
      </w:pPr>
      <w:rPr>
        <w:rFonts w:hint="default"/>
      </w:rPr>
    </w:lvl>
    <w:lvl w:ilvl="3" w:tplc="C9E613F6">
      <w:numFmt w:val="bullet"/>
      <w:lvlText w:val="•"/>
      <w:lvlJc w:val="left"/>
      <w:pPr>
        <w:ind w:left="3600" w:hanging="850"/>
      </w:pPr>
      <w:rPr>
        <w:rFonts w:hint="default"/>
      </w:rPr>
    </w:lvl>
    <w:lvl w:ilvl="4" w:tplc="142AE322">
      <w:numFmt w:val="bullet"/>
      <w:lvlText w:val="•"/>
      <w:lvlJc w:val="left"/>
      <w:pPr>
        <w:ind w:left="4440" w:hanging="850"/>
      </w:pPr>
      <w:rPr>
        <w:rFonts w:hint="default"/>
      </w:rPr>
    </w:lvl>
    <w:lvl w:ilvl="5" w:tplc="0A12BE80">
      <w:numFmt w:val="bullet"/>
      <w:lvlText w:val="•"/>
      <w:lvlJc w:val="left"/>
      <w:pPr>
        <w:ind w:left="5280" w:hanging="850"/>
      </w:pPr>
      <w:rPr>
        <w:rFonts w:hint="default"/>
      </w:rPr>
    </w:lvl>
    <w:lvl w:ilvl="6" w:tplc="DFF0BBA0">
      <w:numFmt w:val="bullet"/>
      <w:lvlText w:val="•"/>
      <w:lvlJc w:val="left"/>
      <w:pPr>
        <w:ind w:left="6120" w:hanging="850"/>
      </w:pPr>
      <w:rPr>
        <w:rFonts w:hint="default"/>
      </w:rPr>
    </w:lvl>
    <w:lvl w:ilvl="7" w:tplc="8912EF46">
      <w:numFmt w:val="bullet"/>
      <w:lvlText w:val="•"/>
      <w:lvlJc w:val="left"/>
      <w:pPr>
        <w:ind w:left="6960" w:hanging="850"/>
      </w:pPr>
      <w:rPr>
        <w:rFonts w:hint="default"/>
      </w:rPr>
    </w:lvl>
    <w:lvl w:ilvl="8" w:tplc="016AA676">
      <w:numFmt w:val="bullet"/>
      <w:lvlText w:val="•"/>
      <w:lvlJc w:val="left"/>
      <w:pPr>
        <w:ind w:left="7800" w:hanging="850"/>
      </w:pPr>
      <w:rPr>
        <w:rFonts w:hint="default"/>
      </w:rPr>
    </w:lvl>
  </w:abstractNum>
  <w:abstractNum w:abstractNumId="5" w15:restartNumberingAfterBreak="0">
    <w:nsid w:val="181A4A24"/>
    <w:multiLevelType w:val="hybridMultilevel"/>
    <w:tmpl w:val="1494E042"/>
    <w:lvl w:ilvl="0" w:tplc="DAD822C4">
      <w:numFmt w:val="bullet"/>
      <w:lvlText w:val="●"/>
      <w:lvlJc w:val="left"/>
      <w:pPr>
        <w:ind w:left="537" w:hanging="425"/>
      </w:pPr>
      <w:rPr>
        <w:rFonts w:ascii="Times New Roman" w:eastAsia="Times New Roman" w:hAnsi="Times New Roman" w:cs="Times New Roman" w:hint="default"/>
        <w:spacing w:val="-19"/>
        <w:w w:val="100"/>
        <w:sz w:val="24"/>
        <w:szCs w:val="24"/>
      </w:rPr>
    </w:lvl>
    <w:lvl w:ilvl="1" w:tplc="3AFA070A">
      <w:numFmt w:val="bullet"/>
      <w:lvlText w:val="●"/>
      <w:lvlJc w:val="left"/>
      <w:pPr>
        <w:ind w:left="657" w:hanging="425"/>
      </w:pPr>
      <w:rPr>
        <w:rFonts w:ascii="Times New Roman" w:eastAsia="Times New Roman" w:hAnsi="Times New Roman" w:cs="Times New Roman" w:hint="default"/>
        <w:spacing w:val="-19"/>
        <w:w w:val="100"/>
        <w:sz w:val="24"/>
        <w:szCs w:val="24"/>
      </w:rPr>
    </w:lvl>
    <w:lvl w:ilvl="2" w:tplc="8D7078F6">
      <w:numFmt w:val="bullet"/>
      <w:lvlText w:val="•"/>
      <w:lvlJc w:val="left"/>
      <w:pPr>
        <w:ind w:left="1608" w:hanging="425"/>
      </w:pPr>
      <w:rPr>
        <w:rFonts w:hint="default"/>
      </w:rPr>
    </w:lvl>
    <w:lvl w:ilvl="3" w:tplc="FDE873A2">
      <w:numFmt w:val="bullet"/>
      <w:lvlText w:val="•"/>
      <w:lvlJc w:val="left"/>
      <w:pPr>
        <w:ind w:left="2557" w:hanging="425"/>
      </w:pPr>
      <w:rPr>
        <w:rFonts w:hint="default"/>
      </w:rPr>
    </w:lvl>
    <w:lvl w:ilvl="4" w:tplc="9D58B7F2">
      <w:numFmt w:val="bullet"/>
      <w:lvlText w:val="•"/>
      <w:lvlJc w:val="left"/>
      <w:pPr>
        <w:ind w:left="3506" w:hanging="425"/>
      </w:pPr>
      <w:rPr>
        <w:rFonts w:hint="default"/>
      </w:rPr>
    </w:lvl>
    <w:lvl w:ilvl="5" w:tplc="4C1679C0">
      <w:numFmt w:val="bullet"/>
      <w:lvlText w:val="•"/>
      <w:lvlJc w:val="left"/>
      <w:pPr>
        <w:ind w:left="4455" w:hanging="425"/>
      </w:pPr>
      <w:rPr>
        <w:rFonts w:hint="default"/>
      </w:rPr>
    </w:lvl>
    <w:lvl w:ilvl="6" w:tplc="43F209E8">
      <w:numFmt w:val="bullet"/>
      <w:lvlText w:val="•"/>
      <w:lvlJc w:val="left"/>
      <w:pPr>
        <w:ind w:left="5404" w:hanging="425"/>
      </w:pPr>
      <w:rPr>
        <w:rFonts w:hint="default"/>
      </w:rPr>
    </w:lvl>
    <w:lvl w:ilvl="7" w:tplc="4AA634BE">
      <w:numFmt w:val="bullet"/>
      <w:lvlText w:val="•"/>
      <w:lvlJc w:val="left"/>
      <w:pPr>
        <w:ind w:left="6353" w:hanging="425"/>
      </w:pPr>
      <w:rPr>
        <w:rFonts w:hint="default"/>
      </w:rPr>
    </w:lvl>
    <w:lvl w:ilvl="8" w:tplc="C2B420D6">
      <w:numFmt w:val="bullet"/>
      <w:lvlText w:val="•"/>
      <w:lvlJc w:val="left"/>
      <w:pPr>
        <w:ind w:left="7302" w:hanging="425"/>
      </w:pPr>
      <w:rPr>
        <w:rFonts w:hint="default"/>
      </w:rPr>
    </w:lvl>
  </w:abstractNum>
  <w:abstractNum w:abstractNumId="6" w15:restartNumberingAfterBreak="0">
    <w:nsid w:val="1E84529C"/>
    <w:multiLevelType w:val="multilevel"/>
    <w:tmpl w:val="A330F624"/>
    <w:lvl w:ilvl="0">
      <w:start w:val="5"/>
      <w:numFmt w:val="decimal"/>
      <w:lvlText w:val="%1"/>
      <w:lvlJc w:val="left"/>
      <w:pPr>
        <w:ind w:left="1084" w:hanging="85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85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84" w:hanging="8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4" w:hanging="852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365" w:hanging="113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5">
      <w:numFmt w:val="bullet"/>
      <w:lvlText w:val="•"/>
      <w:lvlJc w:val="left"/>
      <w:pPr>
        <w:ind w:left="4968" w:hanging="1133"/>
      </w:pPr>
      <w:rPr>
        <w:rFonts w:hint="default"/>
      </w:rPr>
    </w:lvl>
    <w:lvl w:ilvl="6">
      <w:numFmt w:val="bullet"/>
      <w:lvlText w:val="•"/>
      <w:lvlJc w:val="left"/>
      <w:pPr>
        <w:ind w:left="5871" w:hanging="1133"/>
      </w:pPr>
      <w:rPr>
        <w:rFonts w:hint="default"/>
      </w:rPr>
    </w:lvl>
    <w:lvl w:ilvl="7">
      <w:numFmt w:val="bullet"/>
      <w:lvlText w:val="•"/>
      <w:lvlJc w:val="left"/>
      <w:pPr>
        <w:ind w:left="6773" w:hanging="1133"/>
      </w:pPr>
      <w:rPr>
        <w:rFonts w:hint="default"/>
      </w:rPr>
    </w:lvl>
    <w:lvl w:ilvl="8">
      <w:numFmt w:val="bullet"/>
      <w:lvlText w:val="•"/>
      <w:lvlJc w:val="left"/>
      <w:pPr>
        <w:ind w:left="7675" w:hanging="1133"/>
      </w:pPr>
      <w:rPr>
        <w:rFonts w:hint="default"/>
      </w:rPr>
    </w:lvl>
  </w:abstractNum>
  <w:abstractNum w:abstractNumId="7" w15:restartNumberingAfterBreak="0">
    <w:nsid w:val="1FEC5B82"/>
    <w:multiLevelType w:val="hybridMultilevel"/>
    <w:tmpl w:val="B6649D74"/>
    <w:lvl w:ilvl="0" w:tplc="D83AB86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81646B2A">
      <w:numFmt w:val="bullet"/>
      <w:lvlText w:val="•"/>
      <w:lvlJc w:val="left"/>
      <w:pPr>
        <w:ind w:left="1359" w:hanging="360"/>
      </w:pPr>
      <w:rPr>
        <w:rFonts w:hint="default"/>
      </w:rPr>
    </w:lvl>
    <w:lvl w:ilvl="2" w:tplc="9F260612">
      <w:numFmt w:val="bullet"/>
      <w:lvlText w:val="•"/>
      <w:lvlJc w:val="left"/>
      <w:pPr>
        <w:ind w:left="1878" w:hanging="360"/>
      </w:pPr>
      <w:rPr>
        <w:rFonts w:hint="default"/>
      </w:rPr>
    </w:lvl>
    <w:lvl w:ilvl="3" w:tplc="3C0E4212">
      <w:numFmt w:val="bullet"/>
      <w:lvlText w:val="•"/>
      <w:lvlJc w:val="left"/>
      <w:pPr>
        <w:ind w:left="2397" w:hanging="360"/>
      </w:pPr>
      <w:rPr>
        <w:rFonts w:hint="default"/>
      </w:rPr>
    </w:lvl>
    <w:lvl w:ilvl="4" w:tplc="04E65D5E">
      <w:numFmt w:val="bullet"/>
      <w:lvlText w:val="•"/>
      <w:lvlJc w:val="left"/>
      <w:pPr>
        <w:ind w:left="2917" w:hanging="360"/>
      </w:pPr>
      <w:rPr>
        <w:rFonts w:hint="default"/>
      </w:rPr>
    </w:lvl>
    <w:lvl w:ilvl="5" w:tplc="4782B208">
      <w:numFmt w:val="bullet"/>
      <w:lvlText w:val="•"/>
      <w:lvlJc w:val="left"/>
      <w:pPr>
        <w:ind w:left="3436" w:hanging="360"/>
      </w:pPr>
      <w:rPr>
        <w:rFonts w:hint="default"/>
      </w:rPr>
    </w:lvl>
    <w:lvl w:ilvl="6" w:tplc="4FBEB8CA">
      <w:numFmt w:val="bullet"/>
      <w:lvlText w:val="•"/>
      <w:lvlJc w:val="left"/>
      <w:pPr>
        <w:ind w:left="3955" w:hanging="360"/>
      </w:pPr>
      <w:rPr>
        <w:rFonts w:hint="default"/>
      </w:rPr>
    </w:lvl>
    <w:lvl w:ilvl="7" w:tplc="B558792E">
      <w:numFmt w:val="bullet"/>
      <w:lvlText w:val="•"/>
      <w:lvlJc w:val="left"/>
      <w:pPr>
        <w:ind w:left="4475" w:hanging="360"/>
      </w:pPr>
      <w:rPr>
        <w:rFonts w:hint="default"/>
      </w:rPr>
    </w:lvl>
    <w:lvl w:ilvl="8" w:tplc="6BBEEADE">
      <w:numFmt w:val="bullet"/>
      <w:lvlText w:val="•"/>
      <w:lvlJc w:val="left"/>
      <w:pPr>
        <w:ind w:left="4994" w:hanging="360"/>
      </w:pPr>
      <w:rPr>
        <w:rFonts w:hint="default"/>
      </w:rPr>
    </w:lvl>
  </w:abstractNum>
  <w:abstractNum w:abstractNumId="8" w15:restartNumberingAfterBreak="0">
    <w:nsid w:val="367F7404"/>
    <w:multiLevelType w:val="multilevel"/>
    <w:tmpl w:val="809C6204"/>
    <w:lvl w:ilvl="0">
      <w:start w:val="4"/>
      <w:numFmt w:val="decimal"/>
      <w:lvlText w:val="%1"/>
      <w:lvlJc w:val="left"/>
      <w:pPr>
        <w:ind w:left="2217" w:hanging="1133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5" w:hanging="850"/>
        <w:jc w:val="left"/>
      </w:pPr>
      <w:rPr>
        <w:rFonts w:hint="default"/>
        <w:w w:val="100"/>
      </w:rPr>
    </w:lvl>
    <w:lvl w:ilvl="2">
      <w:start w:val="1"/>
      <w:numFmt w:val="decimal"/>
      <w:lvlText w:val="%1.%2.%3"/>
      <w:lvlJc w:val="left"/>
      <w:pPr>
        <w:ind w:left="1792" w:hanging="994"/>
        <w:jc w:val="left"/>
      </w:pPr>
      <w:rPr>
        <w:rFonts w:hint="default"/>
        <w:w w:val="100"/>
      </w:rPr>
    </w:lvl>
    <w:lvl w:ilvl="3">
      <w:start w:val="1"/>
      <w:numFmt w:val="decimal"/>
      <w:lvlText w:val="%1.%2.%3.%4"/>
      <w:lvlJc w:val="left"/>
      <w:pPr>
        <w:ind w:left="2217" w:hanging="99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4">
      <w:numFmt w:val="bullet"/>
      <w:lvlText w:val="•"/>
      <w:lvlJc w:val="left"/>
      <w:pPr>
        <w:ind w:left="4375" w:hanging="994"/>
      </w:pPr>
      <w:rPr>
        <w:rFonts w:hint="default"/>
      </w:rPr>
    </w:lvl>
    <w:lvl w:ilvl="5">
      <w:numFmt w:val="bullet"/>
      <w:lvlText w:val="•"/>
      <w:lvlJc w:val="left"/>
      <w:pPr>
        <w:ind w:left="5452" w:hanging="994"/>
      </w:pPr>
      <w:rPr>
        <w:rFonts w:hint="default"/>
      </w:rPr>
    </w:lvl>
    <w:lvl w:ilvl="6">
      <w:numFmt w:val="bullet"/>
      <w:lvlText w:val="•"/>
      <w:lvlJc w:val="left"/>
      <w:pPr>
        <w:ind w:left="6530" w:hanging="994"/>
      </w:pPr>
      <w:rPr>
        <w:rFonts w:hint="default"/>
      </w:rPr>
    </w:lvl>
    <w:lvl w:ilvl="7">
      <w:numFmt w:val="bullet"/>
      <w:lvlText w:val="•"/>
      <w:lvlJc w:val="left"/>
      <w:pPr>
        <w:ind w:left="7607" w:hanging="994"/>
      </w:pPr>
      <w:rPr>
        <w:rFonts w:hint="default"/>
      </w:rPr>
    </w:lvl>
    <w:lvl w:ilvl="8">
      <w:numFmt w:val="bullet"/>
      <w:lvlText w:val="•"/>
      <w:lvlJc w:val="left"/>
      <w:pPr>
        <w:ind w:left="8685" w:hanging="994"/>
      </w:pPr>
      <w:rPr>
        <w:rFonts w:hint="default"/>
      </w:rPr>
    </w:lvl>
  </w:abstractNum>
  <w:abstractNum w:abstractNumId="9" w15:restartNumberingAfterBreak="0">
    <w:nsid w:val="3AEB0C6B"/>
    <w:multiLevelType w:val="multilevel"/>
    <w:tmpl w:val="898A0F74"/>
    <w:lvl w:ilvl="0">
      <w:start w:val="1"/>
      <w:numFmt w:val="decimal"/>
      <w:lvlText w:val="%1"/>
      <w:lvlJc w:val="left"/>
      <w:pPr>
        <w:ind w:left="1091" w:hanging="8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093" w:hanging="85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•"/>
      <w:lvlJc w:val="left"/>
      <w:pPr>
        <w:ind w:left="3924" w:hanging="852"/>
      </w:pPr>
      <w:rPr>
        <w:rFonts w:hint="default"/>
      </w:rPr>
    </w:lvl>
    <w:lvl w:ilvl="3">
      <w:numFmt w:val="bullet"/>
      <w:lvlText w:val="•"/>
      <w:lvlJc w:val="left"/>
      <w:pPr>
        <w:ind w:left="5336" w:hanging="852"/>
      </w:pPr>
      <w:rPr>
        <w:rFonts w:hint="default"/>
      </w:rPr>
    </w:lvl>
    <w:lvl w:ilvl="4">
      <w:numFmt w:val="bullet"/>
      <w:lvlText w:val="•"/>
      <w:lvlJc w:val="left"/>
      <w:pPr>
        <w:ind w:left="6748" w:hanging="852"/>
      </w:pPr>
      <w:rPr>
        <w:rFonts w:hint="default"/>
      </w:rPr>
    </w:lvl>
    <w:lvl w:ilvl="5">
      <w:numFmt w:val="bullet"/>
      <w:lvlText w:val="•"/>
      <w:lvlJc w:val="left"/>
      <w:pPr>
        <w:ind w:left="8160" w:hanging="852"/>
      </w:pPr>
      <w:rPr>
        <w:rFonts w:hint="default"/>
      </w:rPr>
    </w:lvl>
    <w:lvl w:ilvl="6">
      <w:numFmt w:val="bullet"/>
      <w:lvlText w:val="•"/>
      <w:lvlJc w:val="left"/>
      <w:pPr>
        <w:ind w:left="9572" w:hanging="852"/>
      </w:pPr>
      <w:rPr>
        <w:rFonts w:hint="default"/>
      </w:rPr>
    </w:lvl>
    <w:lvl w:ilvl="7">
      <w:numFmt w:val="bullet"/>
      <w:lvlText w:val="•"/>
      <w:lvlJc w:val="left"/>
      <w:pPr>
        <w:ind w:left="10984" w:hanging="852"/>
      </w:pPr>
      <w:rPr>
        <w:rFonts w:hint="default"/>
      </w:rPr>
    </w:lvl>
    <w:lvl w:ilvl="8">
      <w:numFmt w:val="bullet"/>
      <w:lvlText w:val="•"/>
      <w:lvlJc w:val="left"/>
      <w:pPr>
        <w:ind w:left="12396" w:hanging="852"/>
      </w:pPr>
      <w:rPr>
        <w:rFonts w:hint="default"/>
      </w:rPr>
    </w:lvl>
  </w:abstractNum>
  <w:abstractNum w:abstractNumId="10" w15:restartNumberingAfterBreak="0">
    <w:nsid w:val="3EA46D67"/>
    <w:multiLevelType w:val="multilevel"/>
    <w:tmpl w:val="1BA02B12"/>
    <w:lvl w:ilvl="0">
      <w:start w:val="4"/>
      <w:numFmt w:val="decimal"/>
      <w:lvlText w:val="%1"/>
      <w:lvlJc w:val="left"/>
      <w:pPr>
        <w:ind w:left="1084" w:hanging="85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85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4" w:hanging="85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4" w:hanging="85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365" w:hanging="113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5">
      <w:numFmt w:val="bullet"/>
      <w:lvlText w:val="•"/>
      <w:lvlJc w:val="left"/>
      <w:pPr>
        <w:ind w:left="5573" w:hanging="1133"/>
      </w:pPr>
      <w:rPr>
        <w:rFonts w:hint="default"/>
      </w:rPr>
    </w:lvl>
    <w:lvl w:ilvl="6">
      <w:numFmt w:val="bullet"/>
      <w:lvlText w:val="•"/>
      <w:lvlJc w:val="left"/>
      <w:pPr>
        <w:ind w:left="6626" w:hanging="1133"/>
      </w:pPr>
      <w:rPr>
        <w:rFonts w:hint="default"/>
      </w:rPr>
    </w:lvl>
    <w:lvl w:ilvl="7">
      <w:numFmt w:val="bullet"/>
      <w:lvlText w:val="•"/>
      <w:lvlJc w:val="left"/>
      <w:pPr>
        <w:ind w:left="7680" w:hanging="1133"/>
      </w:pPr>
      <w:rPr>
        <w:rFonts w:hint="default"/>
      </w:rPr>
    </w:lvl>
    <w:lvl w:ilvl="8">
      <w:numFmt w:val="bullet"/>
      <w:lvlText w:val="•"/>
      <w:lvlJc w:val="left"/>
      <w:pPr>
        <w:ind w:left="8733" w:hanging="1133"/>
      </w:pPr>
      <w:rPr>
        <w:rFonts w:hint="default"/>
      </w:rPr>
    </w:lvl>
  </w:abstractNum>
  <w:abstractNum w:abstractNumId="11" w15:restartNumberingAfterBreak="0">
    <w:nsid w:val="4CA51D94"/>
    <w:multiLevelType w:val="hybridMultilevel"/>
    <w:tmpl w:val="C38A2F0A"/>
    <w:lvl w:ilvl="0" w:tplc="DF322E7A">
      <w:numFmt w:val="bullet"/>
      <w:lvlText w:val="●"/>
      <w:lvlJc w:val="left"/>
      <w:pPr>
        <w:ind w:left="657" w:hanging="425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</w:rPr>
    </w:lvl>
    <w:lvl w:ilvl="1" w:tplc="69B4A722">
      <w:numFmt w:val="bullet"/>
      <w:lvlText w:val="•"/>
      <w:lvlJc w:val="left"/>
      <w:pPr>
        <w:ind w:left="1542" w:hanging="425"/>
      </w:pPr>
      <w:rPr>
        <w:rFonts w:hint="default"/>
      </w:rPr>
    </w:lvl>
    <w:lvl w:ilvl="2" w:tplc="438A610A">
      <w:numFmt w:val="bullet"/>
      <w:lvlText w:val="•"/>
      <w:lvlJc w:val="left"/>
      <w:pPr>
        <w:ind w:left="2424" w:hanging="425"/>
      </w:pPr>
      <w:rPr>
        <w:rFonts w:hint="default"/>
      </w:rPr>
    </w:lvl>
    <w:lvl w:ilvl="3" w:tplc="11542FF4">
      <w:numFmt w:val="bullet"/>
      <w:lvlText w:val="•"/>
      <w:lvlJc w:val="left"/>
      <w:pPr>
        <w:ind w:left="3306" w:hanging="425"/>
      </w:pPr>
      <w:rPr>
        <w:rFonts w:hint="default"/>
      </w:rPr>
    </w:lvl>
    <w:lvl w:ilvl="4" w:tplc="F7E0E354">
      <w:numFmt w:val="bullet"/>
      <w:lvlText w:val="•"/>
      <w:lvlJc w:val="left"/>
      <w:pPr>
        <w:ind w:left="4188" w:hanging="425"/>
      </w:pPr>
      <w:rPr>
        <w:rFonts w:hint="default"/>
      </w:rPr>
    </w:lvl>
    <w:lvl w:ilvl="5" w:tplc="91E0C60E">
      <w:numFmt w:val="bullet"/>
      <w:lvlText w:val="•"/>
      <w:lvlJc w:val="left"/>
      <w:pPr>
        <w:ind w:left="5070" w:hanging="425"/>
      </w:pPr>
      <w:rPr>
        <w:rFonts w:hint="default"/>
      </w:rPr>
    </w:lvl>
    <w:lvl w:ilvl="6" w:tplc="88966AF4">
      <w:numFmt w:val="bullet"/>
      <w:lvlText w:val="•"/>
      <w:lvlJc w:val="left"/>
      <w:pPr>
        <w:ind w:left="5952" w:hanging="425"/>
      </w:pPr>
      <w:rPr>
        <w:rFonts w:hint="default"/>
      </w:rPr>
    </w:lvl>
    <w:lvl w:ilvl="7" w:tplc="86722258">
      <w:numFmt w:val="bullet"/>
      <w:lvlText w:val="•"/>
      <w:lvlJc w:val="left"/>
      <w:pPr>
        <w:ind w:left="6834" w:hanging="425"/>
      </w:pPr>
      <w:rPr>
        <w:rFonts w:hint="default"/>
      </w:rPr>
    </w:lvl>
    <w:lvl w:ilvl="8" w:tplc="CC36F2E4">
      <w:numFmt w:val="bullet"/>
      <w:lvlText w:val="•"/>
      <w:lvlJc w:val="left"/>
      <w:pPr>
        <w:ind w:left="7716" w:hanging="425"/>
      </w:pPr>
      <w:rPr>
        <w:rFonts w:hint="default"/>
      </w:rPr>
    </w:lvl>
  </w:abstractNum>
  <w:abstractNum w:abstractNumId="12" w15:restartNumberingAfterBreak="0">
    <w:nsid w:val="4E362599"/>
    <w:multiLevelType w:val="multilevel"/>
    <w:tmpl w:val="DB34FF04"/>
    <w:lvl w:ilvl="0">
      <w:start w:val="4"/>
      <w:numFmt w:val="decimal"/>
      <w:lvlText w:val="%1"/>
      <w:lvlJc w:val="left"/>
      <w:pPr>
        <w:ind w:left="1082" w:hanging="8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084" w:hanging="85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84" w:hanging="8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4" w:hanging="8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365" w:hanging="113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5">
      <w:numFmt w:val="bullet"/>
      <w:lvlText w:val="•"/>
      <w:lvlJc w:val="left"/>
      <w:pPr>
        <w:ind w:left="5573" w:hanging="1133"/>
      </w:pPr>
      <w:rPr>
        <w:rFonts w:hint="default"/>
      </w:rPr>
    </w:lvl>
    <w:lvl w:ilvl="6">
      <w:numFmt w:val="bullet"/>
      <w:lvlText w:val="•"/>
      <w:lvlJc w:val="left"/>
      <w:pPr>
        <w:ind w:left="6626" w:hanging="1133"/>
      </w:pPr>
      <w:rPr>
        <w:rFonts w:hint="default"/>
      </w:rPr>
    </w:lvl>
    <w:lvl w:ilvl="7">
      <w:numFmt w:val="bullet"/>
      <w:lvlText w:val="•"/>
      <w:lvlJc w:val="left"/>
      <w:pPr>
        <w:ind w:left="7680" w:hanging="1133"/>
      </w:pPr>
      <w:rPr>
        <w:rFonts w:hint="default"/>
      </w:rPr>
    </w:lvl>
    <w:lvl w:ilvl="8">
      <w:numFmt w:val="bullet"/>
      <w:lvlText w:val="•"/>
      <w:lvlJc w:val="left"/>
      <w:pPr>
        <w:ind w:left="8733" w:hanging="1133"/>
      </w:pPr>
      <w:rPr>
        <w:rFonts w:hint="default"/>
      </w:rPr>
    </w:lvl>
  </w:abstractNum>
  <w:abstractNum w:abstractNumId="13" w15:restartNumberingAfterBreak="0">
    <w:nsid w:val="59100F05"/>
    <w:multiLevelType w:val="multilevel"/>
    <w:tmpl w:val="E5301844"/>
    <w:lvl w:ilvl="0">
      <w:start w:val="5"/>
      <w:numFmt w:val="decimal"/>
      <w:lvlText w:val="%1"/>
      <w:lvlJc w:val="left"/>
      <w:pPr>
        <w:ind w:left="2217" w:hanging="1133"/>
        <w:jc w:val="righ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17" w:hanging="1133"/>
        <w:jc w:val="righ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17" w:hanging="1133"/>
        <w:jc w:val="right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217" w:hanging="113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4">
      <w:numFmt w:val="bullet"/>
      <w:lvlText w:val="•"/>
      <w:lvlJc w:val="left"/>
      <w:pPr>
        <w:ind w:left="5668" w:hanging="1133"/>
      </w:pPr>
      <w:rPr>
        <w:rFonts w:hint="default"/>
      </w:rPr>
    </w:lvl>
    <w:lvl w:ilvl="5">
      <w:numFmt w:val="bullet"/>
      <w:lvlText w:val="•"/>
      <w:lvlJc w:val="left"/>
      <w:pPr>
        <w:ind w:left="6530" w:hanging="1133"/>
      </w:pPr>
      <w:rPr>
        <w:rFonts w:hint="default"/>
      </w:rPr>
    </w:lvl>
    <w:lvl w:ilvl="6">
      <w:numFmt w:val="bullet"/>
      <w:lvlText w:val="•"/>
      <w:lvlJc w:val="left"/>
      <w:pPr>
        <w:ind w:left="7392" w:hanging="1133"/>
      </w:pPr>
      <w:rPr>
        <w:rFonts w:hint="default"/>
      </w:rPr>
    </w:lvl>
    <w:lvl w:ilvl="7">
      <w:numFmt w:val="bullet"/>
      <w:lvlText w:val="•"/>
      <w:lvlJc w:val="left"/>
      <w:pPr>
        <w:ind w:left="8254" w:hanging="1133"/>
      </w:pPr>
      <w:rPr>
        <w:rFonts w:hint="default"/>
      </w:rPr>
    </w:lvl>
    <w:lvl w:ilvl="8">
      <w:numFmt w:val="bullet"/>
      <w:lvlText w:val="•"/>
      <w:lvlJc w:val="left"/>
      <w:pPr>
        <w:ind w:left="9116" w:hanging="1133"/>
      </w:pPr>
      <w:rPr>
        <w:rFonts w:hint="default"/>
      </w:rPr>
    </w:lvl>
  </w:abstractNum>
  <w:abstractNum w:abstractNumId="14" w15:restartNumberingAfterBreak="0">
    <w:nsid w:val="59875E3D"/>
    <w:multiLevelType w:val="multilevel"/>
    <w:tmpl w:val="4224A9F4"/>
    <w:lvl w:ilvl="0">
      <w:start w:val="6"/>
      <w:numFmt w:val="decimal"/>
      <w:lvlText w:val="%1"/>
      <w:lvlJc w:val="left"/>
      <w:pPr>
        <w:ind w:left="1084" w:hanging="85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852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4" w:hanging="852"/>
        <w:jc w:val="left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4" w:hanging="8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4">
      <w:numFmt w:val="bullet"/>
      <w:lvlText w:val="•"/>
      <w:lvlJc w:val="left"/>
      <w:pPr>
        <w:ind w:left="4440" w:hanging="852"/>
      </w:pPr>
      <w:rPr>
        <w:rFonts w:hint="default"/>
      </w:rPr>
    </w:lvl>
    <w:lvl w:ilvl="5">
      <w:numFmt w:val="bullet"/>
      <w:lvlText w:val="•"/>
      <w:lvlJc w:val="left"/>
      <w:pPr>
        <w:ind w:left="5280" w:hanging="852"/>
      </w:pPr>
      <w:rPr>
        <w:rFonts w:hint="default"/>
      </w:rPr>
    </w:lvl>
    <w:lvl w:ilvl="6">
      <w:numFmt w:val="bullet"/>
      <w:lvlText w:val="•"/>
      <w:lvlJc w:val="left"/>
      <w:pPr>
        <w:ind w:left="6120" w:hanging="852"/>
      </w:pPr>
      <w:rPr>
        <w:rFonts w:hint="default"/>
      </w:rPr>
    </w:lvl>
    <w:lvl w:ilvl="7">
      <w:numFmt w:val="bullet"/>
      <w:lvlText w:val="•"/>
      <w:lvlJc w:val="left"/>
      <w:pPr>
        <w:ind w:left="6960" w:hanging="852"/>
      </w:pPr>
      <w:rPr>
        <w:rFonts w:hint="default"/>
      </w:rPr>
    </w:lvl>
    <w:lvl w:ilvl="8">
      <w:numFmt w:val="bullet"/>
      <w:lvlText w:val="•"/>
      <w:lvlJc w:val="left"/>
      <w:pPr>
        <w:ind w:left="7800" w:hanging="852"/>
      </w:pPr>
      <w:rPr>
        <w:rFonts w:hint="default"/>
      </w:rPr>
    </w:lvl>
  </w:abstractNum>
  <w:abstractNum w:abstractNumId="15" w15:restartNumberingAfterBreak="0">
    <w:nsid w:val="5BE23DE6"/>
    <w:multiLevelType w:val="multilevel"/>
    <w:tmpl w:val="62E0A0D8"/>
    <w:lvl w:ilvl="0">
      <w:start w:val="1"/>
      <w:numFmt w:val="decimal"/>
      <w:lvlText w:val="%1"/>
      <w:lvlJc w:val="left"/>
      <w:pPr>
        <w:ind w:left="269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90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3772" w:hanging="108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5348" w:hanging="1083"/>
      </w:pPr>
      <w:rPr>
        <w:rFonts w:hint="default"/>
      </w:rPr>
    </w:lvl>
    <w:lvl w:ilvl="4">
      <w:numFmt w:val="bullet"/>
      <w:lvlText w:val="•"/>
      <w:lvlJc w:val="left"/>
      <w:pPr>
        <w:ind w:left="6133" w:hanging="1083"/>
      </w:pPr>
      <w:rPr>
        <w:rFonts w:hint="default"/>
      </w:rPr>
    </w:lvl>
    <w:lvl w:ilvl="5">
      <w:numFmt w:val="bullet"/>
      <w:lvlText w:val="•"/>
      <w:lvlJc w:val="left"/>
      <w:pPr>
        <w:ind w:left="6917" w:hanging="1083"/>
      </w:pPr>
      <w:rPr>
        <w:rFonts w:hint="default"/>
      </w:rPr>
    </w:lvl>
    <w:lvl w:ilvl="6">
      <w:numFmt w:val="bullet"/>
      <w:lvlText w:val="•"/>
      <w:lvlJc w:val="left"/>
      <w:pPr>
        <w:ind w:left="7702" w:hanging="1083"/>
      </w:pPr>
      <w:rPr>
        <w:rFonts w:hint="default"/>
      </w:rPr>
    </w:lvl>
    <w:lvl w:ilvl="7">
      <w:numFmt w:val="bullet"/>
      <w:lvlText w:val="•"/>
      <w:lvlJc w:val="left"/>
      <w:pPr>
        <w:ind w:left="8486" w:hanging="1083"/>
      </w:pPr>
      <w:rPr>
        <w:rFonts w:hint="default"/>
      </w:rPr>
    </w:lvl>
    <w:lvl w:ilvl="8">
      <w:numFmt w:val="bullet"/>
      <w:lvlText w:val="•"/>
      <w:lvlJc w:val="left"/>
      <w:pPr>
        <w:ind w:left="9271" w:hanging="1083"/>
      </w:pPr>
      <w:rPr>
        <w:rFonts w:hint="default"/>
      </w:rPr>
    </w:lvl>
  </w:abstractNum>
  <w:abstractNum w:abstractNumId="16" w15:restartNumberingAfterBreak="0">
    <w:nsid w:val="5D49076B"/>
    <w:multiLevelType w:val="multilevel"/>
    <w:tmpl w:val="F4E21790"/>
    <w:lvl w:ilvl="0">
      <w:start w:val="4"/>
      <w:numFmt w:val="decimal"/>
      <w:lvlText w:val="%1"/>
      <w:lvlJc w:val="left"/>
      <w:pPr>
        <w:ind w:left="1084" w:hanging="85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85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4" w:hanging="8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4" w:hanging="8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4">
      <w:numFmt w:val="bullet"/>
      <w:lvlText w:val="•"/>
      <w:lvlJc w:val="left"/>
      <w:pPr>
        <w:ind w:left="4440" w:hanging="852"/>
      </w:pPr>
      <w:rPr>
        <w:rFonts w:hint="default"/>
      </w:rPr>
    </w:lvl>
    <w:lvl w:ilvl="5">
      <w:numFmt w:val="bullet"/>
      <w:lvlText w:val="•"/>
      <w:lvlJc w:val="left"/>
      <w:pPr>
        <w:ind w:left="5280" w:hanging="852"/>
      </w:pPr>
      <w:rPr>
        <w:rFonts w:hint="default"/>
      </w:rPr>
    </w:lvl>
    <w:lvl w:ilvl="6">
      <w:numFmt w:val="bullet"/>
      <w:lvlText w:val="•"/>
      <w:lvlJc w:val="left"/>
      <w:pPr>
        <w:ind w:left="6120" w:hanging="852"/>
      </w:pPr>
      <w:rPr>
        <w:rFonts w:hint="default"/>
      </w:rPr>
    </w:lvl>
    <w:lvl w:ilvl="7">
      <w:numFmt w:val="bullet"/>
      <w:lvlText w:val="•"/>
      <w:lvlJc w:val="left"/>
      <w:pPr>
        <w:ind w:left="6960" w:hanging="852"/>
      </w:pPr>
      <w:rPr>
        <w:rFonts w:hint="default"/>
      </w:rPr>
    </w:lvl>
    <w:lvl w:ilvl="8">
      <w:numFmt w:val="bullet"/>
      <w:lvlText w:val="•"/>
      <w:lvlJc w:val="left"/>
      <w:pPr>
        <w:ind w:left="7800" w:hanging="852"/>
      </w:pPr>
      <w:rPr>
        <w:rFonts w:hint="default"/>
      </w:rPr>
    </w:lvl>
  </w:abstractNum>
  <w:abstractNum w:abstractNumId="17" w15:restartNumberingAfterBreak="0">
    <w:nsid w:val="608D4770"/>
    <w:multiLevelType w:val="multilevel"/>
    <w:tmpl w:val="64A46F82"/>
    <w:lvl w:ilvl="0">
      <w:start w:val="1"/>
      <w:numFmt w:val="decimal"/>
      <w:lvlText w:val="%1"/>
      <w:lvlJc w:val="left"/>
      <w:pPr>
        <w:ind w:left="232" w:hanging="180"/>
        <w:jc w:val="right"/>
      </w:pPr>
      <w:rPr>
        <w:rFonts w:hint="default"/>
        <w:spacing w:val="-5"/>
        <w:w w:val="100"/>
      </w:rPr>
    </w:lvl>
    <w:lvl w:ilvl="1">
      <w:start w:val="1"/>
      <w:numFmt w:val="decimal"/>
      <w:lvlText w:val="%1.%2"/>
      <w:lvlJc w:val="left"/>
      <w:pPr>
        <w:ind w:left="1084" w:hanging="85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•"/>
      <w:lvlJc w:val="left"/>
      <w:pPr>
        <w:ind w:left="2164" w:hanging="852"/>
      </w:pPr>
      <w:rPr>
        <w:rFonts w:hint="default"/>
      </w:rPr>
    </w:lvl>
    <w:lvl w:ilvl="3">
      <w:numFmt w:val="bullet"/>
      <w:lvlText w:val="•"/>
      <w:lvlJc w:val="left"/>
      <w:pPr>
        <w:ind w:left="3248" w:hanging="852"/>
      </w:pPr>
      <w:rPr>
        <w:rFonts w:hint="default"/>
      </w:rPr>
    </w:lvl>
    <w:lvl w:ilvl="4">
      <w:numFmt w:val="bullet"/>
      <w:lvlText w:val="•"/>
      <w:lvlJc w:val="left"/>
      <w:pPr>
        <w:ind w:left="4333" w:hanging="852"/>
      </w:pPr>
      <w:rPr>
        <w:rFonts w:hint="default"/>
      </w:rPr>
    </w:lvl>
    <w:lvl w:ilvl="5">
      <w:numFmt w:val="bullet"/>
      <w:lvlText w:val="•"/>
      <w:lvlJc w:val="left"/>
      <w:pPr>
        <w:ind w:left="5417" w:hanging="852"/>
      </w:pPr>
      <w:rPr>
        <w:rFonts w:hint="default"/>
      </w:rPr>
    </w:lvl>
    <w:lvl w:ilvl="6">
      <w:numFmt w:val="bullet"/>
      <w:lvlText w:val="•"/>
      <w:lvlJc w:val="left"/>
      <w:pPr>
        <w:ind w:left="6502" w:hanging="852"/>
      </w:pPr>
      <w:rPr>
        <w:rFonts w:hint="default"/>
      </w:rPr>
    </w:lvl>
    <w:lvl w:ilvl="7">
      <w:numFmt w:val="bullet"/>
      <w:lvlText w:val="•"/>
      <w:lvlJc w:val="left"/>
      <w:pPr>
        <w:ind w:left="7586" w:hanging="852"/>
      </w:pPr>
      <w:rPr>
        <w:rFonts w:hint="default"/>
      </w:rPr>
    </w:lvl>
    <w:lvl w:ilvl="8">
      <w:numFmt w:val="bullet"/>
      <w:lvlText w:val="•"/>
      <w:lvlJc w:val="left"/>
      <w:pPr>
        <w:ind w:left="8671" w:hanging="852"/>
      </w:pPr>
      <w:rPr>
        <w:rFonts w:hint="default"/>
      </w:rPr>
    </w:lvl>
  </w:abstractNum>
  <w:abstractNum w:abstractNumId="18" w15:restartNumberingAfterBreak="0">
    <w:nsid w:val="62F52E19"/>
    <w:multiLevelType w:val="multilevel"/>
    <w:tmpl w:val="411635D0"/>
    <w:lvl w:ilvl="0">
      <w:start w:val="4"/>
      <w:numFmt w:val="decimal"/>
      <w:lvlText w:val="%1"/>
      <w:lvlJc w:val="left"/>
      <w:pPr>
        <w:ind w:left="1084" w:hanging="85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85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4" w:hanging="852"/>
        <w:jc w:val="left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4" w:hanging="8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365" w:hanging="113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5">
      <w:numFmt w:val="bullet"/>
      <w:lvlText w:val="•"/>
      <w:lvlJc w:val="left"/>
      <w:pPr>
        <w:ind w:left="5573" w:hanging="1133"/>
      </w:pPr>
      <w:rPr>
        <w:rFonts w:hint="default"/>
      </w:rPr>
    </w:lvl>
    <w:lvl w:ilvl="6">
      <w:numFmt w:val="bullet"/>
      <w:lvlText w:val="•"/>
      <w:lvlJc w:val="left"/>
      <w:pPr>
        <w:ind w:left="6626" w:hanging="1133"/>
      </w:pPr>
      <w:rPr>
        <w:rFonts w:hint="default"/>
      </w:rPr>
    </w:lvl>
    <w:lvl w:ilvl="7">
      <w:numFmt w:val="bullet"/>
      <w:lvlText w:val="•"/>
      <w:lvlJc w:val="left"/>
      <w:pPr>
        <w:ind w:left="7680" w:hanging="1133"/>
      </w:pPr>
      <w:rPr>
        <w:rFonts w:hint="default"/>
      </w:rPr>
    </w:lvl>
    <w:lvl w:ilvl="8">
      <w:numFmt w:val="bullet"/>
      <w:lvlText w:val="•"/>
      <w:lvlJc w:val="left"/>
      <w:pPr>
        <w:ind w:left="8733" w:hanging="1133"/>
      </w:pPr>
      <w:rPr>
        <w:rFonts w:hint="default"/>
      </w:rPr>
    </w:lvl>
  </w:abstractNum>
  <w:abstractNum w:abstractNumId="19" w15:restartNumberingAfterBreak="0">
    <w:nsid w:val="666D2427"/>
    <w:multiLevelType w:val="multilevel"/>
    <w:tmpl w:val="B89EF8D6"/>
    <w:lvl w:ilvl="0">
      <w:start w:val="6"/>
      <w:numFmt w:val="decimal"/>
      <w:lvlText w:val="%1"/>
      <w:lvlJc w:val="left"/>
      <w:pPr>
        <w:ind w:left="1365" w:hanging="8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5" w:hanging="85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1792" w:hanging="994"/>
        <w:jc w:val="left"/>
      </w:pPr>
      <w:rPr>
        <w:rFonts w:hint="default"/>
        <w:w w:val="100"/>
      </w:rPr>
    </w:lvl>
    <w:lvl w:ilvl="3">
      <w:start w:val="1"/>
      <w:numFmt w:val="decimal"/>
      <w:lvlText w:val="%1.%2.%3.%4"/>
      <w:lvlJc w:val="left"/>
      <w:pPr>
        <w:ind w:left="2217" w:hanging="99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4">
      <w:numFmt w:val="bullet"/>
      <w:lvlText w:val="•"/>
      <w:lvlJc w:val="left"/>
      <w:pPr>
        <w:ind w:left="4375" w:hanging="994"/>
      </w:pPr>
      <w:rPr>
        <w:rFonts w:hint="default"/>
      </w:rPr>
    </w:lvl>
    <w:lvl w:ilvl="5">
      <w:numFmt w:val="bullet"/>
      <w:lvlText w:val="•"/>
      <w:lvlJc w:val="left"/>
      <w:pPr>
        <w:ind w:left="5452" w:hanging="994"/>
      </w:pPr>
      <w:rPr>
        <w:rFonts w:hint="default"/>
      </w:rPr>
    </w:lvl>
    <w:lvl w:ilvl="6">
      <w:numFmt w:val="bullet"/>
      <w:lvlText w:val="•"/>
      <w:lvlJc w:val="left"/>
      <w:pPr>
        <w:ind w:left="6530" w:hanging="994"/>
      </w:pPr>
      <w:rPr>
        <w:rFonts w:hint="default"/>
      </w:rPr>
    </w:lvl>
    <w:lvl w:ilvl="7">
      <w:numFmt w:val="bullet"/>
      <w:lvlText w:val="•"/>
      <w:lvlJc w:val="left"/>
      <w:pPr>
        <w:ind w:left="7607" w:hanging="994"/>
      </w:pPr>
      <w:rPr>
        <w:rFonts w:hint="default"/>
      </w:rPr>
    </w:lvl>
    <w:lvl w:ilvl="8">
      <w:numFmt w:val="bullet"/>
      <w:lvlText w:val="•"/>
      <w:lvlJc w:val="left"/>
      <w:pPr>
        <w:ind w:left="8685" w:hanging="994"/>
      </w:pPr>
      <w:rPr>
        <w:rFonts w:hint="default"/>
      </w:rPr>
    </w:lvl>
  </w:abstractNum>
  <w:abstractNum w:abstractNumId="20" w15:restartNumberingAfterBreak="0">
    <w:nsid w:val="74E96652"/>
    <w:multiLevelType w:val="multilevel"/>
    <w:tmpl w:val="BAD64560"/>
    <w:lvl w:ilvl="0">
      <w:start w:val="5"/>
      <w:numFmt w:val="decimal"/>
      <w:lvlText w:val="%1"/>
      <w:lvlJc w:val="left"/>
      <w:pPr>
        <w:ind w:left="1084" w:hanging="85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852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4" w:hanging="852"/>
        <w:jc w:val="left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4" w:hanging="8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365" w:hanging="113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5">
      <w:numFmt w:val="bullet"/>
      <w:lvlText w:val="•"/>
      <w:lvlJc w:val="left"/>
      <w:pPr>
        <w:ind w:left="4968" w:hanging="1133"/>
      </w:pPr>
      <w:rPr>
        <w:rFonts w:hint="default"/>
      </w:rPr>
    </w:lvl>
    <w:lvl w:ilvl="6">
      <w:numFmt w:val="bullet"/>
      <w:lvlText w:val="•"/>
      <w:lvlJc w:val="left"/>
      <w:pPr>
        <w:ind w:left="5871" w:hanging="1133"/>
      </w:pPr>
      <w:rPr>
        <w:rFonts w:hint="default"/>
      </w:rPr>
    </w:lvl>
    <w:lvl w:ilvl="7">
      <w:numFmt w:val="bullet"/>
      <w:lvlText w:val="•"/>
      <w:lvlJc w:val="left"/>
      <w:pPr>
        <w:ind w:left="6773" w:hanging="1133"/>
      </w:pPr>
      <w:rPr>
        <w:rFonts w:hint="default"/>
      </w:rPr>
    </w:lvl>
    <w:lvl w:ilvl="8">
      <w:numFmt w:val="bullet"/>
      <w:lvlText w:val="•"/>
      <w:lvlJc w:val="left"/>
      <w:pPr>
        <w:ind w:left="7675" w:hanging="1133"/>
      </w:pPr>
      <w:rPr>
        <w:rFonts w:hint="default"/>
      </w:rPr>
    </w:lvl>
  </w:abstractNum>
  <w:abstractNum w:abstractNumId="21" w15:restartNumberingAfterBreak="0">
    <w:nsid w:val="78040D43"/>
    <w:multiLevelType w:val="multilevel"/>
    <w:tmpl w:val="BF34A044"/>
    <w:lvl w:ilvl="0">
      <w:start w:val="6"/>
      <w:numFmt w:val="decimal"/>
      <w:lvlText w:val="%1"/>
      <w:lvlJc w:val="left"/>
      <w:pPr>
        <w:ind w:left="1082" w:hanging="8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084" w:hanging="85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84" w:hanging="85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4" w:hanging="85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4">
      <w:numFmt w:val="bullet"/>
      <w:lvlText w:val="•"/>
      <w:lvlJc w:val="left"/>
      <w:pPr>
        <w:ind w:left="4440" w:hanging="852"/>
      </w:pPr>
      <w:rPr>
        <w:rFonts w:hint="default"/>
      </w:rPr>
    </w:lvl>
    <w:lvl w:ilvl="5">
      <w:numFmt w:val="bullet"/>
      <w:lvlText w:val="•"/>
      <w:lvlJc w:val="left"/>
      <w:pPr>
        <w:ind w:left="5280" w:hanging="852"/>
      </w:pPr>
      <w:rPr>
        <w:rFonts w:hint="default"/>
      </w:rPr>
    </w:lvl>
    <w:lvl w:ilvl="6">
      <w:numFmt w:val="bullet"/>
      <w:lvlText w:val="•"/>
      <w:lvlJc w:val="left"/>
      <w:pPr>
        <w:ind w:left="6120" w:hanging="852"/>
      </w:pPr>
      <w:rPr>
        <w:rFonts w:hint="default"/>
      </w:rPr>
    </w:lvl>
    <w:lvl w:ilvl="7">
      <w:numFmt w:val="bullet"/>
      <w:lvlText w:val="•"/>
      <w:lvlJc w:val="left"/>
      <w:pPr>
        <w:ind w:left="6960" w:hanging="852"/>
      </w:pPr>
      <w:rPr>
        <w:rFonts w:hint="default"/>
      </w:rPr>
    </w:lvl>
    <w:lvl w:ilvl="8">
      <w:numFmt w:val="bullet"/>
      <w:lvlText w:val="•"/>
      <w:lvlJc w:val="left"/>
      <w:pPr>
        <w:ind w:left="7800" w:hanging="852"/>
      </w:pPr>
      <w:rPr>
        <w:rFonts w:hint="default"/>
      </w:rPr>
    </w:lvl>
  </w:abstractNum>
  <w:abstractNum w:abstractNumId="22" w15:restartNumberingAfterBreak="0">
    <w:nsid w:val="7B595E30"/>
    <w:multiLevelType w:val="multilevel"/>
    <w:tmpl w:val="01C095B4"/>
    <w:lvl w:ilvl="0">
      <w:start w:val="1"/>
      <w:numFmt w:val="decimal"/>
      <w:lvlText w:val="%1"/>
      <w:lvlJc w:val="left"/>
      <w:pPr>
        <w:ind w:left="1093" w:hanging="85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85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241" w:hanging="8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4237" w:hanging="852"/>
      </w:pPr>
      <w:rPr>
        <w:rFonts w:hint="default"/>
      </w:rPr>
    </w:lvl>
    <w:lvl w:ilvl="4">
      <w:numFmt w:val="bullet"/>
      <w:lvlText w:val="•"/>
      <w:lvlJc w:val="left"/>
      <w:pPr>
        <w:ind w:left="5806" w:hanging="852"/>
      </w:pPr>
      <w:rPr>
        <w:rFonts w:hint="default"/>
      </w:rPr>
    </w:lvl>
    <w:lvl w:ilvl="5">
      <w:numFmt w:val="bullet"/>
      <w:lvlText w:val="•"/>
      <w:lvlJc w:val="left"/>
      <w:pPr>
        <w:ind w:left="7375" w:hanging="852"/>
      </w:pPr>
      <w:rPr>
        <w:rFonts w:hint="default"/>
      </w:rPr>
    </w:lvl>
    <w:lvl w:ilvl="6">
      <w:numFmt w:val="bullet"/>
      <w:lvlText w:val="•"/>
      <w:lvlJc w:val="left"/>
      <w:pPr>
        <w:ind w:left="8944" w:hanging="852"/>
      </w:pPr>
      <w:rPr>
        <w:rFonts w:hint="default"/>
      </w:rPr>
    </w:lvl>
    <w:lvl w:ilvl="7">
      <w:numFmt w:val="bullet"/>
      <w:lvlText w:val="•"/>
      <w:lvlJc w:val="left"/>
      <w:pPr>
        <w:ind w:left="10513" w:hanging="852"/>
      </w:pPr>
      <w:rPr>
        <w:rFonts w:hint="default"/>
      </w:rPr>
    </w:lvl>
    <w:lvl w:ilvl="8">
      <w:numFmt w:val="bullet"/>
      <w:lvlText w:val="•"/>
      <w:lvlJc w:val="left"/>
      <w:pPr>
        <w:ind w:left="12082" w:hanging="852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7"/>
  </w:num>
  <w:num w:numId="4">
    <w:abstractNumId w:val="0"/>
  </w:num>
  <w:num w:numId="5">
    <w:abstractNumId w:val="14"/>
  </w:num>
  <w:num w:numId="6">
    <w:abstractNumId w:val="21"/>
  </w:num>
  <w:num w:numId="7">
    <w:abstractNumId w:val="20"/>
  </w:num>
  <w:num w:numId="8">
    <w:abstractNumId w:val="5"/>
  </w:num>
  <w:num w:numId="9">
    <w:abstractNumId w:val="2"/>
  </w:num>
  <w:num w:numId="10">
    <w:abstractNumId w:val="6"/>
  </w:num>
  <w:num w:numId="11">
    <w:abstractNumId w:val="4"/>
  </w:num>
  <w:num w:numId="12">
    <w:abstractNumId w:val="11"/>
  </w:num>
  <w:num w:numId="13">
    <w:abstractNumId w:val="16"/>
  </w:num>
  <w:num w:numId="14">
    <w:abstractNumId w:val="1"/>
  </w:num>
  <w:num w:numId="15">
    <w:abstractNumId w:val="10"/>
  </w:num>
  <w:num w:numId="16">
    <w:abstractNumId w:val="3"/>
  </w:num>
  <w:num w:numId="17">
    <w:abstractNumId w:val="18"/>
  </w:num>
  <w:num w:numId="18">
    <w:abstractNumId w:val="12"/>
  </w:num>
  <w:num w:numId="19">
    <w:abstractNumId w:val="17"/>
  </w:num>
  <w:num w:numId="20">
    <w:abstractNumId w:val="15"/>
  </w:num>
  <w:num w:numId="21">
    <w:abstractNumId w:val="19"/>
  </w:num>
  <w:num w:numId="22">
    <w:abstractNumId w:val="1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8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67C"/>
    <w:rsid w:val="00060C1B"/>
    <w:rsid w:val="00112D6E"/>
    <w:rsid w:val="002A767C"/>
    <w:rsid w:val="00785725"/>
    <w:rsid w:val="008111B5"/>
    <w:rsid w:val="00B12AA7"/>
    <w:rsid w:val="00E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>
      <v:textbox inset="5.85pt,.7pt,5.85pt,.7pt"/>
    </o:shapedefaults>
    <o:shapelayout v:ext="edit">
      <o:idmap v:ext="edit" data="1"/>
    </o:shapelayout>
  </w:shapeDefaults>
  <w:decimalSymbol w:val="."/>
  <w:listSeparator w:val=","/>
  <w15:docId w15:val="{A3F1434A-9F0E-460F-98C6-F8A4C9AD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86"/>
      <w:ind w:left="112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89"/>
      <w:ind w:left="1084" w:hanging="852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122"/>
      <w:ind w:left="1084" w:hanging="852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72"/>
      <w:ind w:left="940" w:hanging="708"/>
    </w:pPr>
    <w:rPr>
      <w:b/>
      <w:bCs/>
    </w:rPr>
  </w:style>
  <w:style w:type="paragraph" w:styleId="20">
    <w:name w:val="toc 2"/>
    <w:basedOn w:val="a"/>
    <w:uiPriority w:val="1"/>
    <w:qFormat/>
    <w:pPr>
      <w:spacing w:before="107"/>
      <w:ind w:left="1365" w:hanging="849"/>
    </w:pPr>
  </w:style>
  <w:style w:type="paragraph" w:styleId="30">
    <w:name w:val="toc 3"/>
    <w:basedOn w:val="a"/>
    <w:uiPriority w:val="1"/>
    <w:qFormat/>
    <w:pPr>
      <w:spacing w:before="107"/>
      <w:ind w:left="1792" w:hanging="993"/>
    </w:pPr>
  </w:style>
  <w:style w:type="paragraph" w:styleId="4">
    <w:name w:val="toc 4"/>
    <w:basedOn w:val="a"/>
    <w:uiPriority w:val="1"/>
    <w:qFormat/>
    <w:pPr>
      <w:spacing w:before="107"/>
      <w:ind w:left="2217" w:hanging="1133"/>
    </w:pPr>
  </w:style>
  <w:style w:type="paragraph" w:styleId="5">
    <w:name w:val="toc 5"/>
    <w:basedOn w:val="a"/>
    <w:uiPriority w:val="1"/>
    <w:qFormat/>
    <w:pPr>
      <w:spacing w:before="47"/>
      <w:ind w:left="2217"/>
    </w:p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07"/>
      <w:ind w:left="1084" w:hanging="852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left="13"/>
      <w:jc w:val="center"/>
    </w:pPr>
  </w:style>
  <w:style w:type="paragraph" w:styleId="a5">
    <w:name w:val="header"/>
    <w:basedOn w:val="a"/>
    <w:link w:val="a6"/>
    <w:uiPriority w:val="99"/>
    <w:unhideWhenUsed/>
    <w:rsid w:val="007857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85725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7857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8572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3902F3-8037-43EE-ABB2-B6BBE5ABF9F6}"/>
</file>

<file path=customXml/itemProps2.xml><?xml version="1.0" encoding="utf-8"?>
<ds:datastoreItem xmlns:ds="http://schemas.openxmlformats.org/officeDocument/2006/customXml" ds:itemID="{ABFE56F9-7880-40FF-887F-5200D19E84A5}"/>
</file>

<file path=customXml/itemProps3.xml><?xml version="1.0" encoding="utf-8"?>
<ds:datastoreItem xmlns:ds="http://schemas.openxmlformats.org/officeDocument/2006/customXml" ds:itemID="{623E96F5-28C0-475E-9728-0EFA168F1D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2095</Words>
  <Characters>11947</Characters>
  <Application>Microsoft Office Word</Application>
  <DocSecurity>0</DocSecurity>
  <Lines>99</Lines>
  <Paragraphs>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Watanabe, Yudai(渡辺 雄大)</cp:lastModifiedBy>
  <cp:revision>4</cp:revision>
  <dcterms:created xsi:type="dcterms:W3CDTF">2021-06-22T01:05:00Z</dcterms:created>
  <dcterms:modified xsi:type="dcterms:W3CDTF">2021-07-08T09:36:00Z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2019-12-13T00:00:00Z</vt:filetime>
  </property>
  <property fmtid="{D5CDD505-2E9C-101B-9397-08002B2CF9AE}" pid="3" name="LastSaved">
    <vt:filetime>2021-06-22T00:00:00Z</vt:filetime>
  </property>
  <property fmtid="{D5CDD505-2E9C-101B-9397-08002B2CF9AE}" pid="4" name="ContentTypeId">
    <vt:lpwstr>0x0101007EA8C9399C6F4249AB6A1823D3F13C35</vt:lpwstr>
  </property>
</Properties>
</file>