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DBD" w:rsidRDefault="003C4CBB" w:rsidP="003C4CBB">
      <w:pPr>
        <w:spacing w:before="183"/>
        <w:ind w:left="332" w:right="335" w:firstLine="2"/>
        <w:jc w:val="center"/>
        <w:rPr>
          <w:b/>
          <w:sz w:val="32"/>
        </w:rPr>
      </w:pPr>
      <w:bookmarkStart w:id="0" w:name="_GoBack"/>
      <w:bookmarkEnd w:id="0"/>
      <w:r w:rsidRPr="003C4CBB">
        <w:rPr>
          <w:b/>
          <w:sz w:val="32"/>
        </w:rPr>
        <w:t xml:space="preserve">A Four-week Repeated Oral Dose Toxicity Study of </w:t>
      </w:r>
      <w:r w:rsidR="007F577D">
        <w:rPr>
          <w:b/>
          <w:sz w:val="32"/>
        </w:rPr>
        <w:t>PROJECT 2</w:t>
      </w:r>
      <w:r w:rsidRPr="003C4CBB">
        <w:rPr>
          <w:b/>
          <w:sz w:val="32"/>
        </w:rPr>
        <w:t xml:space="preserve"> in</w:t>
      </w:r>
      <w:r>
        <w:rPr>
          <w:rFonts w:ascii="ＭＳ 明朝" w:eastAsia="ＭＳ 明朝" w:hAnsi="ＭＳ 明朝" w:cs="ＭＳ 明朝" w:hint="eastAsia"/>
          <w:b/>
          <w:sz w:val="32"/>
          <w:lang w:eastAsia="ja-JP"/>
        </w:rPr>
        <w:t xml:space="preserve"> </w:t>
      </w:r>
      <w:r w:rsidRPr="003C4CBB">
        <w:rPr>
          <w:b/>
          <w:sz w:val="32"/>
        </w:rPr>
        <w:t>Dogs</w:t>
      </w:r>
    </w:p>
    <w:p w:rsidR="00001DBD" w:rsidRDefault="00001DBD">
      <w:pPr>
        <w:pStyle w:val="a3"/>
        <w:rPr>
          <w:sz w:val="20"/>
        </w:rPr>
      </w:pPr>
    </w:p>
    <w:p w:rsidR="00001DBD" w:rsidRDefault="00A61956" w:rsidP="00A61956">
      <w:pPr>
        <w:numPr>
          <w:ilvl w:val="0"/>
          <w:numId w:val="1"/>
        </w:numPr>
        <w:tabs>
          <w:tab w:val="left" w:pos="1013"/>
          <w:tab w:val="left" w:pos="1014"/>
        </w:tabs>
        <w:spacing w:before="252"/>
        <w:ind w:left="1013" w:hanging="852"/>
        <w:rPr>
          <w:b/>
          <w:sz w:val="28"/>
        </w:rPr>
      </w:pPr>
      <w:bookmarkStart w:id="1" w:name="2_SUMMARY_AND_CONCLUSION"/>
      <w:bookmarkStart w:id="2" w:name="_bookmark13"/>
      <w:bookmarkEnd w:id="1"/>
      <w:bookmarkEnd w:id="2"/>
      <w:r>
        <w:rPr>
          <w:b/>
          <w:sz w:val="28"/>
        </w:rPr>
        <w:t>SUMMARY AND</w:t>
      </w:r>
      <w:r>
        <w:rPr>
          <w:b/>
          <w:spacing w:val="-1"/>
          <w:sz w:val="28"/>
        </w:rPr>
        <w:t xml:space="preserve"> </w:t>
      </w:r>
      <w:r>
        <w:rPr>
          <w:b/>
          <w:sz w:val="28"/>
        </w:rPr>
        <w:t>CONCLUSION</w:t>
      </w:r>
    </w:p>
    <w:p w:rsidR="003C4CBB" w:rsidRDefault="003C4CBB" w:rsidP="003C4CBB">
      <w:pPr>
        <w:adjustRightInd w:val="0"/>
        <w:rPr>
          <w:rFonts w:ascii="TimesNewRoman" w:eastAsia="TimesNewRoman" w:hAnsiTheme="minorHAnsi" w:cs="TimesNewRoman"/>
          <w:sz w:val="24"/>
          <w:szCs w:val="24"/>
        </w:rPr>
      </w:pPr>
      <w:r>
        <w:rPr>
          <w:rFonts w:ascii="TimesNewRoman" w:eastAsia="TimesNewRoman" w:hAnsiTheme="minorHAnsi" w:cs="TimesNewRoman"/>
          <w:sz w:val="24"/>
          <w:szCs w:val="24"/>
        </w:rPr>
        <w:t xml:space="preserve">The oral toxicity of </w:t>
      </w:r>
      <w:r w:rsidR="007F577D">
        <w:rPr>
          <w:rFonts w:ascii="TimesNewRoman" w:eastAsia="TimesNewRoman" w:hAnsiTheme="minorHAnsi" w:cs="TimesNewRoman"/>
          <w:sz w:val="24"/>
          <w:szCs w:val="24"/>
        </w:rPr>
        <w:t>PROJECT 2</w:t>
      </w:r>
      <w:r>
        <w:rPr>
          <w:rFonts w:ascii="TimesNewRoman" w:eastAsia="TimesNewRoman" w:hAnsiTheme="minorHAnsi" w:cs="TimesNewRoman"/>
          <w:sz w:val="24"/>
          <w:szCs w:val="24"/>
        </w:rPr>
        <w:t xml:space="preserve"> suspended in 0.5% methylcellulose solution (0.5% MC solution) was investigated in beagle dogs (3/sex/group) administered once daily for 4 weeks at 30, 100, or 300 mg/kg. The control animals received 0.5% MC solution, the vehicle for the test article. The plasma </w:t>
      </w:r>
      <w:r w:rsidR="007F577D">
        <w:rPr>
          <w:rFonts w:ascii="TimesNewRoman" w:eastAsia="TimesNewRoman" w:hAnsiTheme="minorHAnsi" w:cs="TimesNewRoman"/>
          <w:sz w:val="24"/>
          <w:szCs w:val="24"/>
        </w:rPr>
        <w:t>PROJECT 2</w:t>
      </w:r>
      <w:r>
        <w:rPr>
          <w:rFonts w:ascii="TimesNewRoman" w:eastAsia="TimesNewRoman" w:hAnsiTheme="minorHAnsi" w:cs="TimesNewRoman"/>
          <w:sz w:val="24"/>
          <w:szCs w:val="24"/>
        </w:rPr>
        <w:t xml:space="preserve"> concentration was also measured to evaluate systemic exposure.</w:t>
      </w:r>
    </w:p>
    <w:p w:rsidR="003C4CBB" w:rsidRDefault="003C4CBB" w:rsidP="003C4CBB">
      <w:pPr>
        <w:adjustRightInd w:val="0"/>
        <w:rPr>
          <w:rFonts w:ascii="TimesNewRoman" w:eastAsia="TimesNewRoman" w:hAnsiTheme="minorHAnsi" w:cs="TimesNewRoman"/>
          <w:sz w:val="24"/>
          <w:szCs w:val="24"/>
        </w:rPr>
      </w:pPr>
      <w:r>
        <w:rPr>
          <w:rFonts w:ascii="TimesNewRoman" w:eastAsia="TimesNewRoman" w:hAnsiTheme="minorHAnsi" w:cs="TimesNewRoman"/>
          <w:sz w:val="24"/>
          <w:szCs w:val="24"/>
        </w:rPr>
        <w:t xml:space="preserve">During the treatment period, general signs were observed, and body weight and food consumption were measured. The animals underwent hematological examination, blood chemistry testing, urinalysis, ophthalmologic examination, electrocardiography, and toxicokinetic analysis. In addition, gross pathological examination, organ weight measurement, and histopathological examination were conducted at the completion of the treatment </w:t>
      </w:r>
      <w:proofErr w:type="gramStart"/>
      <w:r>
        <w:rPr>
          <w:rFonts w:ascii="TimesNewRoman" w:eastAsia="TimesNewRoman" w:hAnsiTheme="minorHAnsi" w:cs="TimesNewRoman"/>
          <w:sz w:val="24"/>
          <w:szCs w:val="24"/>
        </w:rPr>
        <w:t>period</w:t>
      </w:r>
      <w:proofErr w:type="gramEnd"/>
      <w:r>
        <w:rPr>
          <w:rFonts w:ascii="TimesNewRoman" w:eastAsia="TimesNewRoman" w:hAnsiTheme="minorHAnsi" w:cs="TimesNewRoman"/>
          <w:sz w:val="24"/>
          <w:szCs w:val="24"/>
        </w:rPr>
        <w:t>.</w:t>
      </w:r>
    </w:p>
    <w:p w:rsidR="003C4CBB" w:rsidRDefault="003C4CBB" w:rsidP="003C4CBB">
      <w:pPr>
        <w:adjustRightInd w:val="0"/>
        <w:rPr>
          <w:rFonts w:ascii="TimesNewRoman" w:eastAsia="TimesNewRoman" w:hAnsiTheme="minorHAnsi" w:cs="TimesNewRoman"/>
          <w:sz w:val="24"/>
          <w:szCs w:val="24"/>
        </w:rPr>
      </w:pPr>
      <w:r>
        <w:rPr>
          <w:rFonts w:ascii="TimesNewRoman" w:eastAsia="TimesNewRoman" w:hAnsiTheme="minorHAnsi" w:cs="TimesNewRoman"/>
          <w:sz w:val="24"/>
          <w:szCs w:val="24"/>
        </w:rPr>
        <w:t>Clinical signs included grayish white soft feces observed in one male dosed with 100 mg/kg for 1 day, and grayish white feces (including grayish white watery feces in one female for 1 day) that were noted for 1 to 10 days in all animals dosed with 300 mg/kg . The grayish white colored feces were considered to be due to unabsorbed test article. For the following items, no toxic changes occurred up to 300 mg/kg: body weight, food consumption, hematological examination, blood chemistry testing, urinalysis, ophthalmological examination, electrocardiography, gross pathological examination, organ weight, and histopathological examination.</w:t>
      </w:r>
    </w:p>
    <w:p w:rsidR="003C4CBB" w:rsidRDefault="003C4CBB" w:rsidP="003C4CBB">
      <w:pPr>
        <w:adjustRightInd w:val="0"/>
        <w:rPr>
          <w:rFonts w:ascii="TimesNewRoman" w:eastAsia="TimesNewRoman" w:hAnsiTheme="minorHAnsi" w:cs="TimesNewRoman"/>
          <w:sz w:val="24"/>
          <w:szCs w:val="24"/>
        </w:rPr>
      </w:pPr>
      <w:r>
        <w:rPr>
          <w:rFonts w:ascii="TimesNewRoman" w:eastAsia="TimesNewRoman" w:hAnsiTheme="minorHAnsi" w:cs="TimesNewRoman"/>
          <w:sz w:val="24"/>
          <w:szCs w:val="24"/>
        </w:rPr>
        <w:t xml:space="preserve">Plasma </w:t>
      </w:r>
      <w:r w:rsidR="007F577D">
        <w:rPr>
          <w:rFonts w:ascii="TimesNewRoman" w:eastAsia="TimesNewRoman" w:hAnsiTheme="minorHAnsi" w:cs="TimesNewRoman"/>
          <w:sz w:val="24"/>
          <w:szCs w:val="24"/>
        </w:rPr>
        <w:t>PROJECT 2</w:t>
      </w:r>
      <w:r>
        <w:rPr>
          <w:rFonts w:ascii="TimesNewRoman" w:eastAsia="TimesNewRoman" w:hAnsiTheme="minorHAnsi" w:cs="TimesNewRoman"/>
          <w:sz w:val="24"/>
          <w:szCs w:val="24"/>
        </w:rPr>
        <w:t xml:space="preserve"> concentration data were as follows: On Day 1, the </w:t>
      </w:r>
      <w:proofErr w:type="spellStart"/>
      <w:r>
        <w:rPr>
          <w:rFonts w:ascii="TimesNewRoman" w:eastAsia="TimesNewRoman" w:hAnsiTheme="minorHAnsi" w:cs="TimesNewRoman"/>
          <w:sz w:val="24"/>
          <w:szCs w:val="24"/>
        </w:rPr>
        <w:t>Cmax</w:t>
      </w:r>
      <w:proofErr w:type="spellEnd"/>
      <w:r>
        <w:rPr>
          <w:rFonts w:ascii="TimesNewRoman" w:eastAsia="TimesNewRoman" w:hAnsiTheme="minorHAnsi" w:cs="TimesNewRoman"/>
          <w:sz w:val="24"/>
          <w:szCs w:val="24"/>
        </w:rPr>
        <w:t xml:space="preserve"> values for the males and females were, respectively, 3.189 and 1.552 ng/mL in the 30 mg/kg group; 2.139 and 3.297 ng/mL in the 100 mg/kg group; and 4.756 and 4.315 ng/mL in the 300 mg/kg group. The AUC</w:t>
      </w:r>
      <w:r>
        <w:rPr>
          <w:rFonts w:ascii="TimesNewRoman" w:eastAsia="TimesNewRoman" w:hAnsiTheme="minorHAnsi" w:cs="TimesNewRoman"/>
          <w:sz w:val="16"/>
          <w:szCs w:val="16"/>
        </w:rPr>
        <w:t xml:space="preserve">0-24h </w:t>
      </w:r>
      <w:r>
        <w:rPr>
          <w:rFonts w:ascii="TimesNewRoman" w:eastAsia="TimesNewRoman" w:hAnsiTheme="minorHAnsi" w:cs="TimesNewRoman"/>
          <w:sz w:val="24"/>
          <w:szCs w:val="24"/>
        </w:rPr>
        <w:t xml:space="preserve">values for the males and females were, respectively, 16.100 and 4.310 </w:t>
      </w:r>
      <w:proofErr w:type="spellStart"/>
      <w:r>
        <w:rPr>
          <w:rFonts w:ascii="TimesNewRoman" w:eastAsia="TimesNewRoman" w:hAnsiTheme="minorHAnsi" w:cs="TimesNewRoman"/>
          <w:sz w:val="24"/>
          <w:szCs w:val="24"/>
        </w:rPr>
        <w:t>ng</w:t>
      </w:r>
      <w:r>
        <w:rPr>
          <w:rFonts w:ascii="TimesNewRoman" w:eastAsia="TimesNewRoman" w:hAnsiTheme="minorHAnsi" w:cs="TimesNewRoman" w:hint="eastAsia"/>
          <w:sz w:val="24"/>
          <w:szCs w:val="24"/>
        </w:rPr>
        <w:t>∙</w:t>
      </w:r>
      <w:r>
        <w:rPr>
          <w:rFonts w:ascii="TimesNewRoman" w:eastAsia="TimesNewRoman" w:hAnsiTheme="minorHAnsi" w:cs="TimesNewRoman"/>
          <w:sz w:val="24"/>
          <w:szCs w:val="24"/>
        </w:rPr>
        <w:t>h</w:t>
      </w:r>
      <w:proofErr w:type="spellEnd"/>
      <w:r>
        <w:rPr>
          <w:rFonts w:ascii="TimesNewRoman" w:eastAsia="TimesNewRoman" w:hAnsiTheme="minorHAnsi" w:cs="TimesNewRoman"/>
          <w:sz w:val="24"/>
          <w:szCs w:val="24"/>
        </w:rPr>
        <w:t xml:space="preserve">/mL in the 30 mg/kg group; 9.656 and 9.726 </w:t>
      </w:r>
      <w:proofErr w:type="spellStart"/>
      <w:r>
        <w:rPr>
          <w:rFonts w:ascii="TimesNewRoman" w:eastAsia="TimesNewRoman" w:hAnsiTheme="minorHAnsi" w:cs="TimesNewRoman"/>
          <w:sz w:val="24"/>
          <w:szCs w:val="24"/>
        </w:rPr>
        <w:t>ng</w:t>
      </w:r>
      <w:r>
        <w:rPr>
          <w:rFonts w:ascii="TimesNewRoman" w:eastAsia="TimesNewRoman" w:hAnsiTheme="minorHAnsi" w:cs="TimesNewRoman" w:hint="eastAsia"/>
          <w:sz w:val="24"/>
          <w:szCs w:val="24"/>
        </w:rPr>
        <w:t>∙</w:t>
      </w:r>
      <w:r>
        <w:rPr>
          <w:rFonts w:ascii="TimesNewRoman" w:eastAsia="TimesNewRoman" w:hAnsiTheme="minorHAnsi" w:cs="TimesNewRoman"/>
          <w:sz w:val="24"/>
          <w:szCs w:val="24"/>
        </w:rPr>
        <w:t>h</w:t>
      </w:r>
      <w:proofErr w:type="spellEnd"/>
      <w:r>
        <w:rPr>
          <w:rFonts w:ascii="TimesNewRoman" w:eastAsia="TimesNewRoman" w:hAnsiTheme="minorHAnsi" w:cs="TimesNewRoman"/>
          <w:sz w:val="24"/>
          <w:szCs w:val="24"/>
        </w:rPr>
        <w:t xml:space="preserve">/mL in the 100 mg/kg group; and 15.852 and 13.920 </w:t>
      </w:r>
      <w:proofErr w:type="spellStart"/>
      <w:r>
        <w:rPr>
          <w:rFonts w:ascii="TimesNewRoman" w:eastAsia="TimesNewRoman" w:hAnsiTheme="minorHAnsi" w:cs="TimesNewRoman"/>
          <w:sz w:val="24"/>
          <w:szCs w:val="24"/>
        </w:rPr>
        <w:t>ng</w:t>
      </w:r>
      <w:r>
        <w:rPr>
          <w:rFonts w:ascii="TimesNewRoman" w:eastAsia="TimesNewRoman" w:hAnsiTheme="minorHAnsi" w:cs="TimesNewRoman" w:hint="eastAsia"/>
          <w:sz w:val="24"/>
          <w:szCs w:val="24"/>
        </w:rPr>
        <w:t>∙</w:t>
      </w:r>
      <w:r>
        <w:rPr>
          <w:rFonts w:ascii="TimesNewRoman" w:eastAsia="TimesNewRoman" w:hAnsiTheme="minorHAnsi" w:cs="TimesNewRoman"/>
          <w:sz w:val="24"/>
          <w:szCs w:val="24"/>
        </w:rPr>
        <w:t>h</w:t>
      </w:r>
      <w:proofErr w:type="spellEnd"/>
      <w:r>
        <w:rPr>
          <w:rFonts w:ascii="TimesNewRoman" w:eastAsia="TimesNewRoman" w:hAnsiTheme="minorHAnsi" w:cs="TimesNewRoman"/>
          <w:sz w:val="24"/>
          <w:szCs w:val="24"/>
        </w:rPr>
        <w:t xml:space="preserve">/mL in the 300 mg/kg group. The </w:t>
      </w:r>
      <w:proofErr w:type="spellStart"/>
      <w:r>
        <w:rPr>
          <w:rFonts w:ascii="TimesNewRoman" w:eastAsia="TimesNewRoman" w:hAnsiTheme="minorHAnsi" w:cs="TimesNewRoman"/>
          <w:sz w:val="24"/>
          <w:szCs w:val="24"/>
        </w:rPr>
        <w:t>Tmax</w:t>
      </w:r>
      <w:proofErr w:type="spellEnd"/>
      <w:r>
        <w:rPr>
          <w:rFonts w:ascii="TimesNewRoman" w:eastAsia="TimesNewRoman" w:hAnsiTheme="minorHAnsi" w:cs="TimesNewRoman"/>
          <w:sz w:val="24"/>
          <w:szCs w:val="24"/>
        </w:rPr>
        <w:t xml:space="preserve"> values were between 0.5 and 8.3 h for both the males and females. During Week 4, the </w:t>
      </w:r>
      <w:proofErr w:type="spellStart"/>
      <w:r>
        <w:rPr>
          <w:rFonts w:ascii="TimesNewRoman" w:eastAsia="TimesNewRoman" w:hAnsiTheme="minorHAnsi" w:cs="TimesNewRoman"/>
          <w:sz w:val="24"/>
          <w:szCs w:val="24"/>
        </w:rPr>
        <w:t>Cmax</w:t>
      </w:r>
      <w:proofErr w:type="spellEnd"/>
      <w:r>
        <w:rPr>
          <w:rFonts w:ascii="TimesNewRoman" w:eastAsia="TimesNewRoman" w:hAnsiTheme="minorHAnsi" w:cs="TimesNewRoman"/>
          <w:sz w:val="24"/>
          <w:szCs w:val="24"/>
        </w:rPr>
        <w:t xml:space="preserve"> values for the males and females in the 30, 100, and 300 mg/kg groups were 4.790 and 2.526 ng/mL, 3.451 and 8.406 ng/mL, and 3.526 and 8.342 ng/mL, respectively. The AUC</w:t>
      </w:r>
      <w:r>
        <w:rPr>
          <w:rFonts w:ascii="TimesNewRoman" w:eastAsia="TimesNewRoman" w:hAnsiTheme="minorHAnsi" w:cs="TimesNewRoman"/>
          <w:sz w:val="16"/>
          <w:szCs w:val="16"/>
        </w:rPr>
        <w:t xml:space="preserve">0-24h </w:t>
      </w:r>
      <w:r>
        <w:rPr>
          <w:rFonts w:ascii="TimesNewRoman" w:eastAsia="TimesNewRoman" w:hAnsiTheme="minorHAnsi" w:cs="TimesNewRoman"/>
          <w:sz w:val="24"/>
          <w:szCs w:val="24"/>
        </w:rPr>
        <w:t xml:space="preserve">values for the males and females in the 30, 100, and 300 mg/kg groups were 16.875 and 9.991 </w:t>
      </w:r>
      <w:proofErr w:type="spellStart"/>
      <w:r>
        <w:rPr>
          <w:rFonts w:ascii="TimesNewRoman" w:eastAsia="TimesNewRoman" w:hAnsiTheme="minorHAnsi" w:cs="TimesNewRoman"/>
          <w:sz w:val="24"/>
          <w:szCs w:val="24"/>
        </w:rPr>
        <w:t>ng</w:t>
      </w:r>
      <w:r>
        <w:rPr>
          <w:rFonts w:ascii="TimesNewRoman" w:eastAsia="TimesNewRoman" w:hAnsiTheme="minorHAnsi" w:cs="TimesNewRoman" w:hint="eastAsia"/>
          <w:sz w:val="24"/>
          <w:szCs w:val="24"/>
        </w:rPr>
        <w:t>∙</w:t>
      </w:r>
      <w:r>
        <w:rPr>
          <w:rFonts w:ascii="TimesNewRoman" w:eastAsia="TimesNewRoman" w:hAnsiTheme="minorHAnsi" w:cs="TimesNewRoman"/>
          <w:sz w:val="24"/>
          <w:szCs w:val="24"/>
        </w:rPr>
        <w:t>h</w:t>
      </w:r>
      <w:proofErr w:type="spellEnd"/>
      <w:r>
        <w:rPr>
          <w:rFonts w:ascii="TimesNewRoman" w:eastAsia="TimesNewRoman" w:hAnsiTheme="minorHAnsi" w:cs="TimesNewRoman"/>
          <w:sz w:val="24"/>
          <w:szCs w:val="24"/>
        </w:rPr>
        <w:t xml:space="preserve">/mL, 24.043 and 35.602 </w:t>
      </w:r>
      <w:proofErr w:type="spellStart"/>
      <w:r>
        <w:rPr>
          <w:rFonts w:ascii="TimesNewRoman" w:eastAsia="TimesNewRoman" w:hAnsiTheme="minorHAnsi" w:cs="TimesNewRoman"/>
          <w:sz w:val="24"/>
          <w:szCs w:val="24"/>
        </w:rPr>
        <w:t>ng</w:t>
      </w:r>
      <w:r>
        <w:rPr>
          <w:rFonts w:ascii="TimesNewRoman" w:eastAsia="TimesNewRoman" w:hAnsiTheme="minorHAnsi" w:cs="TimesNewRoman" w:hint="eastAsia"/>
          <w:sz w:val="24"/>
          <w:szCs w:val="24"/>
        </w:rPr>
        <w:t>∙</w:t>
      </w:r>
      <w:r>
        <w:rPr>
          <w:rFonts w:ascii="TimesNewRoman" w:eastAsia="TimesNewRoman" w:hAnsiTheme="minorHAnsi" w:cs="TimesNewRoman"/>
          <w:sz w:val="24"/>
          <w:szCs w:val="24"/>
        </w:rPr>
        <w:t>h</w:t>
      </w:r>
      <w:proofErr w:type="spellEnd"/>
      <w:r>
        <w:rPr>
          <w:rFonts w:ascii="TimesNewRoman" w:eastAsia="TimesNewRoman" w:hAnsiTheme="minorHAnsi" w:cs="TimesNewRoman"/>
          <w:sz w:val="24"/>
          <w:szCs w:val="24"/>
        </w:rPr>
        <w:t xml:space="preserve">/mL, 27.219 and </w:t>
      </w:r>
      <w:r>
        <w:rPr>
          <w:rFonts w:ascii="TimesNewRoman" w:eastAsia="TimesNewRoman" w:hAnsiTheme="minorHAnsi" w:cs="TimesNewRoman"/>
          <w:sz w:val="24"/>
          <w:szCs w:val="24"/>
        </w:rPr>
        <w:lastRenderedPageBreak/>
        <w:t xml:space="preserve">49.570 </w:t>
      </w:r>
      <w:proofErr w:type="spellStart"/>
      <w:r>
        <w:rPr>
          <w:rFonts w:ascii="TimesNewRoman" w:eastAsia="TimesNewRoman" w:hAnsiTheme="minorHAnsi" w:cs="TimesNewRoman"/>
          <w:sz w:val="24"/>
          <w:szCs w:val="24"/>
        </w:rPr>
        <w:t>ng</w:t>
      </w:r>
      <w:r>
        <w:rPr>
          <w:rFonts w:ascii="TimesNewRoman" w:eastAsia="TimesNewRoman" w:hAnsiTheme="minorHAnsi" w:cs="TimesNewRoman" w:hint="eastAsia"/>
          <w:sz w:val="24"/>
          <w:szCs w:val="24"/>
        </w:rPr>
        <w:t>∙</w:t>
      </w:r>
      <w:r>
        <w:rPr>
          <w:rFonts w:ascii="TimesNewRoman" w:eastAsia="TimesNewRoman" w:hAnsiTheme="minorHAnsi" w:cs="TimesNewRoman"/>
          <w:sz w:val="24"/>
          <w:szCs w:val="24"/>
        </w:rPr>
        <w:t>h</w:t>
      </w:r>
      <w:proofErr w:type="spellEnd"/>
      <w:r>
        <w:rPr>
          <w:rFonts w:ascii="TimesNewRoman" w:eastAsia="TimesNewRoman" w:hAnsiTheme="minorHAnsi" w:cs="TimesNewRoman"/>
          <w:sz w:val="24"/>
          <w:szCs w:val="24"/>
        </w:rPr>
        <w:t xml:space="preserve">/mL, respectively. The </w:t>
      </w:r>
      <w:proofErr w:type="spellStart"/>
      <w:r>
        <w:rPr>
          <w:rFonts w:ascii="TimesNewRoman" w:eastAsia="TimesNewRoman" w:hAnsiTheme="minorHAnsi" w:cs="TimesNewRoman"/>
          <w:sz w:val="24"/>
          <w:szCs w:val="24"/>
        </w:rPr>
        <w:t>Tmax</w:t>
      </w:r>
      <w:proofErr w:type="spellEnd"/>
      <w:r>
        <w:rPr>
          <w:rFonts w:ascii="TimesNewRoman" w:eastAsia="TimesNewRoman" w:hAnsiTheme="minorHAnsi" w:cs="TimesNewRoman"/>
          <w:sz w:val="24"/>
          <w:szCs w:val="24"/>
        </w:rPr>
        <w:t xml:space="preserve"> values were between 0.5 and 1.7 h for both the males and females. On Day 1 and during Week 4, there were no clear differences in the </w:t>
      </w:r>
      <w:proofErr w:type="spellStart"/>
      <w:r>
        <w:rPr>
          <w:rFonts w:ascii="TimesNewRoman" w:eastAsia="TimesNewRoman" w:hAnsiTheme="minorHAnsi" w:cs="TimesNewRoman"/>
          <w:sz w:val="24"/>
          <w:szCs w:val="24"/>
        </w:rPr>
        <w:t>Cmax</w:t>
      </w:r>
      <w:proofErr w:type="spellEnd"/>
      <w:r>
        <w:rPr>
          <w:rFonts w:ascii="TimesNewRoman" w:eastAsia="TimesNewRoman" w:hAnsiTheme="minorHAnsi" w:cs="TimesNewRoman"/>
          <w:sz w:val="24"/>
          <w:szCs w:val="24"/>
        </w:rPr>
        <w:t xml:space="preserve"> or AUC</w:t>
      </w:r>
      <w:r>
        <w:rPr>
          <w:rFonts w:ascii="TimesNewRoman" w:eastAsia="TimesNewRoman" w:hAnsiTheme="minorHAnsi" w:cs="TimesNewRoman"/>
          <w:sz w:val="16"/>
          <w:szCs w:val="16"/>
        </w:rPr>
        <w:t xml:space="preserve">0-24h </w:t>
      </w:r>
      <w:r>
        <w:rPr>
          <w:rFonts w:ascii="TimesNewRoman" w:eastAsia="TimesNewRoman" w:hAnsiTheme="minorHAnsi" w:cs="TimesNewRoman"/>
          <w:sz w:val="24"/>
          <w:szCs w:val="24"/>
        </w:rPr>
        <w:t xml:space="preserve">values among the doses. In addition, comparison of the </w:t>
      </w:r>
      <w:proofErr w:type="spellStart"/>
      <w:r>
        <w:rPr>
          <w:rFonts w:ascii="TimesNewRoman" w:eastAsia="TimesNewRoman" w:hAnsiTheme="minorHAnsi" w:cs="TimesNewRoman"/>
          <w:sz w:val="24"/>
          <w:szCs w:val="24"/>
        </w:rPr>
        <w:t>Cmax</w:t>
      </w:r>
      <w:proofErr w:type="spellEnd"/>
      <w:r>
        <w:rPr>
          <w:rFonts w:ascii="TimesNewRoman" w:eastAsia="TimesNewRoman" w:hAnsiTheme="minorHAnsi" w:cs="TimesNewRoman"/>
          <w:sz w:val="24"/>
          <w:szCs w:val="24"/>
        </w:rPr>
        <w:t xml:space="preserve"> and AUC</w:t>
      </w:r>
      <w:r>
        <w:rPr>
          <w:rFonts w:ascii="TimesNewRoman" w:eastAsia="TimesNewRoman" w:hAnsiTheme="minorHAnsi" w:cs="TimesNewRoman"/>
          <w:sz w:val="16"/>
          <w:szCs w:val="16"/>
        </w:rPr>
        <w:t xml:space="preserve">0-24h </w:t>
      </w:r>
      <w:r>
        <w:rPr>
          <w:rFonts w:ascii="TimesNewRoman" w:eastAsia="TimesNewRoman" w:hAnsiTheme="minorHAnsi" w:cs="TimesNewRoman"/>
          <w:sz w:val="24"/>
          <w:szCs w:val="24"/>
        </w:rPr>
        <w:t>values between Day 1 and Week 4 indicated no clear difference after repeated administration.</w:t>
      </w:r>
    </w:p>
    <w:p w:rsidR="009E3045" w:rsidRDefault="003C4CBB" w:rsidP="003C4CBB">
      <w:pPr>
        <w:adjustRightInd w:val="0"/>
        <w:rPr>
          <w:sz w:val="20"/>
        </w:rPr>
      </w:pPr>
      <w:r>
        <w:rPr>
          <w:rFonts w:ascii="TimesNewRoman" w:eastAsia="TimesNewRoman" w:hAnsiTheme="minorHAnsi" w:cs="TimesNewRoman"/>
          <w:sz w:val="24"/>
          <w:szCs w:val="24"/>
        </w:rPr>
        <w:t>To summarize, the no-observed-adverse-effect-level for this study was judged to be 300 mg/kg/day.</w:t>
      </w:r>
    </w:p>
    <w:sectPr w:rsidR="009E3045">
      <w:headerReference w:type="default" r:id="rId7"/>
      <w:footerReference w:type="default" r:id="rId8"/>
      <w:type w:val="continuous"/>
      <w:pgSz w:w="11910" w:h="16840"/>
      <w:pgMar w:top="1600" w:right="1160" w:bottom="1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809" w:rsidRDefault="00714809">
      <w:r>
        <w:separator/>
      </w:r>
    </w:p>
  </w:endnote>
  <w:endnote w:type="continuationSeparator" w:id="0">
    <w:p w:rsidR="00714809" w:rsidRDefault="0071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
    <w:altName w:val="游ゴシック"/>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809" w:rsidRDefault="00714809">
      <w:r>
        <w:separator/>
      </w:r>
    </w:p>
  </w:footnote>
  <w:footnote w:type="continuationSeparator" w:id="0">
    <w:p w:rsidR="00714809" w:rsidRDefault="00714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041B"/>
    <w:multiLevelType w:val="multilevel"/>
    <w:tmpl w:val="43AC8570"/>
    <w:lvl w:ilvl="0">
      <w:start w:val="1"/>
      <w:numFmt w:val="decimal"/>
      <w:lvlText w:val="%1"/>
      <w:lvlJc w:val="left"/>
      <w:pPr>
        <w:ind w:left="1014" w:hanging="853"/>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numFmt w:val="bullet"/>
      <w:lvlText w:val="•"/>
      <w:lvlJc w:val="left"/>
      <w:pPr>
        <w:ind w:left="3552" w:hanging="851"/>
      </w:pPr>
      <w:rPr>
        <w:rFonts w:hint="default"/>
      </w:rPr>
    </w:lvl>
    <w:lvl w:ilvl="4">
      <w:numFmt w:val="bullet"/>
      <w:lvlText w:val="•"/>
      <w:lvlJc w:val="left"/>
      <w:pPr>
        <w:ind w:left="4396" w:hanging="851"/>
      </w:pPr>
      <w:rPr>
        <w:rFonts w:hint="default"/>
      </w:rPr>
    </w:lvl>
    <w:lvl w:ilvl="5">
      <w:numFmt w:val="bullet"/>
      <w:lvlText w:val="•"/>
      <w:lvlJc w:val="left"/>
      <w:pPr>
        <w:ind w:left="5240" w:hanging="851"/>
      </w:pPr>
      <w:rPr>
        <w:rFonts w:hint="default"/>
      </w:rPr>
    </w:lvl>
    <w:lvl w:ilvl="6">
      <w:numFmt w:val="bullet"/>
      <w:lvlText w:val="•"/>
      <w:lvlJc w:val="left"/>
      <w:pPr>
        <w:ind w:left="6084" w:hanging="851"/>
      </w:pPr>
      <w:rPr>
        <w:rFonts w:hint="default"/>
      </w:rPr>
    </w:lvl>
    <w:lvl w:ilvl="7">
      <w:numFmt w:val="bullet"/>
      <w:lvlText w:val="•"/>
      <w:lvlJc w:val="left"/>
      <w:pPr>
        <w:ind w:left="6928" w:hanging="851"/>
      </w:pPr>
      <w:rPr>
        <w:rFonts w:hint="default"/>
      </w:rPr>
    </w:lvl>
    <w:lvl w:ilvl="8">
      <w:numFmt w:val="bullet"/>
      <w:lvlText w:val="•"/>
      <w:lvlJc w:val="left"/>
      <w:pPr>
        <w:ind w:left="7772" w:hanging="851"/>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01DBD"/>
    <w:rsid w:val="00001DBD"/>
    <w:rsid w:val="00083D57"/>
    <w:rsid w:val="0036647C"/>
    <w:rsid w:val="003C4CBB"/>
    <w:rsid w:val="005B0F03"/>
    <w:rsid w:val="00606991"/>
    <w:rsid w:val="006A243E"/>
    <w:rsid w:val="00714809"/>
    <w:rsid w:val="007F577D"/>
    <w:rsid w:val="00863E02"/>
    <w:rsid w:val="00906441"/>
    <w:rsid w:val="00924518"/>
    <w:rsid w:val="009E3045"/>
    <w:rsid w:val="00A06EA9"/>
    <w:rsid w:val="00A61956"/>
    <w:rsid w:val="00C36F67"/>
    <w:rsid w:val="00E76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C1EFEF3-9400-4396-AA75-E011E5CC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671" w:lineRule="exact"/>
      <w:outlineLvl w:val="0"/>
    </w:pPr>
    <w:rPr>
      <w:rFonts w:ascii="MS UI Gothic" w:eastAsia="MS UI Gothic" w:hAnsi="MS UI Gothic" w:cs="MS UI Gothic"/>
      <w:sz w:val="67"/>
      <w:szCs w:val="67"/>
    </w:rPr>
  </w:style>
  <w:style w:type="paragraph" w:styleId="2">
    <w:name w:val="heading 2"/>
    <w:basedOn w:val="a"/>
    <w:uiPriority w:val="9"/>
    <w:unhideWhenUsed/>
    <w:qFormat/>
    <w:pPr>
      <w:spacing w:before="6"/>
      <w:ind w:left="3551"/>
      <w:outlineLvl w:val="1"/>
    </w:pPr>
    <w:rPr>
      <w:rFonts w:ascii="MS UI Gothic" w:eastAsia="MS UI Gothic" w:hAnsi="MS UI Gothic" w:cs="MS UI Gothic"/>
      <w:sz w:val="66"/>
      <w:szCs w:val="66"/>
    </w:rPr>
  </w:style>
  <w:style w:type="paragraph" w:styleId="3">
    <w:name w:val="heading 3"/>
    <w:basedOn w:val="a"/>
    <w:uiPriority w:val="9"/>
    <w:unhideWhenUsed/>
    <w:qFormat/>
    <w:pPr>
      <w:outlineLvl w:val="2"/>
    </w:pPr>
    <w:rPr>
      <w:rFonts w:ascii="MS UI Gothic" w:eastAsia="MS UI Gothic" w:hAnsi="MS UI Gothic" w:cs="MS UI Gothic"/>
      <w:sz w:val="56"/>
      <w:szCs w:val="56"/>
    </w:rPr>
  </w:style>
  <w:style w:type="paragraph" w:styleId="4">
    <w:name w:val="heading 4"/>
    <w:basedOn w:val="a"/>
    <w:uiPriority w:val="9"/>
    <w:unhideWhenUsed/>
    <w:qFormat/>
    <w:pPr>
      <w:spacing w:line="469" w:lineRule="exact"/>
      <w:outlineLvl w:val="3"/>
    </w:pPr>
    <w:rPr>
      <w:rFonts w:ascii="MS UI Gothic" w:eastAsia="MS UI Gothic" w:hAnsi="MS UI Gothic" w:cs="MS UI Gothic"/>
      <w:sz w:val="47"/>
      <w:szCs w:val="47"/>
    </w:rPr>
  </w:style>
  <w:style w:type="paragraph" w:styleId="5">
    <w:name w:val="heading 5"/>
    <w:basedOn w:val="a"/>
    <w:uiPriority w:val="9"/>
    <w:unhideWhenUsed/>
    <w:qFormat/>
    <w:pPr>
      <w:spacing w:line="441" w:lineRule="exact"/>
      <w:outlineLvl w:val="4"/>
    </w:pPr>
    <w:rPr>
      <w:sz w:val="44"/>
      <w:szCs w:val="44"/>
    </w:rPr>
  </w:style>
  <w:style w:type="paragraph" w:styleId="6">
    <w:name w:val="heading 6"/>
    <w:basedOn w:val="a"/>
    <w:uiPriority w:val="9"/>
    <w:unhideWhenUsed/>
    <w:qFormat/>
    <w:pPr>
      <w:ind w:left="20"/>
      <w:outlineLvl w:val="5"/>
    </w:pPr>
    <w:rPr>
      <w:sz w:val="34"/>
      <w:szCs w:val="34"/>
    </w:rPr>
  </w:style>
  <w:style w:type="paragraph" w:styleId="7">
    <w:name w:val="heading 7"/>
    <w:basedOn w:val="a"/>
    <w:uiPriority w:val="1"/>
    <w:qFormat/>
    <w:pPr>
      <w:ind w:left="20"/>
      <w:outlineLvl w:val="6"/>
    </w:pPr>
    <w:rPr>
      <w:sz w:val="32"/>
      <w:szCs w:val="32"/>
    </w:rPr>
  </w:style>
  <w:style w:type="paragraph" w:styleId="8">
    <w:name w:val="heading 8"/>
    <w:basedOn w:val="a"/>
    <w:uiPriority w:val="1"/>
    <w:qFormat/>
    <w:pPr>
      <w:spacing w:before="63"/>
      <w:ind w:left="106"/>
      <w:outlineLvl w:val="7"/>
    </w:pPr>
    <w:rPr>
      <w:rFonts w:ascii="MS UI Gothic" w:eastAsia="MS UI Gothic" w:hAnsi="MS UI Gothic" w:cs="MS UI Gothic"/>
      <w:sz w:val="30"/>
      <w:szCs w:val="30"/>
    </w:rPr>
  </w:style>
  <w:style w:type="paragraph" w:styleId="9">
    <w:name w:val="heading 9"/>
    <w:basedOn w:val="a"/>
    <w:uiPriority w:val="1"/>
    <w:qFormat/>
    <w:pPr>
      <w:ind w:left="20"/>
      <w:outlineLvl w:val="8"/>
    </w:pPr>
    <w:rPr>
      <w:rFonts w:ascii="Arial" w:eastAsia="Arial" w:hAnsi="Arial" w:cs="Arial"/>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4"/>
      <w:ind w:right="625"/>
      <w:jc w:val="right"/>
    </w:pPr>
    <w:rPr>
      <w:sz w:val="24"/>
      <w:szCs w:val="24"/>
    </w:rPr>
  </w:style>
  <w:style w:type="paragraph" w:styleId="20">
    <w:name w:val="toc 2"/>
    <w:basedOn w:val="a"/>
    <w:uiPriority w:val="1"/>
    <w:qFormat/>
    <w:pPr>
      <w:spacing w:before="144"/>
      <w:ind w:left="869" w:hanging="708"/>
    </w:pPr>
    <w:rPr>
      <w:b/>
      <w:bCs/>
      <w:sz w:val="24"/>
      <w:szCs w:val="24"/>
    </w:rPr>
  </w:style>
  <w:style w:type="paragraph" w:styleId="30">
    <w:name w:val="toc 3"/>
    <w:basedOn w:val="a"/>
    <w:uiPriority w:val="1"/>
    <w:qFormat/>
    <w:pPr>
      <w:spacing w:before="84"/>
      <w:ind w:left="675" w:hanging="406"/>
    </w:pPr>
    <w:rPr>
      <w:sz w:val="24"/>
      <w:szCs w:val="24"/>
    </w:rPr>
  </w:style>
  <w:style w:type="paragraph" w:styleId="40">
    <w:name w:val="toc 4"/>
    <w:basedOn w:val="a"/>
    <w:uiPriority w:val="1"/>
    <w:qFormat/>
    <w:pPr>
      <w:spacing w:before="167"/>
      <w:ind w:left="1296" w:hanging="852"/>
    </w:pPr>
  </w:style>
  <w:style w:type="paragraph" w:styleId="50">
    <w:name w:val="toc 5"/>
    <w:basedOn w:val="a"/>
    <w:uiPriority w:val="1"/>
    <w:qFormat/>
    <w:pPr>
      <w:spacing w:before="24"/>
      <w:ind w:left="617"/>
    </w:pPr>
    <w:rPr>
      <w:sz w:val="24"/>
      <w:szCs w:val="24"/>
    </w:rPr>
  </w:style>
  <w:style w:type="paragraph" w:styleId="60">
    <w:name w:val="toc 6"/>
    <w:basedOn w:val="a"/>
    <w:uiPriority w:val="1"/>
    <w:qFormat/>
    <w:pPr>
      <w:spacing w:before="107"/>
      <w:ind w:left="1721" w:hanging="993"/>
    </w:pPr>
  </w:style>
  <w:style w:type="paragraph" w:styleId="70">
    <w:name w:val="toc 7"/>
    <w:basedOn w:val="a"/>
    <w:uiPriority w:val="1"/>
    <w:qFormat/>
    <w:pPr>
      <w:spacing w:before="47"/>
      <w:ind w:left="1296"/>
    </w:pPr>
  </w:style>
  <w:style w:type="paragraph" w:styleId="a3">
    <w:name w:val="Body Text"/>
    <w:basedOn w:val="a"/>
    <w:uiPriority w:val="1"/>
    <w:qFormat/>
    <w:rPr>
      <w:sz w:val="24"/>
      <w:szCs w:val="24"/>
    </w:rPr>
  </w:style>
  <w:style w:type="paragraph" w:styleId="a4">
    <w:name w:val="List Paragraph"/>
    <w:basedOn w:val="a"/>
    <w:uiPriority w:val="1"/>
    <w:qFormat/>
    <w:pPr>
      <w:ind w:left="1012" w:hanging="851"/>
    </w:pPr>
  </w:style>
  <w:style w:type="paragraph" w:customStyle="1" w:styleId="TableParagraph">
    <w:name w:val="Table Paragraph"/>
    <w:basedOn w:val="a"/>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8BDD87-BF60-4C25-8D53-A40C7EE76338}"/>
</file>

<file path=customXml/itemProps2.xml><?xml version="1.0" encoding="utf-8"?>
<ds:datastoreItem xmlns:ds="http://schemas.openxmlformats.org/officeDocument/2006/customXml" ds:itemID="{BDAB994C-A25A-4A7E-BB01-454DBBC0BB6B}"/>
</file>

<file path=customXml/itemProps3.xml><?xml version="1.0" encoding="utf-8"?>
<ds:datastoreItem xmlns:ds="http://schemas.openxmlformats.org/officeDocument/2006/customXml" ds:itemID="{B48DBB1F-CC44-4053-9F43-CFDED605A9D6}"/>
</file>

<file path=docProps/app.xml><?xml version="1.0" encoding="utf-8"?>
<Properties xmlns="http://schemas.openxmlformats.org/officeDocument/2006/extended-properties" xmlns:vt="http://schemas.openxmlformats.org/officeDocument/2006/docPropsVTypes">
  <Template>Normal</Template>
  <TotalTime>16</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10</cp:revision>
  <dcterms:created xsi:type="dcterms:W3CDTF">2021-06-23T01:53:00Z</dcterms:created>
  <dcterms:modified xsi:type="dcterms:W3CDTF">2021-07-01T01:14:00Z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2008-01-07T00:00:00Z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