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904" w:rsidRDefault="005835E5" w:rsidP="001B33B5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A Bacterial Reverse Mutation Test of </w:t>
      </w:r>
      <w:r w:rsidR="001B33B5">
        <w:rPr>
          <w:b/>
          <w:bCs/>
          <w:kern w:val="0"/>
          <w:sz w:val="32"/>
          <w:szCs w:val="32"/>
        </w:rPr>
        <w:t>Project 3</w:t>
      </w:r>
    </w:p>
    <w:p w:rsidR="005835E5" w:rsidRDefault="005835E5" w:rsidP="008E19B0">
      <w:pPr>
        <w:rPr>
          <w:rFonts w:ascii="TimesNewRoman,Bold" w:eastAsia="TimesNewRoman,Bold" w:cs="TimesNewRoman,Bold"/>
          <w:b/>
          <w:bCs/>
          <w:kern w:val="0"/>
          <w:sz w:val="32"/>
          <w:szCs w:val="32"/>
        </w:rPr>
      </w:pPr>
    </w:p>
    <w:p w:rsidR="002206D5" w:rsidRDefault="002206D5" w:rsidP="002206D5">
      <w:pPr>
        <w:autoSpaceDE w:val="0"/>
        <w:autoSpaceDN w:val="0"/>
        <w:adjustRightInd w:val="0"/>
        <w:jc w:val="left"/>
        <w:rPr>
          <w:b/>
          <w:bCs/>
          <w:kern w:val="0"/>
          <w:sz w:val="28"/>
          <w:szCs w:val="28"/>
        </w:rPr>
      </w:pPr>
      <w:r>
        <w:rPr>
          <w:b/>
          <w:bCs/>
          <w:kern w:val="0"/>
          <w:sz w:val="28"/>
          <w:szCs w:val="28"/>
        </w:rPr>
        <w:t>10 SUMMARY AND CONCLUSION</w:t>
      </w:r>
    </w:p>
    <w:p w:rsidR="002206D5" w:rsidRDefault="002206D5" w:rsidP="002206D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In order to assess the potential of </w:t>
      </w:r>
      <w:r w:rsidR="001B33B5">
        <w:rPr>
          <w:rFonts w:ascii="TimesNewRomanPSMT" w:hAnsi="TimesNewRomanPSMT" w:cs="TimesNewRomanPSMT"/>
          <w:kern w:val="0"/>
          <w:szCs w:val="24"/>
        </w:rPr>
        <w:t>Project 3</w:t>
      </w:r>
      <w:r>
        <w:rPr>
          <w:rFonts w:ascii="TimesNewRomanPSMT" w:hAnsi="TimesNewRomanPSMT" w:cs="TimesNewRomanPSMT"/>
          <w:kern w:val="0"/>
          <w:szCs w:val="24"/>
        </w:rPr>
        <w:t xml:space="preserve"> to induce gene mutation, a bacterial reverse mutation test was performed with 5 strains of bacteria [</w:t>
      </w:r>
      <w:r>
        <w:rPr>
          <w:i/>
          <w:iCs/>
          <w:kern w:val="0"/>
          <w:szCs w:val="24"/>
        </w:rPr>
        <w:t xml:space="preserve">Salmonella typhimurium </w:t>
      </w:r>
      <w:r>
        <w:rPr>
          <w:rFonts w:ascii="TimesNewRomanPSMT" w:hAnsi="TimesNewRomanPSMT" w:cs="TimesNewRomanPSMT"/>
          <w:kern w:val="0"/>
          <w:szCs w:val="24"/>
        </w:rPr>
        <w:t xml:space="preserve">(TA98, TA100, TA1535, and TA1537) and </w:t>
      </w:r>
      <w:r>
        <w:rPr>
          <w:i/>
          <w:iCs/>
          <w:kern w:val="0"/>
          <w:szCs w:val="24"/>
        </w:rPr>
        <w:t xml:space="preserve">Escherichia coli </w:t>
      </w:r>
      <w:r>
        <w:rPr>
          <w:rFonts w:ascii="TimesNewRomanPSMT" w:hAnsi="TimesNewRomanPSMT" w:cs="TimesNewRomanPSMT"/>
          <w:kern w:val="0"/>
          <w:szCs w:val="24"/>
        </w:rPr>
        <w:t>(WP2</w:t>
      </w:r>
      <w:r>
        <w:rPr>
          <w:i/>
          <w:iCs/>
          <w:kern w:val="0"/>
          <w:szCs w:val="24"/>
        </w:rPr>
        <w:t>uvrA</w:t>
      </w:r>
      <w:r>
        <w:rPr>
          <w:rFonts w:ascii="TimesNewRomanPSMT" w:hAnsi="TimesNewRomanPSMT" w:cs="TimesNewRomanPSMT"/>
          <w:kern w:val="0"/>
          <w:szCs w:val="24"/>
        </w:rPr>
        <w:t>)], using the pre-incubation method with and without metabolic activation. A vehicle (Dimethyl sulfoxide) and 4 known mutagenic compounds were selected as the negative control and positive control articles, respectively. The dose-finding test and the main test were performed at the following dose levels:</w:t>
      </w:r>
    </w:p>
    <w:p w:rsidR="002206D5" w:rsidRDefault="002206D5" w:rsidP="002206D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Dose-finding test:</w:t>
      </w:r>
    </w:p>
    <w:p w:rsidR="002206D5" w:rsidRDefault="002206D5" w:rsidP="002206D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Without and with metabolic activation</w:t>
      </w:r>
    </w:p>
    <w:p w:rsidR="002206D5" w:rsidRDefault="002206D5" w:rsidP="002206D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5, 15, 50, 150, 500, 1500, and 5000 μg/plate as </w:t>
      </w:r>
      <w:r w:rsidR="001B33B5">
        <w:rPr>
          <w:rFonts w:ascii="TimesNewRomanPSMT" w:hAnsi="TimesNewRomanPSMT" w:cs="TimesNewRomanPSMT"/>
          <w:kern w:val="0"/>
          <w:szCs w:val="24"/>
        </w:rPr>
        <w:t>PROJECT 3</w:t>
      </w:r>
      <w:r>
        <w:rPr>
          <w:rFonts w:ascii="TimesNewRomanPSMT" w:hAnsi="TimesNewRomanPSMT" w:cs="TimesNewRomanPSMT"/>
          <w:kern w:val="0"/>
          <w:szCs w:val="24"/>
        </w:rPr>
        <w:t xml:space="preserve"> (all test strains)</w:t>
      </w:r>
    </w:p>
    <w:p w:rsidR="002206D5" w:rsidRDefault="002206D5" w:rsidP="002206D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Main test:</w:t>
      </w:r>
    </w:p>
    <w:p w:rsidR="002206D5" w:rsidRDefault="002206D5" w:rsidP="002206D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Without and with metabolic activation</w:t>
      </w:r>
    </w:p>
    <w:p w:rsidR="002206D5" w:rsidRDefault="002206D5" w:rsidP="002206D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78.1, 156, 313, 625, 1250, 2500, and 5000 μg/plate as </w:t>
      </w:r>
      <w:r w:rsidR="001B33B5">
        <w:rPr>
          <w:rFonts w:ascii="TimesNewRomanPSMT" w:hAnsi="TimesNewRomanPSMT" w:cs="TimesNewRomanPSMT"/>
          <w:kern w:val="0"/>
          <w:szCs w:val="24"/>
        </w:rPr>
        <w:t>PROJECT 3</w:t>
      </w:r>
      <w:r>
        <w:rPr>
          <w:rFonts w:ascii="TimesNewRomanPSMT" w:hAnsi="TimesNewRomanPSMT" w:cs="TimesNewRomanPSMT"/>
          <w:kern w:val="0"/>
          <w:szCs w:val="24"/>
        </w:rPr>
        <w:t xml:space="preserve"> (all test strains)</w:t>
      </w:r>
    </w:p>
    <w:p w:rsidR="002206D5" w:rsidRDefault="002206D5" w:rsidP="002206D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• In comparison with the negative control, a 2-fold or greater increase in the number of revertant colonies was not observed in any test strain in the dose-finding test or the main test, without or with metabolic activation.</w:t>
      </w:r>
    </w:p>
    <w:p w:rsidR="008E19B0" w:rsidRDefault="002206D5" w:rsidP="002206D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• Growth inhibition in the dose-finding test was observed at 1500 μg/plate and greater in TA98, TA100, TA1535, and TA1537 and at 5000 μg/plate in WP2</w:t>
      </w:r>
      <w:r>
        <w:rPr>
          <w:i/>
          <w:iCs/>
          <w:kern w:val="0"/>
          <w:szCs w:val="24"/>
        </w:rPr>
        <w:t xml:space="preserve">uvrA </w:t>
      </w:r>
      <w:r>
        <w:rPr>
          <w:rFonts w:ascii="TimesNewRomanPSMT" w:hAnsi="TimesNewRomanPSMT" w:cs="TimesNewRomanPSMT"/>
          <w:kern w:val="0"/>
          <w:szCs w:val="24"/>
        </w:rPr>
        <w:t>without metabolic activation, and at 1500 μg/plate and greater in all test strains with metabolic activation. In the main test, growth inhibition was observed at 1250 μg/plate and greater in TA100, TA1535, and TA1537, at 2500 μg/plate and greater in TA98, and at 5000 μg/plate in WP2</w:t>
      </w:r>
      <w:r>
        <w:rPr>
          <w:i/>
          <w:iCs/>
          <w:kern w:val="0"/>
          <w:szCs w:val="24"/>
        </w:rPr>
        <w:t xml:space="preserve">uvrA </w:t>
      </w:r>
      <w:r>
        <w:rPr>
          <w:rFonts w:ascii="TimesNewRomanPSMT" w:hAnsi="TimesNewRomanPSMT" w:cs="TimesNewRomanPSMT"/>
          <w:kern w:val="0"/>
          <w:szCs w:val="24"/>
        </w:rPr>
        <w:t>without metabolic activation, and at 1250 μg/plate and greater in TA100, TA1535, and TA1537 and at 2500 μg/plate and greater in TA98 and WP2</w:t>
      </w:r>
      <w:r>
        <w:rPr>
          <w:i/>
          <w:iCs/>
          <w:kern w:val="0"/>
          <w:szCs w:val="24"/>
        </w:rPr>
        <w:t xml:space="preserve">uvrA </w:t>
      </w:r>
      <w:r>
        <w:rPr>
          <w:rFonts w:ascii="TimesNewRomanPSMT" w:hAnsi="TimesNewRomanPSMT" w:cs="TimesNewRomanPSMT"/>
          <w:kern w:val="0"/>
          <w:szCs w:val="24"/>
        </w:rPr>
        <w:t>with metabolic activation.</w:t>
      </w:r>
    </w:p>
    <w:p w:rsidR="002206D5" w:rsidRDefault="002206D5" w:rsidP="002206D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• On the plates after incubation for 48 hours, test article precipitation was observed at 5000 μg/plate without and with metabolic activation in the dose-finding test. In the main test, test article precipitation was observed at 2500 μg/plate and greater and 5000 μg/plate without and with metabolic activation, respectively.</w:t>
      </w:r>
    </w:p>
    <w:p w:rsidR="002206D5" w:rsidRDefault="002206D5" w:rsidP="002206D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• The number of revertant colonies in both the negative and positive controls was within the range (mean ± 3SD) of the background data of SNBL DSR. Accordingly, it was judged that this study was performed satisfactorily.</w:t>
      </w:r>
    </w:p>
    <w:p w:rsidR="002206D5" w:rsidRPr="006C2900" w:rsidRDefault="002206D5" w:rsidP="002206D5">
      <w:pPr>
        <w:autoSpaceDE w:val="0"/>
        <w:autoSpaceDN w:val="0"/>
        <w:adjustRightInd w:val="0"/>
        <w:jc w:val="left"/>
        <w:rPr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It was concluded that, under the conditions of this study, </w:t>
      </w:r>
      <w:r w:rsidR="001B33B5">
        <w:rPr>
          <w:rFonts w:ascii="TimesNewRomanPSMT" w:hAnsi="TimesNewRomanPSMT" w:cs="TimesNewRomanPSMT"/>
          <w:kern w:val="0"/>
          <w:szCs w:val="24"/>
        </w:rPr>
        <w:t>Project 3</w:t>
      </w:r>
      <w:r w:rsidR="001B33B5">
        <w:rPr>
          <w:rFonts w:ascii="TimesNewRomanPSMT" w:hAnsi="TimesNewRomanPSMT" w:cs="TimesNewRomanPSMT" w:hint="eastAsia"/>
          <w:kern w:val="0"/>
          <w:szCs w:val="24"/>
        </w:rPr>
        <w:t xml:space="preserve"> </w:t>
      </w:r>
      <w:bookmarkStart w:id="0" w:name="_GoBack"/>
      <w:bookmarkEnd w:id="0"/>
      <w:r>
        <w:rPr>
          <w:rFonts w:ascii="TimesNewRomanPSMT" w:hAnsi="TimesNewRomanPSMT" w:cs="TimesNewRomanPSMT"/>
          <w:kern w:val="0"/>
          <w:szCs w:val="24"/>
        </w:rPr>
        <w:t>did not induce gene mutation in bacteria.</w:t>
      </w:r>
    </w:p>
    <w:sectPr w:rsidR="002206D5" w:rsidRPr="006C2900" w:rsidSect="00E62016">
      <w:pgSz w:w="11906" w:h="16838" w:code="9"/>
      <w:pgMar w:top="1418" w:right="851" w:bottom="1418" w:left="851" w:header="851" w:footer="851" w:gutter="567"/>
      <w:cols w:space="425"/>
      <w:docGrid w:type="linesAndChars" w:linePitch="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VerticalSpacing w:val="175"/>
  <w:displayHorizontalDrawingGridEvery w:val="0"/>
  <w:displayVerticalDrawingGridEvery w:val="2"/>
  <w:characterSpacingControl w:val="compressPunctuation"/>
  <w:strictFirstAndLastChars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B0"/>
    <w:rsid w:val="001B33B5"/>
    <w:rsid w:val="002206D5"/>
    <w:rsid w:val="00280895"/>
    <w:rsid w:val="002C7EB3"/>
    <w:rsid w:val="00305291"/>
    <w:rsid w:val="00361285"/>
    <w:rsid w:val="003F667A"/>
    <w:rsid w:val="005835E5"/>
    <w:rsid w:val="006C2900"/>
    <w:rsid w:val="006D672D"/>
    <w:rsid w:val="00714904"/>
    <w:rsid w:val="008E19B0"/>
    <w:rsid w:val="00953BD7"/>
    <w:rsid w:val="00D87BA5"/>
    <w:rsid w:val="00E6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5E5482"/>
  <w15:chartTrackingRefBased/>
  <w15:docId w15:val="{B049CB38-DDA4-4213-888E-F97547B1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ＭＳ 明朝" w:hAnsi="Times New Roman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BA5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4D066D-8D38-4387-AD1B-745954F96263}"/>
</file>

<file path=customXml/itemProps2.xml><?xml version="1.0" encoding="utf-8"?>
<ds:datastoreItem xmlns:ds="http://schemas.openxmlformats.org/officeDocument/2006/customXml" ds:itemID="{2A3DB29F-BE20-413F-8672-EC9ED5C38306}"/>
</file>

<file path=customXml/itemProps3.xml><?xml version="1.0" encoding="utf-8"?>
<ds:datastoreItem xmlns:ds="http://schemas.openxmlformats.org/officeDocument/2006/customXml" ds:itemID="{4EEE4FC9-1383-452D-B2B4-D00DB05FEE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Watanabe, Yudai(渡辺 雄大)</dc:creator>
  <cp:keywords/>
  <dc:description/>
  <cp:lastModifiedBy>Watanabe, Yudai(渡辺 雄大)</cp:lastModifiedBy>
  <cp:revision>4</cp:revision>
  <dcterms:created xsi:type="dcterms:W3CDTF">2021-06-23T13:01:00Z</dcterms:created>
  <dcterms:modified xsi:type="dcterms:W3CDTF">2021-07-01T01:44:00Z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0x0101007EA8C9399C6F4249AB6A1823D3F13C35</vt:lpwstr>
  </property>
</Properties>
</file>