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004" w:rsidRPr="009F2004" w:rsidRDefault="009F2004" w:rsidP="009F2004">
      <w:pPr>
        <w:pStyle w:val="a4"/>
        <w:numPr>
          <w:ilvl w:val="0"/>
          <w:numId w:val="12"/>
        </w:numPr>
        <w:tabs>
          <w:tab w:val="left" w:pos="1098"/>
          <w:tab w:val="left" w:pos="1099"/>
        </w:tabs>
        <w:spacing w:before="120"/>
        <w:outlineLvl w:val="2"/>
        <w:rPr>
          <w:b/>
          <w:bCs/>
          <w:vanish/>
          <w:sz w:val="24"/>
          <w:szCs w:val="24"/>
        </w:rPr>
      </w:pPr>
      <w:bookmarkStart w:id="0" w:name="4.2.2.2_Safety_Pharmacology"/>
      <w:bookmarkStart w:id="1" w:name="_bookmark24"/>
      <w:bookmarkEnd w:id="0"/>
      <w:bookmarkEnd w:id="1"/>
    </w:p>
    <w:p w:rsidR="009F2004" w:rsidRPr="009F2004" w:rsidRDefault="009F2004" w:rsidP="009F2004">
      <w:pPr>
        <w:pStyle w:val="a4"/>
        <w:numPr>
          <w:ilvl w:val="0"/>
          <w:numId w:val="12"/>
        </w:numPr>
        <w:tabs>
          <w:tab w:val="left" w:pos="1098"/>
          <w:tab w:val="left" w:pos="1099"/>
        </w:tabs>
        <w:spacing w:before="120"/>
        <w:outlineLvl w:val="2"/>
        <w:rPr>
          <w:b/>
          <w:bCs/>
          <w:vanish/>
          <w:sz w:val="24"/>
          <w:szCs w:val="24"/>
        </w:rPr>
      </w:pPr>
    </w:p>
    <w:p w:rsidR="009F2004" w:rsidRPr="009F2004" w:rsidRDefault="009F2004" w:rsidP="009F2004">
      <w:pPr>
        <w:pStyle w:val="a4"/>
        <w:numPr>
          <w:ilvl w:val="0"/>
          <w:numId w:val="12"/>
        </w:numPr>
        <w:tabs>
          <w:tab w:val="left" w:pos="1098"/>
          <w:tab w:val="left" w:pos="1099"/>
        </w:tabs>
        <w:spacing w:before="120"/>
        <w:outlineLvl w:val="2"/>
        <w:rPr>
          <w:b/>
          <w:bCs/>
          <w:vanish/>
          <w:sz w:val="24"/>
          <w:szCs w:val="24"/>
        </w:rPr>
      </w:pPr>
    </w:p>
    <w:p w:rsidR="009F2004" w:rsidRPr="009F2004" w:rsidRDefault="009F2004" w:rsidP="009F2004">
      <w:pPr>
        <w:pStyle w:val="a4"/>
        <w:numPr>
          <w:ilvl w:val="0"/>
          <w:numId w:val="12"/>
        </w:numPr>
        <w:tabs>
          <w:tab w:val="left" w:pos="1098"/>
          <w:tab w:val="left" w:pos="1099"/>
        </w:tabs>
        <w:spacing w:before="120"/>
        <w:outlineLvl w:val="2"/>
        <w:rPr>
          <w:b/>
          <w:bCs/>
          <w:vanish/>
          <w:sz w:val="24"/>
          <w:szCs w:val="24"/>
        </w:rPr>
      </w:pPr>
    </w:p>
    <w:p w:rsidR="009F2004" w:rsidRPr="009F2004" w:rsidRDefault="009F2004" w:rsidP="009F2004">
      <w:pPr>
        <w:pStyle w:val="a4"/>
        <w:numPr>
          <w:ilvl w:val="1"/>
          <w:numId w:val="12"/>
        </w:numPr>
        <w:tabs>
          <w:tab w:val="left" w:pos="1098"/>
          <w:tab w:val="left" w:pos="1099"/>
        </w:tabs>
        <w:spacing w:before="120"/>
        <w:outlineLvl w:val="2"/>
        <w:rPr>
          <w:b/>
          <w:bCs/>
          <w:vanish/>
          <w:sz w:val="24"/>
          <w:szCs w:val="24"/>
        </w:rPr>
      </w:pPr>
    </w:p>
    <w:p w:rsidR="009F2004" w:rsidRPr="009F2004" w:rsidRDefault="009F2004" w:rsidP="009F2004">
      <w:pPr>
        <w:pStyle w:val="a4"/>
        <w:numPr>
          <w:ilvl w:val="1"/>
          <w:numId w:val="12"/>
        </w:numPr>
        <w:tabs>
          <w:tab w:val="left" w:pos="1098"/>
          <w:tab w:val="left" w:pos="1099"/>
        </w:tabs>
        <w:spacing w:before="120"/>
        <w:outlineLvl w:val="2"/>
        <w:rPr>
          <w:b/>
          <w:bCs/>
          <w:vanish/>
          <w:sz w:val="24"/>
          <w:szCs w:val="24"/>
        </w:rPr>
      </w:pPr>
    </w:p>
    <w:p w:rsidR="009F2004" w:rsidRPr="009F2004" w:rsidRDefault="009F2004" w:rsidP="009F2004">
      <w:pPr>
        <w:pStyle w:val="a4"/>
        <w:numPr>
          <w:ilvl w:val="2"/>
          <w:numId w:val="12"/>
        </w:numPr>
        <w:tabs>
          <w:tab w:val="left" w:pos="1098"/>
          <w:tab w:val="left" w:pos="1099"/>
        </w:tabs>
        <w:spacing w:before="120"/>
        <w:outlineLvl w:val="2"/>
        <w:rPr>
          <w:b/>
          <w:bCs/>
          <w:vanish/>
          <w:sz w:val="24"/>
          <w:szCs w:val="24"/>
        </w:rPr>
      </w:pPr>
    </w:p>
    <w:p w:rsidR="009F2004" w:rsidRPr="009F2004" w:rsidRDefault="009F2004" w:rsidP="009F2004">
      <w:pPr>
        <w:pStyle w:val="a4"/>
        <w:numPr>
          <w:ilvl w:val="2"/>
          <w:numId w:val="12"/>
        </w:numPr>
        <w:tabs>
          <w:tab w:val="left" w:pos="1098"/>
          <w:tab w:val="left" w:pos="1099"/>
        </w:tabs>
        <w:spacing w:before="120"/>
        <w:outlineLvl w:val="2"/>
        <w:rPr>
          <w:b/>
          <w:bCs/>
          <w:vanish/>
          <w:sz w:val="24"/>
          <w:szCs w:val="24"/>
        </w:rPr>
      </w:pPr>
    </w:p>
    <w:p w:rsidR="009F2004" w:rsidRPr="009F2004" w:rsidRDefault="009F2004" w:rsidP="009F2004">
      <w:pPr>
        <w:pStyle w:val="a4"/>
        <w:numPr>
          <w:ilvl w:val="3"/>
          <w:numId w:val="12"/>
        </w:numPr>
        <w:tabs>
          <w:tab w:val="left" w:pos="1098"/>
          <w:tab w:val="left" w:pos="1099"/>
        </w:tabs>
        <w:spacing w:before="120"/>
        <w:outlineLvl w:val="2"/>
        <w:rPr>
          <w:b/>
          <w:bCs/>
          <w:vanish/>
          <w:sz w:val="24"/>
          <w:szCs w:val="24"/>
        </w:rPr>
      </w:pPr>
    </w:p>
    <w:p w:rsidR="0027470E" w:rsidRDefault="00320041" w:rsidP="009F2004">
      <w:pPr>
        <w:pStyle w:val="3"/>
        <w:numPr>
          <w:ilvl w:val="3"/>
          <w:numId w:val="12"/>
        </w:numPr>
        <w:tabs>
          <w:tab w:val="left" w:pos="1098"/>
          <w:tab w:val="left" w:pos="1099"/>
        </w:tabs>
        <w:spacing w:before="120"/>
      </w:pPr>
      <w:r>
        <w:t>Safety</w:t>
      </w:r>
      <w:r>
        <w:rPr>
          <w:spacing w:val="-2"/>
        </w:rPr>
        <w:t xml:space="preserve"> </w:t>
      </w:r>
      <w:r>
        <w:t>Pharmacology</w:t>
      </w:r>
    </w:p>
    <w:p w:rsidR="0027470E" w:rsidRDefault="00DC0254">
      <w:pPr>
        <w:pStyle w:val="a3"/>
        <w:spacing w:before="140" w:line="261" w:lineRule="auto"/>
        <w:ind w:left="234" w:right="1639"/>
      </w:pPr>
      <w:r>
        <w:t>PROJECT 4</w:t>
      </w:r>
      <w:r w:rsidR="00320041">
        <w:t xml:space="preserve"> has been evaluated in 4 core safety pharmacology studies. A detailed description of these studies and their results can be found in End-of-Text Table 1.2. Key findings are discussed below.</w:t>
      </w:r>
    </w:p>
    <w:p w:rsidR="0027470E" w:rsidRDefault="00320041">
      <w:pPr>
        <w:pStyle w:val="3"/>
        <w:numPr>
          <w:ilvl w:val="4"/>
          <w:numId w:val="12"/>
        </w:numPr>
        <w:tabs>
          <w:tab w:val="left" w:pos="1386"/>
          <w:tab w:val="left" w:pos="1387"/>
        </w:tabs>
        <w:spacing w:before="122"/>
      </w:pPr>
      <w:bookmarkStart w:id="2" w:name="4.2.2.2.1_CNS_Safety_Pharmacology"/>
      <w:bookmarkStart w:id="3" w:name="_bookmark25"/>
      <w:bookmarkEnd w:id="2"/>
      <w:bookmarkEnd w:id="3"/>
      <w:r>
        <w:t>CNS Safety</w:t>
      </w:r>
      <w:r>
        <w:rPr>
          <w:spacing w:val="-3"/>
        </w:rPr>
        <w:t xml:space="preserve"> </w:t>
      </w:r>
      <w:r>
        <w:t>Pharmacology</w:t>
      </w:r>
    </w:p>
    <w:p w:rsidR="0027470E" w:rsidRDefault="00320041">
      <w:pPr>
        <w:pStyle w:val="a4"/>
        <w:numPr>
          <w:ilvl w:val="5"/>
          <w:numId w:val="11"/>
        </w:numPr>
        <w:tabs>
          <w:tab w:val="left" w:pos="1530"/>
          <w:tab w:val="left" w:pos="1531"/>
        </w:tabs>
        <w:spacing w:before="167"/>
        <w:rPr>
          <w:b/>
        </w:rPr>
      </w:pPr>
      <w:bookmarkStart w:id="4" w:name="4.2.2.2.1.1_Rats"/>
      <w:bookmarkStart w:id="5" w:name="_bookmark26"/>
      <w:bookmarkEnd w:id="4"/>
      <w:bookmarkEnd w:id="5"/>
      <w:r>
        <w:rPr>
          <w:b/>
        </w:rPr>
        <w:t>Rats</w:t>
      </w:r>
    </w:p>
    <w:p w:rsidR="0027470E" w:rsidRDefault="00320041">
      <w:pPr>
        <w:pStyle w:val="a3"/>
        <w:spacing w:before="139" w:line="261" w:lineRule="auto"/>
        <w:ind w:left="234" w:right="1541"/>
      </w:pPr>
      <w:r>
        <w:t xml:space="preserve">The potential effect of </w:t>
      </w:r>
      <w:r w:rsidR="00DC0254">
        <w:t>PROJECT 4</w:t>
      </w:r>
      <w:r>
        <w:t xml:space="preserve"> hydrobromide on the central nervous system was evaluated in a GLP modified-Irwin test in rats (Company Report </w:t>
      </w:r>
      <w:r w:rsidR="00DC0254">
        <w:t>Project 4</w:t>
      </w:r>
      <w:r>
        <w:t xml:space="preserve">-PT-0001). Animals were administered vehicle (0.5% w/v MC suspension) or </w:t>
      </w:r>
      <w:r w:rsidR="00DC0254">
        <w:t>PROJECT 4</w:t>
      </w:r>
      <w:r>
        <w:t xml:space="preserve"> (10, 30 and 100 mg/kg) and were then monitored for general physical condition and behavior. </w:t>
      </w:r>
      <w:r w:rsidR="00DC0254">
        <w:t>PROJECT 4</w:t>
      </w:r>
      <w:r>
        <w:t xml:space="preserve"> concentrations in plasma were determined to detect systemic exposure.</w:t>
      </w:r>
    </w:p>
    <w:p w:rsidR="00320041" w:rsidRDefault="00DC0254" w:rsidP="00320041">
      <w:pPr>
        <w:pStyle w:val="a3"/>
        <w:spacing w:before="116" w:line="261" w:lineRule="auto"/>
        <w:ind w:left="234" w:right="1487"/>
      </w:pPr>
      <w:r>
        <w:t>PROJECT 4</w:t>
      </w:r>
      <w:r w:rsidR="00320041">
        <w:t xml:space="preserve"> at 10 mg/kg had no effect on general physical condition or behavior. However, at 30 mg/kg, an increase in locomotion and slight staggering gait were observed as early as 15 minutes after dosing. At 100 mg/kg, rats developed a prone position, an increase in locomotion with a slight or severe staggering gait, and loss of the righting reflex. These changes at 30 and 100 mg/kg disappeared by 2 and 6 hours after dosing, respectively. In the 100 mg/kg group, lacrimation was observed as early as 2 hours after dosing.</w:t>
      </w:r>
    </w:p>
    <w:p w:rsidR="0027470E" w:rsidRDefault="00320041" w:rsidP="00320041">
      <w:pPr>
        <w:pStyle w:val="a3"/>
        <w:spacing w:before="116" w:line="261" w:lineRule="auto"/>
        <w:ind w:left="234" w:right="1487"/>
      </w:pPr>
      <w:r>
        <w:t xml:space="preserve">Toxicokinetics results for the 10, 30 and 100 mg/kg groups showed that </w:t>
      </w:r>
      <w:proofErr w:type="spellStart"/>
      <w:r>
        <w:t>C</w:t>
      </w:r>
      <w:r>
        <w:rPr>
          <w:vertAlign w:val="subscript"/>
        </w:rPr>
        <w:t>max</w:t>
      </w:r>
      <w:proofErr w:type="spellEnd"/>
      <w:r>
        <w:t xml:space="preserve"> and the area under the plasma </w:t>
      </w:r>
      <w:r w:rsidR="00DC0254">
        <w:t>PROJECT 4</w:t>
      </w:r>
      <w:r>
        <w:t xml:space="preserve"> concentration versus time curve from time 0 to 24 hours (AUC</w:t>
      </w:r>
      <w:r>
        <w:rPr>
          <w:vertAlign w:val="subscript"/>
        </w:rPr>
        <w:t>24</w:t>
      </w:r>
      <w:r>
        <w:t xml:space="preserve">) increased greater than dose proportionally. No dose-dependent difference was noted in the time to reach </w:t>
      </w:r>
      <w:proofErr w:type="spellStart"/>
      <w:r>
        <w:t>C</w:t>
      </w:r>
      <w:r>
        <w:rPr>
          <w:vertAlign w:val="subscript"/>
        </w:rPr>
        <w:t>max</w:t>
      </w:r>
      <w:proofErr w:type="spellEnd"/>
      <w:r>
        <w:t xml:space="preserve"> (</w:t>
      </w:r>
      <w:proofErr w:type="spellStart"/>
      <w:r>
        <w:t>t</w:t>
      </w:r>
      <w:r>
        <w:rPr>
          <w:vertAlign w:val="subscript"/>
        </w:rPr>
        <w:t>max</w:t>
      </w:r>
      <w:proofErr w:type="spellEnd"/>
      <w:r>
        <w:t xml:space="preserve">) of </w:t>
      </w:r>
      <w:r w:rsidR="00DC0254">
        <w:t>PROJECT 4</w:t>
      </w:r>
      <w:r>
        <w:t>.</w:t>
      </w:r>
    </w:p>
    <w:p w:rsidR="0027470E" w:rsidRDefault="00320041">
      <w:pPr>
        <w:pStyle w:val="a3"/>
        <w:spacing w:before="117" w:line="261" w:lineRule="auto"/>
        <w:ind w:left="234" w:right="1566"/>
      </w:pPr>
      <w:r>
        <w:t xml:space="preserve">It was thus concluded that under the conditions of this study, single oral dosing of </w:t>
      </w:r>
      <w:r w:rsidR="00DC0254">
        <w:t>PROJECT 4</w:t>
      </w:r>
      <w:r>
        <w:t xml:space="preserve"> hydrobromide at 30 mg/kg and greater to rats induced CNS effects.</w:t>
      </w:r>
    </w:p>
    <w:p w:rsidR="0027470E" w:rsidRDefault="00320041">
      <w:pPr>
        <w:pStyle w:val="a4"/>
        <w:numPr>
          <w:ilvl w:val="5"/>
          <w:numId w:val="11"/>
        </w:numPr>
        <w:tabs>
          <w:tab w:val="left" w:pos="1530"/>
          <w:tab w:val="left" w:pos="1531"/>
        </w:tabs>
        <w:spacing w:before="146"/>
        <w:rPr>
          <w:b/>
        </w:rPr>
      </w:pPr>
      <w:bookmarkStart w:id="6" w:name="4.2.2.2.1.2_Cynomolgus_Monkeys"/>
      <w:bookmarkStart w:id="7" w:name="_bookmark27"/>
      <w:bookmarkEnd w:id="6"/>
      <w:bookmarkEnd w:id="7"/>
      <w:r>
        <w:rPr>
          <w:b/>
        </w:rPr>
        <w:t>Cynomolgus</w:t>
      </w:r>
      <w:r>
        <w:rPr>
          <w:b/>
          <w:spacing w:val="-4"/>
        </w:rPr>
        <w:t xml:space="preserve"> </w:t>
      </w:r>
      <w:r>
        <w:rPr>
          <w:b/>
        </w:rPr>
        <w:t>Monkeys</w:t>
      </w:r>
    </w:p>
    <w:p w:rsidR="0027470E" w:rsidRDefault="00320041">
      <w:pPr>
        <w:pStyle w:val="a3"/>
        <w:spacing w:before="139" w:line="261" w:lineRule="auto"/>
        <w:ind w:left="234" w:right="1639"/>
      </w:pPr>
      <w:r>
        <w:t xml:space="preserve">In a GLP safety pharmacology study conducted in cynomolgus monkeys, the effect of </w:t>
      </w:r>
      <w:r w:rsidR="00DC0254">
        <w:t>PROJECT 4</w:t>
      </w:r>
      <w:r>
        <w:t xml:space="preserve"> was evaluated in 4 unanesthetized males at doses of 0 (vehicle, 0.5% w/v MC suspension), 1, 10 and 30 mg/kg (Company Report </w:t>
      </w:r>
      <w:r w:rsidR="00DC0254">
        <w:t>Project 4</w:t>
      </w:r>
      <w:r>
        <w:t xml:space="preserve">-PT-0002). Dosing was performed in a crossover design on days 1, 8, 15 and 22 (first to fourth dosing). </w:t>
      </w:r>
      <w:r w:rsidR="00DC0254">
        <w:t>PROJECT 4</w:t>
      </w:r>
      <w:r>
        <w:t xml:space="preserve"> concentrations in plasma were measured to define systemic exposure.</w:t>
      </w:r>
    </w:p>
    <w:p w:rsidR="0027470E" w:rsidRDefault="00320041">
      <w:pPr>
        <w:pStyle w:val="a3"/>
        <w:spacing w:before="116" w:line="261" w:lineRule="auto"/>
        <w:ind w:left="234" w:right="1351"/>
      </w:pPr>
      <w:r>
        <w:t xml:space="preserve">There were no </w:t>
      </w:r>
      <w:r w:rsidR="00DC0254">
        <w:t>PROJECT 4</w:t>
      </w:r>
      <w:r>
        <w:t>-related changes to the intra-abdominal body temperature at 1 mg/kg, but at 10 and 30 mg/kg, intra-abdominal body temperature decreased between 1 and 8 hours after dosing. No behavioral abnormalities were observed in any animal at 1 mg/kg.</w:t>
      </w:r>
    </w:p>
    <w:p w:rsidR="0027470E" w:rsidRDefault="00320041">
      <w:pPr>
        <w:pStyle w:val="a3"/>
        <w:spacing w:line="274" w:lineRule="exact"/>
        <w:ind w:left="234"/>
      </w:pPr>
      <w:r>
        <w:t>However, vomiting was observed between approximately 0.5 and 9 hours after dosing</w:t>
      </w:r>
    </w:p>
    <w:p w:rsidR="0027470E" w:rsidRDefault="00320041">
      <w:pPr>
        <w:pStyle w:val="a3"/>
        <w:spacing w:before="24" w:line="261" w:lineRule="auto"/>
        <w:ind w:left="234" w:right="1601"/>
      </w:pPr>
      <w:r>
        <w:t>10 mg/kg in 2 animals and between approximately 0.5 and 5 hours after dosing at 30 mg/kg in all 4 animals. In addition, between 1 and 4 hours after dosing, blunted responses to stimulation and slightly decreased spontaneous activity were observed in three animals and pale oral mucosa was observed in 1 animal.</w:t>
      </w:r>
    </w:p>
    <w:p w:rsidR="0027470E" w:rsidRDefault="00320041">
      <w:pPr>
        <w:pStyle w:val="a3"/>
        <w:spacing w:before="117" w:line="261" w:lineRule="auto"/>
        <w:ind w:left="234" w:right="1405"/>
      </w:pPr>
      <w:proofErr w:type="spellStart"/>
      <w:r>
        <w:t>C</w:t>
      </w:r>
      <w:r>
        <w:rPr>
          <w:vertAlign w:val="subscript"/>
        </w:rPr>
        <w:t>max</w:t>
      </w:r>
      <w:proofErr w:type="spellEnd"/>
      <w:r>
        <w:t xml:space="preserve"> and AUC</w:t>
      </w:r>
      <w:r>
        <w:rPr>
          <w:vertAlign w:val="subscript"/>
        </w:rPr>
        <w:t>24</w:t>
      </w:r>
      <w:r>
        <w:t xml:space="preserve"> increased less than dose proportionally. The </w:t>
      </w:r>
      <w:proofErr w:type="spellStart"/>
      <w:r>
        <w:t>t</w:t>
      </w:r>
      <w:r>
        <w:rPr>
          <w:vertAlign w:val="subscript"/>
        </w:rPr>
        <w:t>max</w:t>
      </w:r>
      <w:proofErr w:type="spellEnd"/>
      <w:r>
        <w:t xml:space="preserve"> did not differ between dose levels.</w:t>
      </w:r>
    </w:p>
    <w:p w:rsidR="0027470E" w:rsidRDefault="00320041">
      <w:pPr>
        <w:pStyle w:val="a3"/>
        <w:spacing w:before="118" w:line="261" w:lineRule="auto"/>
        <w:ind w:left="234" w:right="1594"/>
      </w:pPr>
      <w:r>
        <w:t xml:space="preserve">It was concluded that, under the conditions of this study, </w:t>
      </w:r>
      <w:r w:rsidR="00DC0254">
        <w:t>PROJECT 4</w:t>
      </w:r>
      <w:r>
        <w:t xml:space="preserve"> at 1 mg/kg had no </w:t>
      </w:r>
      <w:r>
        <w:lastRenderedPageBreak/>
        <w:t>effect on intra-abdominal body temperature or clinical signs. At 10 and 30 mg/kg, decreased</w:t>
      </w:r>
    </w:p>
    <w:p w:rsidR="0027470E" w:rsidRDefault="00320041">
      <w:pPr>
        <w:pStyle w:val="a3"/>
        <w:spacing w:line="274" w:lineRule="exact"/>
        <w:ind w:left="234"/>
      </w:pPr>
      <w:r>
        <w:t xml:space="preserve">intra-abdominal body temperature was observed. Vomiting was observed at </w:t>
      </w:r>
      <w:r w:rsidR="00DC0254">
        <w:t>PROJECT 4</w:t>
      </w:r>
      <w:r>
        <w:t xml:space="preserve"> doses</w:t>
      </w:r>
    </w:p>
    <w:p w:rsidR="0027470E" w:rsidRDefault="00320041">
      <w:pPr>
        <w:pStyle w:val="a3"/>
        <w:spacing w:before="24" w:line="261" w:lineRule="auto"/>
        <w:ind w:left="234" w:right="1622"/>
      </w:pPr>
      <w:r>
        <w:t>≥ 10 mg/kg and suppressed response to stimulation, slightly decreased spontaneous activity and pale oral mucosa were observed at 30 mg/kg.</w:t>
      </w:r>
    </w:p>
    <w:p w:rsidR="0027470E" w:rsidRDefault="00320041">
      <w:pPr>
        <w:pStyle w:val="3"/>
        <w:numPr>
          <w:ilvl w:val="4"/>
          <w:numId w:val="11"/>
        </w:numPr>
        <w:tabs>
          <w:tab w:val="left" w:pos="1386"/>
          <w:tab w:val="left" w:pos="1387"/>
        </w:tabs>
        <w:spacing w:before="123"/>
        <w:ind w:left="1386" w:hanging="1152"/>
      </w:pPr>
      <w:bookmarkStart w:id="8" w:name="4.2.2.2.2_Cardiovascular_Safety_Pharmaco"/>
      <w:bookmarkStart w:id="9" w:name="_bookmark28"/>
      <w:bookmarkEnd w:id="8"/>
      <w:bookmarkEnd w:id="9"/>
      <w:r>
        <w:t>Cardiovascular Safety</w:t>
      </w:r>
      <w:r>
        <w:rPr>
          <w:spacing w:val="-3"/>
        </w:rPr>
        <w:t xml:space="preserve"> </w:t>
      </w:r>
      <w:r>
        <w:t>Pharmacology</w:t>
      </w:r>
    </w:p>
    <w:p w:rsidR="0027470E" w:rsidRDefault="00320041">
      <w:pPr>
        <w:pStyle w:val="a4"/>
        <w:numPr>
          <w:ilvl w:val="5"/>
          <w:numId w:val="11"/>
        </w:numPr>
        <w:tabs>
          <w:tab w:val="left" w:pos="1530"/>
          <w:tab w:val="left" w:pos="1531"/>
        </w:tabs>
        <w:spacing w:before="168"/>
        <w:rPr>
          <w:b/>
        </w:rPr>
      </w:pPr>
      <w:bookmarkStart w:id="10" w:name="4.2.2.2.2.1_In_Vitro_Studies"/>
      <w:bookmarkStart w:id="11" w:name="_bookmark29"/>
      <w:bookmarkEnd w:id="10"/>
      <w:bookmarkEnd w:id="11"/>
      <w:r>
        <w:rPr>
          <w:b/>
        </w:rPr>
        <w:t>In Vitro</w:t>
      </w:r>
      <w:r>
        <w:rPr>
          <w:b/>
          <w:spacing w:val="-3"/>
        </w:rPr>
        <w:t xml:space="preserve"> </w:t>
      </w:r>
      <w:r>
        <w:rPr>
          <w:b/>
        </w:rPr>
        <w:t>Studies</w:t>
      </w:r>
    </w:p>
    <w:p w:rsidR="0027470E" w:rsidRDefault="00DC0254">
      <w:pPr>
        <w:pStyle w:val="a3"/>
        <w:spacing w:before="139" w:line="261" w:lineRule="auto"/>
        <w:ind w:left="234" w:right="1410"/>
      </w:pPr>
      <w:r>
        <w:t>PROJECT 4</w:t>
      </w:r>
      <w:r w:rsidR="00320041">
        <w:t xml:space="preserve"> was evaluated in 2 in vitro GLP cardiovascular safety pharmacology studies: (1) </w:t>
      </w:r>
      <w:proofErr w:type="spellStart"/>
      <w:r w:rsidR="00320041">
        <w:t>I</w:t>
      </w:r>
      <w:r w:rsidR="00320041">
        <w:rPr>
          <w:vertAlign w:val="subscript"/>
        </w:rPr>
        <w:t>Kr</w:t>
      </w:r>
      <w:proofErr w:type="spellEnd"/>
      <w:r w:rsidR="00320041">
        <w:t xml:space="preserve"> in </w:t>
      </w:r>
      <w:proofErr w:type="spellStart"/>
      <w:r w:rsidR="00320041">
        <w:t>hERG</w:t>
      </w:r>
      <w:proofErr w:type="spellEnd"/>
      <w:r w:rsidR="00320041">
        <w:t xml:space="preserve">-transfected HEK293 cells using the whole-cell patch-clamp technique (Company Report </w:t>
      </w:r>
      <w:r>
        <w:t>Project 4</w:t>
      </w:r>
      <w:r w:rsidR="00320041">
        <w:t>-PT-0003) and (2) APD in isolated guinea-pig papillary muscles under a</w:t>
      </w:r>
    </w:p>
    <w:p w:rsidR="0027470E" w:rsidRDefault="00320041">
      <w:pPr>
        <w:pStyle w:val="a3"/>
        <w:spacing w:line="274" w:lineRule="exact"/>
        <w:ind w:left="234"/>
      </w:pPr>
      <w:r>
        <w:t>surface-</w:t>
      </w:r>
      <w:proofErr w:type="spellStart"/>
      <w:r>
        <w:t>superfusing</w:t>
      </w:r>
      <w:proofErr w:type="spellEnd"/>
      <w:r>
        <w:t xml:space="preserve"> condition (Company Report </w:t>
      </w:r>
      <w:r w:rsidR="00DC0254">
        <w:t>Project 4</w:t>
      </w:r>
      <w:r>
        <w:t>-PT-0004).</w:t>
      </w:r>
    </w:p>
    <w:p w:rsidR="0027470E" w:rsidRDefault="00320041" w:rsidP="00320041">
      <w:pPr>
        <w:pStyle w:val="a3"/>
        <w:spacing w:before="144" w:line="261" w:lineRule="auto"/>
        <w:ind w:left="234" w:right="1423"/>
      </w:pPr>
      <w:r>
        <w:t xml:space="preserve">In the </w:t>
      </w:r>
      <w:proofErr w:type="spellStart"/>
      <w:r>
        <w:t>I</w:t>
      </w:r>
      <w:r>
        <w:rPr>
          <w:vertAlign w:val="subscript"/>
        </w:rPr>
        <w:t>Kr</w:t>
      </w:r>
      <w:proofErr w:type="spellEnd"/>
      <w:r>
        <w:t xml:space="preserve"> assay conducted in HEK293 cells, the peak amplitude of tail currents was measured in 5 separate cells in each experimental group and the suppression rate of the amplitude was calculated 10 minutes after application of </w:t>
      </w:r>
      <w:r w:rsidR="00DC0254">
        <w:t>PROJECT 4</w:t>
      </w:r>
      <w:r>
        <w:t xml:space="preserve"> (3×10</w:t>
      </w:r>
      <w:r>
        <w:rPr>
          <w:vertAlign w:val="superscript"/>
        </w:rPr>
        <w:t>−7</w:t>
      </w:r>
      <w:r>
        <w:t>, 3×10</w:t>
      </w:r>
      <w:r>
        <w:rPr>
          <w:vertAlign w:val="superscript"/>
        </w:rPr>
        <w:t>−6</w:t>
      </w:r>
      <w:r>
        <w:t xml:space="preserve"> and 3×10</w:t>
      </w:r>
      <w:r>
        <w:rPr>
          <w:vertAlign w:val="superscript"/>
        </w:rPr>
        <w:t>−5</w:t>
      </w:r>
      <w:r>
        <w:t xml:space="preserve"> M), positive- control substance (E-4031 at 1×10</w:t>
      </w:r>
      <w:r>
        <w:rPr>
          <w:vertAlign w:val="superscript"/>
        </w:rPr>
        <w:t>−7</w:t>
      </w:r>
      <w:r>
        <w:t xml:space="preserve"> M) and vehicle (dimethyl sulfoxide [DMSO] at 0.1% volume /volume [v/v]). The mean suppression rate of the vehicle-control group was used to compensate for variations in rundown in </w:t>
      </w:r>
      <w:proofErr w:type="spellStart"/>
      <w:r>
        <w:t>hERG</w:t>
      </w:r>
      <w:proofErr w:type="spellEnd"/>
      <w:r>
        <w:t xml:space="preserve"> current in determination of the suppression</w:t>
      </w:r>
      <w:r>
        <w:rPr>
          <w:rFonts w:eastAsiaTheme="minorEastAsia" w:hint="eastAsia"/>
          <w:lang w:eastAsia="ja-JP"/>
        </w:rPr>
        <w:t xml:space="preserve"> </w:t>
      </w:r>
      <w:r>
        <w:t xml:space="preserve">rate in each cell. The effects of </w:t>
      </w:r>
      <w:r w:rsidR="00DC0254">
        <w:t>PROJECT 4</w:t>
      </w:r>
      <w:r>
        <w:t xml:space="preserve"> and positive-control substance were evaluated using the compensated suppression rates.</w:t>
      </w:r>
    </w:p>
    <w:p w:rsidR="0027470E" w:rsidRDefault="00320041">
      <w:pPr>
        <w:pStyle w:val="a3"/>
        <w:spacing w:before="118" w:line="261" w:lineRule="auto"/>
        <w:ind w:left="234" w:right="1448"/>
      </w:pPr>
      <w:r>
        <w:t xml:space="preserve">The data indicate that in the vehicle-control group (DMSO; 0.1% v/v), the </w:t>
      </w:r>
      <w:proofErr w:type="spellStart"/>
      <w:r>
        <w:t>hERG</w:t>
      </w:r>
      <w:proofErr w:type="spellEnd"/>
      <w:r>
        <w:t xml:space="preserve"> current was reduced by 8.1% 10 minutes after application of </w:t>
      </w:r>
      <w:r w:rsidR="00DC0254">
        <w:t>PROJECT 4</w:t>
      </w:r>
      <w:r>
        <w:t xml:space="preserve">. The </w:t>
      </w:r>
      <w:proofErr w:type="spellStart"/>
      <w:r>
        <w:t>hERG</w:t>
      </w:r>
      <w:proofErr w:type="spellEnd"/>
      <w:r>
        <w:t xml:space="preserve">-current compensated suppression rates of </w:t>
      </w:r>
      <w:r w:rsidR="00DC0254">
        <w:t>PROJECT 4</w:t>
      </w:r>
      <w:r>
        <w:t xml:space="preserve"> at concentrations of 3×10</w:t>
      </w:r>
      <w:r>
        <w:rPr>
          <w:vertAlign w:val="superscript"/>
        </w:rPr>
        <w:t>−7</w:t>
      </w:r>
      <w:r>
        <w:t xml:space="preserve"> and 3×10</w:t>
      </w:r>
      <w:r>
        <w:rPr>
          <w:vertAlign w:val="superscript"/>
        </w:rPr>
        <w:t>−6</w:t>
      </w:r>
      <w:r>
        <w:t xml:space="preserve"> M were 5.7% and 8.7%, respectively. No statistically significant difference was observed at these</w:t>
      </w:r>
    </w:p>
    <w:p w:rsidR="0027470E" w:rsidRDefault="00320041">
      <w:pPr>
        <w:pStyle w:val="a3"/>
        <w:spacing w:line="261" w:lineRule="auto"/>
        <w:ind w:left="234" w:right="1451"/>
      </w:pPr>
      <w:r>
        <w:t>2 concentrations when compared to the rate in the vehicle-control group. However, at the highest concentration tested in this study (3×10</w:t>
      </w:r>
      <w:r>
        <w:rPr>
          <w:vertAlign w:val="superscript"/>
        </w:rPr>
        <w:t>−5</w:t>
      </w:r>
      <w:r>
        <w:t xml:space="preserve"> M), the compensated suppression rate was 22.1%, which was statistically greater compared to the vehicle-control group. </w:t>
      </w:r>
      <w:r>
        <w:rPr>
          <w:spacing w:val="-3"/>
        </w:rPr>
        <w:t xml:space="preserve">In </w:t>
      </w:r>
      <w:r>
        <w:t xml:space="preserve">the positive control group (E-4031), the compensated suppression rate was 86.3%, which was statistically greater compared to the vehicle-treated cells, confirming the validity of the test. These results indicate that </w:t>
      </w:r>
      <w:r w:rsidR="00DC0254">
        <w:t>PROJECT 4</w:t>
      </w:r>
      <w:r>
        <w:t xml:space="preserve"> does not affect the </w:t>
      </w:r>
      <w:proofErr w:type="spellStart"/>
      <w:r>
        <w:t>hERG</w:t>
      </w:r>
      <w:proofErr w:type="spellEnd"/>
      <w:r>
        <w:t xml:space="preserve"> current in </w:t>
      </w:r>
      <w:proofErr w:type="spellStart"/>
      <w:r>
        <w:t>hERG</w:t>
      </w:r>
      <w:proofErr w:type="spellEnd"/>
      <w:r>
        <w:t>-transfected HEK293 cells up to a concentration of 3×10</w:t>
      </w:r>
      <w:r>
        <w:rPr>
          <w:vertAlign w:val="superscript"/>
        </w:rPr>
        <w:t>−6</w:t>
      </w:r>
      <w:r>
        <w:t xml:space="preserve"> M and that it suppressed the </w:t>
      </w:r>
      <w:proofErr w:type="spellStart"/>
      <w:r>
        <w:t>hERG</w:t>
      </w:r>
      <w:proofErr w:type="spellEnd"/>
      <w:r>
        <w:t xml:space="preserve"> current by approximately 22% (P&lt;0.05) at the highest test concentration (3×10</w:t>
      </w:r>
      <w:r>
        <w:rPr>
          <w:vertAlign w:val="superscript"/>
        </w:rPr>
        <w:t>−5</w:t>
      </w:r>
      <w:r>
        <w:rPr>
          <w:spacing w:val="-13"/>
        </w:rPr>
        <w:t xml:space="preserve"> </w:t>
      </w:r>
      <w:r>
        <w:t>M).</w:t>
      </w:r>
    </w:p>
    <w:p w:rsidR="0027470E" w:rsidRDefault="00320041">
      <w:pPr>
        <w:pStyle w:val="a3"/>
        <w:spacing w:before="111" w:line="261" w:lineRule="auto"/>
        <w:ind w:left="234" w:right="1589"/>
      </w:pPr>
      <w:r>
        <w:t xml:space="preserve">In the APD assay conducted in isolated guinea-pig papillary muscles, </w:t>
      </w:r>
      <w:r w:rsidR="00DC0254">
        <w:t>PROJECT 4</w:t>
      </w:r>
      <w:r>
        <w:t xml:space="preserve"> (3×10</w:t>
      </w:r>
      <w:r>
        <w:rPr>
          <w:vertAlign w:val="superscript"/>
        </w:rPr>
        <w:t>−7</w:t>
      </w:r>
      <w:r>
        <w:t>, 3×10</w:t>
      </w:r>
      <w:r>
        <w:rPr>
          <w:vertAlign w:val="superscript"/>
        </w:rPr>
        <w:t>−6</w:t>
      </w:r>
      <w:r>
        <w:t xml:space="preserve"> or 3×10</w:t>
      </w:r>
      <w:r>
        <w:rPr>
          <w:vertAlign w:val="superscript"/>
        </w:rPr>
        <w:t>−5</w:t>
      </w:r>
      <w:r>
        <w:t xml:space="preserve"> M), DMSO at 0.1% v/v (vehicle) and E-4031 at 1×10</w:t>
      </w:r>
      <w:r>
        <w:rPr>
          <w:vertAlign w:val="superscript"/>
        </w:rPr>
        <w:t>−7</w:t>
      </w:r>
      <w:r>
        <w:t xml:space="preserve"> M (positive control) were surface-</w:t>
      </w:r>
      <w:proofErr w:type="spellStart"/>
      <w:r>
        <w:t>superfused</w:t>
      </w:r>
      <w:proofErr w:type="spellEnd"/>
      <w:r>
        <w:t xml:space="preserve"> for 30 minutes over tissue preparations (5 muscles per experimental group). The resting membrane potential (RMP), action-potential amplitude (APA), rate of maximum upstroke velocity (</w:t>
      </w:r>
      <w:proofErr w:type="spellStart"/>
      <w:r>
        <w:t>dV</w:t>
      </w:r>
      <w:proofErr w:type="spellEnd"/>
      <w:r>
        <w:t>/</w:t>
      </w:r>
      <w:proofErr w:type="spellStart"/>
      <w:r>
        <w:t>dt</w:t>
      </w:r>
      <w:r>
        <w:rPr>
          <w:vertAlign w:val="subscript"/>
        </w:rPr>
        <w:t>max</w:t>
      </w:r>
      <w:proofErr w:type="spellEnd"/>
      <w:r>
        <w:t>), and action potential duration at 30% and 90% repolarization (APD</w:t>
      </w:r>
      <w:r>
        <w:rPr>
          <w:vertAlign w:val="subscript"/>
        </w:rPr>
        <w:t>30</w:t>
      </w:r>
      <w:r>
        <w:t xml:space="preserve"> and APD</w:t>
      </w:r>
      <w:r>
        <w:rPr>
          <w:vertAlign w:val="subscript"/>
        </w:rPr>
        <w:t>90</w:t>
      </w:r>
      <w:r>
        <w:t>) were recorded before (baseline) and 30 minutes after treatment. The difference between APD</w:t>
      </w:r>
      <w:r>
        <w:rPr>
          <w:vertAlign w:val="subscript"/>
        </w:rPr>
        <w:t>30</w:t>
      </w:r>
      <w:r>
        <w:t xml:space="preserve"> and APD</w:t>
      </w:r>
      <w:r>
        <w:rPr>
          <w:vertAlign w:val="subscript"/>
        </w:rPr>
        <w:t>90</w:t>
      </w:r>
      <w:r>
        <w:t xml:space="preserve"> (APD</w:t>
      </w:r>
      <w:r>
        <w:rPr>
          <w:vertAlign w:val="subscript"/>
        </w:rPr>
        <w:t>30-90</w:t>
      </w:r>
      <w:r>
        <w:t>) and other changes from baseline in action potential parameters were then calculated.</w:t>
      </w:r>
    </w:p>
    <w:p w:rsidR="0027470E" w:rsidRDefault="00320041">
      <w:pPr>
        <w:pStyle w:val="a3"/>
        <w:spacing w:before="113" w:line="261" w:lineRule="auto"/>
        <w:ind w:left="234" w:right="1351"/>
      </w:pPr>
      <w:r>
        <w:t xml:space="preserve">The data indicate that there was no effect on any of the action-potential parameters in the </w:t>
      </w:r>
      <w:r>
        <w:lastRenderedPageBreak/>
        <w:t>vehicle control group and no significant effects were observed in the 3×10</w:t>
      </w:r>
      <w:r>
        <w:rPr>
          <w:vertAlign w:val="superscript"/>
        </w:rPr>
        <w:t>−7</w:t>
      </w:r>
      <w:r>
        <w:t xml:space="preserve"> M </w:t>
      </w:r>
      <w:r w:rsidR="00DC0254">
        <w:t>PROJECT 4</w:t>
      </w:r>
      <w:r>
        <w:t xml:space="preserve"> group. Neither </w:t>
      </w:r>
      <w:r w:rsidR="00DC0254">
        <w:t>PROJECT 4</w:t>
      </w:r>
      <w:r>
        <w:t xml:space="preserve"> nor E-4031 had any effect on RMP, APA or </w:t>
      </w:r>
      <w:proofErr w:type="spellStart"/>
      <w:r>
        <w:t>dV</w:t>
      </w:r>
      <w:proofErr w:type="spellEnd"/>
      <w:r>
        <w:t>/</w:t>
      </w:r>
      <w:proofErr w:type="spellStart"/>
      <w:r>
        <w:t>dt</w:t>
      </w:r>
      <w:r>
        <w:rPr>
          <w:vertAlign w:val="subscript"/>
        </w:rPr>
        <w:t>max</w:t>
      </w:r>
      <w:proofErr w:type="spellEnd"/>
      <w:r>
        <w:t xml:space="preserve"> at any of the concentrations tested. </w:t>
      </w:r>
      <w:r w:rsidR="00DC0254">
        <w:t>PROJECT 4</w:t>
      </w:r>
      <w:r>
        <w:t xml:space="preserve"> did not elicit prolongation of action potential duration, but rather, showed a concentration-dependent shortening of APD</w:t>
      </w:r>
      <w:r>
        <w:rPr>
          <w:vertAlign w:val="subscript"/>
        </w:rPr>
        <w:t>30</w:t>
      </w:r>
      <w:r>
        <w:t>, APD</w:t>
      </w:r>
      <w:r>
        <w:rPr>
          <w:vertAlign w:val="subscript"/>
        </w:rPr>
        <w:t>90</w:t>
      </w:r>
      <w:r>
        <w:t>, and APD</w:t>
      </w:r>
      <w:r>
        <w:rPr>
          <w:vertAlign w:val="subscript"/>
        </w:rPr>
        <w:t>30-90</w:t>
      </w:r>
      <w:r>
        <w:t xml:space="preserve"> at 3×10</w:t>
      </w:r>
      <w:r>
        <w:rPr>
          <w:vertAlign w:val="superscript"/>
        </w:rPr>
        <w:t>−6</w:t>
      </w:r>
      <w:r>
        <w:t xml:space="preserve"> M (−7.5%, −5.2% and −1.6%, respectively) and 3×10</w:t>
      </w:r>
      <w:r>
        <w:rPr>
          <w:vertAlign w:val="superscript"/>
        </w:rPr>
        <w:t>−5</w:t>
      </w:r>
      <w:r>
        <w:t xml:space="preserve"> M (−9.7%, −7.6% and</w:t>
      </w:r>
      <w:r>
        <w:rPr>
          <w:spacing w:val="19"/>
        </w:rPr>
        <w:t xml:space="preserve"> </w:t>
      </w:r>
      <w:r>
        <w:t>−3.9%,</w:t>
      </w:r>
    </w:p>
    <w:p w:rsidR="0027470E" w:rsidRDefault="00320041">
      <w:pPr>
        <w:pStyle w:val="a3"/>
        <w:spacing w:line="261" w:lineRule="auto"/>
        <w:ind w:left="234" w:right="1415"/>
        <w:jc w:val="both"/>
      </w:pPr>
      <w:r>
        <w:t>respectively). E-4031, the positive control, prolonged APD</w:t>
      </w:r>
      <w:r>
        <w:rPr>
          <w:vertAlign w:val="subscript"/>
        </w:rPr>
        <w:t>30</w:t>
      </w:r>
      <w:r>
        <w:t>, APD</w:t>
      </w:r>
      <w:r>
        <w:rPr>
          <w:vertAlign w:val="subscript"/>
        </w:rPr>
        <w:t>90</w:t>
      </w:r>
      <w:r>
        <w:t xml:space="preserve"> and APD</w:t>
      </w:r>
      <w:r>
        <w:rPr>
          <w:vertAlign w:val="subscript"/>
        </w:rPr>
        <w:t>30-90</w:t>
      </w:r>
      <w:r>
        <w:t xml:space="preserve"> by 19.7%, 33.5% and 58.1%, respectively, confirming the validity of the test. These results indicate that </w:t>
      </w:r>
      <w:r w:rsidR="00DC0254">
        <w:t>PROJECT 4</w:t>
      </w:r>
      <w:r>
        <w:t xml:space="preserve"> does not prolong action potential duration in guinea-pig papillary muscles.</w:t>
      </w:r>
    </w:p>
    <w:p w:rsidR="0027470E" w:rsidRDefault="00320041">
      <w:pPr>
        <w:pStyle w:val="a4"/>
        <w:numPr>
          <w:ilvl w:val="5"/>
          <w:numId w:val="11"/>
        </w:numPr>
        <w:tabs>
          <w:tab w:val="left" w:pos="1530"/>
          <w:tab w:val="left" w:pos="1531"/>
        </w:tabs>
        <w:spacing w:before="141"/>
        <w:rPr>
          <w:b/>
        </w:rPr>
      </w:pPr>
      <w:bookmarkStart w:id="12" w:name="4.2.2.2.2.2_In_Vivo_Studies"/>
      <w:bookmarkStart w:id="13" w:name="_bookmark30"/>
      <w:bookmarkEnd w:id="12"/>
      <w:bookmarkEnd w:id="13"/>
      <w:r>
        <w:rPr>
          <w:b/>
        </w:rPr>
        <w:t>In Vivo</w:t>
      </w:r>
      <w:r>
        <w:rPr>
          <w:b/>
          <w:spacing w:val="-3"/>
        </w:rPr>
        <w:t xml:space="preserve"> </w:t>
      </w:r>
      <w:r>
        <w:rPr>
          <w:b/>
        </w:rPr>
        <w:t>Studies</w:t>
      </w:r>
    </w:p>
    <w:p w:rsidR="0027470E" w:rsidRDefault="00320041">
      <w:pPr>
        <w:pStyle w:val="a3"/>
        <w:spacing w:before="139" w:line="261" w:lineRule="auto"/>
        <w:ind w:left="234" w:right="1438"/>
      </w:pPr>
      <w:r>
        <w:t xml:space="preserve">In a GLP safety pharmacology study conducted in cynomolgus monkeys, the effect of </w:t>
      </w:r>
      <w:r w:rsidR="00DC0254">
        <w:t>PROJECT 4</w:t>
      </w:r>
      <w:r>
        <w:t xml:space="preserve"> on cardiovascular parameters was evaluated in 4 unanesthetized males at doses of 0 (vehicle, 0.5% w/v MC suspension), 1, 10 and 30 mg/kg (Company Report </w:t>
      </w:r>
      <w:r w:rsidR="00DC0254">
        <w:t>Project 4</w:t>
      </w:r>
      <w:r>
        <w:t xml:space="preserve">-PT-0002). Dosing of </w:t>
      </w:r>
      <w:r w:rsidR="00DC0254">
        <w:t>PROJECT 4</w:t>
      </w:r>
      <w:r>
        <w:t xml:space="preserve"> was performed in a crossover design on days 1, 8, 15 and 22 (first to fourth dosing). </w:t>
      </w:r>
      <w:proofErr w:type="spellStart"/>
      <w:r>
        <w:t>Astemizole</w:t>
      </w:r>
      <w:proofErr w:type="spellEnd"/>
      <w:r>
        <w:t xml:space="preserve"> (10 mg/kg) was administered as a positive control for QTc prolongation subsequent to evaluation of the fourth dose of </w:t>
      </w:r>
      <w:r w:rsidR="00DC0254">
        <w:t>PROJECT 4</w:t>
      </w:r>
      <w:r>
        <w:t>7 (on day</w:t>
      </w:r>
      <w:r>
        <w:rPr>
          <w:spacing w:val="-21"/>
        </w:rPr>
        <w:t xml:space="preserve"> </w:t>
      </w:r>
      <w:r>
        <w:t>29).</w:t>
      </w:r>
    </w:p>
    <w:p w:rsidR="0027470E" w:rsidRDefault="00DC0254" w:rsidP="00320041">
      <w:pPr>
        <w:pStyle w:val="a3"/>
        <w:spacing w:line="271" w:lineRule="exact"/>
        <w:ind w:left="234"/>
        <w:sectPr w:rsidR="0027470E">
          <w:headerReference w:type="default" r:id="rId7"/>
          <w:footerReference w:type="default" r:id="rId8"/>
          <w:pgSz w:w="12240" w:h="15840"/>
          <w:pgMar w:top="1280" w:right="0" w:bottom="940" w:left="1580" w:header="578" w:footer="748" w:gutter="0"/>
          <w:cols w:space="720"/>
        </w:sectPr>
      </w:pPr>
      <w:r>
        <w:t>PROJECT 4</w:t>
      </w:r>
      <w:r w:rsidR="00320041">
        <w:t xml:space="preserve"> concentrations in plasma were measured to determine systemic</w:t>
      </w:r>
      <w:r w:rsidR="00320041">
        <w:rPr>
          <w:spacing w:val="-22"/>
        </w:rPr>
        <w:t xml:space="preserve"> </w:t>
      </w:r>
      <w:r w:rsidR="00320041">
        <w:t>exposure.</w:t>
      </w:r>
    </w:p>
    <w:p w:rsidR="0027470E" w:rsidRDefault="00320041">
      <w:pPr>
        <w:pStyle w:val="a3"/>
        <w:spacing w:before="141" w:line="261" w:lineRule="auto"/>
        <w:ind w:left="234" w:right="1519"/>
      </w:pPr>
      <w:r>
        <w:lastRenderedPageBreak/>
        <w:t xml:space="preserve">The data indicated that a 1 mg/kg dose of </w:t>
      </w:r>
      <w:r w:rsidR="00DC0254">
        <w:t>PROJECT 4</w:t>
      </w:r>
      <w:r>
        <w:t xml:space="preserve"> did not affect any of the following: systolic, diastolic or mean blood pressure, heart rate or any electrocardiogram (ECG) parameters including PR interval, QRS duration, RR interval, QT interval and QT</w:t>
      </w:r>
      <w:r>
        <w:rPr>
          <w:vertAlign w:val="subscript"/>
        </w:rPr>
        <w:t>c</w:t>
      </w:r>
      <w:r>
        <w:t xml:space="preserve"> corrected with </w:t>
      </w:r>
      <w:proofErr w:type="spellStart"/>
      <w:r>
        <w:t>Fridericia’s</w:t>
      </w:r>
      <w:proofErr w:type="spellEnd"/>
      <w:r>
        <w:t xml:space="preserve"> formula (</w:t>
      </w:r>
      <w:proofErr w:type="spellStart"/>
      <w:r>
        <w:t>QT</w:t>
      </w:r>
      <w:r>
        <w:rPr>
          <w:vertAlign w:val="subscript"/>
        </w:rPr>
        <w:t>c</w:t>
      </w:r>
      <w:r>
        <w:t>F</w:t>
      </w:r>
      <w:proofErr w:type="spellEnd"/>
      <w:r>
        <w:t xml:space="preserve">). At the 10 and 30 mg/kg doses of </w:t>
      </w:r>
      <w:r w:rsidR="00DC0254">
        <w:t>PROJECT 4</w:t>
      </w:r>
      <w:r>
        <w:t>, heart rate was decreased in all 4 animals between 1 and 8 hours after dosing and was slightly reduced from the pre-dose rate in 3 of the animals. No clear changes in blood pressure (systolic, diastolic or mean) were observed at any either dose. QT</w:t>
      </w:r>
      <w:r>
        <w:rPr>
          <w:vertAlign w:val="subscript"/>
        </w:rPr>
        <w:t>c</w:t>
      </w:r>
      <w:r>
        <w:t xml:space="preserve"> prolongation (10-12% compared to the pre- dose value) was observed 2 hours after dosing in 1 animal administered 10 mg/kg of </w:t>
      </w:r>
      <w:r w:rsidR="00DC0254">
        <w:t>PROJECT 4</w:t>
      </w:r>
      <w:r>
        <w:t xml:space="preserve"> and between 2 and 8 hours after dosing in 1 animal administered 30 mg/kg of </w:t>
      </w:r>
      <w:r w:rsidR="00DC0254">
        <w:t>PROJECT 4</w:t>
      </w:r>
      <w:r>
        <w:t xml:space="preserve">. In another animal, U waves were observed intermittently between 1 and 8 hours after administration of </w:t>
      </w:r>
      <w:r w:rsidR="00DC0254">
        <w:t>PROJECT 4</w:t>
      </w:r>
      <w:r>
        <w:t xml:space="preserve"> doses of 10 and 30 mg/kg, but they were not observed</w:t>
      </w:r>
    </w:p>
    <w:p w:rsidR="0027470E" w:rsidRDefault="00320041">
      <w:pPr>
        <w:pStyle w:val="a3"/>
        <w:spacing w:line="261" w:lineRule="auto"/>
        <w:ind w:left="234" w:right="1440"/>
      </w:pPr>
      <w:r>
        <w:t xml:space="preserve">2 hours after administration of the 30 mg/kg dose when </w:t>
      </w:r>
      <w:proofErr w:type="spellStart"/>
      <w:r>
        <w:t>t</w:t>
      </w:r>
      <w:r>
        <w:rPr>
          <w:vertAlign w:val="subscript"/>
        </w:rPr>
        <w:t>max</w:t>
      </w:r>
      <w:proofErr w:type="spellEnd"/>
      <w:r>
        <w:t xml:space="preserve"> was observed, nor were any clear changes in QT</w:t>
      </w:r>
      <w:r>
        <w:rPr>
          <w:vertAlign w:val="subscript"/>
        </w:rPr>
        <w:t>c</w:t>
      </w:r>
      <w:hyperlink w:anchor="_bookmark31" w:history="1">
        <w:r>
          <w:t xml:space="preserve"> observed (see Table 5</w:t>
        </w:r>
      </w:hyperlink>
      <w:r>
        <w:t xml:space="preserve">). There were no </w:t>
      </w:r>
      <w:r w:rsidR="00DC0254">
        <w:t>PROJECT 4</w:t>
      </w:r>
      <w:r>
        <w:t xml:space="preserve">-related changes in PR interval or QRS duration at 10 or 30 mg/kg. In contrast, </w:t>
      </w:r>
      <w:proofErr w:type="spellStart"/>
      <w:r>
        <w:t>astemizole</w:t>
      </w:r>
      <w:proofErr w:type="spellEnd"/>
      <w:r>
        <w:t xml:space="preserve"> prolonged the QT interval and </w:t>
      </w:r>
      <w:proofErr w:type="spellStart"/>
      <w:r>
        <w:t>QT</w:t>
      </w:r>
      <w:r>
        <w:rPr>
          <w:vertAlign w:val="subscript"/>
        </w:rPr>
        <w:t>c</w:t>
      </w:r>
      <w:r>
        <w:t>F</w:t>
      </w:r>
      <w:proofErr w:type="spellEnd"/>
      <w:r>
        <w:t xml:space="preserve">; the maximum mean prolongation of </w:t>
      </w:r>
      <w:proofErr w:type="spellStart"/>
      <w:r>
        <w:t>QT</w:t>
      </w:r>
      <w:r>
        <w:rPr>
          <w:vertAlign w:val="subscript"/>
        </w:rPr>
        <w:t>c</w:t>
      </w:r>
      <w:r>
        <w:t>F</w:t>
      </w:r>
      <w:proofErr w:type="spellEnd"/>
      <w:r>
        <w:t xml:space="preserve"> from the pre-dosing value was 13.8%, which was observed at 1 hour after </w:t>
      </w:r>
      <w:proofErr w:type="spellStart"/>
      <w:r>
        <w:t>astemizole</w:t>
      </w:r>
      <w:proofErr w:type="spellEnd"/>
      <w:r>
        <w:rPr>
          <w:spacing w:val="-10"/>
        </w:rPr>
        <w:t xml:space="preserve"> </w:t>
      </w:r>
      <w:r>
        <w:t>treatment.</w:t>
      </w:r>
    </w:p>
    <w:p w:rsidR="0027470E" w:rsidRDefault="00320041">
      <w:pPr>
        <w:pStyle w:val="3"/>
        <w:tabs>
          <w:tab w:val="left" w:pos="1645"/>
        </w:tabs>
        <w:spacing w:before="85"/>
        <w:ind w:left="234" w:firstLine="0"/>
      </w:pPr>
      <w:bookmarkStart w:id="14" w:name="_bookmark31"/>
      <w:bookmarkEnd w:id="14"/>
      <w:r>
        <w:t>Table</w:t>
      </w:r>
      <w:r>
        <w:rPr>
          <w:spacing w:val="-1"/>
        </w:rPr>
        <w:t xml:space="preserve"> </w:t>
      </w:r>
      <w:r>
        <w:t>5:</w:t>
      </w:r>
      <w:r>
        <w:tab/>
        <w:t>Percentage Change in</w:t>
      </w:r>
      <w:r>
        <w:rPr>
          <w:spacing w:val="-3"/>
        </w:rPr>
        <w:t xml:space="preserve"> </w:t>
      </w:r>
      <w:r>
        <w:t>QT</w:t>
      </w:r>
      <w:r>
        <w:rPr>
          <w:vertAlign w:val="subscript"/>
        </w:rPr>
        <w:t>c</w:t>
      </w:r>
    </w:p>
    <w:p w:rsidR="0027470E" w:rsidRDefault="0027470E">
      <w:pPr>
        <w:pStyle w:val="a3"/>
        <w:spacing w:before="6"/>
        <w:rPr>
          <w:b/>
          <w:sz w:val="5"/>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99"/>
        <w:gridCol w:w="924"/>
        <w:gridCol w:w="924"/>
        <w:gridCol w:w="926"/>
        <w:gridCol w:w="924"/>
        <w:gridCol w:w="926"/>
        <w:gridCol w:w="1372"/>
      </w:tblGrid>
      <w:tr w:rsidR="0027470E">
        <w:trPr>
          <w:trHeight w:val="193"/>
        </w:trPr>
        <w:tc>
          <w:tcPr>
            <w:tcW w:w="3199" w:type="dxa"/>
            <w:vMerge w:val="restart"/>
          </w:tcPr>
          <w:p w:rsidR="0027470E" w:rsidRDefault="00320041">
            <w:pPr>
              <w:pStyle w:val="TableParagraph"/>
              <w:spacing w:before="169" w:line="211" w:lineRule="exact"/>
              <w:ind w:left="112"/>
              <w:jc w:val="left"/>
              <w:rPr>
                <w:b/>
                <w:sz w:val="20"/>
              </w:rPr>
            </w:pPr>
            <w:r>
              <w:rPr>
                <w:b/>
                <w:sz w:val="20"/>
              </w:rPr>
              <w:t>Test Substance</w:t>
            </w:r>
          </w:p>
        </w:tc>
        <w:tc>
          <w:tcPr>
            <w:tcW w:w="5996" w:type="dxa"/>
            <w:gridSpan w:val="6"/>
          </w:tcPr>
          <w:p w:rsidR="0027470E" w:rsidRDefault="00320041">
            <w:pPr>
              <w:pStyle w:val="TableParagraph"/>
              <w:spacing w:line="174" w:lineRule="exact"/>
              <w:ind w:left="1655"/>
              <w:jc w:val="left"/>
              <w:rPr>
                <w:b/>
                <w:sz w:val="20"/>
              </w:rPr>
            </w:pPr>
            <w:r>
              <w:rPr>
                <w:b/>
                <w:sz w:val="20"/>
              </w:rPr>
              <w:t>Percentage Change in QTc (%)</w:t>
            </w:r>
          </w:p>
        </w:tc>
      </w:tr>
      <w:tr w:rsidR="0027470E">
        <w:trPr>
          <w:trHeight w:val="196"/>
        </w:trPr>
        <w:tc>
          <w:tcPr>
            <w:tcW w:w="3199" w:type="dxa"/>
            <w:vMerge/>
            <w:tcBorders>
              <w:top w:val="nil"/>
            </w:tcBorders>
          </w:tcPr>
          <w:p w:rsidR="0027470E" w:rsidRDefault="0027470E">
            <w:pPr>
              <w:rPr>
                <w:sz w:val="2"/>
                <w:szCs w:val="2"/>
              </w:rPr>
            </w:pPr>
          </w:p>
        </w:tc>
        <w:tc>
          <w:tcPr>
            <w:tcW w:w="924" w:type="dxa"/>
          </w:tcPr>
          <w:p w:rsidR="0027470E" w:rsidRDefault="00320041">
            <w:pPr>
              <w:pStyle w:val="TableParagraph"/>
              <w:spacing w:line="176" w:lineRule="exact"/>
              <w:ind w:left="117" w:right="112"/>
              <w:rPr>
                <w:b/>
                <w:sz w:val="20"/>
              </w:rPr>
            </w:pPr>
            <w:r>
              <w:rPr>
                <w:b/>
                <w:sz w:val="20"/>
              </w:rPr>
              <w:t>Pre</w:t>
            </w:r>
          </w:p>
        </w:tc>
        <w:tc>
          <w:tcPr>
            <w:tcW w:w="924" w:type="dxa"/>
          </w:tcPr>
          <w:p w:rsidR="0027470E" w:rsidRDefault="00320041">
            <w:pPr>
              <w:pStyle w:val="TableParagraph"/>
              <w:spacing w:line="176" w:lineRule="exact"/>
              <w:ind w:left="119" w:right="112"/>
              <w:rPr>
                <w:b/>
                <w:sz w:val="20"/>
              </w:rPr>
            </w:pPr>
            <w:r>
              <w:rPr>
                <w:b/>
                <w:sz w:val="20"/>
              </w:rPr>
              <w:t>1 hour</w:t>
            </w:r>
          </w:p>
        </w:tc>
        <w:tc>
          <w:tcPr>
            <w:tcW w:w="926" w:type="dxa"/>
          </w:tcPr>
          <w:p w:rsidR="0027470E" w:rsidRDefault="00320041">
            <w:pPr>
              <w:pStyle w:val="TableParagraph"/>
              <w:spacing w:line="176" w:lineRule="exact"/>
              <w:ind w:left="120" w:right="114"/>
              <w:rPr>
                <w:b/>
                <w:sz w:val="20"/>
              </w:rPr>
            </w:pPr>
            <w:r>
              <w:rPr>
                <w:b/>
                <w:sz w:val="20"/>
              </w:rPr>
              <w:t>2 hours</w:t>
            </w:r>
          </w:p>
        </w:tc>
        <w:tc>
          <w:tcPr>
            <w:tcW w:w="924" w:type="dxa"/>
          </w:tcPr>
          <w:p w:rsidR="0027470E" w:rsidRDefault="00320041">
            <w:pPr>
              <w:pStyle w:val="TableParagraph"/>
              <w:spacing w:line="176" w:lineRule="exact"/>
              <w:ind w:left="121" w:right="112"/>
              <w:rPr>
                <w:b/>
                <w:sz w:val="20"/>
              </w:rPr>
            </w:pPr>
            <w:r>
              <w:rPr>
                <w:b/>
                <w:sz w:val="20"/>
              </w:rPr>
              <w:t>4 hours</w:t>
            </w:r>
          </w:p>
        </w:tc>
        <w:tc>
          <w:tcPr>
            <w:tcW w:w="926" w:type="dxa"/>
          </w:tcPr>
          <w:p w:rsidR="0027470E" w:rsidRDefault="00320041">
            <w:pPr>
              <w:pStyle w:val="TableParagraph"/>
              <w:spacing w:line="176" w:lineRule="exact"/>
              <w:ind w:left="121" w:right="114"/>
              <w:rPr>
                <w:b/>
                <w:sz w:val="20"/>
              </w:rPr>
            </w:pPr>
            <w:r>
              <w:rPr>
                <w:b/>
                <w:sz w:val="20"/>
              </w:rPr>
              <w:t>8 hours</w:t>
            </w:r>
          </w:p>
        </w:tc>
        <w:tc>
          <w:tcPr>
            <w:tcW w:w="1372" w:type="dxa"/>
          </w:tcPr>
          <w:p w:rsidR="0027470E" w:rsidRDefault="00320041">
            <w:pPr>
              <w:pStyle w:val="TableParagraph"/>
              <w:spacing w:line="176" w:lineRule="exact"/>
              <w:ind w:left="295" w:right="287"/>
              <w:rPr>
                <w:b/>
                <w:sz w:val="20"/>
              </w:rPr>
            </w:pPr>
            <w:r>
              <w:rPr>
                <w:b/>
                <w:sz w:val="20"/>
              </w:rPr>
              <w:t>24 hours</w:t>
            </w:r>
          </w:p>
        </w:tc>
      </w:tr>
      <w:tr w:rsidR="0027470E">
        <w:trPr>
          <w:trHeight w:val="193"/>
        </w:trPr>
        <w:tc>
          <w:tcPr>
            <w:tcW w:w="3199" w:type="dxa"/>
          </w:tcPr>
          <w:p w:rsidR="0027470E" w:rsidRDefault="00320041">
            <w:pPr>
              <w:pStyle w:val="TableParagraph"/>
              <w:spacing w:line="174" w:lineRule="exact"/>
              <w:ind w:left="112"/>
              <w:jc w:val="left"/>
              <w:rPr>
                <w:sz w:val="18"/>
              </w:rPr>
            </w:pPr>
            <w:r>
              <w:rPr>
                <w:sz w:val="20"/>
              </w:rPr>
              <w:t xml:space="preserve">0.5 % (w/v) </w:t>
            </w:r>
            <w:r>
              <w:rPr>
                <w:sz w:val="18"/>
              </w:rPr>
              <w:t>Methylcellulose</w:t>
            </w:r>
          </w:p>
        </w:tc>
        <w:tc>
          <w:tcPr>
            <w:tcW w:w="924" w:type="dxa"/>
          </w:tcPr>
          <w:p w:rsidR="0027470E" w:rsidRDefault="00320041">
            <w:pPr>
              <w:pStyle w:val="TableParagraph"/>
              <w:spacing w:line="174" w:lineRule="exact"/>
              <w:ind w:left="117" w:right="112"/>
              <w:rPr>
                <w:sz w:val="20"/>
              </w:rPr>
            </w:pPr>
            <w:r>
              <w:rPr>
                <w:sz w:val="20"/>
              </w:rPr>
              <w:t>100.0</w:t>
            </w:r>
          </w:p>
        </w:tc>
        <w:tc>
          <w:tcPr>
            <w:tcW w:w="924" w:type="dxa"/>
          </w:tcPr>
          <w:p w:rsidR="0027470E" w:rsidRDefault="00320041">
            <w:pPr>
              <w:pStyle w:val="TableParagraph"/>
              <w:spacing w:line="174" w:lineRule="exact"/>
              <w:ind w:left="117" w:right="112"/>
              <w:rPr>
                <w:sz w:val="20"/>
              </w:rPr>
            </w:pPr>
            <w:r>
              <w:rPr>
                <w:sz w:val="20"/>
              </w:rPr>
              <w:t>97.3</w:t>
            </w:r>
          </w:p>
        </w:tc>
        <w:tc>
          <w:tcPr>
            <w:tcW w:w="926" w:type="dxa"/>
          </w:tcPr>
          <w:p w:rsidR="0027470E" w:rsidRDefault="00320041">
            <w:pPr>
              <w:pStyle w:val="TableParagraph"/>
              <w:spacing w:line="174" w:lineRule="exact"/>
              <w:ind w:left="117" w:right="114"/>
              <w:rPr>
                <w:sz w:val="20"/>
              </w:rPr>
            </w:pPr>
            <w:r>
              <w:rPr>
                <w:sz w:val="20"/>
              </w:rPr>
              <w:t>93.8</w:t>
            </w:r>
          </w:p>
        </w:tc>
        <w:tc>
          <w:tcPr>
            <w:tcW w:w="924" w:type="dxa"/>
          </w:tcPr>
          <w:p w:rsidR="0027470E" w:rsidRDefault="00320041">
            <w:pPr>
              <w:pStyle w:val="TableParagraph"/>
              <w:spacing w:line="174" w:lineRule="exact"/>
              <w:ind w:left="117" w:right="112"/>
              <w:rPr>
                <w:sz w:val="20"/>
              </w:rPr>
            </w:pPr>
            <w:r>
              <w:rPr>
                <w:sz w:val="20"/>
              </w:rPr>
              <w:t>94.5</w:t>
            </w:r>
          </w:p>
        </w:tc>
        <w:tc>
          <w:tcPr>
            <w:tcW w:w="926" w:type="dxa"/>
          </w:tcPr>
          <w:p w:rsidR="0027470E" w:rsidRDefault="00320041">
            <w:pPr>
              <w:pStyle w:val="TableParagraph"/>
              <w:spacing w:line="174" w:lineRule="exact"/>
              <w:ind w:left="117" w:right="114"/>
              <w:rPr>
                <w:sz w:val="20"/>
              </w:rPr>
            </w:pPr>
            <w:r>
              <w:rPr>
                <w:sz w:val="20"/>
              </w:rPr>
              <w:t>93.8</w:t>
            </w:r>
          </w:p>
        </w:tc>
        <w:tc>
          <w:tcPr>
            <w:tcW w:w="1372" w:type="dxa"/>
          </w:tcPr>
          <w:p w:rsidR="0027470E" w:rsidRDefault="00320041">
            <w:pPr>
              <w:pStyle w:val="TableParagraph"/>
              <w:spacing w:line="174" w:lineRule="exact"/>
              <w:ind w:left="292" w:right="287"/>
              <w:rPr>
                <w:sz w:val="20"/>
              </w:rPr>
            </w:pPr>
            <w:r>
              <w:rPr>
                <w:sz w:val="20"/>
              </w:rPr>
              <w:t>100.5</w:t>
            </w:r>
          </w:p>
        </w:tc>
      </w:tr>
      <w:tr w:rsidR="0027470E">
        <w:trPr>
          <w:trHeight w:val="193"/>
        </w:trPr>
        <w:tc>
          <w:tcPr>
            <w:tcW w:w="3199" w:type="dxa"/>
          </w:tcPr>
          <w:p w:rsidR="0027470E" w:rsidRDefault="00DC0254">
            <w:pPr>
              <w:pStyle w:val="TableParagraph"/>
              <w:spacing w:line="174" w:lineRule="exact"/>
              <w:ind w:left="112"/>
              <w:jc w:val="left"/>
              <w:rPr>
                <w:sz w:val="20"/>
              </w:rPr>
            </w:pPr>
            <w:r>
              <w:rPr>
                <w:sz w:val="20"/>
              </w:rPr>
              <w:t>PROJECT 4</w:t>
            </w:r>
            <w:r w:rsidR="00320041">
              <w:rPr>
                <w:sz w:val="20"/>
              </w:rPr>
              <w:t xml:space="preserve"> hydrobromide 1 mg/kg†</w:t>
            </w:r>
          </w:p>
        </w:tc>
        <w:tc>
          <w:tcPr>
            <w:tcW w:w="924" w:type="dxa"/>
          </w:tcPr>
          <w:p w:rsidR="0027470E" w:rsidRDefault="00320041">
            <w:pPr>
              <w:pStyle w:val="TableParagraph"/>
              <w:spacing w:line="174" w:lineRule="exact"/>
              <w:ind w:left="117" w:right="112"/>
              <w:rPr>
                <w:sz w:val="20"/>
              </w:rPr>
            </w:pPr>
            <w:r>
              <w:rPr>
                <w:sz w:val="20"/>
              </w:rPr>
              <w:t>100.0</w:t>
            </w:r>
          </w:p>
        </w:tc>
        <w:tc>
          <w:tcPr>
            <w:tcW w:w="924" w:type="dxa"/>
          </w:tcPr>
          <w:p w:rsidR="0027470E" w:rsidRDefault="00320041">
            <w:pPr>
              <w:pStyle w:val="TableParagraph"/>
              <w:spacing w:line="174" w:lineRule="exact"/>
              <w:ind w:left="117" w:right="112"/>
              <w:rPr>
                <w:sz w:val="20"/>
              </w:rPr>
            </w:pPr>
            <w:r>
              <w:rPr>
                <w:sz w:val="20"/>
              </w:rPr>
              <w:t>100.0</w:t>
            </w:r>
          </w:p>
        </w:tc>
        <w:tc>
          <w:tcPr>
            <w:tcW w:w="926" w:type="dxa"/>
          </w:tcPr>
          <w:p w:rsidR="0027470E" w:rsidRDefault="00320041">
            <w:pPr>
              <w:pStyle w:val="TableParagraph"/>
              <w:spacing w:line="174" w:lineRule="exact"/>
              <w:ind w:left="117" w:right="114"/>
              <w:rPr>
                <w:sz w:val="20"/>
              </w:rPr>
            </w:pPr>
            <w:r>
              <w:rPr>
                <w:sz w:val="20"/>
              </w:rPr>
              <w:t>96.3</w:t>
            </w:r>
          </w:p>
        </w:tc>
        <w:tc>
          <w:tcPr>
            <w:tcW w:w="924" w:type="dxa"/>
          </w:tcPr>
          <w:p w:rsidR="0027470E" w:rsidRDefault="00320041">
            <w:pPr>
              <w:pStyle w:val="TableParagraph"/>
              <w:spacing w:line="174" w:lineRule="exact"/>
              <w:ind w:left="117" w:right="112"/>
              <w:rPr>
                <w:sz w:val="20"/>
              </w:rPr>
            </w:pPr>
            <w:r>
              <w:rPr>
                <w:sz w:val="20"/>
              </w:rPr>
              <w:t>97.5</w:t>
            </w:r>
          </w:p>
        </w:tc>
        <w:tc>
          <w:tcPr>
            <w:tcW w:w="926" w:type="dxa"/>
          </w:tcPr>
          <w:p w:rsidR="0027470E" w:rsidRDefault="00320041">
            <w:pPr>
              <w:pStyle w:val="TableParagraph"/>
              <w:spacing w:line="174" w:lineRule="exact"/>
              <w:ind w:left="117" w:right="114"/>
              <w:rPr>
                <w:sz w:val="20"/>
              </w:rPr>
            </w:pPr>
            <w:r>
              <w:rPr>
                <w:sz w:val="20"/>
              </w:rPr>
              <w:t>97.0</w:t>
            </w:r>
          </w:p>
        </w:tc>
        <w:tc>
          <w:tcPr>
            <w:tcW w:w="1372" w:type="dxa"/>
          </w:tcPr>
          <w:p w:rsidR="0027470E" w:rsidRDefault="00320041">
            <w:pPr>
              <w:pStyle w:val="TableParagraph"/>
              <w:spacing w:line="174" w:lineRule="exact"/>
              <w:ind w:left="292" w:right="287"/>
              <w:rPr>
                <w:sz w:val="20"/>
              </w:rPr>
            </w:pPr>
            <w:r>
              <w:rPr>
                <w:sz w:val="20"/>
              </w:rPr>
              <w:t>100.8</w:t>
            </w:r>
          </w:p>
        </w:tc>
      </w:tr>
      <w:tr w:rsidR="0027470E">
        <w:trPr>
          <w:trHeight w:val="196"/>
        </w:trPr>
        <w:tc>
          <w:tcPr>
            <w:tcW w:w="3199" w:type="dxa"/>
          </w:tcPr>
          <w:p w:rsidR="0027470E" w:rsidRDefault="00DC0254">
            <w:pPr>
              <w:pStyle w:val="TableParagraph"/>
              <w:spacing w:line="176" w:lineRule="exact"/>
              <w:ind w:left="112"/>
              <w:jc w:val="left"/>
              <w:rPr>
                <w:sz w:val="20"/>
              </w:rPr>
            </w:pPr>
            <w:r>
              <w:rPr>
                <w:sz w:val="20"/>
              </w:rPr>
              <w:t>PROJECT 4</w:t>
            </w:r>
            <w:r w:rsidR="00320041">
              <w:rPr>
                <w:sz w:val="20"/>
              </w:rPr>
              <w:t xml:space="preserve"> hydrobromide 10 mg/kg†</w:t>
            </w:r>
          </w:p>
        </w:tc>
        <w:tc>
          <w:tcPr>
            <w:tcW w:w="924" w:type="dxa"/>
          </w:tcPr>
          <w:p w:rsidR="0027470E" w:rsidRDefault="00320041">
            <w:pPr>
              <w:pStyle w:val="TableParagraph"/>
              <w:spacing w:line="176" w:lineRule="exact"/>
              <w:ind w:left="117" w:right="112"/>
              <w:rPr>
                <w:sz w:val="20"/>
              </w:rPr>
            </w:pPr>
            <w:r>
              <w:rPr>
                <w:sz w:val="20"/>
              </w:rPr>
              <w:t>100.0</w:t>
            </w:r>
          </w:p>
        </w:tc>
        <w:tc>
          <w:tcPr>
            <w:tcW w:w="924" w:type="dxa"/>
          </w:tcPr>
          <w:p w:rsidR="0027470E" w:rsidRDefault="00320041">
            <w:pPr>
              <w:pStyle w:val="TableParagraph"/>
              <w:spacing w:line="176" w:lineRule="exact"/>
              <w:ind w:left="117" w:right="112"/>
              <w:rPr>
                <w:sz w:val="20"/>
              </w:rPr>
            </w:pPr>
            <w:r>
              <w:rPr>
                <w:sz w:val="20"/>
              </w:rPr>
              <w:t>105.8</w:t>
            </w:r>
          </w:p>
        </w:tc>
        <w:tc>
          <w:tcPr>
            <w:tcW w:w="926" w:type="dxa"/>
          </w:tcPr>
          <w:p w:rsidR="0027470E" w:rsidRDefault="00320041">
            <w:pPr>
              <w:pStyle w:val="TableParagraph"/>
              <w:spacing w:line="176" w:lineRule="exact"/>
              <w:ind w:left="117" w:right="114"/>
              <w:rPr>
                <w:sz w:val="20"/>
              </w:rPr>
            </w:pPr>
            <w:r>
              <w:rPr>
                <w:sz w:val="20"/>
              </w:rPr>
              <w:t>104.8</w:t>
            </w:r>
          </w:p>
        </w:tc>
        <w:tc>
          <w:tcPr>
            <w:tcW w:w="924" w:type="dxa"/>
          </w:tcPr>
          <w:p w:rsidR="0027470E" w:rsidRDefault="00320041">
            <w:pPr>
              <w:pStyle w:val="TableParagraph"/>
              <w:spacing w:line="176" w:lineRule="exact"/>
              <w:ind w:left="117" w:right="112"/>
              <w:rPr>
                <w:sz w:val="20"/>
              </w:rPr>
            </w:pPr>
            <w:r>
              <w:rPr>
                <w:sz w:val="20"/>
              </w:rPr>
              <w:t>103.0</w:t>
            </w:r>
          </w:p>
        </w:tc>
        <w:tc>
          <w:tcPr>
            <w:tcW w:w="926" w:type="dxa"/>
          </w:tcPr>
          <w:p w:rsidR="0027470E" w:rsidRDefault="00320041">
            <w:pPr>
              <w:pStyle w:val="TableParagraph"/>
              <w:spacing w:line="176" w:lineRule="exact"/>
              <w:ind w:left="117" w:right="114"/>
              <w:rPr>
                <w:sz w:val="20"/>
              </w:rPr>
            </w:pPr>
            <w:r>
              <w:rPr>
                <w:sz w:val="20"/>
              </w:rPr>
              <w:t>102.0</w:t>
            </w:r>
          </w:p>
        </w:tc>
        <w:tc>
          <w:tcPr>
            <w:tcW w:w="1372" w:type="dxa"/>
          </w:tcPr>
          <w:p w:rsidR="0027470E" w:rsidRDefault="00320041">
            <w:pPr>
              <w:pStyle w:val="TableParagraph"/>
              <w:spacing w:line="176" w:lineRule="exact"/>
              <w:ind w:left="292" w:right="287"/>
              <w:rPr>
                <w:sz w:val="20"/>
              </w:rPr>
            </w:pPr>
            <w:r>
              <w:rPr>
                <w:sz w:val="20"/>
              </w:rPr>
              <w:t>98.5</w:t>
            </w:r>
          </w:p>
        </w:tc>
      </w:tr>
      <w:tr w:rsidR="0027470E">
        <w:trPr>
          <w:trHeight w:val="193"/>
        </w:trPr>
        <w:tc>
          <w:tcPr>
            <w:tcW w:w="3199" w:type="dxa"/>
          </w:tcPr>
          <w:p w:rsidR="0027470E" w:rsidRDefault="00DC0254">
            <w:pPr>
              <w:pStyle w:val="TableParagraph"/>
              <w:spacing w:line="174" w:lineRule="exact"/>
              <w:ind w:left="112"/>
              <w:jc w:val="left"/>
              <w:rPr>
                <w:sz w:val="20"/>
              </w:rPr>
            </w:pPr>
            <w:r>
              <w:rPr>
                <w:sz w:val="20"/>
              </w:rPr>
              <w:t>PROJECT 4</w:t>
            </w:r>
            <w:r w:rsidR="00320041">
              <w:rPr>
                <w:sz w:val="20"/>
              </w:rPr>
              <w:t xml:space="preserve"> hydrobromide 30 mg/kg†</w:t>
            </w:r>
          </w:p>
        </w:tc>
        <w:tc>
          <w:tcPr>
            <w:tcW w:w="924" w:type="dxa"/>
          </w:tcPr>
          <w:p w:rsidR="0027470E" w:rsidRDefault="00320041">
            <w:pPr>
              <w:pStyle w:val="TableParagraph"/>
              <w:spacing w:line="174" w:lineRule="exact"/>
              <w:ind w:left="117" w:right="112"/>
              <w:rPr>
                <w:sz w:val="20"/>
              </w:rPr>
            </w:pPr>
            <w:r>
              <w:rPr>
                <w:sz w:val="20"/>
              </w:rPr>
              <w:t>100.0</w:t>
            </w:r>
          </w:p>
        </w:tc>
        <w:tc>
          <w:tcPr>
            <w:tcW w:w="924" w:type="dxa"/>
          </w:tcPr>
          <w:p w:rsidR="0027470E" w:rsidRDefault="00320041">
            <w:pPr>
              <w:pStyle w:val="TableParagraph"/>
              <w:spacing w:line="174" w:lineRule="exact"/>
              <w:ind w:left="117" w:right="112"/>
              <w:rPr>
                <w:sz w:val="20"/>
              </w:rPr>
            </w:pPr>
            <w:r>
              <w:rPr>
                <w:sz w:val="20"/>
              </w:rPr>
              <w:t>103.0</w:t>
            </w:r>
          </w:p>
        </w:tc>
        <w:tc>
          <w:tcPr>
            <w:tcW w:w="926" w:type="dxa"/>
          </w:tcPr>
          <w:p w:rsidR="0027470E" w:rsidRDefault="00320041">
            <w:pPr>
              <w:pStyle w:val="TableParagraph"/>
              <w:spacing w:line="174" w:lineRule="exact"/>
              <w:ind w:left="117" w:right="114"/>
              <w:rPr>
                <w:sz w:val="20"/>
              </w:rPr>
            </w:pPr>
            <w:r>
              <w:rPr>
                <w:sz w:val="20"/>
              </w:rPr>
              <w:t>103.8</w:t>
            </w:r>
          </w:p>
        </w:tc>
        <w:tc>
          <w:tcPr>
            <w:tcW w:w="924" w:type="dxa"/>
          </w:tcPr>
          <w:p w:rsidR="0027470E" w:rsidRDefault="00320041">
            <w:pPr>
              <w:pStyle w:val="TableParagraph"/>
              <w:spacing w:line="174" w:lineRule="exact"/>
              <w:ind w:left="117" w:right="112"/>
              <w:rPr>
                <w:sz w:val="20"/>
              </w:rPr>
            </w:pPr>
            <w:r>
              <w:rPr>
                <w:sz w:val="20"/>
              </w:rPr>
              <w:t>103.5</w:t>
            </w:r>
          </w:p>
        </w:tc>
        <w:tc>
          <w:tcPr>
            <w:tcW w:w="926" w:type="dxa"/>
          </w:tcPr>
          <w:p w:rsidR="0027470E" w:rsidRDefault="00320041">
            <w:pPr>
              <w:pStyle w:val="TableParagraph"/>
              <w:spacing w:line="174" w:lineRule="exact"/>
              <w:ind w:left="117" w:right="114"/>
              <w:rPr>
                <w:sz w:val="20"/>
              </w:rPr>
            </w:pPr>
            <w:r>
              <w:rPr>
                <w:sz w:val="20"/>
              </w:rPr>
              <w:t>104.5</w:t>
            </w:r>
          </w:p>
        </w:tc>
        <w:tc>
          <w:tcPr>
            <w:tcW w:w="1372" w:type="dxa"/>
          </w:tcPr>
          <w:p w:rsidR="0027470E" w:rsidRDefault="00320041">
            <w:pPr>
              <w:pStyle w:val="TableParagraph"/>
              <w:spacing w:line="174" w:lineRule="exact"/>
              <w:ind w:left="292" w:right="287"/>
              <w:rPr>
                <w:sz w:val="20"/>
              </w:rPr>
            </w:pPr>
            <w:r>
              <w:rPr>
                <w:sz w:val="20"/>
              </w:rPr>
              <w:t>99.8</w:t>
            </w:r>
          </w:p>
        </w:tc>
      </w:tr>
      <w:tr w:rsidR="0027470E">
        <w:trPr>
          <w:trHeight w:val="196"/>
        </w:trPr>
        <w:tc>
          <w:tcPr>
            <w:tcW w:w="3199" w:type="dxa"/>
          </w:tcPr>
          <w:p w:rsidR="0027470E" w:rsidRDefault="00320041">
            <w:pPr>
              <w:pStyle w:val="TableParagraph"/>
              <w:spacing w:line="176" w:lineRule="exact"/>
              <w:ind w:left="112"/>
              <w:jc w:val="left"/>
              <w:rPr>
                <w:sz w:val="20"/>
              </w:rPr>
            </w:pPr>
            <w:proofErr w:type="spellStart"/>
            <w:r>
              <w:rPr>
                <w:sz w:val="20"/>
              </w:rPr>
              <w:t>Astemizole</w:t>
            </w:r>
            <w:proofErr w:type="spellEnd"/>
            <w:r>
              <w:rPr>
                <w:sz w:val="20"/>
              </w:rPr>
              <w:t xml:space="preserve"> 10 mg/kg</w:t>
            </w:r>
          </w:p>
        </w:tc>
        <w:tc>
          <w:tcPr>
            <w:tcW w:w="924" w:type="dxa"/>
          </w:tcPr>
          <w:p w:rsidR="0027470E" w:rsidRDefault="00320041">
            <w:pPr>
              <w:pStyle w:val="TableParagraph"/>
              <w:spacing w:line="176" w:lineRule="exact"/>
              <w:ind w:left="117" w:right="112"/>
              <w:rPr>
                <w:sz w:val="20"/>
              </w:rPr>
            </w:pPr>
            <w:r>
              <w:rPr>
                <w:sz w:val="20"/>
              </w:rPr>
              <w:t>100.0</w:t>
            </w:r>
          </w:p>
        </w:tc>
        <w:tc>
          <w:tcPr>
            <w:tcW w:w="924" w:type="dxa"/>
          </w:tcPr>
          <w:p w:rsidR="0027470E" w:rsidRDefault="00320041">
            <w:pPr>
              <w:pStyle w:val="TableParagraph"/>
              <w:spacing w:line="176" w:lineRule="exact"/>
              <w:ind w:left="117" w:right="112"/>
              <w:rPr>
                <w:sz w:val="20"/>
              </w:rPr>
            </w:pPr>
            <w:r>
              <w:rPr>
                <w:sz w:val="20"/>
              </w:rPr>
              <w:t>113.8</w:t>
            </w:r>
          </w:p>
        </w:tc>
        <w:tc>
          <w:tcPr>
            <w:tcW w:w="926" w:type="dxa"/>
          </w:tcPr>
          <w:p w:rsidR="0027470E" w:rsidRDefault="00320041">
            <w:pPr>
              <w:pStyle w:val="TableParagraph"/>
              <w:spacing w:line="176" w:lineRule="exact"/>
              <w:ind w:left="117" w:right="114"/>
              <w:rPr>
                <w:sz w:val="20"/>
              </w:rPr>
            </w:pPr>
            <w:r>
              <w:rPr>
                <w:sz w:val="20"/>
              </w:rPr>
              <w:t>108.8</w:t>
            </w:r>
          </w:p>
        </w:tc>
        <w:tc>
          <w:tcPr>
            <w:tcW w:w="924" w:type="dxa"/>
          </w:tcPr>
          <w:p w:rsidR="0027470E" w:rsidRDefault="00320041">
            <w:pPr>
              <w:pStyle w:val="TableParagraph"/>
              <w:spacing w:line="176" w:lineRule="exact"/>
              <w:ind w:left="117" w:right="112"/>
              <w:rPr>
                <w:sz w:val="20"/>
              </w:rPr>
            </w:pPr>
            <w:r>
              <w:rPr>
                <w:sz w:val="20"/>
              </w:rPr>
              <w:t>104.8</w:t>
            </w:r>
          </w:p>
        </w:tc>
        <w:tc>
          <w:tcPr>
            <w:tcW w:w="926" w:type="dxa"/>
          </w:tcPr>
          <w:p w:rsidR="0027470E" w:rsidRDefault="00320041">
            <w:pPr>
              <w:pStyle w:val="TableParagraph"/>
              <w:spacing w:line="176" w:lineRule="exact"/>
              <w:ind w:left="117" w:right="114"/>
              <w:rPr>
                <w:sz w:val="20"/>
              </w:rPr>
            </w:pPr>
            <w:r>
              <w:rPr>
                <w:sz w:val="20"/>
              </w:rPr>
              <w:t>104.3</w:t>
            </w:r>
          </w:p>
        </w:tc>
        <w:tc>
          <w:tcPr>
            <w:tcW w:w="1372" w:type="dxa"/>
          </w:tcPr>
          <w:p w:rsidR="0027470E" w:rsidRDefault="00320041">
            <w:pPr>
              <w:pStyle w:val="TableParagraph"/>
              <w:spacing w:line="176" w:lineRule="exact"/>
              <w:ind w:left="292" w:right="287"/>
              <w:rPr>
                <w:sz w:val="20"/>
              </w:rPr>
            </w:pPr>
            <w:r>
              <w:rPr>
                <w:sz w:val="20"/>
              </w:rPr>
              <w:t>110.3</w:t>
            </w:r>
          </w:p>
        </w:tc>
      </w:tr>
    </w:tbl>
    <w:p w:rsidR="0027470E" w:rsidRDefault="00320041">
      <w:pPr>
        <w:spacing w:before="51"/>
        <w:ind w:left="234"/>
        <w:rPr>
          <w:sz w:val="20"/>
        </w:rPr>
      </w:pPr>
      <w:r>
        <w:rPr>
          <w:sz w:val="20"/>
        </w:rPr>
        <w:t>QT</w:t>
      </w:r>
      <w:r>
        <w:rPr>
          <w:sz w:val="20"/>
          <w:vertAlign w:val="subscript"/>
        </w:rPr>
        <w:t>c</w:t>
      </w:r>
      <w:r>
        <w:rPr>
          <w:sz w:val="20"/>
        </w:rPr>
        <w:t>: corrected QT interval; w/v: weight per volume.</w:t>
      </w:r>
    </w:p>
    <w:p w:rsidR="0027470E" w:rsidRDefault="00320041">
      <w:pPr>
        <w:spacing w:before="60"/>
        <w:ind w:left="234"/>
        <w:rPr>
          <w:sz w:val="20"/>
        </w:rPr>
      </w:pPr>
      <w:r>
        <w:rPr>
          <w:sz w:val="20"/>
        </w:rPr>
        <w:t xml:space="preserve">† As </w:t>
      </w:r>
      <w:r w:rsidR="00DC0254">
        <w:rPr>
          <w:sz w:val="20"/>
        </w:rPr>
        <w:t>PROJECT 4</w:t>
      </w:r>
      <w:r>
        <w:rPr>
          <w:sz w:val="20"/>
        </w:rPr>
        <w:t xml:space="preserve"> freebase.</w:t>
      </w:r>
    </w:p>
    <w:p w:rsidR="0027470E" w:rsidRDefault="00320041">
      <w:pPr>
        <w:spacing w:before="58"/>
        <w:ind w:left="234"/>
        <w:rPr>
          <w:sz w:val="20"/>
        </w:rPr>
      </w:pPr>
      <w:r>
        <w:rPr>
          <w:sz w:val="20"/>
        </w:rPr>
        <w:t xml:space="preserve">Source: Company Report </w:t>
      </w:r>
      <w:r w:rsidR="00DC0254">
        <w:rPr>
          <w:sz w:val="20"/>
        </w:rPr>
        <w:t>Project 4</w:t>
      </w:r>
      <w:r>
        <w:rPr>
          <w:sz w:val="20"/>
        </w:rPr>
        <w:t>-PT-0002.</w:t>
      </w:r>
    </w:p>
    <w:p w:rsidR="0027470E" w:rsidRDefault="0027470E">
      <w:pPr>
        <w:pStyle w:val="a3"/>
        <w:rPr>
          <w:sz w:val="22"/>
        </w:rPr>
      </w:pPr>
    </w:p>
    <w:p w:rsidR="0027470E" w:rsidRDefault="00320041">
      <w:pPr>
        <w:pStyle w:val="a3"/>
        <w:spacing w:before="183" w:line="261" w:lineRule="auto"/>
        <w:ind w:left="234" w:right="1487"/>
      </w:pPr>
      <w:r>
        <w:t xml:space="preserve">At a dose of 1 mg/kg, there were no </w:t>
      </w:r>
      <w:r w:rsidR="00DC0254">
        <w:t>PROJECT 4</w:t>
      </w:r>
      <w:r>
        <w:t xml:space="preserve">-related changes in any electrolytes (ionized calcium, sodium, potassium and chloride). At </w:t>
      </w:r>
      <w:r w:rsidR="00DC0254">
        <w:t>PROJECT 4</w:t>
      </w:r>
      <w:r>
        <w:t xml:space="preserve"> doses of 10 and 30 mg/kg, plasma potassium decreased between 1 and 4 hours after dosing; however, there was no change in any other electrolyte.</w:t>
      </w:r>
    </w:p>
    <w:p w:rsidR="0027470E" w:rsidRDefault="00320041">
      <w:pPr>
        <w:pStyle w:val="a3"/>
        <w:spacing w:before="117" w:line="261" w:lineRule="auto"/>
        <w:ind w:left="234" w:right="1941"/>
      </w:pPr>
      <w:r>
        <w:t xml:space="preserve">It was concluded that </w:t>
      </w:r>
      <w:r w:rsidR="00DC0254">
        <w:t>PROJECT 4</w:t>
      </w:r>
      <w:r>
        <w:t xml:space="preserve"> at a dose of 1 mg/kg had no effect on the cardiovascular system or electrolytes. At doses of 10 and 30 mg/kg, </w:t>
      </w:r>
      <w:r w:rsidR="00DC0254">
        <w:t>PROJECT 4</w:t>
      </w:r>
      <w:r>
        <w:t xml:space="preserve"> decreased heart rate, prolonged </w:t>
      </w:r>
      <w:proofErr w:type="spellStart"/>
      <w:r>
        <w:t>QT</w:t>
      </w:r>
      <w:r>
        <w:rPr>
          <w:vertAlign w:val="subscript"/>
        </w:rPr>
        <w:t>c</w:t>
      </w:r>
      <w:r>
        <w:t>F</w:t>
      </w:r>
      <w:proofErr w:type="spellEnd"/>
      <w:r>
        <w:t xml:space="preserve"> and decreased plasma potassium levels.</w:t>
      </w:r>
    </w:p>
    <w:p w:rsidR="0027470E" w:rsidRDefault="00320041">
      <w:pPr>
        <w:pStyle w:val="3"/>
        <w:numPr>
          <w:ilvl w:val="4"/>
          <w:numId w:val="11"/>
        </w:numPr>
        <w:tabs>
          <w:tab w:val="left" w:pos="1386"/>
          <w:tab w:val="left" w:pos="1387"/>
        </w:tabs>
        <w:spacing w:before="122"/>
        <w:ind w:left="1386" w:hanging="1152"/>
      </w:pPr>
      <w:bookmarkStart w:id="15" w:name="4.2.2.2.3_Respiratory_Safety_Pharmacolog"/>
      <w:bookmarkStart w:id="16" w:name="_bookmark32"/>
      <w:bookmarkEnd w:id="15"/>
      <w:bookmarkEnd w:id="16"/>
      <w:r>
        <w:t>Respiratory Safety</w:t>
      </w:r>
      <w:r>
        <w:rPr>
          <w:spacing w:val="-1"/>
        </w:rPr>
        <w:t xml:space="preserve"> </w:t>
      </w:r>
      <w:r>
        <w:t>Pharmacology</w:t>
      </w:r>
    </w:p>
    <w:p w:rsidR="0027470E" w:rsidRDefault="00320041">
      <w:pPr>
        <w:pStyle w:val="a3"/>
        <w:spacing w:before="140" w:line="261" w:lineRule="auto"/>
        <w:ind w:left="234" w:right="1568"/>
      </w:pPr>
      <w:r>
        <w:t xml:space="preserve">In a GLP safety pharmacology study conducted in cynomolgus monkeys, the effect of </w:t>
      </w:r>
      <w:r w:rsidR="00DC0254">
        <w:t>PROJECT 4</w:t>
      </w:r>
      <w:r>
        <w:t xml:space="preserve"> on respiratory safety parameters was evaluated in 4 unanesthetized males at doses of 0 (vehicle, 0.5% w/v MC suspension), 1, 10 and 30 mg/kg (Company</w:t>
      </w:r>
    </w:p>
    <w:p w:rsidR="0027470E" w:rsidRDefault="00320041">
      <w:pPr>
        <w:pStyle w:val="a3"/>
        <w:spacing w:line="261" w:lineRule="auto"/>
        <w:ind w:left="234" w:right="1487"/>
      </w:pPr>
      <w:r>
        <w:t xml:space="preserve">Report </w:t>
      </w:r>
      <w:r w:rsidR="00DC0254">
        <w:t>Project 4</w:t>
      </w:r>
      <w:r>
        <w:t xml:space="preserve">-PT-0002). Dosing was performed in a crossover design on days 1, 8, 15 and 22 (first to fourth dosing). Plasma concentrations of </w:t>
      </w:r>
      <w:r w:rsidR="00DC0254">
        <w:t>PROJECT 4</w:t>
      </w:r>
      <w:r>
        <w:t xml:space="preserve"> were measured to determine systemic exposure (</w:t>
      </w:r>
      <w:hyperlink w:anchor="_bookmark33" w:history="1">
        <w:r>
          <w:t>Table 6</w:t>
        </w:r>
      </w:hyperlink>
      <w:r>
        <w:t>).</w:t>
      </w:r>
    </w:p>
    <w:p w:rsidR="0027470E" w:rsidRDefault="0027470E">
      <w:pPr>
        <w:spacing w:line="261" w:lineRule="auto"/>
        <w:sectPr w:rsidR="0027470E">
          <w:pgSz w:w="12240" w:h="15840"/>
          <w:pgMar w:top="1280" w:right="0" w:bottom="940" w:left="1580" w:header="578" w:footer="748" w:gutter="0"/>
          <w:cols w:space="720"/>
        </w:sectPr>
      </w:pPr>
    </w:p>
    <w:p w:rsidR="0027470E" w:rsidRDefault="00320041">
      <w:pPr>
        <w:pStyle w:val="3"/>
        <w:tabs>
          <w:tab w:val="left" w:pos="1645"/>
        </w:tabs>
        <w:spacing w:before="119"/>
        <w:ind w:left="1645" w:right="2360" w:hanging="1412"/>
      </w:pPr>
      <w:bookmarkStart w:id="17" w:name="_bookmark33"/>
      <w:bookmarkEnd w:id="17"/>
      <w:r>
        <w:lastRenderedPageBreak/>
        <w:t>Table</w:t>
      </w:r>
      <w:r>
        <w:rPr>
          <w:spacing w:val="-1"/>
        </w:rPr>
        <w:t xml:space="preserve"> </w:t>
      </w:r>
      <w:r>
        <w:t>6:</w:t>
      </w:r>
      <w:r>
        <w:tab/>
        <w:t xml:space="preserve">Summary of Toxicokinetic Parameters after Single Oral Doses of </w:t>
      </w:r>
      <w:r w:rsidR="00DC0254">
        <w:t>PROJECT 4</w:t>
      </w:r>
      <w:r>
        <w:t xml:space="preserve"> in the Monkey Safety Pharmacology</w:t>
      </w:r>
      <w:r>
        <w:rPr>
          <w:spacing w:val="-3"/>
        </w:rPr>
        <w:t xml:space="preserve"> </w:t>
      </w:r>
      <w:r>
        <w:t>Study</w:t>
      </w:r>
    </w:p>
    <w:p w:rsidR="0027470E" w:rsidRDefault="0027470E">
      <w:pPr>
        <w:pStyle w:val="a3"/>
        <w:spacing w:before="6"/>
        <w:rPr>
          <w:b/>
          <w:sz w:val="5"/>
        </w:rPr>
      </w:pPr>
    </w:p>
    <w:tbl>
      <w:tblPr>
        <w:tblStyle w:val="TableNormal"/>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75"/>
        <w:gridCol w:w="2013"/>
        <w:gridCol w:w="2013"/>
        <w:gridCol w:w="2011"/>
      </w:tblGrid>
      <w:tr w:rsidR="0027470E">
        <w:trPr>
          <w:trHeight w:val="225"/>
        </w:trPr>
        <w:tc>
          <w:tcPr>
            <w:tcW w:w="3175" w:type="dxa"/>
            <w:vMerge w:val="restart"/>
            <w:tcBorders>
              <w:bottom w:val="single" w:sz="4" w:space="0" w:color="000000"/>
              <w:right w:val="single" w:sz="4" w:space="0" w:color="000000"/>
            </w:tcBorders>
          </w:tcPr>
          <w:p w:rsidR="0027470E" w:rsidRDefault="0027470E">
            <w:pPr>
              <w:pStyle w:val="TableParagraph"/>
              <w:spacing w:before="3"/>
              <w:jc w:val="left"/>
              <w:rPr>
                <w:b/>
                <w:sz w:val="18"/>
              </w:rPr>
            </w:pPr>
          </w:p>
          <w:p w:rsidR="0027470E" w:rsidRDefault="00320041">
            <w:pPr>
              <w:pStyle w:val="TableParagraph"/>
              <w:ind w:left="112"/>
              <w:jc w:val="left"/>
              <w:rPr>
                <w:sz w:val="20"/>
              </w:rPr>
            </w:pPr>
            <w:r>
              <w:rPr>
                <w:b/>
                <w:sz w:val="20"/>
              </w:rPr>
              <w:t>Pharmacokinetics Parameters</w:t>
            </w:r>
            <w:r>
              <w:rPr>
                <w:sz w:val="20"/>
              </w:rPr>
              <w:t>†</w:t>
            </w:r>
          </w:p>
        </w:tc>
        <w:tc>
          <w:tcPr>
            <w:tcW w:w="6037" w:type="dxa"/>
            <w:gridSpan w:val="3"/>
            <w:tcBorders>
              <w:left w:val="single" w:sz="4" w:space="0" w:color="000000"/>
              <w:bottom w:val="single" w:sz="4" w:space="0" w:color="000000"/>
            </w:tcBorders>
          </w:tcPr>
          <w:p w:rsidR="0027470E" w:rsidRDefault="00320041">
            <w:pPr>
              <w:pStyle w:val="TableParagraph"/>
              <w:spacing w:line="205" w:lineRule="exact"/>
              <w:ind w:left="2221" w:right="2204"/>
              <w:rPr>
                <w:sz w:val="20"/>
              </w:rPr>
            </w:pPr>
            <w:r>
              <w:rPr>
                <w:b/>
                <w:sz w:val="20"/>
              </w:rPr>
              <w:t xml:space="preserve">Dose of </w:t>
            </w:r>
            <w:r w:rsidR="00DC0254">
              <w:rPr>
                <w:b/>
                <w:sz w:val="20"/>
              </w:rPr>
              <w:t>PROJECT 4</w:t>
            </w:r>
            <w:r>
              <w:rPr>
                <w:sz w:val="20"/>
              </w:rPr>
              <w:t>‡</w:t>
            </w:r>
          </w:p>
        </w:tc>
      </w:tr>
      <w:tr w:rsidR="0027470E">
        <w:trPr>
          <w:trHeight w:val="225"/>
        </w:trPr>
        <w:tc>
          <w:tcPr>
            <w:tcW w:w="3175" w:type="dxa"/>
            <w:vMerge/>
            <w:tcBorders>
              <w:top w:val="nil"/>
              <w:bottom w:val="single" w:sz="4" w:space="0" w:color="000000"/>
              <w:right w:val="single" w:sz="4" w:space="0" w:color="000000"/>
            </w:tcBorders>
          </w:tcPr>
          <w:p w:rsidR="0027470E" w:rsidRDefault="0027470E">
            <w:pPr>
              <w:rPr>
                <w:sz w:val="2"/>
                <w:szCs w:val="2"/>
              </w:rPr>
            </w:pPr>
          </w:p>
        </w:tc>
        <w:tc>
          <w:tcPr>
            <w:tcW w:w="2013" w:type="dxa"/>
            <w:tcBorders>
              <w:top w:val="single" w:sz="4" w:space="0" w:color="000000"/>
              <w:left w:val="single" w:sz="4" w:space="0" w:color="000000"/>
              <w:bottom w:val="single" w:sz="4" w:space="0" w:color="000000"/>
              <w:right w:val="single" w:sz="4" w:space="0" w:color="000000"/>
            </w:tcBorders>
          </w:tcPr>
          <w:p w:rsidR="0027470E" w:rsidRDefault="00320041">
            <w:pPr>
              <w:pStyle w:val="TableParagraph"/>
              <w:spacing w:line="205" w:lineRule="exact"/>
              <w:ind w:left="587" w:right="575"/>
              <w:rPr>
                <w:b/>
                <w:sz w:val="20"/>
              </w:rPr>
            </w:pPr>
            <w:r>
              <w:rPr>
                <w:b/>
                <w:sz w:val="20"/>
              </w:rPr>
              <w:t>1 mg/kg</w:t>
            </w:r>
          </w:p>
        </w:tc>
        <w:tc>
          <w:tcPr>
            <w:tcW w:w="2013" w:type="dxa"/>
            <w:tcBorders>
              <w:top w:val="single" w:sz="4" w:space="0" w:color="000000"/>
              <w:left w:val="single" w:sz="4" w:space="0" w:color="000000"/>
              <w:bottom w:val="single" w:sz="4" w:space="0" w:color="000000"/>
              <w:right w:val="single" w:sz="4" w:space="0" w:color="000000"/>
            </w:tcBorders>
          </w:tcPr>
          <w:p w:rsidR="0027470E" w:rsidRDefault="00320041">
            <w:pPr>
              <w:pStyle w:val="TableParagraph"/>
              <w:spacing w:line="205" w:lineRule="exact"/>
              <w:ind w:left="588" w:right="575"/>
              <w:rPr>
                <w:b/>
                <w:sz w:val="20"/>
              </w:rPr>
            </w:pPr>
            <w:r>
              <w:rPr>
                <w:b/>
                <w:sz w:val="20"/>
              </w:rPr>
              <w:t>10 mg/kg</w:t>
            </w:r>
          </w:p>
        </w:tc>
        <w:tc>
          <w:tcPr>
            <w:tcW w:w="2011" w:type="dxa"/>
            <w:tcBorders>
              <w:top w:val="single" w:sz="4" w:space="0" w:color="000000"/>
              <w:left w:val="single" w:sz="4" w:space="0" w:color="000000"/>
              <w:bottom w:val="single" w:sz="4" w:space="0" w:color="000000"/>
            </w:tcBorders>
          </w:tcPr>
          <w:p w:rsidR="0027470E" w:rsidRDefault="00320041">
            <w:pPr>
              <w:pStyle w:val="TableParagraph"/>
              <w:spacing w:line="205" w:lineRule="exact"/>
              <w:ind w:left="586" w:right="570"/>
              <w:rPr>
                <w:b/>
                <w:sz w:val="20"/>
              </w:rPr>
            </w:pPr>
            <w:r>
              <w:rPr>
                <w:b/>
                <w:sz w:val="20"/>
              </w:rPr>
              <w:t>30 mg/kg</w:t>
            </w:r>
          </w:p>
        </w:tc>
      </w:tr>
      <w:tr w:rsidR="0027470E">
        <w:trPr>
          <w:trHeight w:val="225"/>
        </w:trPr>
        <w:tc>
          <w:tcPr>
            <w:tcW w:w="3175" w:type="dxa"/>
            <w:tcBorders>
              <w:top w:val="single" w:sz="4" w:space="0" w:color="000000"/>
              <w:bottom w:val="single" w:sz="4" w:space="0" w:color="000000"/>
              <w:right w:val="single" w:sz="4" w:space="0" w:color="000000"/>
            </w:tcBorders>
          </w:tcPr>
          <w:p w:rsidR="0027470E" w:rsidRDefault="00320041">
            <w:pPr>
              <w:pStyle w:val="TableParagraph"/>
              <w:spacing w:line="205" w:lineRule="exact"/>
              <w:ind w:left="112"/>
              <w:jc w:val="left"/>
              <w:rPr>
                <w:sz w:val="20"/>
              </w:rPr>
            </w:pPr>
            <w:proofErr w:type="spellStart"/>
            <w:r>
              <w:rPr>
                <w:sz w:val="20"/>
              </w:rPr>
              <w:t>C</w:t>
            </w:r>
            <w:r>
              <w:rPr>
                <w:sz w:val="20"/>
                <w:vertAlign w:val="subscript"/>
              </w:rPr>
              <w:t>max</w:t>
            </w:r>
            <w:proofErr w:type="spellEnd"/>
            <w:r>
              <w:rPr>
                <w:sz w:val="20"/>
              </w:rPr>
              <w:t xml:space="preserve"> (ng/mL)</w:t>
            </w:r>
          </w:p>
        </w:tc>
        <w:tc>
          <w:tcPr>
            <w:tcW w:w="2013" w:type="dxa"/>
            <w:tcBorders>
              <w:top w:val="single" w:sz="4" w:space="0" w:color="000000"/>
              <w:left w:val="single" w:sz="4" w:space="0" w:color="000000"/>
              <w:bottom w:val="single" w:sz="4" w:space="0" w:color="000000"/>
              <w:right w:val="single" w:sz="4" w:space="0" w:color="000000"/>
            </w:tcBorders>
          </w:tcPr>
          <w:p w:rsidR="0027470E" w:rsidRDefault="00320041">
            <w:pPr>
              <w:pStyle w:val="TableParagraph"/>
              <w:spacing w:line="205" w:lineRule="exact"/>
              <w:ind w:left="587" w:right="575"/>
              <w:rPr>
                <w:sz w:val="20"/>
              </w:rPr>
            </w:pPr>
            <w:r>
              <w:rPr>
                <w:sz w:val="20"/>
              </w:rPr>
              <w:t>32.005</w:t>
            </w:r>
          </w:p>
        </w:tc>
        <w:tc>
          <w:tcPr>
            <w:tcW w:w="2013" w:type="dxa"/>
            <w:tcBorders>
              <w:top w:val="single" w:sz="4" w:space="0" w:color="000000"/>
              <w:left w:val="single" w:sz="4" w:space="0" w:color="000000"/>
              <w:bottom w:val="single" w:sz="4" w:space="0" w:color="000000"/>
              <w:right w:val="single" w:sz="4" w:space="0" w:color="000000"/>
            </w:tcBorders>
          </w:tcPr>
          <w:p w:rsidR="0027470E" w:rsidRDefault="00320041">
            <w:pPr>
              <w:pStyle w:val="TableParagraph"/>
              <w:spacing w:line="205" w:lineRule="exact"/>
              <w:ind w:left="588" w:right="575"/>
              <w:rPr>
                <w:sz w:val="20"/>
              </w:rPr>
            </w:pPr>
            <w:r>
              <w:rPr>
                <w:sz w:val="20"/>
              </w:rPr>
              <w:t>177.160</w:t>
            </w:r>
          </w:p>
        </w:tc>
        <w:tc>
          <w:tcPr>
            <w:tcW w:w="2011" w:type="dxa"/>
            <w:tcBorders>
              <w:top w:val="single" w:sz="4" w:space="0" w:color="000000"/>
              <w:left w:val="single" w:sz="4" w:space="0" w:color="000000"/>
              <w:bottom w:val="single" w:sz="4" w:space="0" w:color="000000"/>
            </w:tcBorders>
          </w:tcPr>
          <w:p w:rsidR="0027470E" w:rsidRDefault="00320041">
            <w:pPr>
              <w:pStyle w:val="TableParagraph"/>
              <w:spacing w:line="205" w:lineRule="exact"/>
              <w:ind w:left="586" w:right="569"/>
              <w:rPr>
                <w:sz w:val="20"/>
              </w:rPr>
            </w:pPr>
            <w:r>
              <w:rPr>
                <w:sz w:val="20"/>
              </w:rPr>
              <w:t>363.170</w:t>
            </w:r>
          </w:p>
        </w:tc>
      </w:tr>
      <w:tr w:rsidR="0027470E">
        <w:trPr>
          <w:trHeight w:val="225"/>
        </w:trPr>
        <w:tc>
          <w:tcPr>
            <w:tcW w:w="3175" w:type="dxa"/>
            <w:tcBorders>
              <w:top w:val="single" w:sz="4" w:space="0" w:color="000000"/>
              <w:bottom w:val="single" w:sz="4" w:space="0" w:color="000000"/>
              <w:right w:val="single" w:sz="4" w:space="0" w:color="000000"/>
            </w:tcBorders>
          </w:tcPr>
          <w:p w:rsidR="0027470E" w:rsidRDefault="00320041">
            <w:pPr>
              <w:pStyle w:val="TableParagraph"/>
              <w:spacing w:line="205" w:lineRule="exact"/>
              <w:ind w:left="112"/>
              <w:jc w:val="left"/>
              <w:rPr>
                <w:sz w:val="20"/>
              </w:rPr>
            </w:pPr>
            <w:r>
              <w:rPr>
                <w:sz w:val="20"/>
              </w:rPr>
              <w:t>AUC</w:t>
            </w:r>
            <w:r>
              <w:rPr>
                <w:sz w:val="20"/>
                <w:vertAlign w:val="subscript"/>
              </w:rPr>
              <w:t>24</w:t>
            </w:r>
            <w:r>
              <w:rPr>
                <w:sz w:val="20"/>
              </w:rPr>
              <w:t xml:space="preserve"> (</w:t>
            </w:r>
            <w:proofErr w:type="spellStart"/>
            <w:r>
              <w:rPr>
                <w:sz w:val="20"/>
              </w:rPr>
              <w:t>ng•h</w:t>
            </w:r>
            <w:proofErr w:type="spellEnd"/>
            <w:r>
              <w:rPr>
                <w:sz w:val="20"/>
              </w:rPr>
              <w:t>/mL)</w:t>
            </w:r>
          </w:p>
        </w:tc>
        <w:tc>
          <w:tcPr>
            <w:tcW w:w="2013" w:type="dxa"/>
            <w:tcBorders>
              <w:top w:val="single" w:sz="4" w:space="0" w:color="000000"/>
              <w:left w:val="single" w:sz="4" w:space="0" w:color="000000"/>
              <w:bottom w:val="single" w:sz="4" w:space="0" w:color="000000"/>
              <w:right w:val="single" w:sz="4" w:space="0" w:color="000000"/>
            </w:tcBorders>
          </w:tcPr>
          <w:p w:rsidR="0027470E" w:rsidRDefault="00320041">
            <w:pPr>
              <w:pStyle w:val="TableParagraph"/>
              <w:spacing w:line="205" w:lineRule="exact"/>
              <w:ind w:left="587" w:right="575"/>
              <w:rPr>
                <w:sz w:val="20"/>
              </w:rPr>
            </w:pPr>
            <w:r>
              <w:rPr>
                <w:sz w:val="20"/>
              </w:rPr>
              <w:t>241.713</w:t>
            </w:r>
          </w:p>
        </w:tc>
        <w:tc>
          <w:tcPr>
            <w:tcW w:w="2013" w:type="dxa"/>
            <w:tcBorders>
              <w:top w:val="single" w:sz="4" w:space="0" w:color="000000"/>
              <w:left w:val="single" w:sz="4" w:space="0" w:color="000000"/>
              <w:bottom w:val="single" w:sz="4" w:space="0" w:color="000000"/>
              <w:right w:val="single" w:sz="4" w:space="0" w:color="000000"/>
            </w:tcBorders>
          </w:tcPr>
          <w:p w:rsidR="0027470E" w:rsidRDefault="00320041">
            <w:pPr>
              <w:pStyle w:val="TableParagraph"/>
              <w:spacing w:line="205" w:lineRule="exact"/>
              <w:ind w:left="588" w:right="575"/>
              <w:rPr>
                <w:sz w:val="20"/>
              </w:rPr>
            </w:pPr>
            <w:r>
              <w:rPr>
                <w:sz w:val="20"/>
              </w:rPr>
              <w:t>1,771.040</w:t>
            </w:r>
          </w:p>
        </w:tc>
        <w:tc>
          <w:tcPr>
            <w:tcW w:w="2011" w:type="dxa"/>
            <w:tcBorders>
              <w:top w:val="single" w:sz="4" w:space="0" w:color="000000"/>
              <w:left w:val="single" w:sz="4" w:space="0" w:color="000000"/>
              <w:bottom w:val="single" w:sz="4" w:space="0" w:color="000000"/>
            </w:tcBorders>
          </w:tcPr>
          <w:p w:rsidR="0027470E" w:rsidRDefault="00320041">
            <w:pPr>
              <w:pStyle w:val="TableParagraph"/>
              <w:spacing w:line="205" w:lineRule="exact"/>
              <w:ind w:left="586" w:right="570"/>
              <w:rPr>
                <w:sz w:val="20"/>
              </w:rPr>
            </w:pPr>
            <w:r>
              <w:rPr>
                <w:sz w:val="20"/>
              </w:rPr>
              <w:t>2,735.382</w:t>
            </w:r>
          </w:p>
        </w:tc>
      </w:tr>
      <w:tr w:rsidR="0027470E">
        <w:trPr>
          <w:trHeight w:val="225"/>
        </w:trPr>
        <w:tc>
          <w:tcPr>
            <w:tcW w:w="3175" w:type="dxa"/>
            <w:tcBorders>
              <w:top w:val="single" w:sz="4" w:space="0" w:color="000000"/>
              <w:right w:val="single" w:sz="4" w:space="0" w:color="000000"/>
            </w:tcBorders>
          </w:tcPr>
          <w:p w:rsidR="0027470E" w:rsidRDefault="00320041">
            <w:pPr>
              <w:pStyle w:val="TableParagraph"/>
              <w:spacing w:line="205" w:lineRule="exact"/>
              <w:ind w:left="112"/>
              <w:jc w:val="left"/>
              <w:rPr>
                <w:sz w:val="20"/>
              </w:rPr>
            </w:pPr>
            <w:proofErr w:type="spellStart"/>
            <w:r>
              <w:rPr>
                <w:sz w:val="20"/>
              </w:rPr>
              <w:t>t</w:t>
            </w:r>
            <w:r>
              <w:rPr>
                <w:sz w:val="20"/>
                <w:vertAlign w:val="subscript"/>
              </w:rPr>
              <w:t>max</w:t>
            </w:r>
            <w:proofErr w:type="spellEnd"/>
            <w:r>
              <w:rPr>
                <w:sz w:val="20"/>
              </w:rPr>
              <w:t xml:space="preserve"> (h)</w:t>
            </w:r>
          </w:p>
        </w:tc>
        <w:tc>
          <w:tcPr>
            <w:tcW w:w="2013" w:type="dxa"/>
            <w:tcBorders>
              <w:top w:val="single" w:sz="4" w:space="0" w:color="000000"/>
              <w:left w:val="single" w:sz="4" w:space="0" w:color="000000"/>
              <w:right w:val="single" w:sz="4" w:space="0" w:color="000000"/>
            </w:tcBorders>
          </w:tcPr>
          <w:p w:rsidR="0027470E" w:rsidRDefault="00320041">
            <w:pPr>
              <w:pStyle w:val="TableParagraph"/>
              <w:spacing w:line="205" w:lineRule="exact"/>
              <w:ind w:left="588" w:right="573"/>
              <w:rPr>
                <w:sz w:val="20"/>
              </w:rPr>
            </w:pPr>
            <w:r>
              <w:rPr>
                <w:sz w:val="20"/>
              </w:rPr>
              <w:t>1.3</w:t>
            </w:r>
          </w:p>
        </w:tc>
        <w:tc>
          <w:tcPr>
            <w:tcW w:w="2013" w:type="dxa"/>
            <w:tcBorders>
              <w:top w:val="single" w:sz="4" w:space="0" w:color="000000"/>
              <w:left w:val="single" w:sz="4" w:space="0" w:color="000000"/>
              <w:right w:val="single" w:sz="4" w:space="0" w:color="000000"/>
            </w:tcBorders>
          </w:tcPr>
          <w:p w:rsidR="0027470E" w:rsidRDefault="00320041">
            <w:pPr>
              <w:pStyle w:val="TableParagraph"/>
              <w:spacing w:line="205" w:lineRule="exact"/>
              <w:ind w:left="588" w:right="572"/>
              <w:rPr>
                <w:sz w:val="20"/>
              </w:rPr>
            </w:pPr>
            <w:r>
              <w:rPr>
                <w:sz w:val="20"/>
              </w:rPr>
              <w:t>1.5</w:t>
            </w:r>
          </w:p>
        </w:tc>
        <w:tc>
          <w:tcPr>
            <w:tcW w:w="2011" w:type="dxa"/>
            <w:tcBorders>
              <w:top w:val="single" w:sz="4" w:space="0" w:color="000000"/>
              <w:left w:val="single" w:sz="4" w:space="0" w:color="000000"/>
            </w:tcBorders>
          </w:tcPr>
          <w:p w:rsidR="0027470E" w:rsidRDefault="00320041">
            <w:pPr>
              <w:pStyle w:val="TableParagraph"/>
              <w:spacing w:line="205" w:lineRule="exact"/>
              <w:ind w:left="586" w:right="567"/>
              <w:rPr>
                <w:sz w:val="20"/>
              </w:rPr>
            </w:pPr>
            <w:r>
              <w:rPr>
                <w:sz w:val="20"/>
              </w:rPr>
              <w:t>1.5</w:t>
            </w:r>
          </w:p>
        </w:tc>
      </w:tr>
    </w:tbl>
    <w:p w:rsidR="0027470E" w:rsidRDefault="00320041">
      <w:pPr>
        <w:spacing w:before="13"/>
        <w:ind w:left="234" w:right="2150"/>
        <w:rPr>
          <w:sz w:val="20"/>
        </w:rPr>
      </w:pPr>
      <w:r>
        <w:rPr>
          <w:sz w:val="20"/>
        </w:rPr>
        <w:t>AUC</w:t>
      </w:r>
      <w:r>
        <w:rPr>
          <w:sz w:val="20"/>
          <w:vertAlign w:val="subscript"/>
        </w:rPr>
        <w:t>24</w:t>
      </w:r>
      <w:r>
        <w:rPr>
          <w:sz w:val="20"/>
        </w:rPr>
        <w:t xml:space="preserve">: area under the concentration versus time curve from time zero to 24 hours after administration; </w:t>
      </w:r>
      <w:proofErr w:type="spellStart"/>
      <w:r>
        <w:rPr>
          <w:sz w:val="20"/>
        </w:rPr>
        <w:t>C</w:t>
      </w:r>
      <w:r>
        <w:rPr>
          <w:sz w:val="20"/>
          <w:vertAlign w:val="subscript"/>
        </w:rPr>
        <w:t>max</w:t>
      </w:r>
      <w:proofErr w:type="spellEnd"/>
      <w:r>
        <w:rPr>
          <w:sz w:val="20"/>
        </w:rPr>
        <w:t xml:space="preserve">: maximum concentration in plasma; </w:t>
      </w:r>
      <w:proofErr w:type="spellStart"/>
      <w:r>
        <w:rPr>
          <w:sz w:val="20"/>
        </w:rPr>
        <w:t>t</w:t>
      </w:r>
      <w:r>
        <w:rPr>
          <w:sz w:val="20"/>
          <w:vertAlign w:val="subscript"/>
        </w:rPr>
        <w:t>max</w:t>
      </w:r>
      <w:proofErr w:type="spellEnd"/>
      <w:r>
        <w:rPr>
          <w:sz w:val="20"/>
        </w:rPr>
        <w:t xml:space="preserve">: time of </w:t>
      </w:r>
      <w:proofErr w:type="spellStart"/>
      <w:r>
        <w:rPr>
          <w:sz w:val="20"/>
        </w:rPr>
        <w:t>C</w:t>
      </w:r>
      <w:r>
        <w:rPr>
          <w:sz w:val="20"/>
          <w:vertAlign w:val="subscript"/>
        </w:rPr>
        <w:t>max</w:t>
      </w:r>
      <w:proofErr w:type="spellEnd"/>
      <w:r>
        <w:rPr>
          <w:sz w:val="20"/>
        </w:rPr>
        <w:t>.</w:t>
      </w:r>
    </w:p>
    <w:p w:rsidR="0027470E" w:rsidRDefault="00320041">
      <w:pPr>
        <w:spacing w:before="17" w:line="242" w:lineRule="auto"/>
        <w:ind w:left="234" w:right="1825"/>
        <w:rPr>
          <w:sz w:val="20"/>
        </w:rPr>
      </w:pPr>
      <w:r>
        <w:rPr>
          <w:sz w:val="20"/>
        </w:rPr>
        <w:t xml:space="preserve">† Calculation of toxicokinetic parameters was based on 3 animals/group/time point. Other pharmacokinetic parameters were calculated from the mean plasma </w:t>
      </w:r>
      <w:r w:rsidR="00DC0254">
        <w:rPr>
          <w:sz w:val="20"/>
        </w:rPr>
        <w:t>PROJECT 4</w:t>
      </w:r>
      <w:r>
        <w:rPr>
          <w:sz w:val="20"/>
        </w:rPr>
        <w:t xml:space="preserve"> freebase concentration versus time profiles.</w:t>
      </w:r>
    </w:p>
    <w:p w:rsidR="0027470E" w:rsidRDefault="00320041">
      <w:pPr>
        <w:spacing w:before="18" w:line="261" w:lineRule="auto"/>
        <w:ind w:left="234" w:right="5979"/>
        <w:rPr>
          <w:sz w:val="20"/>
        </w:rPr>
      </w:pPr>
      <w:r>
        <w:rPr>
          <w:sz w:val="20"/>
        </w:rPr>
        <w:t xml:space="preserve">‡ Dose levels are expressed as </w:t>
      </w:r>
      <w:r w:rsidR="00DC0254">
        <w:rPr>
          <w:sz w:val="20"/>
        </w:rPr>
        <w:t>PROJECT 4</w:t>
      </w:r>
      <w:r>
        <w:rPr>
          <w:sz w:val="20"/>
        </w:rPr>
        <w:t xml:space="preserve"> hydrobromide Source: Company Report </w:t>
      </w:r>
      <w:r w:rsidR="00DC0254">
        <w:rPr>
          <w:sz w:val="20"/>
        </w:rPr>
        <w:t>Project 4</w:t>
      </w:r>
      <w:r>
        <w:rPr>
          <w:sz w:val="20"/>
        </w:rPr>
        <w:t>-PT-0002.</w:t>
      </w:r>
    </w:p>
    <w:p w:rsidR="0027470E" w:rsidRDefault="0027470E">
      <w:pPr>
        <w:pStyle w:val="a3"/>
        <w:rPr>
          <w:sz w:val="22"/>
        </w:rPr>
      </w:pPr>
    </w:p>
    <w:p w:rsidR="0027470E" w:rsidRDefault="0027470E">
      <w:pPr>
        <w:pStyle w:val="a3"/>
        <w:spacing w:before="1"/>
        <w:rPr>
          <w:sz w:val="25"/>
        </w:rPr>
      </w:pPr>
    </w:p>
    <w:p w:rsidR="0027470E" w:rsidRDefault="00320041">
      <w:pPr>
        <w:pStyle w:val="a3"/>
        <w:spacing w:line="261" w:lineRule="auto"/>
        <w:ind w:left="234" w:right="1675"/>
      </w:pPr>
      <w:r>
        <w:t xml:space="preserve">There were no changes in respiratory rate or in any blood gas parameter (arterial blood pH, arterial oxygen and carbon dioxide tensions, hemoglobin and oxygen saturation) after administration of 1 mg/kg </w:t>
      </w:r>
      <w:r w:rsidR="00DC0254">
        <w:t>PROJECT 4</w:t>
      </w:r>
      <w:r>
        <w:t xml:space="preserve">. At doses of 10 and 30 mg/kg, </w:t>
      </w:r>
      <w:r w:rsidR="00DC0254">
        <w:t>PROJECT 4</w:t>
      </w:r>
      <w:r>
        <w:t xml:space="preserve"> slightly increased arterial carbon dioxide tension between 1 and 8 hours after dosing by about 2 to 7 mm Hg; however, there was no change in any other respiratory parameter.</w:t>
      </w:r>
    </w:p>
    <w:p w:rsidR="0027470E" w:rsidRDefault="00320041" w:rsidP="00320041">
      <w:pPr>
        <w:pStyle w:val="a3"/>
        <w:spacing w:before="116" w:line="261" w:lineRule="auto"/>
        <w:ind w:left="234" w:right="1487"/>
        <w:rPr>
          <w:sz w:val="20"/>
        </w:rPr>
      </w:pPr>
      <w:r>
        <w:t xml:space="preserve">It was concluded that </w:t>
      </w:r>
      <w:r w:rsidR="00DC0254">
        <w:t>PROJECT 4</w:t>
      </w:r>
      <w:r>
        <w:t xml:space="preserve"> at a dose of 1 mg/kg had no effect on the respiratory system. At doses of 10 and 30 mg/kg, </w:t>
      </w:r>
      <w:r w:rsidR="00DC0254">
        <w:t>PROJECT 4</w:t>
      </w:r>
      <w:r>
        <w:t xml:space="preserve"> increased arterial carbon dioxide tension.</w:t>
      </w:r>
    </w:p>
    <w:p w:rsidR="0027470E" w:rsidRDefault="0027470E">
      <w:pPr>
        <w:jc w:val="both"/>
        <w:rPr>
          <w:sz w:val="20"/>
        </w:rPr>
        <w:sectPr w:rsidR="0027470E">
          <w:pgSz w:w="12240" w:h="15840"/>
          <w:pgMar w:top="1280" w:right="0" w:bottom="940" w:left="1580" w:header="578" w:footer="748" w:gutter="0"/>
          <w:cols w:space="720"/>
        </w:sectPr>
      </w:pPr>
    </w:p>
    <w:p w:rsidR="0027470E" w:rsidRDefault="00320041" w:rsidP="009F2004">
      <w:pPr>
        <w:pStyle w:val="2"/>
        <w:numPr>
          <w:ilvl w:val="1"/>
          <w:numId w:val="7"/>
        </w:numPr>
        <w:tabs>
          <w:tab w:val="left" w:pos="1098"/>
          <w:tab w:val="left" w:pos="1099"/>
        </w:tabs>
      </w:pPr>
      <w:bookmarkStart w:id="18" w:name="4.4_Toxicology"/>
      <w:bookmarkStart w:id="19" w:name="_bookmark59"/>
      <w:bookmarkStart w:id="20" w:name="_GoBack"/>
      <w:bookmarkEnd w:id="18"/>
      <w:bookmarkEnd w:id="19"/>
      <w:bookmarkEnd w:id="20"/>
      <w:r>
        <w:lastRenderedPageBreak/>
        <w:t>Toxicology</w:t>
      </w:r>
    </w:p>
    <w:p w:rsidR="0027470E" w:rsidRDefault="00320041">
      <w:pPr>
        <w:pStyle w:val="3"/>
        <w:numPr>
          <w:ilvl w:val="2"/>
          <w:numId w:val="6"/>
        </w:numPr>
        <w:tabs>
          <w:tab w:val="left" w:pos="1098"/>
          <w:tab w:val="left" w:pos="1099"/>
        </w:tabs>
        <w:spacing w:before="145"/>
      </w:pPr>
      <w:bookmarkStart w:id="21" w:name="4.4.1_Overview_of_the_Toxicology_Program"/>
      <w:bookmarkStart w:id="22" w:name="_bookmark60"/>
      <w:bookmarkEnd w:id="21"/>
      <w:bookmarkEnd w:id="22"/>
      <w:r>
        <w:t>Overview of the Toxicology</w:t>
      </w:r>
      <w:r>
        <w:rPr>
          <w:spacing w:val="-2"/>
        </w:rPr>
        <w:t xml:space="preserve"> </w:t>
      </w:r>
      <w:r>
        <w:t>Program</w:t>
      </w:r>
    </w:p>
    <w:p w:rsidR="0027470E" w:rsidRDefault="00DC0254">
      <w:pPr>
        <w:pStyle w:val="a3"/>
        <w:spacing w:before="140" w:line="261" w:lineRule="auto"/>
        <w:ind w:left="234" w:right="1405"/>
      </w:pPr>
      <w:r>
        <w:t>PROJECT 4</w:t>
      </w:r>
      <w:r w:rsidR="00320041">
        <w:t xml:space="preserve"> was evaluated in 5 exploratory and 9 pivotal toxicology studies. A tabulated overview of toxicology studies can be found in End-of-Text Table 3.1. A tabulated</w:t>
      </w:r>
      <w:r w:rsidR="00320041">
        <w:rPr>
          <w:spacing w:val="-10"/>
        </w:rPr>
        <w:t xml:space="preserve"> </w:t>
      </w:r>
      <w:r w:rsidR="00320041">
        <w:t>overview of toxicokinetic data can be found in End-of-Text Table</w:t>
      </w:r>
      <w:r w:rsidR="00320041">
        <w:rPr>
          <w:spacing w:val="-3"/>
        </w:rPr>
        <w:t xml:space="preserve"> </w:t>
      </w:r>
      <w:r w:rsidR="00320041">
        <w:t>3.3.</w:t>
      </w:r>
    </w:p>
    <w:p w:rsidR="0027470E" w:rsidRDefault="00320041">
      <w:pPr>
        <w:pStyle w:val="a3"/>
        <w:spacing w:before="117" w:line="261" w:lineRule="auto"/>
        <w:ind w:left="234" w:right="1447"/>
      </w:pPr>
      <w:r>
        <w:t>The pivotal studies included single dose and 4-week repeated-dose studies both in rats and monkeys, 2 in vitro genotoxicity studies (bacterial reverse mutation and chromosomal aberration tests), and reproductive toxicity studies for embryo-fetal development in both rats and rabbits. All pivotal toxicology studies were conducted in accordance with the standards of Japanese Good Laboratory Practices (GLP) (Notifications and Ordinances,</w:t>
      </w:r>
      <w:r>
        <w:rPr>
          <w:spacing w:val="-25"/>
        </w:rPr>
        <w:t xml:space="preserve"> </w:t>
      </w:r>
      <w:r>
        <w:t>Pharmaceutical Affairs Bureau, Ministry of Health and Welfare). These standards are also in accordance with Food and Drug Administration (FDA) GLP</w:t>
      </w:r>
      <w:r>
        <w:rPr>
          <w:spacing w:val="-5"/>
        </w:rPr>
        <w:t xml:space="preserve"> </w:t>
      </w:r>
      <w:r>
        <w:t>regulations.</w:t>
      </w:r>
    </w:p>
    <w:p w:rsidR="0027470E" w:rsidRDefault="00320041">
      <w:pPr>
        <w:pStyle w:val="3"/>
        <w:numPr>
          <w:ilvl w:val="2"/>
          <w:numId w:val="6"/>
        </w:numPr>
        <w:tabs>
          <w:tab w:val="left" w:pos="1098"/>
          <w:tab w:val="left" w:pos="1099"/>
        </w:tabs>
        <w:spacing w:before="119"/>
      </w:pPr>
      <w:bookmarkStart w:id="23" w:name="4.4.2_General_Toxic_Signs_and_Pathologic"/>
      <w:bookmarkStart w:id="24" w:name="_bookmark61"/>
      <w:bookmarkEnd w:id="23"/>
      <w:bookmarkEnd w:id="24"/>
      <w:r>
        <w:t>General Toxic Signs and Pathologic</w:t>
      </w:r>
      <w:r>
        <w:rPr>
          <w:spacing w:val="-2"/>
        </w:rPr>
        <w:t xml:space="preserve"> </w:t>
      </w:r>
      <w:r>
        <w:t>Effects</w:t>
      </w:r>
    </w:p>
    <w:p w:rsidR="0027470E" w:rsidRDefault="00320041">
      <w:pPr>
        <w:pStyle w:val="3"/>
        <w:numPr>
          <w:ilvl w:val="3"/>
          <w:numId w:val="6"/>
        </w:numPr>
        <w:tabs>
          <w:tab w:val="left" w:pos="1098"/>
          <w:tab w:val="left" w:pos="1099"/>
        </w:tabs>
        <w:spacing w:before="144"/>
      </w:pPr>
      <w:bookmarkStart w:id="25" w:name="4.4.2.1_Single_Dose"/>
      <w:bookmarkStart w:id="26" w:name="_bookmark62"/>
      <w:bookmarkEnd w:id="25"/>
      <w:bookmarkEnd w:id="26"/>
      <w:r>
        <w:t>Single Dose</w:t>
      </w:r>
    </w:p>
    <w:p w:rsidR="0027470E" w:rsidRDefault="00320041">
      <w:pPr>
        <w:pStyle w:val="a3"/>
        <w:spacing w:before="139" w:line="261" w:lineRule="auto"/>
        <w:ind w:left="234" w:right="1487"/>
      </w:pPr>
      <w:r>
        <w:t xml:space="preserve">Single-dose toxicity studies are summarized in End-of-Text Table 3.4. The acute toxicity of </w:t>
      </w:r>
      <w:r w:rsidR="00DC0254">
        <w:t>PROJECT 4</w:t>
      </w:r>
      <w:r>
        <w:t xml:space="preserve"> was evaluated in 2 GLP studies in rats (Company Report </w:t>
      </w:r>
      <w:r w:rsidR="00DC0254">
        <w:t>Project 4</w:t>
      </w:r>
      <w:r>
        <w:t xml:space="preserve">-TX-0001) and cynomolgus monkeys (Company Report </w:t>
      </w:r>
      <w:r w:rsidR="00DC0254">
        <w:t>Project 4</w:t>
      </w:r>
      <w:r>
        <w:t xml:space="preserve">-TX-0002). The animals were administered a single oral dose of </w:t>
      </w:r>
      <w:r w:rsidR="00DC0254">
        <w:t>PROJECT 4</w:t>
      </w:r>
      <w:r>
        <w:t xml:space="preserve"> dissolved in a vehicle of 0.5% w/v MC suspension. Key findings from these studies are discussed below.</w:t>
      </w:r>
    </w:p>
    <w:p w:rsidR="0027470E" w:rsidRDefault="00320041">
      <w:pPr>
        <w:pStyle w:val="3"/>
        <w:numPr>
          <w:ilvl w:val="4"/>
          <w:numId w:val="6"/>
        </w:numPr>
        <w:tabs>
          <w:tab w:val="left" w:pos="1386"/>
          <w:tab w:val="left" w:pos="1387"/>
        </w:tabs>
        <w:spacing w:before="121"/>
      </w:pPr>
      <w:bookmarkStart w:id="27" w:name="4.4.2.1.1_Rats"/>
      <w:bookmarkStart w:id="28" w:name="_bookmark63"/>
      <w:bookmarkEnd w:id="27"/>
      <w:bookmarkEnd w:id="28"/>
      <w:r>
        <w:t>Rats</w:t>
      </w:r>
    </w:p>
    <w:p w:rsidR="0027470E" w:rsidRDefault="00DC0254">
      <w:pPr>
        <w:pStyle w:val="a3"/>
        <w:spacing w:before="139" w:line="261" w:lineRule="auto"/>
        <w:ind w:left="234" w:right="1454"/>
      </w:pPr>
      <w:r>
        <w:t>PROJECT 4</w:t>
      </w:r>
      <w:r w:rsidR="00320041">
        <w:t xml:space="preserve"> was administered once orally by gavage to Sprague-Dawley (SD) rats (5/sex/group) at 7 weeks of age, at dose levels of 0 (vehicle), 100, 300, 1000 and 2000 mg/kg</w:t>
      </w:r>
    </w:p>
    <w:p w:rsidR="0027470E" w:rsidRDefault="00320041">
      <w:pPr>
        <w:pStyle w:val="a3"/>
        <w:spacing w:line="261" w:lineRule="auto"/>
        <w:ind w:left="234" w:right="1487"/>
      </w:pPr>
      <w:r>
        <w:t xml:space="preserve">in males and 0, 30, 100, 300 and 600 mg/kg in females (Company Report </w:t>
      </w:r>
      <w:r w:rsidR="00DC0254">
        <w:t>Project 4</w:t>
      </w:r>
      <w:r>
        <w:t>-TX-0001). The following items were examined: mortality, clinical signs, body weight and gross pathology. Histopathologic analysis was reserved only for identified gross lesions.</w:t>
      </w:r>
    </w:p>
    <w:p w:rsidR="0027470E" w:rsidRDefault="00320041">
      <w:pPr>
        <w:pStyle w:val="a3"/>
        <w:spacing w:before="116" w:line="261" w:lineRule="auto"/>
        <w:ind w:left="234" w:right="1662"/>
      </w:pPr>
      <w:r>
        <w:t xml:space="preserve">One of 5 males in the 300 mg/kg group and all males in the 1000 and 2000 mg/kg groups (5 animals each) died on the day of dosing. Clinical signs observed in males on the day of dosing included the following: staggering gait, tremors and/or decrease in movement at all doses tested. Additionally, irregular respiration and/or prone position were noted in males administered </w:t>
      </w:r>
      <w:r w:rsidR="00DC0254">
        <w:t>PROJECT 4</w:t>
      </w:r>
      <w:r>
        <w:t xml:space="preserve"> doses of 300, 1000 and 2000 mg/kg. In addition, subnormal body surface temperature and scant feces were observed in the surviving males in the 300 mg/kg</w:t>
      </w:r>
    </w:p>
    <w:p w:rsidR="0027470E" w:rsidRDefault="00320041">
      <w:pPr>
        <w:pStyle w:val="a3"/>
        <w:spacing w:line="261" w:lineRule="auto"/>
        <w:ind w:left="234" w:right="1521"/>
      </w:pPr>
      <w:r>
        <w:t>group. Subnormal body surface temperature was also noted from 2 hours after dosing in 1</w:t>
      </w:r>
      <w:r>
        <w:rPr>
          <w:spacing w:val="-32"/>
        </w:rPr>
        <w:t xml:space="preserve"> </w:t>
      </w:r>
      <w:r>
        <w:t xml:space="preserve">of the males in the 1000 mg/kg group prior to death. Gross pathology revealed a smudge around the nose in 2 dead males in each of the 1000 and 2000 mg/kg groups and a dark reddish change of the lungs in 1 dead male in the 1000 mg/kg group. Localized congestion was observed </w:t>
      </w:r>
      <w:proofErr w:type="spellStart"/>
      <w:r>
        <w:t>histopathologically</w:t>
      </w:r>
      <w:proofErr w:type="spellEnd"/>
      <w:r>
        <w:t xml:space="preserve"> in the lungs and is thought to account for the observed gross</w:t>
      </w:r>
      <w:r>
        <w:rPr>
          <w:spacing w:val="-2"/>
        </w:rPr>
        <w:t xml:space="preserve"> </w:t>
      </w:r>
      <w:r>
        <w:t>lesion.</w:t>
      </w:r>
    </w:p>
    <w:p w:rsidR="0027470E" w:rsidRDefault="00320041">
      <w:pPr>
        <w:pStyle w:val="a3"/>
        <w:spacing w:before="111" w:line="261" w:lineRule="auto"/>
        <w:ind w:left="234" w:right="1405"/>
      </w:pPr>
      <w:r>
        <w:t>Four of 5 females in the 300 mg/kg group died on the day of dosing. In the 600 mg/kg group, 1 of 5 females died on the day of dosing and the remaining 4 females died 1 day after dosing.</w:t>
      </w:r>
    </w:p>
    <w:p w:rsidR="0027470E" w:rsidRDefault="0027470E">
      <w:pPr>
        <w:spacing w:line="261" w:lineRule="auto"/>
        <w:sectPr w:rsidR="0027470E">
          <w:pgSz w:w="12240" w:h="15840"/>
          <w:pgMar w:top="1280" w:right="0" w:bottom="940" w:left="1580" w:header="578" w:footer="748" w:gutter="0"/>
          <w:cols w:space="720"/>
        </w:sectPr>
      </w:pPr>
    </w:p>
    <w:p w:rsidR="0027470E" w:rsidRDefault="00320041">
      <w:pPr>
        <w:pStyle w:val="a3"/>
        <w:spacing w:before="141" w:line="261" w:lineRule="auto"/>
        <w:ind w:left="234" w:right="1421"/>
      </w:pPr>
      <w:r>
        <w:lastRenderedPageBreak/>
        <w:t xml:space="preserve">Clinical signs observed in females included staggering gait at ≥ 30 mg/kg and tremors, decrease in movement, prone positioning and/or irregular respiration at ≥ 100 mg/kg on the day of dosing. In addition, the following findings were noted in females: reddish tears in the 100 mg/kg group 6 hours after dosing; subnormal body surface temperature, lateral positioning and/or lacrimation in the 300 and 600 mg/kg groups on the day of dosing; staggering gait and scant feces in the only surviving female in the 300 mg/kg group 1 day after dosing; cyanosis in 1 female in the 600 mg/kg group prior to death on the day of dosing; and no feces 1 day after dosing in females in the 600 mg/kg group, all of which subsequently died. Decreased body weight was noted in 1 female in the 300 mg/kg group 1 day after dosing. Gross pathology revealed dark reddish change of the lungs in 1 dead female in the 600 mg/kg group. Localized congestion was observed </w:t>
      </w:r>
      <w:proofErr w:type="spellStart"/>
      <w:r>
        <w:t>histopathologically</w:t>
      </w:r>
      <w:proofErr w:type="spellEnd"/>
      <w:r>
        <w:t xml:space="preserve"> in the lungs and is thought to account for the observed gross lesions.</w:t>
      </w:r>
    </w:p>
    <w:p w:rsidR="0027470E" w:rsidRDefault="00320041">
      <w:pPr>
        <w:pStyle w:val="a3"/>
        <w:spacing w:before="110" w:line="261" w:lineRule="auto"/>
        <w:ind w:left="234" w:right="1487"/>
      </w:pPr>
      <w:r>
        <w:t>As described above, treatment-related findings were noted at ≥ 100 mg/kg and deaths occurred at ≥ 300 mg/kg in both males and females. Therefore, the approximate lethal dose was estimated to be 300 mg/kg for both sexes.</w:t>
      </w:r>
    </w:p>
    <w:p w:rsidR="0027470E" w:rsidRDefault="00320041">
      <w:pPr>
        <w:pStyle w:val="3"/>
        <w:numPr>
          <w:ilvl w:val="4"/>
          <w:numId w:val="6"/>
        </w:numPr>
        <w:tabs>
          <w:tab w:val="left" w:pos="1386"/>
          <w:tab w:val="left" w:pos="1387"/>
        </w:tabs>
        <w:spacing w:before="123"/>
      </w:pPr>
      <w:bookmarkStart w:id="29" w:name="4.4.2.1.2_Cynomolgus_Monkeys"/>
      <w:bookmarkStart w:id="30" w:name="_bookmark64"/>
      <w:bookmarkEnd w:id="29"/>
      <w:bookmarkEnd w:id="30"/>
      <w:r>
        <w:t>Cynomolgus</w:t>
      </w:r>
      <w:r>
        <w:rPr>
          <w:spacing w:val="-2"/>
        </w:rPr>
        <w:t xml:space="preserve"> </w:t>
      </w:r>
      <w:r>
        <w:t>Monkeys</w:t>
      </w:r>
    </w:p>
    <w:p w:rsidR="0027470E" w:rsidRDefault="00DC0254">
      <w:pPr>
        <w:pStyle w:val="a3"/>
        <w:spacing w:before="139" w:line="261" w:lineRule="auto"/>
        <w:ind w:left="234" w:right="1487"/>
      </w:pPr>
      <w:r>
        <w:t>PROJECT 4</w:t>
      </w:r>
      <w:r w:rsidR="00320041">
        <w:t xml:space="preserve"> at doses of 50 and 100 mg/kg was administered once orally by gavage to 1 male and 1 female cynomolgus monkey (Company Report </w:t>
      </w:r>
      <w:r>
        <w:t>Project 4</w:t>
      </w:r>
      <w:r w:rsidR="00320041">
        <w:t xml:space="preserve">-TX-0002). The following items were examined: mortality, clinical signs, body weight, food consumption, electrocardiography, hematology, clinical chemistry, gross pathology, organ weight and histopathology. Plasma </w:t>
      </w:r>
      <w:r>
        <w:t>PROJECT 4</w:t>
      </w:r>
      <w:r w:rsidR="00320041">
        <w:t xml:space="preserve"> concentrations were determined to detect systemic exposure (see </w:t>
      </w:r>
      <w:hyperlink w:anchor="_bookmark33" w:history="1">
        <w:r w:rsidR="00320041">
          <w:t>Table 6</w:t>
        </w:r>
      </w:hyperlink>
      <w:r w:rsidR="00320041">
        <w:t>).</w:t>
      </w:r>
    </w:p>
    <w:p w:rsidR="0027470E" w:rsidRDefault="00320041">
      <w:pPr>
        <w:pStyle w:val="a3"/>
        <w:spacing w:before="115" w:line="261" w:lineRule="auto"/>
        <w:ind w:left="234" w:right="1413"/>
      </w:pPr>
      <w:r>
        <w:t xml:space="preserve">At a dose of 50 mg/kg of </w:t>
      </w:r>
      <w:r w:rsidR="00DC0254">
        <w:t>PROJECT 4</w:t>
      </w:r>
      <w:r>
        <w:t>, staggering gait was observed in both the male and</w:t>
      </w:r>
      <w:r>
        <w:rPr>
          <w:spacing w:val="-33"/>
        </w:rPr>
        <w:t xml:space="preserve"> </w:t>
      </w:r>
      <w:r>
        <w:t xml:space="preserve">female monkey from 0.5 or 2 hours after dosing on the dosing day (day 0). Incomplete eyelid opening, decrease in spontaneous activity, abnormal positioning (lateral or sitting positioning) and blunted response to stimulation were also observed in the male; mydriasis and decreased spontaneous activity were observed in the female.  These findings improved by 8 hours after dosing and had completely disappeared by the next morning. Food consumption decreased on day 0 in the male and from day 0 to day 2 in the female. Body weight was decreased slightly on day 1 in both animals, but recovered by day 4. No </w:t>
      </w:r>
      <w:r w:rsidR="00DC0254">
        <w:t>PROJECT 4</w:t>
      </w:r>
      <w:r>
        <w:t>-related changes were noted in other</w:t>
      </w:r>
      <w:r>
        <w:rPr>
          <w:spacing w:val="-2"/>
        </w:rPr>
        <w:t xml:space="preserve"> </w:t>
      </w:r>
      <w:r>
        <w:t>examinations.</w:t>
      </w:r>
    </w:p>
    <w:p w:rsidR="0027470E" w:rsidRDefault="00320041">
      <w:pPr>
        <w:pStyle w:val="a3"/>
        <w:spacing w:before="113" w:line="261" w:lineRule="auto"/>
        <w:ind w:left="234" w:right="1421"/>
      </w:pPr>
      <w:r>
        <w:t xml:space="preserve">At a dose of 100 mg/kg, staggering gait was observed in both the male and female monkey as early as 0.5 hour after dosing. Incomplete eyelid opening, mydriasis, vertical nystagmus, decreased spontaneous activity, abnormal positioning (lateral or supine positioning), blunted response to stimulation and unresponsiveness to touch, twitching, and </w:t>
      </w:r>
      <w:proofErr w:type="spellStart"/>
      <w:r>
        <w:t>clonic</w:t>
      </w:r>
      <w:proofErr w:type="spellEnd"/>
      <w:r>
        <w:t xml:space="preserve"> convulsions were also observed in the male; incomplete eyelid opening and decreased spontaneous activity were observed in the female. These findings improved by 8 hours after dosing and disappeared by the next morning with the exception of staggering gait observed in the male. Vomiting was observed in the female in the morning on day 1. No abnormalities were observed in either animal in the afternoon or thereafter. Food consumption decreased in the male and female on day 0 and body weight was decreased on day 1. Food consumption</w:t>
      </w:r>
    </w:p>
    <w:p w:rsidR="0027470E" w:rsidRDefault="0027470E">
      <w:pPr>
        <w:spacing w:line="261" w:lineRule="auto"/>
        <w:sectPr w:rsidR="0027470E">
          <w:pgSz w:w="12240" w:h="15840"/>
          <w:pgMar w:top="1280" w:right="0" w:bottom="940" w:left="1580" w:header="578" w:footer="748" w:gutter="0"/>
          <w:cols w:space="720"/>
        </w:sectPr>
      </w:pPr>
    </w:p>
    <w:p w:rsidR="0027470E" w:rsidRDefault="00320041">
      <w:pPr>
        <w:pStyle w:val="a3"/>
        <w:spacing w:before="141" w:line="261" w:lineRule="auto"/>
        <w:ind w:left="234" w:right="1428"/>
      </w:pPr>
      <w:r>
        <w:lastRenderedPageBreak/>
        <w:t xml:space="preserve">recovered on day 1, body weight recovered by day 4 and no abnormalities were noted in food consumption or body weight thereafter. In blood chemistry, inorganic phosphorus, sodium and chloride increased in the male after administration of 100 mg/kg on day 1, but recovered by day 8. No </w:t>
      </w:r>
      <w:r w:rsidR="00DC0254">
        <w:t>PROJECT 4</w:t>
      </w:r>
      <w:r>
        <w:t>-related changes were noted in other examinations.</w:t>
      </w:r>
    </w:p>
    <w:p w:rsidR="0027470E" w:rsidRDefault="00320041">
      <w:pPr>
        <w:pStyle w:val="3"/>
        <w:numPr>
          <w:ilvl w:val="3"/>
          <w:numId w:val="6"/>
        </w:numPr>
        <w:tabs>
          <w:tab w:val="left" w:pos="1098"/>
          <w:tab w:val="left" w:pos="1099"/>
        </w:tabs>
        <w:spacing w:before="121"/>
      </w:pPr>
      <w:bookmarkStart w:id="31" w:name="4.4.2.2_Repeated_Dose"/>
      <w:bookmarkStart w:id="32" w:name="_bookmark65"/>
      <w:bookmarkEnd w:id="31"/>
      <w:bookmarkEnd w:id="32"/>
      <w:r>
        <w:t>Repeated</w:t>
      </w:r>
      <w:r>
        <w:rPr>
          <w:spacing w:val="-2"/>
        </w:rPr>
        <w:t xml:space="preserve"> </w:t>
      </w:r>
      <w:r>
        <w:t>Dose</w:t>
      </w:r>
    </w:p>
    <w:p w:rsidR="0027470E" w:rsidRDefault="00320041">
      <w:pPr>
        <w:pStyle w:val="a3"/>
        <w:spacing w:before="140" w:line="261" w:lineRule="auto"/>
        <w:ind w:left="234" w:right="1647"/>
      </w:pPr>
      <w:r>
        <w:t xml:space="preserve">Nonpivotal dose range finding repeated dose toxicity studies of </w:t>
      </w:r>
      <w:r w:rsidR="00DC0254">
        <w:t>PROJECT 4</w:t>
      </w:r>
      <w:r>
        <w:t xml:space="preserve"> conducted in rats and monkeys are summarized in End-of-Text Table 3.5. Tabulated results of </w:t>
      </w:r>
      <w:r w:rsidR="00DC0254">
        <w:t>PROJECT 4</w:t>
      </w:r>
      <w:r>
        <w:t xml:space="preserve"> pivotal 4-week oral repeated dose toxicity studies conducted in rats (Company</w:t>
      </w:r>
    </w:p>
    <w:p w:rsidR="0027470E" w:rsidRDefault="00320041">
      <w:pPr>
        <w:pStyle w:val="a3"/>
        <w:spacing w:line="261" w:lineRule="auto"/>
        <w:ind w:left="234" w:right="1420"/>
      </w:pPr>
      <w:r>
        <w:t xml:space="preserve">Report </w:t>
      </w:r>
      <w:r w:rsidR="00DC0254">
        <w:t>Project 4</w:t>
      </w:r>
      <w:r>
        <w:t xml:space="preserve">-TX-0003) and monkeys (Company Report </w:t>
      </w:r>
      <w:r w:rsidR="00DC0254">
        <w:t>Project 4</w:t>
      </w:r>
      <w:r>
        <w:t>-TX-0004) can be found in End- of-Text Tables 3.6.1 and 3.6.2, respectively. Key findings are presented below.</w:t>
      </w:r>
    </w:p>
    <w:p w:rsidR="0027470E" w:rsidRDefault="00320041">
      <w:pPr>
        <w:pStyle w:val="3"/>
        <w:numPr>
          <w:ilvl w:val="4"/>
          <w:numId w:val="6"/>
        </w:numPr>
        <w:tabs>
          <w:tab w:val="left" w:pos="1386"/>
          <w:tab w:val="left" w:pos="1387"/>
        </w:tabs>
        <w:spacing w:before="120"/>
      </w:pPr>
      <w:bookmarkStart w:id="33" w:name="4.4.2.2.1_Rats_–_4_Week_Study"/>
      <w:bookmarkStart w:id="34" w:name="_bookmark66"/>
      <w:bookmarkEnd w:id="33"/>
      <w:bookmarkEnd w:id="34"/>
      <w:r>
        <w:t>Rats – 4 Week</w:t>
      </w:r>
      <w:r>
        <w:rPr>
          <w:spacing w:val="-2"/>
        </w:rPr>
        <w:t xml:space="preserve"> </w:t>
      </w:r>
      <w:r>
        <w:t>Study</w:t>
      </w:r>
    </w:p>
    <w:p w:rsidR="0027470E" w:rsidRDefault="00DC0254">
      <w:pPr>
        <w:pStyle w:val="a3"/>
        <w:spacing w:before="140" w:line="261" w:lineRule="auto"/>
        <w:ind w:left="234" w:right="1487"/>
      </w:pPr>
      <w:r>
        <w:t>PROJECT 4</w:t>
      </w:r>
      <w:r w:rsidR="00320041">
        <w:t xml:space="preserve"> was orally administered once daily (QD) for 4 weeks to male and female SD rats (10/sex/group) at 0 (vehicle, 0.5% w/v MC suspension), 10, 100 and 300 mg/kg for males and 0 (vehicle), 10, 30 and 100 mg/kg for females. Five animals of each sex were added to the control and highest dose groups (300 mg/kg for males and 100 mg/kg for females) to evaluate the reversibility of any toxicity observed during the dosing period in a subsequent</w:t>
      </w:r>
    </w:p>
    <w:p w:rsidR="0027470E" w:rsidRDefault="00320041">
      <w:pPr>
        <w:pStyle w:val="a3"/>
        <w:spacing w:line="261" w:lineRule="auto"/>
        <w:ind w:left="234" w:right="1487"/>
      </w:pPr>
      <w:r>
        <w:t xml:space="preserve">4-week recovery period. The following items were examined: mortality, clinical signs, body weight, food consumption, ophthalmology, hematology, clinical chemistry, urinalysis, gross pathology, organ weight and histopathology. Plasma </w:t>
      </w:r>
      <w:r w:rsidR="00DC0254">
        <w:t>PROJECT 4</w:t>
      </w:r>
      <w:r>
        <w:t xml:space="preserve"> concentrations were also measured on days 1, 14 and 28 to determine systemic exposure.</w:t>
      </w:r>
    </w:p>
    <w:p w:rsidR="0027470E" w:rsidRDefault="00320041">
      <w:pPr>
        <w:pStyle w:val="a3"/>
        <w:spacing w:before="112" w:line="261" w:lineRule="auto"/>
        <w:ind w:left="234" w:right="1694"/>
      </w:pPr>
      <w:r>
        <w:t xml:space="preserve">In the low dose group (10 mg/kg for males and females), no </w:t>
      </w:r>
      <w:r w:rsidR="00DC0254">
        <w:t>PROJECT 4</w:t>
      </w:r>
      <w:r>
        <w:t>-related toxic effects were evident in any animal.</w:t>
      </w:r>
    </w:p>
    <w:p w:rsidR="0027470E" w:rsidRDefault="00320041">
      <w:pPr>
        <w:pStyle w:val="a3"/>
        <w:spacing w:before="119" w:line="261" w:lineRule="auto"/>
        <w:ind w:left="234" w:right="1601"/>
      </w:pPr>
      <w:r>
        <w:t>In the middle dose group (100 mg/kg for males and 30 mg/kg for females), staggering gait and decreased body weight gain in males and females and salivation in males were noted. Staggering gait and decreased body weight gain were noted between days 1 and 4 of dosing only; salivation was noted on days 22 to 28 of dosing. Increased eosinophilic bodies in the epithelium of the proximal tubules in kidney were observed in males.</w:t>
      </w:r>
    </w:p>
    <w:p w:rsidR="0027470E" w:rsidRDefault="00320041">
      <w:pPr>
        <w:pStyle w:val="a3"/>
        <w:spacing w:before="116" w:line="261" w:lineRule="auto"/>
        <w:ind w:left="234" w:right="1581"/>
      </w:pPr>
      <w:r>
        <w:t>In the high dose group (300 mg/kg for males and 100 mg/kg for females), staggering gait, decreased movement, salivation, reddish tears and lacrimation were observed in almost all males and females either throughout the dosing period or during the first half of the dosing period. Transient irregular respiration was observed in one male. Decreased body weight gain was noted throughout the dosing period in males and on day 4 of dosing in females. Food consumption was decreased in males on day 4 of dosing, but was increased in females between days 11 and 28 of dosing. Decreased potassium excretion level/day in males was noted in the urinalysis. In addition, increased kidney weights in males and females, eosinophilic bodies in the epithelium of the proximal tubules in males and centrilobular hypertrophy of hepatocytes associated with increased liver weights in males and females were noted. Centrilobular hypertrophy of hepatocytes was found to be caused by a slight increase in smooth endoplasmic reticulum upon electron microscopic examination. The</w:t>
      </w:r>
    </w:p>
    <w:p w:rsidR="0027470E" w:rsidRDefault="0027470E">
      <w:pPr>
        <w:spacing w:line="261" w:lineRule="auto"/>
        <w:sectPr w:rsidR="0027470E">
          <w:pgSz w:w="12240" w:h="15840"/>
          <w:pgMar w:top="1280" w:right="0" w:bottom="940" w:left="1580" w:header="578" w:footer="748" w:gutter="0"/>
          <w:cols w:space="720"/>
        </w:sectPr>
      </w:pPr>
    </w:p>
    <w:p w:rsidR="0027470E" w:rsidRDefault="00320041">
      <w:pPr>
        <w:pStyle w:val="a3"/>
        <w:spacing w:before="141" w:line="261" w:lineRule="auto"/>
        <w:ind w:left="234" w:right="1641"/>
      </w:pPr>
      <w:r>
        <w:lastRenderedPageBreak/>
        <w:t>findings during the dosing period were considered reversible since all of them had resolved during the recovery period.</w:t>
      </w:r>
    </w:p>
    <w:p w:rsidR="0027470E" w:rsidRDefault="00320041">
      <w:pPr>
        <w:pStyle w:val="a3"/>
        <w:spacing w:before="118" w:line="261" w:lineRule="auto"/>
        <w:ind w:left="234" w:right="1560"/>
        <w:jc w:val="both"/>
      </w:pPr>
      <w:r>
        <w:t xml:space="preserve">Plasma </w:t>
      </w:r>
      <w:r w:rsidR="00DC0254">
        <w:t>PROJECT 4</w:t>
      </w:r>
      <w:r>
        <w:t xml:space="preserve"> concentrations increased with dose. Females administered 100 mg/kg and males administered 300 mg/kg showed clear biphasic </w:t>
      </w:r>
      <w:r w:rsidR="00DC0254">
        <w:t>PROJECT 4</w:t>
      </w:r>
      <w:r>
        <w:t xml:space="preserve"> concentrations in plasma on dosing days 1, 14 and 28. The </w:t>
      </w:r>
      <w:proofErr w:type="spellStart"/>
      <w:r>
        <w:t>C</w:t>
      </w:r>
      <w:r>
        <w:rPr>
          <w:vertAlign w:val="subscript"/>
        </w:rPr>
        <w:t>max</w:t>
      </w:r>
      <w:proofErr w:type="spellEnd"/>
      <w:r>
        <w:t xml:space="preserve"> and AUC</w:t>
      </w:r>
      <w:r>
        <w:rPr>
          <w:vertAlign w:val="subscript"/>
        </w:rPr>
        <w:t>24</w:t>
      </w:r>
      <w:r>
        <w:t xml:space="preserve"> values in females administered 10 and</w:t>
      </w:r>
    </w:p>
    <w:p w:rsidR="0027470E" w:rsidRDefault="00320041">
      <w:pPr>
        <w:pStyle w:val="a3"/>
        <w:spacing w:line="261" w:lineRule="auto"/>
        <w:ind w:left="234" w:right="1721"/>
      </w:pPr>
      <w:r>
        <w:t xml:space="preserve">100 mg/kg were at least 2 fold higher than those in males.  </w:t>
      </w:r>
      <w:proofErr w:type="spellStart"/>
      <w:r>
        <w:t>C</w:t>
      </w:r>
      <w:r>
        <w:rPr>
          <w:vertAlign w:val="subscript"/>
        </w:rPr>
        <w:t>max</w:t>
      </w:r>
      <w:proofErr w:type="spellEnd"/>
      <w:r>
        <w:t xml:space="preserve"> and AUC</w:t>
      </w:r>
      <w:r>
        <w:rPr>
          <w:vertAlign w:val="subscript"/>
        </w:rPr>
        <w:t>24</w:t>
      </w:r>
      <w:r>
        <w:t xml:space="preserve"> values on days</w:t>
      </w:r>
      <w:r>
        <w:rPr>
          <w:spacing w:val="-4"/>
        </w:rPr>
        <w:t xml:space="preserve"> </w:t>
      </w:r>
      <w:r>
        <w:t>14</w:t>
      </w:r>
      <w:r>
        <w:rPr>
          <w:spacing w:val="-2"/>
        </w:rPr>
        <w:t xml:space="preserve"> </w:t>
      </w:r>
      <w:r>
        <w:t>and</w:t>
      </w:r>
      <w:r>
        <w:rPr>
          <w:spacing w:val="-2"/>
        </w:rPr>
        <w:t xml:space="preserve"> </w:t>
      </w:r>
      <w:r>
        <w:t>28</w:t>
      </w:r>
      <w:r>
        <w:rPr>
          <w:spacing w:val="-4"/>
        </w:rPr>
        <w:t xml:space="preserve"> </w:t>
      </w:r>
      <w:r>
        <w:t>relative</w:t>
      </w:r>
      <w:r>
        <w:rPr>
          <w:spacing w:val="-3"/>
        </w:rPr>
        <w:t xml:space="preserve"> </w:t>
      </w:r>
      <w:r>
        <w:t>to</w:t>
      </w:r>
      <w:r>
        <w:rPr>
          <w:spacing w:val="-3"/>
        </w:rPr>
        <w:t xml:space="preserve"> </w:t>
      </w:r>
      <w:r>
        <w:t>day</w:t>
      </w:r>
      <w:r>
        <w:rPr>
          <w:spacing w:val="-8"/>
        </w:rPr>
        <w:t xml:space="preserve"> </w:t>
      </w:r>
      <w:r>
        <w:t>1</w:t>
      </w:r>
      <w:r>
        <w:rPr>
          <w:spacing w:val="-1"/>
        </w:rPr>
        <w:t xml:space="preserve"> </w:t>
      </w:r>
      <w:r>
        <w:t>were</w:t>
      </w:r>
      <w:r>
        <w:rPr>
          <w:spacing w:val="-3"/>
        </w:rPr>
        <w:t xml:space="preserve"> </w:t>
      </w:r>
      <w:r>
        <w:t>either</w:t>
      </w:r>
      <w:r>
        <w:rPr>
          <w:spacing w:val="-2"/>
        </w:rPr>
        <w:t xml:space="preserve"> </w:t>
      </w:r>
      <w:r>
        <w:t>comparable</w:t>
      </w:r>
      <w:r>
        <w:rPr>
          <w:spacing w:val="-3"/>
        </w:rPr>
        <w:t xml:space="preserve"> </w:t>
      </w:r>
      <w:r>
        <w:t>to</w:t>
      </w:r>
      <w:r>
        <w:rPr>
          <w:spacing w:val="-2"/>
        </w:rPr>
        <w:t xml:space="preserve"> </w:t>
      </w:r>
      <w:r>
        <w:t>or</w:t>
      </w:r>
      <w:r>
        <w:rPr>
          <w:spacing w:val="-2"/>
        </w:rPr>
        <w:t xml:space="preserve"> </w:t>
      </w:r>
      <w:r>
        <w:t>approximately</w:t>
      </w:r>
      <w:r>
        <w:rPr>
          <w:spacing w:val="-2"/>
        </w:rPr>
        <w:t xml:space="preserve"> </w:t>
      </w:r>
      <w:r>
        <w:t>2-fold</w:t>
      </w:r>
      <w:r>
        <w:rPr>
          <w:spacing w:val="-4"/>
        </w:rPr>
        <w:t xml:space="preserve"> </w:t>
      </w:r>
      <w:r>
        <w:t>higher.</w:t>
      </w:r>
    </w:p>
    <w:p w:rsidR="0027470E" w:rsidRDefault="00320041">
      <w:pPr>
        <w:pStyle w:val="a3"/>
        <w:spacing w:before="116" w:line="261" w:lineRule="auto"/>
        <w:ind w:left="234" w:right="1509"/>
        <w:jc w:val="both"/>
      </w:pPr>
      <w:r>
        <w:t xml:space="preserve">In this 4-week repeated oral dose toxicity study of </w:t>
      </w:r>
      <w:r w:rsidR="00DC0254">
        <w:t>PROJECT 4</w:t>
      </w:r>
      <w:r>
        <w:t xml:space="preserve"> in rats, the no observed adverse effect level (NOAEL) was 10 mg/kg/day. No </w:t>
      </w:r>
      <w:r w:rsidR="00DC0254">
        <w:t>PROJECT 4</w:t>
      </w:r>
      <w:r>
        <w:t>-related changes were noted after the recovery period.</w:t>
      </w:r>
    </w:p>
    <w:p w:rsidR="0027470E" w:rsidRPr="00DC0254" w:rsidRDefault="00320041">
      <w:pPr>
        <w:pStyle w:val="3"/>
        <w:numPr>
          <w:ilvl w:val="4"/>
          <w:numId w:val="6"/>
        </w:numPr>
        <w:tabs>
          <w:tab w:val="left" w:pos="1386"/>
          <w:tab w:val="left" w:pos="1387"/>
        </w:tabs>
        <w:spacing w:before="123"/>
        <w:rPr>
          <w:highlight w:val="cyan"/>
        </w:rPr>
      </w:pPr>
      <w:bookmarkStart w:id="35" w:name="4.4.2.2.2_Cynomolgus_Monkeys_-_4_Week_St"/>
      <w:bookmarkStart w:id="36" w:name="_bookmark67"/>
      <w:bookmarkEnd w:id="35"/>
      <w:bookmarkEnd w:id="36"/>
      <w:r w:rsidRPr="00DC0254">
        <w:rPr>
          <w:highlight w:val="cyan"/>
        </w:rPr>
        <w:t>Cynomolgus Monkeys - 4 Week</w:t>
      </w:r>
      <w:r w:rsidRPr="00DC0254">
        <w:rPr>
          <w:spacing w:val="-1"/>
          <w:highlight w:val="cyan"/>
        </w:rPr>
        <w:t xml:space="preserve"> </w:t>
      </w:r>
      <w:r w:rsidRPr="00DC0254">
        <w:rPr>
          <w:highlight w:val="cyan"/>
        </w:rPr>
        <w:t>Study</w:t>
      </w:r>
    </w:p>
    <w:p w:rsidR="0027470E" w:rsidRPr="00DC0254" w:rsidRDefault="00DC0254">
      <w:pPr>
        <w:pStyle w:val="a3"/>
        <w:spacing w:before="139" w:line="261" w:lineRule="auto"/>
        <w:ind w:left="234" w:right="1462"/>
        <w:rPr>
          <w:highlight w:val="cyan"/>
        </w:rPr>
      </w:pPr>
      <w:r w:rsidRPr="00DC0254">
        <w:rPr>
          <w:highlight w:val="cyan"/>
        </w:rPr>
        <w:t>PROJECT 4</w:t>
      </w:r>
      <w:r w:rsidR="00320041" w:rsidRPr="00DC0254">
        <w:rPr>
          <w:highlight w:val="cyan"/>
        </w:rPr>
        <w:t xml:space="preserve"> was orally administered once daily for 4 weeks to cynomolgus monkeys (3/sex/group) at 0 (vehicle, 0.5% w/v MC suspension), 1, 3, 10 and 30 mg/kg. Three animals of each sex were added to the 30 mg/kg group to evaluate the reversibility of any toxicity observed during the dosing period in a subsequent 4-week recovery period. The following items were examined: mortality, clinical signs, body weight, food consumption, ophthalmologic parameters, electrocardiography, hematology, clinical chemistry, urinalysis, gross pathology, organ weight and histopathology. Plasma </w:t>
      </w:r>
      <w:r w:rsidRPr="00DC0254">
        <w:rPr>
          <w:highlight w:val="cyan"/>
        </w:rPr>
        <w:t>PROJECT 4</w:t>
      </w:r>
      <w:r w:rsidR="00320041" w:rsidRPr="00DC0254">
        <w:rPr>
          <w:highlight w:val="cyan"/>
        </w:rPr>
        <w:t xml:space="preserve"> concentrations were also measured on days 1, 14 and 28 to determine systemic</w:t>
      </w:r>
      <w:r w:rsidR="00320041" w:rsidRPr="00DC0254">
        <w:rPr>
          <w:spacing w:val="-7"/>
          <w:highlight w:val="cyan"/>
        </w:rPr>
        <w:t xml:space="preserve"> </w:t>
      </w:r>
      <w:r w:rsidR="00320041" w:rsidRPr="00DC0254">
        <w:rPr>
          <w:highlight w:val="cyan"/>
        </w:rPr>
        <w:t>exposure.</w:t>
      </w:r>
    </w:p>
    <w:p w:rsidR="0027470E" w:rsidRPr="00DC0254" w:rsidRDefault="00320041">
      <w:pPr>
        <w:pStyle w:val="a3"/>
        <w:spacing w:before="113"/>
        <w:ind w:left="234"/>
        <w:rPr>
          <w:highlight w:val="cyan"/>
        </w:rPr>
      </w:pPr>
      <w:r w:rsidRPr="00DC0254">
        <w:rPr>
          <w:highlight w:val="cyan"/>
        </w:rPr>
        <w:t>No animals died in any group during the dosing or recovery period.</w:t>
      </w:r>
    </w:p>
    <w:p w:rsidR="0027470E" w:rsidRPr="00DC0254" w:rsidRDefault="00320041">
      <w:pPr>
        <w:pStyle w:val="a3"/>
        <w:spacing w:line="420" w:lineRule="atLeast"/>
        <w:ind w:left="234" w:right="1654"/>
        <w:rPr>
          <w:highlight w:val="cyan"/>
        </w:rPr>
      </w:pPr>
      <w:r w:rsidRPr="00DC0254">
        <w:rPr>
          <w:highlight w:val="cyan"/>
        </w:rPr>
        <w:t xml:space="preserve">In the 1 and 3 mg /kg groups, no </w:t>
      </w:r>
      <w:r w:rsidR="00DC0254" w:rsidRPr="00DC0254">
        <w:rPr>
          <w:highlight w:val="cyan"/>
        </w:rPr>
        <w:t>PROJECT 4</w:t>
      </w:r>
      <w:r w:rsidRPr="00DC0254">
        <w:rPr>
          <w:highlight w:val="cyan"/>
        </w:rPr>
        <w:t xml:space="preserve">-related changes were noted in any examination. At a dose of 10 mg/kg of </w:t>
      </w:r>
      <w:r w:rsidR="00DC0254" w:rsidRPr="00DC0254">
        <w:rPr>
          <w:highlight w:val="cyan"/>
        </w:rPr>
        <w:t>PROJECT 4</w:t>
      </w:r>
      <w:r w:rsidRPr="00DC0254">
        <w:rPr>
          <w:highlight w:val="cyan"/>
        </w:rPr>
        <w:t>, symptoms were observed in all males and females.</w:t>
      </w:r>
    </w:p>
    <w:p w:rsidR="0027470E" w:rsidRPr="00DC0254" w:rsidRDefault="00320041">
      <w:pPr>
        <w:pStyle w:val="a3"/>
        <w:spacing w:before="24" w:line="261" w:lineRule="auto"/>
        <w:ind w:left="234" w:right="1460"/>
        <w:rPr>
          <w:highlight w:val="cyan"/>
        </w:rPr>
      </w:pPr>
      <w:r w:rsidRPr="00DC0254">
        <w:rPr>
          <w:highlight w:val="cyan"/>
        </w:rPr>
        <w:t>Staggering gait was observed from day 1 to 2 in 2 males and 1 female, as was a decrease in spontaneous activity and/or incomplete eyelid opening. Staggering gait was also observed in 1 male and 2 females. These symptoms were observed from 1 hour after dosing and disappeared by 8 hours after dosing. Vomiting was observed in 2 females.  Food consumption was decreased in all males and 1 female; these values were lower in males from day 1 to day 4. Body weight decreased transiently in 1 male.</w:t>
      </w:r>
    </w:p>
    <w:p w:rsidR="0027470E" w:rsidRPr="00DC0254" w:rsidRDefault="00320041">
      <w:pPr>
        <w:pStyle w:val="a3"/>
        <w:spacing w:before="115" w:line="261" w:lineRule="auto"/>
        <w:ind w:left="234" w:right="1639"/>
        <w:rPr>
          <w:highlight w:val="cyan"/>
        </w:rPr>
      </w:pPr>
      <w:r w:rsidRPr="00DC0254">
        <w:rPr>
          <w:highlight w:val="cyan"/>
        </w:rPr>
        <w:t xml:space="preserve">At a dose of 30 mg/kg of </w:t>
      </w:r>
      <w:r w:rsidR="00DC0254" w:rsidRPr="00DC0254">
        <w:rPr>
          <w:highlight w:val="cyan"/>
        </w:rPr>
        <w:t>PROJECT 4</w:t>
      </w:r>
      <w:r w:rsidRPr="00DC0254">
        <w:rPr>
          <w:highlight w:val="cyan"/>
        </w:rPr>
        <w:t>, symptoms were observed in all males and females. Staggering gait, decreased spontaneous activity and/or incomplete eyelid opening were observed from day 1 in all animals. Abnormal positioning (sitting, lateral or prone positioning), blunted response to stimulation with a loss of responsiveness to touch, somnolence, tremor, mydriasis, salivation and/or vertical nystagmus were also observed in 5 males and 2 females. In 1 female, staggering gait was the only sign observed for 11 days.</w:t>
      </w:r>
    </w:p>
    <w:p w:rsidR="0027470E" w:rsidRPr="00DC0254" w:rsidRDefault="00320041" w:rsidP="00DC0254">
      <w:pPr>
        <w:pStyle w:val="a3"/>
        <w:spacing w:line="261" w:lineRule="auto"/>
        <w:ind w:left="234" w:right="1405"/>
        <w:rPr>
          <w:highlight w:val="cyan"/>
        </w:rPr>
      </w:pPr>
      <w:r w:rsidRPr="00DC0254">
        <w:rPr>
          <w:highlight w:val="cyan"/>
        </w:rPr>
        <w:t xml:space="preserve">Most of these symptoms were observed by 1 hour after administration of </w:t>
      </w:r>
      <w:r w:rsidR="00DC0254" w:rsidRPr="00DC0254">
        <w:rPr>
          <w:highlight w:val="cyan"/>
        </w:rPr>
        <w:t>PROJECT 4</w:t>
      </w:r>
      <w:r w:rsidRPr="00DC0254">
        <w:rPr>
          <w:highlight w:val="cyan"/>
        </w:rPr>
        <w:t xml:space="preserve"> and</w:t>
      </w:r>
      <w:r w:rsidRPr="00DC0254">
        <w:rPr>
          <w:spacing w:val="-41"/>
          <w:highlight w:val="cyan"/>
        </w:rPr>
        <w:t xml:space="preserve"> </w:t>
      </w:r>
      <w:r w:rsidRPr="00DC0254">
        <w:rPr>
          <w:highlight w:val="cyan"/>
        </w:rPr>
        <w:t>began to subside by 2.5 hours after treatment; however, staggering gait sometimes persisted</w:t>
      </w:r>
      <w:r w:rsidRPr="00DC0254">
        <w:rPr>
          <w:spacing w:val="-30"/>
          <w:highlight w:val="cyan"/>
        </w:rPr>
        <w:t xml:space="preserve"> </w:t>
      </w:r>
      <w:r w:rsidRPr="00DC0254">
        <w:rPr>
          <w:highlight w:val="cyan"/>
        </w:rPr>
        <w:t>for</w:t>
      </w:r>
      <w:r w:rsidR="00DC0254" w:rsidRPr="00DC0254">
        <w:rPr>
          <w:highlight w:val="cyan"/>
        </w:rPr>
        <w:t xml:space="preserve"> </w:t>
      </w:r>
      <w:r w:rsidRPr="00DC0254">
        <w:rPr>
          <w:highlight w:val="cyan"/>
        </w:rPr>
        <w:t>8 hours. Vomiting was observed in 3 males and 4 females for 1 to 6 days and was most pronounced between 2.5 and 8 hours after dosing. Food consumption was decreased in 4 males and all females for 1 to 13 days during the first 2 weeks of the dosing period.</w:t>
      </w:r>
      <w:r w:rsidRPr="00DC0254">
        <w:rPr>
          <w:spacing w:val="48"/>
          <w:highlight w:val="cyan"/>
        </w:rPr>
        <w:t xml:space="preserve"> </w:t>
      </w:r>
      <w:r w:rsidRPr="00DC0254">
        <w:rPr>
          <w:highlight w:val="cyan"/>
        </w:rPr>
        <w:t>A</w:t>
      </w:r>
      <w:r w:rsidR="00DC0254">
        <w:rPr>
          <w:highlight w:val="cyan"/>
        </w:rPr>
        <w:t xml:space="preserve"> </w:t>
      </w:r>
      <w:r w:rsidRPr="00DC0254">
        <w:rPr>
          <w:highlight w:val="cyan"/>
        </w:rPr>
        <w:lastRenderedPageBreak/>
        <w:t>decrease was also noted in 2 males and 1 female on day 25. In 1 of these males, body weight</w:t>
      </w:r>
      <w:r w:rsidR="00DC0254">
        <w:rPr>
          <w:highlight w:val="cyan"/>
        </w:rPr>
        <w:t xml:space="preserve"> </w:t>
      </w:r>
      <w:r w:rsidRPr="00DC0254">
        <w:rPr>
          <w:highlight w:val="cyan"/>
        </w:rPr>
        <w:t xml:space="preserve">decreased through the dosing period, but recovered by day 7 of the recovery period. There was a decreased or tendency toward decreased heart rate noted in males and females that occurred 2 hours after dosing on day 22 and individual heart rates were markedly decreased in 2 males and 1 female. Decreased erythrocyte count, hematocrit level and hemoglobin concentration were observed in 1 female on day 26. Decreased albumin and albumin/globulin ratio were observed in 1 female on day 26. No </w:t>
      </w:r>
      <w:r w:rsidR="00DC0254" w:rsidRPr="00DC0254">
        <w:rPr>
          <w:highlight w:val="cyan"/>
        </w:rPr>
        <w:t>PROJECT 4</w:t>
      </w:r>
      <w:r w:rsidRPr="00DC0254">
        <w:rPr>
          <w:highlight w:val="cyan"/>
        </w:rPr>
        <w:t>-related changes were observed in ophthalmologic evaluations, urinalysis, gross pathology, organ weight or histopathology examinations.</w:t>
      </w:r>
    </w:p>
    <w:p w:rsidR="0027470E" w:rsidRPr="00DC0254" w:rsidRDefault="00320041">
      <w:pPr>
        <w:pStyle w:val="a3"/>
        <w:spacing w:before="113" w:line="261" w:lineRule="auto"/>
        <w:ind w:left="234" w:right="1975"/>
        <w:rPr>
          <w:highlight w:val="cyan"/>
        </w:rPr>
      </w:pPr>
      <w:r w:rsidRPr="00DC0254">
        <w:rPr>
          <w:highlight w:val="cyan"/>
        </w:rPr>
        <w:t xml:space="preserve">There were no </w:t>
      </w:r>
      <w:r w:rsidR="00DC0254" w:rsidRPr="00DC0254">
        <w:rPr>
          <w:highlight w:val="cyan"/>
        </w:rPr>
        <w:t>PROJECT 4</w:t>
      </w:r>
      <w:r w:rsidRPr="00DC0254">
        <w:rPr>
          <w:highlight w:val="cyan"/>
        </w:rPr>
        <w:t>-related changes observed in any of the animals in the recovery period.</w:t>
      </w:r>
    </w:p>
    <w:p w:rsidR="0027470E" w:rsidRPr="00DC0254" w:rsidRDefault="00320041">
      <w:pPr>
        <w:pStyle w:val="a3"/>
        <w:spacing w:before="119" w:line="261" w:lineRule="auto"/>
        <w:ind w:left="234" w:right="1770"/>
        <w:rPr>
          <w:highlight w:val="cyan"/>
        </w:rPr>
      </w:pPr>
      <w:proofErr w:type="spellStart"/>
      <w:r w:rsidRPr="00DC0254">
        <w:rPr>
          <w:highlight w:val="cyan"/>
        </w:rPr>
        <w:t>C</w:t>
      </w:r>
      <w:r w:rsidRPr="00DC0254">
        <w:rPr>
          <w:highlight w:val="cyan"/>
          <w:vertAlign w:val="subscript"/>
        </w:rPr>
        <w:t>max</w:t>
      </w:r>
      <w:proofErr w:type="spellEnd"/>
      <w:r w:rsidRPr="00DC0254">
        <w:rPr>
          <w:highlight w:val="cyan"/>
        </w:rPr>
        <w:t xml:space="preserve"> and AUC</w:t>
      </w:r>
      <w:r w:rsidRPr="00DC0254">
        <w:rPr>
          <w:highlight w:val="cyan"/>
          <w:vertAlign w:val="subscript"/>
        </w:rPr>
        <w:t>24</w:t>
      </w:r>
      <w:r w:rsidRPr="00DC0254">
        <w:rPr>
          <w:highlight w:val="cyan"/>
        </w:rPr>
        <w:t xml:space="preserve"> increased with increasing dose in both sexes and showed no clear change after repeated dosing. There were no differences between doses or sexes for </w:t>
      </w:r>
      <w:proofErr w:type="spellStart"/>
      <w:r w:rsidRPr="00DC0254">
        <w:rPr>
          <w:highlight w:val="cyan"/>
        </w:rPr>
        <w:t>t</w:t>
      </w:r>
      <w:r w:rsidRPr="00DC0254">
        <w:rPr>
          <w:highlight w:val="cyan"/>
          <w:vertAlign w:val="subscript"/>
        </w:rPr>
        <w:t>max</w:t>
      </w:r>
      <w:proofErr w:type="spellEnd"/>
      <w:r w:rsidRPr="00DC0254">
        <w:rPr>
          <w:highlight w:val="cyan"/>
        </w:rPr>
        <w:t>.</w:t>
      </w:r>
    </w:p>
    <w:p w:rsidR="0027470E" w:rsidRDefault="00320041">
      <w:pPr>
        <w:pStyle w:val="a3"/>
        <w:spacing w:before="118" w:line="261" w:lineRule="auto"/>
        <w:ind w:left="234" w:right="1794"/>
      </w:pPr>
      <w:r w:rsidRPr="00DC0254">
        <w:rPr>
          <w:highlight w:val="cyan"/>
        </w:rPr>
        <w:t xml:space="preserve">In this 4-week repeated oral dose toxicity study of </w:t>
      </w:r>
      <w:r w:rsidR="00DC0254" w:rsidRPr="00DC0254">
        <w:rPr>
          <w:highlight w:val="cyan"/>
        </w:rPr>
        <w:t>PROJECT 4</w:t>
      </w:r>
      <w:r w:rsidRPr="00DC0254">
        <w:rPr>
          <w:highlight w:val="cyan"/>
        </w:rPr>
        <w:t xml:space="preserve"> in cynomolgus monkeys, the NOAEL was 3 mg/kg/day.</w:t>
      </w:r>
    </w:p>
    <w:p w:rsidR="0027470E" w:rsidRDefault="00320041">
      <w:pPr>
        <w:pStyle w:val="3"/>
        <w:numPr>
          <w:ilvl w:val="2"/>
          <w:numId w:val="6"/>
        </w:numPr>
        <w:tabs>
          <w:tab w:val="left" w:pos="1098"/>
          <w:tab w:val="left" w:pos="1099"/>
        </w:tabs>
        <w:spacing w:before="123"/>
      </w:pPr>
      <w:bookmarkStart w:id="37" w:name="4.4.3_Genotoxicity"/>
      <w:bookmarkStart w:id="38" w:name="_bookmark68"/>
      <w:bookmarkEnd w:id="37"/>
      <w:bookmarkEnd w:id="38"/>
      <w:r>
        <w:t>Genotoxicity</w:t>
      </w:r>
    </w:p>
    <w:p w:rsidR="0027470E" w:rsidRDefault="00DC0254">
      <w:pPr>
        <w:pStyle w:val="a3"/>
        <w:spacing w:before="140" w:line="261" w:lineRule="auto"/>
        <w:ind w:left="234" w:right="1600"/>
      </w:pPr>
      <w:r>
        <w:t>PROJECT 4</w:t>
      </w:r>
      <w:r w:rsidR="00320041">
        <w:t xml:space="preserve"> has been evaluated in 2 GLP in vitro genotoxicity studies: a bacterial reverse mutation assay (Company Report </w:t>
      </w:r>
      <w:r>
        <w:t>Project 4</w:t>
      </w:r>
      <w:r w:rsidR="00320041">
        <w:t xml:space="preserve">-TX-0005) and a chromosome aberration test (Company Report </w:t>
      </w:r>
      <w:r>
        <w:t>Project 4</w:t>
      </w:r>
      <w:r w:rsidR="00320041">
        <w:t>-TX-0006). Tabulated results for these studies can be found in End- of-Text Tables 3.7.1 and 3.7.2, respectively.</w:t>
      </w:r>
    </w:p>
    <w:p w:rsidR="0027470E" w:rsidRDefault="00DC0254">
      <w:pPr>
        <w:pStyle w:val="a3"/>
        <w:spacing w:before="116" w:line="261" w:lineRule="auto"/>
        <w:ind w:left="234" w:right="1694"/>
      </w:pPr>
      <w:r w:rsidRPr="00DC0254">
        <w:rPr>
          <w:highlight w:val="yellow"/>
        </w:rPr>
        <w:t>PROJECT 4</w:t>
      </w:r>
      <w:r w:rsidR="00320041" w:rsidRPr="00DC0254">
        <w:rPr>
          <w:highlight w:val="yellow"/>
        </w:rPr>
        <w:t xml:space="preserve"> did not induce gene mutation when tested in 5 strains of bacteria (</w:t>
      </w:r>
      <w:r w:rsidR="00320041" w:rsidRPr="00DC0254">
        <w:rPr>
          <w:i/>
          <w:highlight w:val="yellow"/>
        </w:rPr>
        <w:t xml:space="preserve">Salmonella typhimurium </w:t>
      </w:r>
      <w:r w:rsidR="00320041" w:rsidRPr="00DC0254">
        <w:rPr>
          <w:highlight w:val="yellow"/>
        </w:rPr>
        <w:t xml:space="preserve">[TA98, TA100, TA1535 and TA1537] and </w:t>
      </w:r>
      <w:r w:rsidR="00320041" w:rsidRPr="00DC0254">
        <w:rPr>
          <w:i/>
          <w:highlight w:val="yellow"/>
        </w:rPr>
        <w:t xml:space="preserve">Escherichia coli </w:t>
      </w:r>
      <w:r w:rsidR="00320041" w:rsidRPr="00DC0254">
        <w:rPr>
          <w:highlight w:val="yellow"/>
        </w:rPr>
        <w:t>[WP2</w:t>
      </w:r>
      <w:r w:rsidR="00320041" w:rsidRPr="00DC0254">
        <w:rPr>
          <w:i/>
          <w:highlight w:val="yellow"/>
        </w:rPr>
        <w:t>uvrA</w:t>
      </w:r>
      <w:r w:rsidR="00320041" w:rsidRPr="00DC0254">
        <w:rPr>
          <w:highlight w:val="yellow"/>
        </w:rPr>
        <w:t>]).</w:t>
      </w:r>
      <w:r w:rsidR="00320041">
        <w:t xml:space="preserve"> In addition, </w:t>
      </w:r>
      <w:r>
        <w:t>PROJECT 4</w:t>
      </w:r>
      <w:r w:rsidR="00320041">
        <w:t xml:space="preserve"> did not induce chromosomal aberrations in CHL/IU cells, regardless of treatment length or the presence or absence of metabolic activation. It was concluded that when tested under the conditions of these in vitro studies, </w:t>
      </w:r>
      <w:r>
        <w:t>PROJECT 4</w:t>
      </w:r>
      <w:r w:rsidR="00320041">
        <w:t xml:space="preserve"> does not exhibit genotoxic potential.</w:t>
      </w:r>
    </w:p>
    <w:p w:rsidR="0027470E" w:rsidRDefault="00320041">
      <w:pPr>
        <w:pStyle w:val="3"/>
        <w:numPr>
          <w:ilvl w:val="2"/>
          <w:numId w:val="6"/>
        </w:numPr>
        <w:tabs>
          <w:tab w:val="left" w:pos="1098"/>
          <w:tab w:val="left" w:pos="1099"/>
        </w:tabs>
        <w:spacing w:before="120"/>
      </w:pPr>
      <w:bookmarkStart w:id="39" w:name="4.4.4_Carcinogenicity"/>
      <w:bookmarkStart w:id="40" w:name="_bookmark69"/>
      <w:bookmarkEnd w:id="39"/>
      <w:bookmarkEnd w:id="40"/>
      <w:r>
        <w:t>Carcinogenicity</w:t>
      </w:r>
    </w:p>
    <w:p w:rsidR="0027470E" w:rsidRDefault="00320041">
      <w:pPr>
        <w:pStyle w:val="a3"/>
        <w:spacing w:before="139"/>
        <w:ind w:left="234"/>
      </w:pPr>
      <w:r>
        <w:t xml:space="preserve">No carcinogenicity studies of </w:t>
      </w:r>
      <w:r w:rsidR="00DC0254">
        <w:t>PROJECT 4</w:t>
      </w:r>
      <w:r>
        <w:t xml:space="preserve"> have been conducted to date.</w:t>
      </w:r>
    </w:p>
    <w:p w:rsidR="0027470E" w:rsidRDefault="00320041">
      <w:pPr>
        <w:pStyle w:val="3"/>
        <w:numPr>
          <w:ilvl w:val="2"/>
          <w:numId w:val="6"/>
        </w:numPr>
        <w:tabs>
          <w:tab w:val="left" w:pos="1098"/>
          <w:tab w:val="left" w:pos="1099"/>
        </w:tabs>
        <w:spacing w:before="149"/>
      </w:pPr>
      <w:bookmarkStart w:id="41" w:name="4.4.5_Reproductive_and_Developmental_Tox"/>
      <w:bookmarkStart w:id="42" w:name="_bookmark70"/>
      <w:bookmarkEnd w:id="41"/>
      <w:bookmarkEnd w:id="42"/>
      <w:r>
        <w:t>Reproductive and Developmental</w:t>
      </w:r>
      <w:r>
        <w:rPr>
          <w:spacing w:val="-5"/>
        </w:rPr>
        <w:t xml:space="preserve"> </w:t>
      </w:r>
      <w:r>
        <w:t>Toxicity</w:t>
      </w:r>
    </w:p>
    <w:p w:rsidR="0027470E" w:rsidRDefault="00320041">
      <w:pPr>
        <w:pStyle w:val="a3"/>
        <w:spacing w:before="139" w:line="261" w:lineRule="auto"/>
        <w:ind w:left="234" w:right="1487"/>
      </w:pPr>
      <w:r>
        <w:t xml:space="preserve">Nonpivotal dose range finding reproductive and developmental toxicity studies of </w:t>
      </w:r>
      <w:r w:rsidR="00DC0254">
        <w:t>PROJECT 4</w:t>
      </w:r>
      <w:r>
        <w:t xml:space="preserve"> conducted in rats and rabbits are summarized in End-of-Text Table 3.8. Tabulated results of pivotal reproductive and developmental toxicity studies conducted to evaluate the effects of </w:t>
      </w:r>
      <w:r w:rsidR="00DC0254">
        <w:t>PROJECT 4</w:t>
      </w:r>
      <w:r>
        <w:t xml:space="preserve"> on embryo fetal development conducted in rats (Company Report </w:t>
      </w:r>
      <w:r w:rsidR="00DC0254">
        <w:t>Project 4</w:t>
      </w:r>
      <w:r>
        <w:t xml:space="preserve">-TX-0007) and rabbits (Company Report </w:t>
      </w:r>
      <w:r w:rsidR="00DC0254">
        <w:t>Project 4</w:t>
      </w:r>
      <w:r>
        <w:t>-TX-0008) can be found in End-of-Text Tables 3.9.1 and 3.9.2, respectively. Key findings are presented below.</w:t>
      </w:r>
    </w:p>
    <w:p w:rsidR="0027470E" w:rsidRDefault="00320041">
      <w:pPr>
        <w:pStyle w:val="3"/>
        <w:numPr>
          <w:ilvl w:val="4"/>
          <w:numId w:val="5"/>
        </w:numPr>
        <w:tabs>
          <w:tab w:val="left" w:pos="1386"/>
          <w:tab w:val="left" w:pos="1387"/>
        </w:tabs>
        <w:spacing w:before="120"/>
      </w:pPr>
      <w:bookmarkStart w:id="43" w:name="4.4.5.1.1_Embryo_Fetal_Development_in_Ra"/>
      <w:bookmarkStart w:id="44" w:name="_bookmark71"/>
      <w:bookmarkEnd w:id="43"/>
      <w:bookmarkEnd w:id="44"/>
      <w:r>
        <w:t>Embryo Fetal Development in</w:t>
      </w:r>
      <w:r>
        <w:rPr>
          <w:spacing w:val="-1"/>
        </w:rPr>
        <w:t xml:space="preserve"> </w:t>
      </w:r>
      <w:r>
        <w:t>Rats</w:t>
      </w:r>
    </w:p>
    <w:p w:rsidR="0027470E" w:rsidRDefault="00DC0254">
      <w:pPr>
        <w:pStyle w:val="a3"/>
        <w:spacing w:before="140" w:line="261" w:lineRule="auto"/>
        <w:ind w:left="234" w:right="1467"/>
      </w:pPr>
      <w:r>
        <w:t>PROJECT 4</w:t>
      </w:r>
      <w:r w:rsidR="00320041">
        <w:t xml:space="preserve"> was administered orally to pregnant female SD rats (19-20/group) at daily doses of 0 (vehicle, 0.5% w/v MC suspension), 10, 30 and 100 mg/kg during the period from implantation until closure of the hard palate (gestational day [GD] 7-17). Animals underwent</w:t>
      </w:r>
    </w:p>
    <w:p w:rsidR="0027470E" w:rsidRDefault="0027470E">
      <w:pPr>
        <w:spacing w:line="261" w:lineRule="auto"/>
        <w:sectPr w:rsidR="0027470E">
          <w:pgSz w:w="12240" w:h="15840"/>
          <w:pgMar w:top="1280" w:right="0" w:bottom="940" w:left="1580" w:header="578" w:footer="748" w:gutter="0"/>
          <w:cols w:space="720"/>
        </w:sectPr>
      </w:pPr>
    </w:p>
    <w:p w:rsidR="0027470E" w:rsidRDefault="00320041">
      <w:pPr>
        <w:pStyle w:val="a3"/>
        <w:spacing w:before="141" w:line="261" w:lineRule="auto"/>
        <w:ind w:left="234" w:right="1548"/>
      </w:pPr>
      <w:r>
        <w:lastRenderedPageBreak/>
        <w:t xml:space="preserve">Cesarean section on day 20 of gestation to evaluate the effects on dams and embryo-fetal development. A toxicokinetic satellite group consisting of 8 pregnant females (4 pregnant females in the control group) was set up for each dosage group to measure plasma </w:t>
      </w:r>
      <w:r w:rsidR="00DC0254">
        <w:t>PROJECT 4</w:t>
      </w:r>
      <w:r>
        <w:t xml:space="preserve"> concentration to evaluate systemic exposure.</w:t>
      </w:r>
    </w:p>
    <w:p w:rsidR="0027470E" w:rsidRDefault="00320041">
      <w:pPr>
        <w:pStyle w:val="a3"/>
        <w:spacing w:before="117" w:line="261" w:lineRule="auto"/>
        <w:ind w:left="234" w:right="1487"/>
      </w:pPr>
      <w:r>
        <w:t>General toxicological effects on dams were staggering gait at ≥ 30 mg/kg and increased irritability, reddish fur around the eyes and salivation in the 100 mg/kg group. In addition, suppressed body weight gain and decreased food consumption were observed at doses</w:t>
      </w:r>
    </w:p>
    <w:p w:rsidR="0027470E" w:rsidRDefault="00320041">
      <w:pPr>
        <w:pStyle w:val="a3"/>
        <w:spacing w:line="261" w:lineRule="auto"/>
        <w:ind w:left="234" w:right="1487"/>
      </w:pPr>
      <w:r>
        <w:t xml:space="preserve">≥ 10 mg/kg. There were no </w:t>
      </w:r>
      <w:r w:rsidR="00DC0254">
        <w:t>PROJECT 4</w:t>
      </w:r>
      <w:r>
        <w:t>-related effects observed in any group for necropsy findings, number of corpora lutea, number of implantations or implantation rate.</w:t>
      </w:r>
    </w:p>
    <w:p w:rsidR="0027470E" w:rsidRDefault="00320041">
      <w:pPr>
        <w:pStyle w:val="a3"/>
        <w:spacing w:before="116" w:line="261" w:lineRule="auto"/>
        <w:ind w:left="234" w:right="1749"/>
      </w:pPr>
      <w:r>
        <w:t xml:space="preserve">There were no </w:t>
      </w:r>
      <w:r w:rsidR="00DC0254">
        <w:t>PROJECT 4</w:t>
      </w:r>
      <w:r>
        <w:t xml:space="preserve">-related effects observed in the number of live fetuses, number of embryo-fetal deaths, post-implantation loss, fetal weights, placental weights, sex ratio or external/visceral/skeletal morphology in any group. These data indicate that </w:t>
      </w:r>
      <w:r w:rsidR="00DC0254">
        <w:t>PROJECT 4</w:t>
      </w:r>
      <w:r>
        <w:t xml:space="preserve"> showed no potential of fetal growth retardation, fetal lethality or teratogenicity.</w:t>
      </w:r>
    </w:p>
    <w:p w:rsidR="0027470E" w:rsidRDefault="00320041">
      <w:pPr>
        <w:pStyle w:val="a3"/>
        <w:spacing w:before="116" w:line="261" w:lineRule="auto"/>
        <w:ind w:left="234" w:right="1487"/>
      </w:pPr>
      <w:r>
        <w:t xml:space="preserve">Both </w:t>
      </w:r>
      <w:proofErr w:type="spellStart"/>
      <w:r>
        <w:t>C</w:t>
      </w:r>
      <w:r>
        <w:rPr>
          <w:vertAlign w:val="subscript"/>
        </w:rPr>
        <w:t>max</w:t>
      </w:r>
      <w:proofErr w:type="spellEnd"/>
      <w:r>
        <w:t xml:space="preserve"> and AUC</w:t>
      </w:r>
      <w:r>
        <w:rPr>
          <w:vertAlign w:val="subscript"/>
        </w:rPr>
        <w:t>24</w:t>
      </w:r>
      <w:r>
        <w:t xml:space="preserve"> increased with increasing dose levels on GD 7 and GD 17. </w:t>
      </w:r>
      <w:proofErr w:type="spellStart"/>
      <w:r>
        <w:t>C</w:t>
      </w:r>
      <w:r>
        <w:rPr>
          <w:vertAlign w:val="subscript"/>
        </w:rPr>
        <w:t>max</w:t>
      </w:r>
      <w:proofErr w:type="spellEnd"/>
      <w:r>
        <w:t xml:space="preserve"> and AUC</w:t>
      </w:r>
      <w:r>
        <w:rPr>
          <w:vertAlign w:val="subscript"/>
        </w:rPr>
        <w:t>24</w:t>
      </w:r>
      <w:r>
        <w:t xml:space="preserve"> were comparable on GD 7 and GD 17 in each treatment group, thus confirming systemic exposure of </w:t>
      </w:r>
      <w:r w:rsidR="00DC0254">
        <w:t>PROJECT 4</w:t>
      </w:r>
      <w:r>
        <w:t xml:space="preserve"> during the treatment period.</w:t>
      </w:r>
    </w:p>
    <w:p w:rsidR="0027470E" w:rsidRDefault="00320041">
      <w:pPr>
        <w:pStyle w:val="a3"/>
        <w:spacing w:before="118" w:line="261" w:lineRule="auto"/>
        <w:ind w:left="234" w:right="1465"/>
      </w:pPr>
      <w:r>
        <w:t xml:space="preserve">Based on these data, the NOAEL of </w:t>
      </w:r>
      <w:r w:rsidR="00DC0254">
        <w:t>PROJECT 4</w:t>
      </w:r>
      <w:r>
        <w:t xml:space="preserve"> was judged to be &lt;10 mg/kg/day for dams and 100 mg/kg/day for embryo-fetal development.</w:t>
      </w:r>
    </w:p>
    <w:p w:rsidR="0027470E" w:rsidRDefault="00320041">
      <w:pPr>
        <w:pStyle w:val="3"/>
        <w:numPr>
          <w:ilvl w:val="4"/>
          <w:numId w:val="5"/>
        </w:numPr>
        <w:tabs>
          <w:tab w:val="left" w:pos="1386"/>
          <w:tab w:val="left" w:pos="1387"/>
        </w:tabs>
        <w:spacing w:before="123"/>
      </w:pPr>
      <w:bookmarkStart w:id="45" w:name="4.4.5.1.2_Embryo_Fetal_Development_in_Ra"/>
      <w:bookmarkStart w:id="46" w:name="_bookmark72"/>
      <w:bookmarkEnd w:id="45"/>
      <w:bookmarkEnd w:id="46"/>
      <w:r>
        <w:t>Embryo Fetal Development in Rabbits</w:t>
      </w:r>
    </w:p>
    <w:p w:rsidR="0027470E" w:rsidRDefault="00DC0254">
      <w:pPr>
        <w:pStyle w:val="a3"/>
        <w:spacing w:before="139" w:line="261" w:lineRule="auto"/>
        <w:ind w:left="234" w:right="1501"/>
      </w:pPr>
      <w:r>
        <w:t>PROJECT 4</w:t>
      </w:r>
      <w:r w:rsidR="00320041">
        <w:t xml:space="preserve"> was administered orally to pregnant female New Zealand White (NZW) rabbits (17-19/group) at doses of 0 (vehicle, 0.5% w/v MC suspension), 10, 30 and 100 mg/kg on GD 6 to GD 18, corresponding to the period from implantation to closure of the hard palate in rabbit fetuses, to evaluate the potential adverse effects on pregnant animals and embryo- fetal development (embryo-fetal death, growth retardation and external, visceral and skeletal malformations). Clinical observations and measurements of body weight and food consumption were conducted on the dams. On GD 29, all dams underwent Cesarean section and necropsy to determine the following parameters: numbers of corpora lutea, implantations, live and dead fetuses, body weight, placental weight, sex, and external, visceral and skeletal morphology of live fetuses. </w:t>
      </w:r>
      <w:r>
        <w:t>PROJECT 4</w:t>
      </w:r>
      <w:r w:rsidR="00320041">
        <w:t xml:space="preserve"> plasma concentrations were measured on the first day of dosing (GD 6) and on the last day of dosing (GD 18) to evaluate systemic exposure.</w:t>
      </w:r>
    </w:p>
    <w:p w:rsidR="0027470E" w:rsidRDefault="00320041">
      <w:pPr>
        <w:pStyle w:val="a3"/>
        <w:spacing w:before="111" w:line="261" w:lineRule="auto"/>
        <w:ind w:left="234" w:right="1417"/>
      </w:pPr>
      <w:r>
        <w:t xml:space="preserve">All dams survived the duration of the study. Decrease in movement, rapid respiration, prone positioning, lateral positioning, weakness and/or salivation were observed in the 100 mg/kg group after dosing. Two dams in the 30 mg/kg group aborted, but no abortion occurred in the 100 mg/kg group.  In the 100 mg/kg group, although no treatment-related effects were evident in body weight or body weight gain, decreased food consumption was noted. No </w:t>
      </w:r>
      <w:r w:rsidR="00DC0254">
        <w:t>PROJECT 4</w:t>
      </w:r>
      <w:r>
        <w:t>-related effects were observed for the reproductive function of</w:t>
      </w:r>
      <w:r>
        <w:rPr>
          <w:spacing w:val="-7"/>
        </w:rPr>
        <w:t xml:space="preserve"> </w:t>
      </w:r>
      <w:r>
        <w:t>dams.</w:t>
      </w:r>
    </w:p>
    <w:p w:rsidR="0027470E" w:rsidRDefault="00320041">
      <w:pPr>
        <w:pStyle w:val="a3"/>
        <w:spacing w:before="115" w:line="261" w:lineRule="auto"/>
        <w:ind w:left="234" w:right="3321"/>
      </w:pPr>
      <w:r>
        <w:t xml:space="preserve">There were no </w:t>
      </w:r>
      <w:r w:rsidR="00DC0254">
        <w:t>PROJECT 4</w:t>
      </w:r>
      <w:r>
        <w:t>-related effects evident in the viability, growth or external/visceral/skeletal morphology of embryos or fetuses.</w:t>
      </w:r>
    </w:p>
    <w:p w:rsidR="0027470E" w:rsidRDefault="0027470E">
      <w:pPr>
        <w:spacing w:line="261" w:lineRule="auto"/>
        <w:sectPr w:rsidR="0027470E">
          <w:pgSz w:w="12240" w:h="15840"/>
          <w:pgMar w:top="1280" w:right="0" w:bottom="940" w:left="1580" w:header="578" w:footer="748" w:gutter="0"/>
          <w:cols w:space="720"/>
        </w:sectPr>
      </w:pPr>
    </w:p>
    <w:p w:rsidR="0027470E" w:rsidRDefault="00320041">
      <w:pPr>
        <w:pStyle w:val="a3"/>
        <w:spacing w:before="141" w:line="261" w:lineRule="auto"/>
        <w:ind w:left="234" w:right="1487"/>
      </w:pPr>
      <w:r>
        <w:lastRenderedPageBreak/>
        <w:t xml:space="preserve">Plasma </w:t>
      </w:r>
      <w:r w:rsidR="00DC0254">
        <w:t>PROJECT 4</w:t>
      </w:r>
      <w:r>
        <w:t xml:space="preserve"> concentrations on GD 6 and GD 18 increased more than dose- proportionally. </w:t>
      </w:r>
      <w:proofErr w:type="spellStart"/>
      <w:r>
        <w:t>C</w:t>
      </w:r>
      <w:r>
        <w:rPr>
          <w:vertAlign w:val="subscript"/>
        </w:rPr>
        <w:t>max</w:t>
      </w:r>
      <w:proofErr w:type="spellEnd"/>
      <w:r>
        <w:t xml:space="preserve"> and AUC</w:t>
      </w:r>
      <w:r>
        <w:rPr>
          <w:vertAlign w:val="subscript"/>
        </w:rPr>
        <w:t>24</w:t>
      </w:r>
      <w:r>
        <w:t xml:space="preserve"> values on GD 18 were higher than those on GD 6 at each dose level.</w:t>
      </w:r>
    </w:p>
    <w:p w:rsidR="0027470E" w:rsidRDefault="00320041">
      <w:pPr>
        <w:pStyle w:val="a3"/>
        <w:spacing w:before="117" w:line="261" w:lineRule="auto"/>
        <w:ind w:left="234" w:right="2206"/>
      </w:pPr>
      <w:r>
        <w:t xml:space="preserve">Based on these data, the NOAEL of </w:t>
      </w:r>
      <w:r w:rsidR="00DC0254">
        <w:t>PROJECT 4</w:t>
      </w:r>
      <w:r>
        <w:t xml:space="preserve"> was considered to be 30 mg/kg/day for maternal general toxicity and 100 mg/kg/day for maternal reproductive function and embryo-fetal development.</w:t>
      </w:r>
    </w:p>
    <w:p w:rsidR="0027470E" w:rsidRDefault="00320041">
      <w:pPr>
        <w:pStyle w:val="3"/>
        <w:numPr>
          <w:ilvl w:val="2"/>
          <w:numId w:val="4"/>
        </w:numPr>
        <w:tabs>
          <w:tab w:val="left" w:pos="1098"/>
          <w:tab w:val="left" w:pos="1099"/>
        </w:tabs>
        <w:spacing w:before="123"/>
      </w:pPr>
      <w:bookmarkStart w:id="47" w:name="4.4.6_Local_Tolerance"/>
      <w:bookmarkStart w:id="48" w:name="_bookmark73"/>
      <w:bookmarkEnd w:id="47"/>
      <w:bookmarkEnd w:id="48"/>
      <w:r>
        <w:t>Local</w:t>
      </w:r>
      <w:r>
        <w:rPr>
          <w:spacing w:val="-2"/>
        </w:rPr>
        <w:t xml:space="preserve"> </w:t>
      </w:r>
      <w:r>
        <w:t>Tolerance</w:t>
      </w:r>
    </w:p>
    <w:p w:rsidR="0027470E" w:rsidRDefault="00320041">
      <w:pPr>
        <w:pStyle w:val="a3"/>
        <w:spacing w:before="139"/>
        <w:ind w:left="234"/>
      </w:pPr>
      <w:r>
        <w:t xml:space="preserve">No local tolerance studies of </w:t>
      </w:r>
      <w:r w:rsidR="00DC0254">
        <w:t>PROJECT 4</w:t>
      </w:r>
      <w:r>
        <w:t xml:space="preserve"> have been conducted to date.</w:t>
      </w:r>
    </w:p>
    <w:p w:rsidR="0027470E" w:rsidRDefault="00320041">
      <w:pPr>
        <w:pStyle w:val="3"/>
        <w:numPr>
          <w:ilvl w:val="2"/>
          <w:numId w:val="4"/>
        </w:numPr>
        <w:tabs>
          <w:tab w:val="left" w:pos="1098"/>
          <w:tab w:val="left" w:pos="1099"/>
        </w:tabs>
        <w:spacing w:before="149"/>
      </w:pPr>
      <w:bookmarkStart w:id="49" w:name="4.4.7_Other_Toxicity_Studies"/>
      <w:bookmarkStart w:id="50" w:name="_bookmark74"/>
      <w:bookmarkEnd w:id="49"/>
      <w:bookmarkEnd w:id="50"/>
      <w:r>
        <w:t>Other Toxicity</w:t>
      </w:r>
      <w:r>
        <w:rPr>
          <w:spacing w:val="-1"/>
        </w:rPr>
        <w:t xml:space="preserve"> </w:t>
      </w:r>
      <w:r>
        <w:t>Studies</w:t>
      </w:r>
    </w:p>
    <w:p w:rsidR="0027470E" w:rsidRDefault="00320041">
      <w:pPr>
        <w:pStyle w:val="a3"/>
        <w:spacing w:before="139"/>
        <w:ind w:left="234"/>
      </w:pPr>
      <w:r>
        <w:t xml:space="preserve">No other toxicity studies of </w:t>
      </w:r>
      <w:r w:rsidR="00DC0254">
        <w:t>PROJECT 4</w:t>
      </w:r>
      <w:r>
        <w:t xml:space="preserve"> have been conducted to date.</w:t>
      </w:r>
    </w:p>
    <w:p w:rsidR="0027470E" w:rsidRDefault="00320041">
      <w:pPr>
        <w:pStyle w:val="2"/>
        <w:numPr>
          <w:ilvl w:val="1"/>
          <w:numId w:val="4"/>
        </w:numPr>
        <w:tabs>
          <w:tab w:val="left" w:pos="1098"/>
          <w:tab w:val="left" w:pos="1099"/>
        </w:tabs>
        <w:spacing w:before="124"/>
      </w:pPr>
      <w:bookmarkStart w:id="51" w:name="4.5_Integrated_Overview_and_Conclusions:"/>
      <w:bookmarkStart w:id="52" w:name="_bookmark75"/>
      <w:bookmarkEnd w:id="51"/>
      <w:bookmarkEnd w:id="52"/>
      <w:r>
        <w:t>Integrated Overview and Conclusions: Potential Clinical</w:t>
      </w:r>
      <w:r>
        <w:rPr>
          <w:spacing w:val="-17"/>
        </w:rPr>
        <w:t xml:space="preserve"> </w:t>
      </w:r>
      <w:r>
        <w:t>Relevance</w:t>
      </w:r>
    </w:p>
    <w:p w:rsidR="0027470E" w:rsidRDefault="00320041">
      <w:pPr>
        <w:pStyle w:val="a3"/>
        <w:spacing w:before="140" w:line="261" w:lineRule="auto"/>
        <w:ind w:left="234" w:right="1488"/>
      </w:pPr>
      <w:r>
        <w:t xml:space="preserve">The nonclinical toxicity profile of </w:t>
      </w:r>
      <w:r w:rsidR="00DC0254">
        <w:t>PROJECT 4</w:t>
      </w:r>
      <w:r>
        <w:t xml:space="preserve"> was evaluated for relevance to human risk and impact on clinical trial design. The minimum pharmacologically effective dose in humans is predicted to be approximately 0.3 to 10 mg/day based on pharmacological activity in various models of cognitive impairment in mice. Noteworthy findings of potential clinical interest observed in rat and monkey 4-week repeated-dose toxicity studies are presented in </w:t>
      </w:r>
      <w:hyperlink w:anchor="_bookmark76" w:history="1">
        <w:r>
          <w:t>Table 12</w:t>
        </w:r>
      </w:hyperlink>
      <w:r>
        <w:t xml:space="preserve">. Potential </w:t>
      </w:r>
      <w:r w:rsidR="00DC0254">
        <w:t>PROJECT 4</w:t>
      </w:r>
      <w:r>
        <w:t xml:space="preserve"> target organ toxicity is discussed in Sections 4.5.1 through 4.5.5.</w:t>
      </w:r>
    </w:p>
    <w:p w:rsidR="0027470E" w:rsidRDefault="00320041">
      <w:pPr>
        <w:pStyle w:val="3"/>
        <w:tabs>
          <w:tab w:val="left" w:pos="1645"/>
        </w:tabs>
        <w:spacing w:before="93"/>
        <w:ind w:left="1645" w:right="1846" w:hanging="1412"/>
      </w:pPr>
      <w:bookmarkStart w:id="53" w:name="_bookmark76"/>
      <w:bookmarkEnd w:id="53"/>
      <w:r>
        <w:t>Table 12:</w:t>
      </w:r>
      <w:r>
        <w:tab/>
        <w:t>Noteworthy Findings of Potential Clinical Interest in Rat and Monkey 4-week Repeated-Dose Toxicity Studies</w:t>
      </w:r>
    </w:p>
    <w:p w:rsidR="0027470E" w:rsidRDefault="0027470E">
      <w:pPr>
        <w:pStyle w:val="a3"/>
        <w:spacing w:before="6"/>
        <w:rPr>
          <w:b/>
          <w:sz w:val="5"/>
        </w:rPr>
      </w:pPr>
    </w:p>
    <w:tbl>
      <w:tblPr>
        <w:tblStyle w:val="TableNormal"/>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00"/>
        <w:gridCol w:w="2880"/>
        <w:gridCol w:w="2880"/>
      </w:tblGrid>
      <w:tr w:rsidR="0027470E">
        <w:trPr>
          <w:trHeight w:val="201"/>
        </w:trPr>
        <w:tc>
          <w:tcPr>
            <w:tcW w:w="3600" w:type="dxa"/>
            <w:vMerge w:val="restart"/>
          </w:tcPr>
          <w:p w:rsidR="0027470E" w:rsidRDefault="0027470E">
            <w:pPr>
              <w:pStyle w:val="TableParagraph"/>
              <w:jc w:val="left"/>
              <w:rPr>
                <w:b/>
                <w:sz w:val="18"/>
              </w:rPr>
            </w:pPr>
          </w:p>
          <w:p w:rsidR="0027470E" w:rsidRDefault="00320041">
            <w:pPr>
              <w:pStyle w:val="TableParagraph"/>
              <w:spacing w:line="204" w:lineRule="exact"/>
              <w:ind w:left="105"/>
              <w:jc w:val="left"/>
              <w:rPr>
                <w:b/>
                <w:sz w:val="18"/>
              </w:rPr>
            </w:pPr>
            <w:r>
              <w:rPr>
                <w:b/>
                <w:sz w:val="18"/>
              </w:rPr>
              <w:t>System</w:t>
            </w:r>
          </w:p>
          <w:p w:rsidR="0027470E" w:rsidRDefault="00320041">
            <w:pPr>
              <w:pStyle w:val="TableParagraph"/>
              <w:spacing w:line="194" w:lineRule="exact"/>
              <w:ind w:left="105"/>
              <w:jc w:val="left"/>
              <w:rPr>
                <w:sz w:val="18"/>
              </w:rPr>
            </w:pPr>
            <w:r>
              <w:rPr>
                <w:sz w:val="18"/>
              </w:rPr>
              <w:t>Noteworthy Findings</w:t>
            </w:r>
          </w:p>
        </w:tc>
        <w:tc>
          <w:tcPr>
            <w:tcW w:w="5760" w:type="dxa"/>
            <w:gridSpan w:val="2"/>
          </w:tcPr>
          <w:p w:rsidR="0027470E" w:rsidRDefault="00320041">
            <w:pPr>
              <w:pStyle w:val="TableParagraph"/>
              <w:spacing w:line="181" w:lineRule="exact"/>
              <w:ind w:left="618"/>
              <w:jc w:val="left"/>
              <w:rPr>
                <w:sz w:val="18"/>
              </w:rPr>
            </w:pPr>
            <w:r>
              <w:rPr>
                <w:b/>
                <w:sz w:val="18"/>
              </w:rPr>
              <w:t xml:space="preserve">Dose Level of Observed Response (mg/kg) </w:t>
            </w:r>
            <w:r>
              <w:rPr>
                <w:b/>
                <w:i/>
                <w:sz w:val="18"/>
              </w:rPr>
              <w:t xml:space="preserve">[HED] </w:t>
            </w:r>
            <w:r>
              <w:rPr>
                <w:b/>
                <w:sz w:val="18"/>
              </w:rPr>
              <w:t>(mg/kg)</w:t>
            </w:r>
            <w:r>
              <w:rPr>
                <w:sz w:val="18"/>
              </w:rPr>
              <w:t>†</w:t>
            </w:r>
          </w:p>
        </w:tc>
      </w:tr>
      <w:tr w:rsidR="0027470E">
        <w:trPr>
          <w:trHeight w:val="203"/>
        </w:trPr>
        <w:tc>
          <w:tcPr>
            <w:tcW w:w="3600" w:type="dxa"/>
            <w:vMerge/>
            <w:tcBorders>
              <w:top w:val="nil"/>
            </w:tcBorders>
          </w:tcPr>
          <w:p w:rsidR="0027470E" w:rsidRDefault="0027470E">
            <w:pPr>
              <w:rPr>
                <w:sz w:val="2"/>
                <w:szCs w:val="2"/>
              </w:rPr>
            </w:pPr>
          </w:p>
        </w:tc>
        <w:tc>
          <w:tcPr>
            <w:tcW w:w="2880" w:type="dxa"/>
          </w:tcPr>
          <w:p w:rsidR="0027470E" w:rsidRDefault="00320041">
            <w:pPr>
              <w:pStyle w:val="TableParagraph"/>
              <w:spacing w:line="184" w:lineRule="exact"/>
              <w:ind w:left="294" w:right="291"/>
              <w:rPr>
                <w:b/>
                <w:sz w:val="18"/>
              </w:rPr>
            </w:pPr>
            <w:r>
              <w:rPr>
                <w:b/>
                <w:sz w:val="18"/>
              </w:rPr>
              <w:t>Rat</w:t>
            </w:r>
          </w:p>
        </w:tc>
        <w:tc>
          <w:tcPr>
            <w:tcW w:w="2880" w:type="dxa"/>
          </w:tcPr>
          <w:p w:rsidR="0027470E" w:rsidRDefault="00320041">
            <w:pPr>
              <w:pStyle w:val="TableParagraph"/>
              <w:spacing w:line="184" w:lineRule="exact"/>
              <w:ind w:left="294" w:right="290"/>
              <w:rPr>
                <w:b/>
                <w:sz w:val="18"/>
              </w:rPr>
            </w:pPr>
            <w:r>
              <w:rPr>
                <w:b/>
                <w:sz w:val="18"/>
              </w:rPr>
              <w:t>Monkey (Cynomolgus)</w:t>
            </w:r>
          </w:p>
        </w:tc>
      </w:tr>
      <w:tr w:rsidR="0027470E">
        <w:trPr>
          <w:trHeight w:val="201"/>
        </w:trPr>
        <w:tc>
          <w:tcPr>
            <w:tcW w:w="3600" w:type="dxa"/>
            <w:vMerge/>
            <w:tcBorders>
              <w:top w:val="nil"/>
            </w:tcBorders>
          </w:tcPr>
          <w:p w:rsidR="0027470E" w:rsidRDefault="0027470E">
            <w:pPr>
              <w:rPr>
                <w:sz w:val="2"/>
                <w:szCs w:val="2"/>
              </w:rPr>
            </w:pPr>
          </w:p>
        </w:tc>
        <w:tc>
          <w:tcPr>
            <w:tcW w:w="2880" w:type="dxa"/>
          </w:tcPr>
          <w:p w:rsidR="0027470E" w:rsidRDefault="00320041">
            <w:pPr>
              <w:pStyle w:val="TableParagraph"/>
              <w:spacing w:line="181" w:lineRule="exact"/>
              <w:ind w:left="294" w:right="290"/>
              <w:rPr>
                <w:b/>
                <w:sz w:val="18"/>
              </w:rPr>
            </w:pPr>
            <w:r>
              <w:rPr>
                <w:b/>
                <w:sz w:val="18"/>
              </w:rPr>
              <w:t>4 Week</w:t>
            </w:r>
          </w:p>
        </w:tc>
        <w:tc>
          <w:tcPr>
            <w:tcW w:w="2880" w:type="dxa"/>
          </w:tcPr>
          <w:p w:rsidR="0027470E" w:rsidRDefault="00320041">
            <w:pPr>
              <w:pStyle w:val="TableParagraph"/>
              <w:spacing w:line="181" w:lineRule="exact"/>
              <w:ind w:left="294" w:right="290"/>
              <w:rPr>
                <w:b/>
                <w:sz w:val="18"/>
              </w:rPr>
            </w:pPr>
            <w:r>
              <w:rPr>
                <w:b/>
                <w:sz w:val="18"/>
              </w:rPr>
              <w:t>4 Week</w:t>
            </w:r>
          </w:p>
        </w:tc>
      </w:tr>
      <w:tr w:rsidR="0027470E">
        <w:trPr>
          <w:trHeight w:val="201"/>
        </w:trPr>
        <w:tc>
          <w:tcPr>
            <w:tcW w:w="9360" w:type="dxa"/>
            <w:gridSpan w:val="3"/>
          </w:tcPr>
          <w:p w:rsidR="0027470E" w:rsidRDefault="00320041">
            <w:pPr>
              <w:pStyle w:val="TableParagraph"/>
              <w:spacing w:line="181" w:lineRule="exact"/>
              <w:ind w:left="105"/>
              <w:jc w:val="left"/>
              <w:rPr>
                <w:b/>
                <w:sz w:val="18"/>
              </w:rPr>
            </w:pPr>
            <w:r>
              <w:rPr>
                <w:b/>
                <w:sz w:val="18"/>
              </w:rPr>
              <w:t>Clinical Signs and General Condition</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Body Weight ↓</w:t>
            </w:r>
          </w:p>
        </w:tc>
        <w:tc>
          <w:tcPr>
            <w:tcW w:w="2880" w:type="dxa"/>
          </w:tcPr>
          <w:p w:rsidR="0027470E" w:rsidRDefault="00320041">
            <w:pPr>
              <w:pStyle w:val="TableParagraph"/>
              <w:spacing w:line="184" w:lineRule="exact"/>
              <w:ind w:left="294" w:right="290"/>
              <w:rPr>
                <w:sz w:val="18"/>
              </w:rPr>
            </w:pPr>
            <w:r>
              <w:rPr>
                <w:sz w:val="18"/>
              </w:rPr>
              <w:t>--</w:t>
            </w:r>
          </w:p>
        </w:tc>
        <w:tc>
          <w:tcPr>
            <w:tcW w:w="2880" w:type="dxa"/>
          </w:tcPr>
          <w:p w:rsidR="0027470E" w:rsidRDefault="00320041">
            <w:pPr>
              <w:pStyle w:val="TableParagraph"/>
              <w:spacing w:line="184" w:lineRule="exact"/>
              <w:ind w:left="290" w:right="291"/>
              <w:rPr>
                <w:i/>
                <w:sz w:val="18"/>
              </w:rPr>
            </w:pPr>
            <w:r>
              <w:rPr>
                <w:sz w:val="18"/>
              </w:rPr>
              <w:t xml:space="preserve">30F </w:t>
            </w:r>
            <w:r>
              <w:rPr>
                <w:i/>
                <w:sz w:val="18"/>
              </w:rPr>
              <w:t>[9.6]</w:t>
            </w:r>
            <w:r>
              <w:rPr>
                <w:sz w:val="18"/>
              </w:rPr>
              <w:t xml:space="preserve">, 10 M </w:t>
            </w:r>
            <w:r>
              <w:rPr>
                <w:i/>
                <w:sz w:val="18"/>
              </w:rPr>
              <w:t>[5.4]</w:t>
            </w:r>
          </w:p>
        </w:tc>
      </w:tr>
      <w:tr w:rsidR="0027470E">
        <w:trPr>
          <w:trHeight w:val="227"/>
        </w:trPr>
        <w:tc>
          <w:tcPr>
            <w:tcW w:w="3600" w:type="dxa"/>
          </w:tcPr>
          <w:p w:rsidR="0027470E" w:rsidRDefault="00320041">
            <w:pPr>
              <w:pStyle w:val="TableParagraph"/>
              <w:spacing w:line="208" w:lineRule="exact"/>
              <w:ind w:left="105"/>
              <w:jc w:val="left"/>
              <w:rPr>
                <w:rFonts w:ascii="ＭＳ 明朝" w:hAnsi="ＭＳ 明朝"/>
                <w:sz w:val="18"/>
              </w:rPr>
            </w:pPr>
            <w:r>
              <w:rPr>
                <w:sz w:val="18"/>
              </w:rPr>
              <w:t xml:space="preserve">Body Weight gain </w:t>
            </w:r>
            <w:r>
              <w:rPr>
                <w:rFonts w:ascii="ＭＳ 明朝" w:hAnsi="ＭＳ 明朝"/>
                <w:sz w:val="18"/>
              </w:rPr>
              <w:t>↓</w:t>
            </w:r>
          </w:p>
        </w:tc>
        <w:tc>
          <w:tcPr>
            <w:tcW w:w="2880" w:type="dxa"/>
          </w:tcPr>
          <w:p w:rsidR="0027470E" w:rsidRDefault="00320041">
            <w:pPr>
              <w:pStyle w:val="TableParagraph"/>
              <w:spacing w:line="198" w:lineRule="exact"/>
              <w:ind w:left="290" w:right="291"/>
              <w:rPr>
                <w:i/>
                <w:sz w:val="18"/>
              </w:rPr>
            </w:pPr>
            <w:r>
              <w:rPr>
                <w:sz w:val="18"/>
              </w:rPr>
              <w:t xml:space="preserve">100 M </w:t>
            </w:r>
            <w:r>
              <w:rPr>
                <w:i/>
                <w:sz w:val="18"/>
              </w:rPr>
              <w:t>[16]</w:t>
            </w:r>
            <w:r>
              <w:rPr>
                <w:sz w:val="18"/>
              </w:rPr>
              <w:t xml:space="preserve">, 30 F </w:t>
            </w:r>
            <w:r>
              <w:rPr>
                <w:i/>
                <w:sz w:val="18"/>
              </w:rPr>
              <w:t>[4.8]</w:t>
            </w:r>
          </w:p>
        </w:tc>
        <w:tc>
          <w:tcPr>
            <w:tcW w:w="2880" w:type="dxa"/>
          </w:tcPr>
          <w:p w:rsidR="0027470E" w:rsidRDefault="00320041">
            <w:pPr>
              <w:pStyle w:val="TableParagraph"/>
              <w:spacing w:line="198" w:lineRule="exact"/>
              <w:ind w:left="294" w:right="290"/>
              <w:rPr>
                <w:sz w:val="18"/>
              </w:rPr>
            </w:pPr>
            <w:r>
              <w:rPr>
                <w:sz w:val="18"/>
              </w:rPr>
              <w:t>--</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Decrease in movement</w:t>
            </w:r>
          </w:p>
        </w:tc>
        <w:tc>
          <w:tcPr>
            <w:tcW w:w="2880" w:type="dxa"/>
          </w:tcPr>
          <w:p w:rsidR="0027470E" w:rsidRDefault="00320041">
            <w:pPr>
              <w:pStyle w:val="TableParagraph"/>
              <w:spacing w:line="181" w:lineRule="exact"/>
              <w:ind w:left="291" w:right="291"/>
              <w:rPr>
                <w:i/>
                <w:sz w:val="18"/>
              </w:rPr>
            </w:pPr>
            <w:r>
              <w:rPr>
                <w:sz w:val="18"/>
              </w:rPr>
              <w:t xml:space="preserve">100 F </w:t>
            </w:r>
            <w:r>
              <w:rPr>
                <w:i/>
                <w:sz w:val="18"/>
              </w:rPr>
              <w:t>[16]</w:t>
            </w:r>
            <w:r>
              <w:rPr>
                <w:sz w:val="18"/>
              </w:rPr>
              <w:t xml:space="preserve">, 300 M </w:t>
            </w:r>
            <w:r>
              <w:rPr>
                <w:i/>
                <w:sz w:val="18"/>
              </w:rPr>
              <w:t>[48]</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Food Consumption ↓</w:t>
            </w:r>
          </w:p>
        </w:tc>
        <w:tc>
          <w:tcPr>
            <w:tcW w:w="2880" w:type="dxa"/>
          </w:tcPr>
          <w:p w:rsidR="0027470E" w:rsidRDefault="00320041">
            <w:pPr>
              <w:pStyle w:val="TableParagraph"/>
              <w:spacing w:line="184" w:lineRule="exact"/>
              <w:ind w:left="290" w:right="291"/>
              <w:rPr>
                <w:i/>
                <w:sz w:val="18"/>
              </w:rPr>
            </w:pPr>
            <w:r>
              <w:rPr>
                <w:sz w:val="18"/>
              </w:rPr>
              <w:t xml:space="preserve">300 M </w:t>
            </w:r>
            <w:r>
              <w:rPr>
                <w:i/>
                <w:sz w:val="18"/>
              </w:rPr>
              <w:t>[48]</w:t>
            </w:r>
          </w:p>
        </w:tc>
        <w:tc>
          <w:tcPr>
            <w:tcW w:w="2880" w:type="dxa"/>
          </w:tcPr>
          <w:p w:rsidR="0027470E" w:rsidRDefault="00320041">
            <w:pPr>
              <w:pStyle w:val="TableParagraph"/>
              <w:spacing w:line="184" w:lineRule="exact"/>
              <w:ind w:left="291" w:right="291"/>
              <w:rPr>
                <w:i/>
                <w:sz w:val="18"/>
              </w:rPr>
            </w:pPr>
            <w:r>
              <w:rPr>
                <w:sz w:val="18"/>
              </w:rPr>
              <w:t xml:space="preserve">10 M </w:t>
            </w:r>
            <w:r>
              <w:rPr>
                <w:i/>
                <w:sz w:val="18"/>
              </w:rPr>
              <w:t>[5.4]</w:t>
            </w:r>
            <w:r>
              <w:rPr>
                <w:sz w:val="18"/>
              </w:rPr>
              <w:t xml:space="preserve">, 10 F </w:t>
            </w:r>
            <w:r>
              <w:rPr>
                <w:i/>
                <w:sz w:val="18"/>
              </w:rPr>
              <w:t>[5.4]</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Food Consumption ↑</w:t>
            </w:r>
          </w:p>
        </w:tc>
        <w:tc>
          <w:tcPr>
            <w:tcW w:w="2880" w:type="dxa"/>
          </w:tcPr>
          <w:p w:rsidR="0027470E" w:rsidRDefault="00320041">
            <w:pPr>
              <w:pStyle w:val="TableParagraph"/>
              <w:spacing w:line="181" w:lineRule="exact"/>
              <w:ind w:left="294" w:right="291"/>
              <w:rPr>
                <w:sz w:val="18"/>
              </w:rPr>
            </w:pPr>
            <w:r>
              <w:rPr>
                <w:sz w:val="18"/>
              </w:rPr>
              <w:t xml:space="preserve">100 F </w:t>
            </w:r>
            <w:r>
              <w:rPr>
                <w:i/>
                <w:sz w:val="18"/>
              </w:rPr>
              <w:t>[16]</w:t>
            </w:r>
            <w:r>
              <w:rPr>
                <w:sz w:val="18"/>
              </w:rPr>
              <w:t>§</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Decreased spontaneous activity</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1" w:right="291"/>
              <w:rPr>
                <w:i/>
                <w:sz w:val="18"/>
              </w:rPr>
            </w:pPr>
            <w:r>
              <w:rPr>
                <w:sz w:val="18"/>
              </w:rPr>
              <w:t xml:space="preserve">10 M </w:t>
            </w:r>
            <w:r>
              <w:rPr>
                <w:i/>
                <w:sz w:val="18"/>
              </w:rPr>
              <w:t>[5.4]</w:t>
            </w:r>
            <w:r>
              <w:rPr>
                <w:sz w:val="18"/>
              </w:rPr>
              <w:t xml:space="preserve">, 10 F </w:t>
            </w:r>
            <w:r>
              <w:rPr>
                <w:i/>
                <w:sz w:val="18"/>
              </w:rPr>
              <w:t>[5.4]</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Ataxic gait</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1" w:right="291"/>
              <w:rPr>
                <w:i/>
                <w:sz w:val="18"/>
              </w:rPr>
            </w:pPr>
            <w:r>
              <w:rPr>
                <w:sz w:val="18"/>
              </w:rPr>
              <w:t xml:space="preserve">10 M </w:t>
            </w:r>
            <w:r>
              <w:rPr>
                <w:i/>
                <w:sz w:val="18"/>
              </w:rPr>
              <w:t>[5.4]</w:t>
            </w:r>
            <w:r>
              <w:rPr>
                <w:sz w:val="18"/>
              </w:rPr>
              <w:t xml:space="preserve">, 10 F </w:t>
            </w:r>
            <w:r>
              <w:rPr>
                <w:i/>
                <w:sz w:val="18"/>
              </w:rPr>
              <w:t>[5.4]</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Staggering gait</w:t>
            </w:r>
          </w:p>
        </w:tc>
        <w:tc>
          <w:tcPr>
            <w:tcW w:w="2880" w:type="dxa"/>
          </w:tcPr>
          <w:p w:rsidR="0027470E" w:rsidRDefault="00320041">
            <w:pPr>
              <w:pStyle w:val="TableParagraph"/>
              <w:spacing w:line="184" w:lineRule="exact"/>
              <w:ind w:left="290" w:right="291"/>
              <w:rPr>
                <w:i/>
                <w:sz w:val="18"/>
              </w:rPr>
            </w:pPr>
            <w:r>
              <w:rPr>
                <w:sz w:val="18"/>
              </w:rPr>
              <w:t xml:space="preserve">30 F </w:t>
            </w:r>
            <w:r>
              <w:rPr>
                <w:i/>
                <w:sz w:val="18"/>
              </w:rPr>
              <w:t>[4.8]</w:t>
            </w:r>
            <w:r>
              <w:rPr>
                <w:sz w:val="18"/>
              </w:rPr>
              <w:t xml:space="preserve">, 100 M </w:t>
            </w:r>
            <w:r>
              <w:rPr>
                <w:i/>
                <w:sz w:val="18"/>
              </w:rPr>
              <w:t>[16]</w:t>
            </w:r>
          </w:p>
        </w:tc>
        <w:tc>
          <w:tcPr>
            <w:tcW w:w="2880" w:type="dxa"/>
          </w:tcPr>
          <w:p w:rsidR="0027470E" w:rsidRDefault="00320041">
            <w:pPr>
              <w:pStyle w:val="TableParagraph"/>
              <w:spacing w:line="184" w:lineRule="exact"/>
              <w:ind w:left="294" w:right="290"/>
              <w:rPr>
                <w:sz w:val="18"/>
              </w:rPr>
            </w:pPr>
            <w:r>
              <w:rPr>
                <w:sz w:val="18"/>
              </w:rPr>
              <w:t>--</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Incomplete eyelid opening</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1" w:right="291"/>
              <w:rPr>
                <w:i/>
                <w:sz w:val="18"/>
              </w:rPr>
            </w:pPr>
            <w:r>
              <w:rPr>
                <w:sz w:val="18"/>
              </w:rPr>
              <w:t xml:space="preserve">10 M </w:t>
            </w:r>
            <w:r>
              <w:rPr>
                <w:i/>
                <w:sz w:val="18"/>
              </w:rPr>
              <w:t>[5.4]</w:t>
            </w:r>
            <w:r>
              <w:rPr>
                <w:sz w:val="18"/>
              </w:rPr>
              <w:t xml:space="preserve">, 10 F </w:t>
            </w:r>
            <w:r>
              <w:rPr>
                <w:i/>
                <w:sz w:val="18"/>
              </w:rPr>
              <w:t>[5.4]</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Irregular respiration</w:t>
            </w:r>
          </w:p>
        </w:tc>
        <w:tc>
          <w:tcPr>
            <w:tcW w:w="2880" w:type="dxa"/>
          </w:tcPr>
          <w:p w:rsidR="0027470E" w:rsidRDefault="00320041">
            <w:pPr>
              <w:pStyle w:val="TableParagraph"/>
              <w:spacing w:line="181" w:lineRule="exact"/>
              <w:ind w:left="290" w:right="291"/>
              <w:rPr>
                <w:i/>
                <w:sz w:val="18"/>
              </w:rPr>
            </w:pPr>
            <w:r>
              <w:rPr>
                <w:sz w:val="18"/>
              </w:rPr>
              <w:t xml:space="preserve">300 M </w:t>
            </w:r>
            <w:r>
              <w:rPr>
                <w:i/>
                <w:sz w:val="18"/>
              </w:rPr>
              <w:t>[48]</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Lacrimation</w:t>
            </w:r>
          </w:p>
        </w:tc>
        <w:tc>
          <w:tcPr>
            <w:tcW w:w="2880" w:type="dxa"/>
          </w:tcPr>
          <w:p w:rsidR="0027470E" w:rsidRDefault="00320041">
            <w:pPr>
              <w:pStyle w:val="TableParagraph"/>
              <w:spacing w:line="184" w:lineRule="exact"/>
              <w:ind w:left="291" w:right="291"/>
              <w:rPr>
                <w:i/>
                <w:sz w:val="18"/>
              </w:rPr>
            </w:pPr>
            <w:r>
              <w:rPr>
                <w:sz w:val="18"/>
              </w:rPr>
              <w:t xml:space="preserve">100 F </w:t>
            </w:r>
            <w:r>
              <w:rPr>
                <w:i/>
                <w:sz w:val="18"/>
              </w:rPr>
              <w:t>[16]</w:t>
            </w:r>
            <w:r>
              <w:rPr>
                <w:sz w:val="18"/>
              </w:rPr>
              <w:t xml:space="preserve">, 300 M </w:t>
            </w:r>
            <w:r>
              <w:rPr>
                <w:i/>
                <w:sz w:val="18"/>
              </w:rPr>
              <w:t>[48]</w:t>
            </w:r>
          </w:p>
        </w:tc>
        <w:tc>
          <w:tcPr>
            <w:tcW w:w="2880" w:type="dxa"/>
          </w:tcPr>
          <w:p w:rsidR="0027470E" w:rsidRDefault="00320041">
            <w:pPr>
              <w:pStyle w:val="TableParagraph"/>
              <w:spacing w:line="184" w:lineRule="exact"/>
              <w:ind w:left="294" w:right="290"/>
              <w:rPr>
                <w:sz w:val="18"/>
              </w:rPr>
            </w:pPr>
            <w:r>
              <w:rPr>
                <w:sz w:val="18"/>
              </w:rPr>
              <w:t>--</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Vomiting</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0" w:right="291"/>
              <w:rPr>
                <w:i/>
                <w:sz w:val="18"/>
              </w:rPr>
            </w:pPr>
            <w:r>
              <w:rPr>
                <w:sz w:val="18"/>
              </w:rPr>
              <w:t xml:space="preserve">10 F </w:t>
            </w:r>
            <w:r>
              <w:rPr>
                <w:i/>
                <w:sz w:val="18"/>
              </w:rPr>
              <w:t>[5.4]</w:t>
            </w:r>
            <w:r>
              <w:rPr>
                <w:sz w:val="18"/>
              </w:rPr>
              <w:t xml:space="preserve">, 30 M </w:t>
            </w:r>
            <w:r>
              <w:rPr>
                <w:i/>
                <w:sz w:val="18"/>
              </w:rPr>
              <w:t>[9.6]</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Salivation</w:t>
            </w:r>
          </w:p>
        </w:tc>
        <w:tc>
          <w:tcPr>
            <w:tcW w:w="2880" w:type="dxa"/>
          </w:tcPr>
          <w:p w:rsidR="0027470E" w:rsidRDefault="00320041">
            <w:pPr>
              <w:pStyle w:val="TableParagraph"/>
              <w:spacing w:line="181" w:lineRule="exact"/>
              <w:ind w:left="291" w:right="291"/>
              <w:rPr>
                <w:i/>
                <w:sz w:val="18"/>
              </w:rPr>
            </w:pPr>
            <w:r>
              <w:rPr>
                <w:sz w:val="18"/>
              </w:rPr>
              <w:t xml:space="preserve">100 M </w:t>
            </w:r>
            <w:r>
              <w:rPr>
                <w:i/>
                <w:sz w:val="18"/>
              </w:rPr>
              <w:t>[16]</w:t>
            </w:r>
            <w:r>
              <w:rPr>
                <w:sz w:val="18"/>
              </w:rPr>
              <w:t xml:space="preserve">, 100 F </w:t>
            </w:r>
            <w:r>
              <w:rPr>
                <w:i/>
                <w:sz w:val="18"/>
              </w:rPr>
              <w:t>[16]</w:t>
            </w:r>
          </w:p>
        </w:tc>
        <w:tc>
          <w:tcPr>
            <w:tcW w:w="2880" w:type="dxa"/>
          </w:tcPr>
          <w:p w:rsidR="0027470E" w:rsidRDefault="00320041">
            <w:pPr>
              <w:pStyle w:val="TableParagraph"/>
              <w:spacing w:line="181" w:lineRule="exact"/>
              <w:ind w:left="291" w:right="291"/>
              <w:rPr>
                <w:i/>
                <w:sz w:val="18"/>
              </w:rPr>
            </w:pPr>
            <w:r>
              <w:rPr>
                <w:sz w:val="18"/>
              </w:rPr>
              <w:t xml:space="preserve">30 F </w:t>
            </w:r>
            <w:r>
              <w:rPr>
                <w:i/>
                <w:sz w:val="18"/>
              </w:rPr>
              <w:t>[9.6]</w:t>
            </w:r>
            <w:r>
              <w:rPr>
                <w:sz w:val="18"/>
              </w:rPr>
              <w:t xml:space="preserve">, 30 M </w:t>
            </w:r>
            <w:r>
              <w:rPr>
                <w:i/>
                <w:sz w:val="18"/>
              </w:rPr>
              <w:t>[9.6]</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Tremor</w:t>
            </w:r>
          </w:p>
        </w:tc>
        <w:tc>
          <w:tcPr>
            <w:tcW w:w="2880" w:type="dxa"/>
          </w:tcPr>
          <w:p w:rsidR="0027470E" w:rsidRDefault="00320041">
            <w:pPr>
              <w:pStyle w:val="TableParagraph"/>
              <w:spacing w:line="184" w:lineRule="exact"/>
              <w:ind w:left="294" w:right="290"/>
              <w:rPr>
                <w:sz w:val="18"/>
              </w:rPr>
            </w:pPr>
            <w:r>
              <w:rPr>
                <w:sz w:val="18"/>
              </w:rPr>
              <w:t>--</w:t>
            </w:r>
          </w:p>
        </w:tc>
        <w:tc>
          <w:tcPr>
            <w:tcW w:w="2880" w:type="dxa"/>
          </w:tcPr>
          <w:p w:rsidR="0027470E" w:rsidRDefault="00320041">
            <w:pPr>
              <w:pStyle w:val="TableParagraph"/>
              <w:spacing w:line="184" w:lineRule="exact"/>
              <w:ind w:left="291" w:right="291"/>
              <w:rPr>
                <w:i/>
                <w:sz w:val="18"/>
              </w:rPr>
            </w:pPr>
            <w:r>
              <w:rPr>
                <w:sz w:val="18"/>
              </w:rPr>
              <w:t xml:space="preserve">30 F </w:t>
            </w:r>
            <w:r>
              <w:rPr>
                <w:i/>
                <w:sz w:val="18"/>
              </w:rPr>
              <w:t>[9.6]</w:t>
            </w:r>
            <w:r>
              <w:rPr>
                <w:sz w:val="18"/>
              </w:rPr>
              <w:t xml:space="preserve">, 30 M </w:t>
            </w:r>
            <w:r>
              <w:rPr>
                <w:i/>
                <w:sz w:val="18"/>
              </w:rPr>
              <w:t>[9.6]</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Reddish tears</w:t>
            </w:r>
          </w:p>
        </w:tc>
        <w:tc>
          <w:tcPr>
            <w:tcW w:w="2880" w:type="dxa"/>
          </w:tcPr>
          <w:p w:rsidR="0027470E" w:rsidRDefault="00320041">
            <w:pPr>
              <w:pStyle w:val="TableParagraph"/>
              <w:spacing w:line="181" w:lineRule="exact"/>
              <w:ind w:left="291" w:right="291"/>
              <w:rPr>
                <w:i/>
                <w:sz w:val="18"/>
              </w:rPr>
            </w:pPr>
            <w:r>
              <w:rPr>
                <w:sz w:val="18"/>
              </w:rPr>
              <w:t xml:space="preserve">100 F </w:t>
            </w:r>
            <w:r>
              <w:rPr>
                <w:i/>
                <w:sz w:val="18"/>
              </w:rPr>
              <w:t>[16]</w:t>
            </w:r>
            <w:r>
              <w:rPr>
                <w:sz w:val="18"/>
              </w:rPr>
              <w:t xml:space="preserve">, 300 M </w:t>
            </w:r>
            <w:r>
              <w:rPr>
                <w:i/>
                <w:sz w:val="18"/>
              </w:rPr>
              <w:t>[48]</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Response to stimulation ↓</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1" w:right="291"/>
              <w:rPr>
                <w:i/>
                <w:sz w:val="18"/>
              </w:rPr>
            </w:pPr>
            <w:r>
              <w:rPr>
                <w:sz w:val="18"/>
              </w:rPr>
              <w:t xml:space="preserve">30 F </w:t>
            </w:r>
            <w:r>
              <w:rPr>
                <w:i/>
                <w:sz w:val="18"/>
              </w:rPr>
              <w:t>[9.6]</w:t>
            </w:r>
            <w:r>
              <w:rPr>
                <w:sz w:val="18"/>
              </w:rPr>
              <w:t xml:space="preserve">, 30 M </w:t>
            </w:r>
            <w:r>
              <w:rPr>
                <w:i/>
                <w:sz w:val="18"/>
              </w:rPr>
              <w:t>[9.6]</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Somnolence</w:t>
            </w:r>
          </w:p>
        </w:tc>
        <w:tc>
          <w:tcPr>
            <w:tcW w:w="2880" w:type="dxa"/>
          </w:tcPr>
          <w:p w:rsidR="0027470E" w:rsidRDefault="00320041">
            <w:pPr>
              <w:pStyle w:val="TableParagraph"/>
              <w:spacing w:line="184" w:lineRule="exact"/>
              <w:ind w:left="294" w:right="290"/>
              <w:rPr>
                <w:sz w:val="18"/>
              </w:rPr>
            </w:pPr>
            <w:r>
              <w:rPr>
                <w:sz w:val="18"/>
              </w:rPr>
              <w:t>--</w:t>
            </w:r>
          </w:p>
        </w:tc>
        <w:tc>
          <w:tcPr>
            <w:tcW w:w="2880" w:type="dxa"/>
          </w:tcPr>
          <w:p w:rsidR="0027470E" w:rsidRDefault="00320041">
            <w:pPr>
              <w:pStyle w:val="TableParagraph"/>
              <w:spacing w:line="184" w:lineRule="exact"/>
              <w:ind w:left="291" w:right="291"/>
              <w:rPr>
                <w:i/>
                <w:sz w:val="18"/>
              </w:rPr>
            </w:pPr>
            <w:r>
              <w:rPr>
                <w:sz w:val="18"/>
              </w:rPr>
              <w:t xml:space="preserve">30 F </w:t>
            </w:r>
            <w:r>
              <w:rPr>
                <w:i/>
                <w:sz w:val="18"/>
              </w:rPr>
              <w:t>[9.6]</w:t>
            </w:r>
            <w:r>
              <w:rPr>
                <w:sz w:val="18"/>
              </w:rPr>
              <w:t xml:space="preserve">, 30 M </w:t>
            </w:r>
            <w:r>
              <w:rPr>
                <w:i/>
                <w:sz w:val="18"/>
              </w:rPr>
              <w:t>[9.6]</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Vertical nystagmus</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1" w:right="291"/>
              <w:rPr>
                <w:i/>
                <w:sz w:val="18"/>
              </w:rPr>
            </w:pPr>
            <w:r>
              <w:rPr>
                <w:sz w:val="18"/>
              </w:rPr>
              <w:t xml:space="preserve">30 F </w:t>
            </w:r>
            <w:r>
              <w:rPr>
                <w:i/>
                <w:sz w:val="18"/>
              </w:rPr>
              <w:t>[9.6]</w:t>
            </w:r>
            <w:r>
              <w:rPr>
                <w:sz w:val="18"/>
              </w:rPr>
              <w:t xml:space="preserve">, 30 M </w:t>
            </w:r>
            <w:r>
              <w:rPr>
                <w:i/>
                <w:sz w:val="18"/>
              </w:rPr>
              <w:t>[9.6]</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Lack of response to touch</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1" w:right="291"/>
              <w:rPr>
                <w:i/>
                <w:sz w:val="18"/>
              </w:rPr>
            </w:pPr>
            <w:r>
              <w:rPr>
                <w:sz w:val="18"/>
              </w:rPr>
              <w:t xml:space="preserve">30 F </w:t>
            </w:r>
            <w:r>
              <w:rPr>
                <w:i/>
                <w:sz w:val="18"/>
              </w:rPr>
              <w:t>[9.6]</w:t>
            </w:r>
            <w:r>
              <w:rPr>
                <w:sz w:val="18"/>
              </w:rPr>
              <w:t xml:space="preserve">, 30 M </w:t>
            </w:r>
            <w:r>
              <w:rPr>
                <w:i/>
                <w:sz w:val="18"/>
              </w:rPr>
              <w:t>[9.6]</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Mydriasis</w:t>
            </w:r>
          </w:p>
        </w:tc>
        <w:tc>
          <w:tcPr>
            <w:tcW w:w="2880" w:type="dxa"/>
          </w:tcPr>
          <w:p w:rsidR="0027470E" w:rsidRDefault="00320041">
            <w:pPr>
              <w:pStyle w:val="TableParagraph"/>
              <w:spacing w:line="184" w:lineRule="exact"/>
              <w:ind w:left="294" w:right="290"/>
              <w:rPr>
                <w:sz w:val="18"/>
              </w:rPr>
            </w:pPr>
            <w:r>
              <w:rPr>
                <w:sz w:val="18"/>
              </w:rPr>
              <w:t>--</w:t>
            </w:r>
          </w:p>
        </w:tc>
        <w:tc>
          <w:tcPr>
            <w:tcW w:w="2880" w:type="dxa"/>
          </w:tcPr>
          <w:p w:rsidR="0027470E" w:rsidRDefault="00320041">
            <w:pPr>
              <w:pStyle w:val="TableParagraph"/>
              <w:spacing w:line="184" w:lineRule="exact"/>
              <w:ind w:left="291" w:right="291"/>
              <w:rPr>
                <w:i/>
                <w:sz w:val="18"/>
              </w:rPr>
            </w:pPr>
            <w:r>
              <w:rPr>
                <w:sz w:val="18"/>
              </w:rPr>
              <w:t xml:space="preserve">30 F </w:t>
            </w:r>
            <w:r>
              <w:rPr>
                <w:i/>
                <w:sz w:val="18"/>
              </w:rPr>
              <w:t>[9.6]</w:t>
            </w:r>
            <w:r>
              <w:rPr>
                <w:sz w:val="18"/>
              </w:rPr>
              <w:t xml:space="preserve">, 30 M </w:t>
            </w:r>
            <w:r>
              <w:rPr>
                <w:i/>
                <w:sz w:val="18"/>
              </w:rPr>
              <w:t>[9.6]</w:t>
            </w:r>
          </w:p>
        </w:tc>
      </w:tr>
      <w:tr w:rsidR="0027470E">
        <w:trPr>
          <w:trHeight w:val="201"/>
        </w:trPr>
        <w:tc>
          <w:tcPr>
            <w:tcW w:w="9360" w:type="dxa"/>
            <w:gridSpan w:val="3"/>
          </w:tcPr>
          <w:p w:rsidR="0027470E" w:rsidRDefault="00320041">
            <w:pPr>
              <w:pStyle w:val="TableParagraph"/>
              <w:spacing w:line="181" w:lineRule="exact"/>
              <w:ind w:left="105"/>
              <w:jc w:val="left"/>
              <w:rPr>
                <w:i/>
                <w:sz w:val="18"/>
              </w:rPr>
            </w:pPr>
            <w:r>
              <w:rPr>
                <w:i/>
                <w:sz w:val="18"/>
              </w:rPr>
              <w:t>Table continued on next page</w:t>
            </w:r>
          </w:p>
        </w:tc>
      </w:tr>
    </w:tbl>
    <w:p w:rsidR="0027470E" w:rsidRDefault="0027470E">
      <w:pPr>
        <w:spacing w:line="181" w:lineRule="exact"/>
        <w:rPr>
          <w:sz w:val="18"/>
        </w:rPr>
        <w:sectPr w:rsidR="0027470E">
          <w:pgSz w:w="12240" w:h="15840"/>
          <w:pgMar w:top="1280" w:right="0" w:bottom="940" w:left="1580" w:header="578" w:footer="748" w:gutter="0"/>
          <w:cols w:space="720"/>
        </w:sectPr>
      </w:pPr>
    </w:p>
    <w:p w:rsidR="0027470E" w:rsidRDefault="0027470E">
      <w:pPr>
        <w:pStyle w:val="a3"/>
        <w:spacing w:before="10"/>
        <w:rPr>
          <w:b/>
          <w:sz w:val="14"/>
        </w:rPr>
      </w:pPr>
    </w:p>
    <w:p w:rsidR="0027470E" w:rsidRDefault="00320041">
      <w:pPr>
        <w:spacing w:before="90"/>
        <w:ind w:left="234"/>
        <w:rPr>
          <w:i/>
          <w:sz w:val="24"/>
        </w:rPr>
      </w:pPr>
      <w:r>
        <w:rPr>
          <w:i/>
          <w:sz w:val="24"/>
        </w:rPr>
        <w:t>Table 12 (continued)</w:t>
      </w:r>
    </w:p>
    <w:p w:rsidR="0027470E" w:rsidRDefault="0027470E">
      <w:pPr>
        <w:pStyle w:val="a3"/>
        <w:spacing w:before="10" w:after="1"/>
        <w:rPr>
          <w:i/>
          <w:sz w:val="10"/>
        </w:rPr>
      </w:pPr>
    </w:p>
    <w:tbl>
      <w:tblPr>
        <w:tblStyle w:val="TableNormal"/>
        <w:tblW w:w="0" w:type="auto"/>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00"/>
        <w:gridCol w:w="2880"/>
        <w:gridCol w:w="2880"/>
      </w:tblGrid>
      <w:tr w:rsidR="0027470E">
        <w:trPr>
          <w:trHeight w:val="201"/>
        </w:trPr>
        <w:tc>
          <w:tcPr>
            <w:tcW w:w="3600" w:type="dxa"/>
            <w:vMerge w:val="restart"/>
          </w:tcPr>
          <w:p w:rsidR="0027470E" w:rsidRDefault="0027470E">
            <w:pPr>
              <w:pStyle w:val="TableParagraph"/>
              <w:jc w:val="left"/>
              <w:rPr>
                <w:i/>
                <w:sz w:val="18"/>
              </w:rPr>
            </w:pPr>
          </w:p>
          <w:p w:rsidR="0027470E" w:rsidRDefault="00320041">
            <w:pPr>
              <w:pStyle w:val="TableParagraph"/>
              <w:spacing w:line="204" w:lineRule="exact"/>
              <w:ind w:left="105"/>
              <w:jc w:val="left"/>
              <w:rPr>
                <w:b/>
                <w:sz w:val="18"/>
              </w:rPr>
            </w:pPr>
            <w:r>
              <w:rPr>
                <w:b/>
                <w:sz w:val="18"/>
              </w:rPr>
              <w:t>System</w:t>
            </w:r>
          </w:p>
          <w:p w:rsidR="0027470E" w:rsidRDefault="00320041">
            <w:pPr>
              <w:pStyle w:val="TableParagraph"/>
              <w:spacing w:line="194" w:lineRule="exact"/>
              <w:ind w:left="105"/>
              <w:jc w:val="left"/>
              <w:rPr>
                <w:sz w:val="18"/>
              </w:rPr>
            </w:pPr>
            <w:r>
              <w:rPr>
                <w:sz w:val="18"/>
              </w:rPr>
              <w:t>Noteworthy Findings</w:t>
            </w:r>
          </w:p>
        </w:tc>
        <w:tc>
          <w:tcPr>
            <w:tcW w:w="5760" w:type="dxa"/>
            <w:gridSpan w:val="2"/>
          </w:tcPr>
          <w:p w:rsidR="0027470E" w:rsidRDefault="00320041">
            <w:pPr>
              <w:pStyle w:val="TableParagraph"/>
              <w:spacing w:line="181" w:lineRule="exact"/>
              <w:ind w:left="618"/>
              <w:jc w:val="left"/>
              <w:rPr>
                <w:sz w:val="18"/>
              </w:rPr>
            </w:pPr>
            <w:r>
              <w:rPr>
                <w:b/>
                <w:sz w:val="18"/>
              </w:rPr>
              <w:t xml:space="preserve">Dose Level of Observed Response (mg/kg) </w:t>
            </w:r>
            <w:r>
              <w:rPr>
                <w:b/>
                <w:i/>
                <w:sz w:val="18"/>
              </w:rPr>
              <w:t xml:space="preserve">[HED] </w:t>
            </w:r>
            <w:r>
              <w:rPr>
                <w:b/>
                <w:sz w:val="18"/>
              </w:rPr>
              <w:t>(mg/kg)</w:t>
            </w:r>
            <w:r>
              <w:rPr>
                <w:sz w:val="18"/>
              </w:rPr>
              <w:t>†</w:t>
            </w:r>
          </w:p>
        </w:tc>
      </w:tr>
      <w:tr w:rsidR="0027470E">
        <w:trPr>
          <w:trHeight w:val="203"/>
        </w:trPr>
        <w:tc>
          <w:tcPr>
            <w:tcW w:w="3600" w:type="dxa"/>
            <w:vMerge/>
            <w:tcBorders>
              <w:top w:val="nil"/>
            </w:tcBorders>
          </w:tcPr>
          <w:p w:rsidR="0027470E" w:rsidRDefault="0027470E">
            <w:pPr>
              <w:rPr>
                <w:sz w:val="2"/>
                <w:szCs w:val="2"/>
              </w:rPr>
            </w:pPr>
          </w:p>
        </w:tc>
        <w:tc>
          <w:tcPr>
            <w:tcW w:w="2880" w:type="dxa"/>
          </w:tcPr>
          <w:p w:rsidR="0027470E" w:rsidRDefault="00320041">
            <w:pPr>
              <w:pStyle w:val="TableParagraph"/>
              <w:spacing w:line="184" w:lineRule="exact"/>
              <w:ind w:left="294" w:right="291"/>
              <w:rPr>
                <w:b/>
                <w:sz w:val="18"/>
              </w:rPr>
            </w:pPr>
            <w:r>
              <w:rPr>
                <w:b/>
                <w:sz w:val="18"/>
              </w:rPr>
              <w:t>Rat</w:t>
            </w:r>
          </w:p>
        </w:tc>
        <w:tc>
          <w:tcPr>
            <w:tcW w:w="2880" w:type="dxa"/>
          </w:tcPr>
          <w:p w:rsidR="0027470E" w:rsidRDefault="00320041">
            <w:pPr>
              <w:pStyle w:val="TableParagraph"/>
              <w:spacing w:line="184" w:lineRule="exact"/>
              <w:ind w:left="294" w:right="290"/>
              <w:rPr>
                <w:b/>
                <w:sz w:val="18"/>
              </w:rPr>
            </w:pPr>
            <w:r>
              <w:rPr>
                <w:b/>
                <w:sz w:val="18"/>
              </w:rPr>
              <w:t>Monkey (Cynomolgus)</w:t>
            </w:r>
          </w:p>
        </w:tc>
      </w:tr>
      <w:tr w:rsidR="0027470E">
        <w:trPr>
          <w:trHeight w:val="201"/>
        </w:trPr>
        <w:tc>
          <w:tcPr>
            <w:tcW w:w="3600" w:type="dxa"/>
            <w:vMerge/>
            <w:tcBorders>
              <w:top w:val="nil"/>
            </w:tcBorders>
          </w:tcPr>
          <w:p w:rsidR="0027470E" w:rsidRDefault="0027470E">
            <w:pPr>
              <w:rPr>
                <w:sz w:val="2"/>
                <w:szCs w:val="2"/>
              </w:rPr>
            </w:pPr>
          </w:p>
        </w:tc>
        <w:tc>
          <w:tcPr>
            <w:tcW w:w="2880" w:type="dxa"/>
          </w:tcPr>
          <w:p w:rsidR="0027470E" w:rsidRDefault="00320041">
            <w:pPr>
              <w:pStyle w:val="TableParagraph"/>
              <w:spacing w:line="181" w:lineRule="exact"/>
              <w:ind w:left="294" w:right="290"/>
              <w:rPr>
                <w:b/>
                <w:sz w:val="18"/>
              </w:rPr>
            </w:pPr>
            <w:r>
              <w:rPr>
                <w:b/>
                <w:sz w:val="18"/>
              </w:rPr>
              <w:t>4 Week</w:t>
            </w:r>
          </w:p>
        </w:tc>
        <w:tc>
          <w:tcPr>
            <w:tcW w:w="2880" w:type="dxa"/>
          </w:tcPr>
          <w:p w:rsidR="0027470E" w:rsidRDefault="00320041">
            <w:pPr>
              <w:pStyle w:val="TableParagraph"/>
              <w:spacing w:line="181" w:lineRule="exact"/>
              <w:ind w:left="294" w:right="290"/>
              <w:rPr>
                <w:b/>
                <w:sz w:val="18"/>
              </w:rPr>
            </w:pPr>
            <w:r>
              <w:rPr>
                <w:b/>
                <w:sz w:val="18"/>
              </w:rPr>
              <w:t>4 Week</w:t>
            </w:r>
          </w:p>
        </w:tc>
      </w:tr>
      <w:tr w:rsidR="0027470E">
        <w:trPr>
          <w:trHeight w:val="201"/>
        </w:trPr>
        <w:tc>
          <w:tcPr>
            <w:tcW w:w="9360" w:type="dxa"/>
            <w:gridSpan w:val="3"/>
          </w:tcPr>
          <w:p w:rsidR="0027470E" w:rsidRDefault="00320041">
            <w:pPr>
              <w:pStyle w:val="TableParagraph"/>
              <w:spacing w:line="181" w:lineRule="exact"/>
              <w:ind w:left="105"/>
              <w:jc w:val="left"/>
              <w:rPr>
                <w:i/>
                <w:sz w:val="18"/>
              </w:rPr>
            </w:pPr>
            <w:r>
              <w:rPr>
                <w:b/>
                <w:sz w:val="18"/>
              </w:rPr>
              <w:t xml:space="preserve">Clinical Signs and General Condition </w:t>
            </w:r>
            <w:r>
              <w:rPr>
                <w:i/>
                <w:sz w:val="18"/>
              </w:rPr>
              <w:t>(continued)</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Sitting position</w:t>
            </w:r>
          </w:p>
        </w:tc>
        <w:tc>
          <w:tcPr>
            <w:tcW w:w="2880" w:type="dxa"/>
          </w:tcPr>
          <w:p w:rsidR="0027470E" w:rsidRDefault="00320041">
            <w:pPr>
              <w:pStyle w:val="TableParagraph"/>
              <w:spacing w:line="184" w:lineRule="exact"/>
              <w:ind w:left="294" w:right="290"/>
              <w:rPr>
                <w:sz w:val="18"/>
              </w:rPr>
            </w:pPr>
            <w:r>
              <w:rPr>
                <w:sz w:val="18"/>
              </w:rPr>
              <w:t>--</w:t>
            </w:r>
          </w:p>
        </w:tc>
        <w:tc>
          <w:tcPr>
            <w:tcW w:w="2880" w:type="dxa"/>
          </w:tcPr>
          <w:p w:rsidR="0027470E" w:rsidRDefault="00320041">
            <w:pPr>
              <w:pStyle w:val="TableParagraph"/>
              <w:spacing w:line="184" w:lineRule="exact"/>
              <w:ind w:left="291" w:right="291"/>
              <w:rPr>
                <w:i/>
                <w:sz w:val="18"/>
              </w:rPr>
            </w:pPr>
            <w:r>
              <w:rPr>
                <w:sz w:val="18"/>
              </w:rPr>
              <w:t xml:space="preserve">30 F </w:t>
            </w:r>
            <w:r>
              <w:rPr>
                <w:i/>
                <w:sz w:val="18"/>
              </w:rPr>
              <w:t>[9.6]</w:t>
            </w:r>
            <w:r>
              <w:rPr>
                <w:sz w:val="18"/>
              </w:rPr>
              <w:t xml:space="preserve">, 30 M </w:t>
            </w:r>
            <w:r>
              <w:rPr>
                <w:i/>
                <w:sz w:val="18"/>
              </w:rPr>
              <w:t>[9.6]</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Prone position</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0" w:right="291"/>
              <w:rPr>
                <w:i/>
                <w:sz w:val="18"/>
              </w:rPr>
            </w:pPr>
            <w:r>
              <w:rPr>
                <w:sz w:val="18"/>
              </w:rPr>
              <w:t xml:space="preserve">30 F </w:t>
            </w:r>
            <w:r>
              <w:rPr>
                <w:i/>
                <w:sz w:val="18"/>
              </w:rPr>
              <w:t>[9.6]</w:t>
            </w:r>
            <w:r>
              <w:rPr>
                <w:sz w:val="18"/>
              </w:rPr>
              <w:t xml:space="preserve">, 30 M </w:t>
            </w:r>
            <w:r>
              <w:rPr>
                <w:i/>
                <w:sz w:val="18"/>
              </w:rPr>
              <w:t>[9.6]</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Lateral position</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1" w:right="291"/>
              <w:rPr>
                <w:i/>
                <w:sz w:val="18"/>
              </w:rPr>
            </w:pPr>
            <w:r>
              <w:rPr>
                <w:sz w:val="18"/>
              </w:rPr>
              <w:t xml:space="preserve">30 F </w:t>
            </w:r>
            <w:r>
              <w:rPr>
                <w:i/>
                <w:sz w:val="18"/>
              </w:rPr>
              <w:t>[9.6]</w:t>
            </w:r>
            <w:r>
              <w:rPr>
                <w:sz w:val="18"/>
              </w:rPr>
              <w:t xml:space="preserve">, 30 M </w:t>
            </w:r>
            <w:r>
              <w:rPr>
                <w:i/>
                <w:sz w:val="18"/>
              </w:rPr>
              <w:t>[9.6]</w:t>
            </w:r>
          </w:p>
        </w:tc>
      </w:tr>
      <w:tr w:rsidR="0027470E">
        <w:trPr>
          <w:trHeight w:val="203"/>
        </w:trPr>
        <w:tc>
          <w:tcPr>
            <w:tcW w:w="9360" w:type="dxa"/>
            <w:gridSpan w:val="3"/>
          </w:tcPr>
          <w:p w:rsidR="0027470E" w:rsidRDefault="00320041">
            <w:pPr>
              <w:pStyle w:val="TableParagraph"/>
              <w:spacing w:line="184" w:lineRule="exact"/>
              <w:ind w:left="105"/>
              <w:jc w:val="left"/>
              <w:rPr>
                <w:b/>
                <w:sz w:val="18"/>
              </w:rPr>
            </w:pPr>
            <w:r>
              <w:rPr>
                <w:b/>
                <w:sz w:val="18"/>
              </w:rPr>
              <w:t>Electrocardiography</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Heart rate ↓</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1" w:right="291"/>
              <w:rPr>
                <w:i/>
                <w:sz w:val="18"/>
              </w:rPr>
            </w:pPr>
            <w:r>
              <w:rPr>
                <w:sz w:val="18"/>
              </w:rPr>
              <w:t xml:space="preserve">30 F </w:t>
            </w:r>
            <w:r>
              <w:rPr>
                <w:i/>
                <w:sz w:val="18"/>
              </w:rPr>
              <w:t>[9.6]</w:t>
            </w:r>
            <w:r>
              <w:rPr>
                <w:sz w:val="18"/>
              </w:rPr>
              <w:t xml:space="preserve">, 30 M </w:t>
            </w:r>
            <w:r>
              <w:rPr>
                <w:i/>
                <w:sz w:val="18"/>
              </w:rPr>
              <w:t>[9.6]</w:t>
            </w:r>
          </w:p>
        </w:tc>
      </w:tr>
      <w:tr w:rsidR="0027470E">
        <w:trPr>
          <w:trHeight w:val="201"/>
        </w:trPr>
        <w:tc>
          <w:tcPr>
            <w:tcW w:w="9360" w:type="dxa"/>
            <w:gridSpan w:val="3"/>
          </w:tcPr>
          <w:p w:rsidR="0027470E" w:rsidRDefault="00320041">
            <w:pPr>
              <w:pStyle w:val="TableParagraph"/>
              <w:spacing w:line="181" w:lineRule="exact"/>
              <w:ind w:left="105"/>
              <w:jc w:val="left"/>
              <w:rPr>
                <w:b/>
                <w:sz w:val="18"/>
              </w:rPr>
            </w:pPr>
            <w:r>
              <w:rPr>
                <w:b/>
                <w:sz w:val="18"/>
              </w:rPr>
              <w:t>Hematology</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Erythrocyte count ↓</w:t>
            </w:r>
          </w:p>
        </w:tc>
        <w:tc>
          <w:tcPr>
            <w:tcW w:w="2880" w:type="dxa"/>
          </w:tcPr>
          <w:p w:rsidR="0027470E" w:rsidRDefault="00320041">
            <w:pPr>
              <w:pStyle w:val="TableParagraph"/>
              <w:spacing w:line="184" w:lineRule="exact"/>
              <w:ind w:left="294" w:right="290"/>
              <w:rPr>
                <w:sz w:val="18"/>
              </w:rPr>
            </w:pPr>
            <w:r>
              <w:rPr>
                <w:sz w:val="18"/>
              </w:rPr>
              <w:t>--</w:t>
            </w:r>
          </w:p>
        </w:tc>
        <w:tc>
          <w:tcPr>
            <w:tcW w:w="2880" w:type="dxa"/>
          </w:tcPr>
          <w:p w:rsidR="0027470E" w:rsidRDefault="00320041">
            <w:pPr>
              <w:pStyle w:val="TableParagraph"/>
              <w:spacing w:line="184" w:lineRule="exact"/>
              <w:ind w:left="290" w:right="291"/>
              <w:rPr>
                <w:i/>
                <w:sz w:val="18"/>
              </w:rPr>
            </w:pPr>
            <w:r>
              <w:rPr>
                <w:sz w:val="18"/>
              </w:rPr>
              <w:t xml:space="preserve">30 F </w:t>
            </w:r>
            <w:r>
              <w:rPr>
                <w:i/>
                <w:sz w:val="18"/>
              </w:rPr>
              <w:t>[9.6]</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Hemoglobin ↓</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0" w:right="291"/>
              <w:rPr>
                <w:i/>
                <w:sz w:val="18"/>
              </w:rPr>
            </w:pPr>
            <w:r>
              <w:rPr>
                <w:sz w:val="18"/>
              </w:rPr>
              <w:t xml:space="preserve">30 F </w:t>
            </w:r>
            <w:r>
              <w:rPr>
                <w:i/>
                <w:sz w:val="18"/>
              </w:rPr>
              <w:t>[9.6]</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Hematocrit ↓</w:t>
            </w:r>
          </w:p>
        </w:tc>
        <w:tc>
          <w:tcPr>
            <w:tcW w:w="2880" w:type="dxa"/>
          </w:tcPr>
          <w:p w:rsidR="0027470E" w:rsidRDefault="00320041">
            <w:pPr>
              <w:pStyle w:val="TableParagraph"/>
              <w:spacing w:line="181" w:lineRule="exact"/>
              <w:ind w:left="294" w:right="290"/>
              <w:rPr>
                <w:sz w:val="18"/>
              </w:rPr>
            </w:pPr>
            <w:r>
              <w:rPr>
                <w:sz w:val="18"/>
              </w:rPr>
              <w:t>--</w:t>
            </w:r>
          </w:p>
        </w:tc>
        <w:tc>
          <w:tcPr>
            <w:tcW w:w="2880" w:type="dxa"/>
          </w:tcPr>
          <w:p w:rsidR="0027470E" w:rsidRDefault="00320041">
            <w:pPr>
              <w:pStyle w:val="TableParagraph"/>
              <w:spacing w:line="181" w:lineRule="exact"/>
              <w:ind w:left="290" w:right="291"/>
              <w:rPr>
                <w:i/>
                <w:sz w:val="18"/>
              </w:rPr>
            </w:pPr>
            <w:r>
              <w:rPr>
                <w:sz w:val="18"/>
              </w:rPr>
              <w:t xml:space="preserve">30 F </w:t>
            </w:r>
            <w:r>
              <w:rPr>
                <w:i/>
                <w:sz w:val="18"/>
              </w:rPr>
              <w:t>[9.6]</w:t>
            </w:r>
          </w:p>
        </w:tc>
      </w:tr>
      <w:tr w:rsidR="0027470E">
        <w:trPr>
          <w:trHeight w:val="201"/>
        </w:trPr>
        <w:tc>
          <w:tcPr>
            <w:tcW w:w="9360" w:type="dxa"/>
            <w:gridSpan w:val="3"/>
          </w:tcPr>
          <w:p w:rsidR="0027470E" w:rsidRDefault="00320041">
            <w:pPr>
              <w:pStyle w:val="TableParagraph"/>
              <w:spacing w:line="181" w:lineRule="exact"/>
              <w:ind w:left="105"/>
              <w:jc w:val="left"/>
              <w:rPr>
                <w:b/>
                <w:sz w:val="18"/>
              </w:rPr>
            </w:pPr>
            <w:r>
              <w:rPr>
                <w:b/>
                <w:sz w:val="18"/>
              </w:rPr>
              <w:t>Clinical Chemistry</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Glucose ↑</w:t>
            </w:r>
          </w:p>
        </w:tc>
        <w:tc>
          <w:tcPr>
            <w:tcW w:w="2880" w:type="dxa"/>
          </w:tcPr>
          <w:p w:rsidR="0027470E" w:rsidRDefault="00320041">
            <w:pPr>
              <w:pStyle w:val="TableParagraph"/>
              <w:spacing w:line="184" w:lineRule="exact"/>
              <w:ind w:left="291" w:right="291"/>
              <w:rPr>
                <w:i/>
                <w:sz w:val="18"/>
              </w:rPr>
            </w:pPr>
            <w:r>
              <w:rPr>
                <w:sz w:val="18"/>
              </w:rPr>
              <w:t xml:space="preserve">100 F </w:t>
            </w:r>
            <w:r>
              <w:rPr>
                <w:i/>
                <w:sz w:val="18"/>
              </w:rPr>
              <w:t>[16]</w:t>
            </w:r>
          </w:p>
        </w:tc>
        <w:tc>
          <w:tcPr>
            <w:tcW w:w="2880" w:type="dxa"/>
          </w:tcPr>
          <w:p w:rsidR="0027470E" w:rsidRDefault="00320041">
            <w:pPr>
              <w:pStyle w:val="TableParagraph"/>
              <w:spacing w:line="184" w:lineRule="exact"/>
              <w:ind w:left="294" w:right="290"/>
              <w:rPr>
                <w:sz w:val="18"/>
              </w:rPr>
            </w:pPr>
            <w:r>
              <w:rPr>
                <w:sz w:val="18"/>
              </w:rPr>
              <w:t>--</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Creatinine ↓</w:t>
            </w:r>
          </w:p>
        </w:tc>
        <w:tc>
          <w:tcPr>
            <w:tcW w:w="2880" w:type="dxa"/>
          </w:tcPr>
          <w:p w:rsidR="0027470E" w:rsidRDefault="00320041">
            <w:pPr>
              <w:pStyle w:val="TableParagraph"/>
              <w:spacing w:line="181" w:lineRule="exact"/>
              <w:ind w:left="290" w:right="291"/>
              <w:rPr>
                <w:i/>
                <w:sz w:val="18"/>
              </w:rPr>
            </w:pPr>
            <w:r>
              <w:rPr>
                <w:sz w:val="18"/>
              </w:rPr>
              <w:t xml:space="preserve">30 F </w:t>
            </w:r>
            <w:r>
              <w:rPr>
                <w:i/>
                <w:sz w:val="18"/>
              </w:rPr>
              <w:t>[4.8]</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Cholesterol ↑</w:t>
            </w:r>
          </w:p>
        </w:tc>
        <w:tc>
          <w:tcPr>
            <w:tcW w:w="2880" w:type="dxa"/>
          </w:tcPr>
          <w:p w:rsidR="0027470E" w:rsidRDefault="00320041">
            <w:pPr>
              <w:pStyle w:val="TableParagraph"/>
              <w:spacing w:line="181" w:lineRule="exact"/>
              <w:ind w:left="290" w:right="291"/>
              <w:rPr>
                <w:i/>
                <w:sz w:val="18"/>
              </w:rPr>
            </w:pPr>
            <w:r>
              <w:rPr>
                <w:sz w:val="18"/>
              </w:rPr>
              <w:t xml:space="preserve">300 M </w:t>
            </w:r>
            <w:r>
              <w:rPr>
                <w:i/>
                <w:sz w:val="18"/>
              </w:rPr>
              <w:t>[48]</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Phospholipids ↑</w:t>
            </w:r>
          </w:p>
        </w:tc>
        <w:tc>
          <w:tcPr>
            <w:tcW w:w="2880" w:type="dxa"/>
          </w:tcPr>
          <w:p w:rsidR="0027470E" w:rsidRDefault="00320041">
            <w:pPr>
              <w:pStyle w:val="TableParagraph"/>
              <w:spacing w:line="184" w:lineRule="exact"/>
              <w:ind w:left="290" w:right="291"/>
              <w:rPr>
                <w:i/>
                <w:sz w:val="18"/>
              </w:rPr>
            </w:pPr>
            <w:r>
              <w:rPr>
                <w:sz w:val="18"/>
              </w:rPr>
              <w:t xml:space="preserve">100 M </w:t>
            </w:r>
            <w:r>
              <w:rPr>
                <w:i/>
                <w:sz w:val="18"/>
              </w:rPr>
              <w:t>[16]</w:t>
            </w:r>
          </w:p>
        </w:tc>
        <w:tc>
          <w:tcPr>
            <w:tcW w:w="2880" w:type="dxa"/>
          </w:tcPr>
          <w:p w:rsidR="0027470E" w:rsidRDefault="00320041">
            <w:pPr>
              <w:pStyle w:val="TableParagraph"/>
              <w:spacing w:line="184" w:lineRule="exact"/>
              <w:ind w:left="294" w:right="290"/>
              <w:rPr>
                <w:sz w:val="18"/>
              </w:rPr>
            </w:pPr>
            <w:r>
              <w:rPr>
                <w:sz w:val="18"/>
              </w:rPr>
              <w:t>--</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Inorganic phosphorus ↑</w:t>
            </w:r>
          </w:p>
        </w:tc>
        <w:tc>
          <w:tcPr>
            <w:tcW w:w="2880" w:type="dxa"/>
          </w:tcPr>
          <w:p w:rsidR="0027470E" w:rsidRDefault="00320041">
            <w:pPr>
              <w:pStyle w:val="TableParagraph"/>
              <w:spacing w:line="181" w:lineRule="exact"/>
              <w:ind w:left="290" w:right="291"/>
              <w:rPr>
                <w:i/>
                <w:sz w:val="18"/>
              </w:rPr>
            </w:pPr>
            <w:r>
              <w:rPr>
                <w:sz w:val="18"/>
              </w:rPr>
              <w:t xml:space="preserve">300 M </w:t>
            </w:r>
            <w:r>
              <w:rPr>
                <w:i/>
                <w:sz w:val="18"/>
              </w:rPr>
              <w:t>[48]</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Calcium ↑</w:t>
            </w:r>
          </w:p>
        </w:tc>
        <w:tc>
          <w:tcPr>
            <w:tcW w:w="2880" w:type="dxa"/>
          </w:tcPr>
          <w:p w:rsidR="0027470E" w:rsidRDefault="00320041">
            <w:pPr>
              <w:pStyle w:val="TableParagraph"/>
              <w:spacing w:line="181" w:lineRule="exact"/>
              <w:ind w:left="290" w:right="291"/>
              <w:rPr>
                <w:i/>
                <w:sz w:val="18"/>
              </w:rPr>
            </w:pPr>
            <w:r>
              <w:rPr>
                <w:sz w:val="18"/>
              </w:rPr>
              <w:t xml:space="preserve">100 M </w:t>
            </w:r>
            <w:r>
              <w:rPr>
                <w:i/>
                <w:sz w:val="18"/>
              </w:rPr>
              <w:t>[16]</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Sodium ↓</w:t>
            </w:r>
          </w:p>
        </w:tc>
        <w:tc>
          <w:tcPr>
            <w:tcW w:w="2880" w:type="dxa"/>
          </w:tcPr>
          <w:p w:rsidR="0027470E" w:rsidRDefault="00320041">
            <w:pPr>
              <w:pStyle w:val="TableParagraph"/>
              <w:spacing w:line="184" w:lineRule="exact"/>
              <w:ind w:left="290" w:right="291"/>
              <w:rPr>
                <w:i/>
                <w:sz w:val="18"/>
              </w:rPr>
            </w:pPr>
            <w:r>
              <w:rPr>
                <w:sz w:val="18"/>
              </w:rPr>
              <w:t xml:space="preserve">300 M </w:t>
            </w:r>
            <w:r>
              <w:rPr>
                <w:i/>
                <w:sz w:val="18"/>
              </w:rPr>
              <w:t>[48]</w:t>
            </w:r>
          </w:p>
        </w:tc>
        <w:tc>
          <w:tcPr>
            <w:tcW w:w="2880" w:type="dxa"/>
          </w:tcPr>
          <w:p w:rsidR="0027470E" w:rsidRDefault="00320041">
            <w:pPr>
              <w:pStyle w:val="TableParagraph"/>
              <w:spacing w:line="184" w:lineRule="exact"/>
              <w:ind w:left="294" w:right="290"/>
              <w:rPr>
                <w:sz w:val="18"/>
              </w:rPr>
            </w:pPr>
            <w:r>
              <w:rPr>
                <w:sz w:val="18"/>
              </w:rPr>
              <w:t>--</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Potassium ↑</w:t>
            </w:r>
          </w:p>
        </w:tc>
        <w:tc>
          <w:tcPr>
            <w:tcW w:w="2880" w:type="dxa"/>
          </w:tcPr>
          <w:p w:rsidR="0027470E" w:rsidRDefault="00320041">
            <w:pPr>
              <w:pStyle w:val="TableParagraph"/>
              <w:spacing w:line="181" w:lineRule="exact"/>
              <w:ind w:left="290" w:right="291"/>
              <w:rPr>
                <w:i/>
                <w:sz w:val="18"/>
              </w:rPr>
            </w:pPr>
            <w:r>
              <w:rPr>
                <w:sz w:val="18"/>
              </w:rPr>
              <w:t xml:space="preserve">300 M </w:t>
            </w:r>
            <w:r>
              <w:rPr>
                <w:i/>
                <w:sz w:val="18"/>
              </w:rPr>
              <w:t>[48]</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Chloride ↑</w:t>
            </w:r>
          </w:p>
        </w:tc>
        <w:tc>
          <w:tcPr>
            <w:tcW w:w="2880" w:type="dxa"/>
          </w:tcPr>
          <w:p w:rsidR="0027470E" w:rsidRDefault="00320041">
            <w:pPr>
              <w:pStyle w:val="TableParagraph"/>
              <w:spacing w:line="181" w:lineRule="exact"/>
              <w:ind w:left="291" w:right="291"/>
              <w:rPr>
                <w:i/>
                <w:sz w:val="18"/>
              </w:rPr>
            </w:pPr>
            <w:r>
              <w:rPr>
                <w:sz w:val="18"/>
              </w:rPr>
              <w:t xml:space="preserve">100 F </w:t>
            </w:r>
            <w:r>
              <w:rPr>
                <w:i/>
                <w:sz w:val="18"/>
              </w:rPr>
              <w:t>[16]</w:t>
            </w:r>
            <w:r>
              <w:rPr>
                <w:sz w:val="18"/>
              </w:rPr>
              <w:t xml:space="preserve">, 100 M </w:t>
            </w:r>
            <w:r>
              <w:rPr>
                <w:i/>
                <w:sz w:val="18"/>
              </w:rPr>
              <w:t>[16]</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Albumin</w:t>
            </w:r>
          </w:p>
        </w:tc>
        <w:tc>
          <w:tcPr>
            <w:tcW w:w="2880" w:type="dxa"/>
          </w:tcPr>
          <w:p w:rsidR="0027470E" w:rsidRDefault="00320041">
            <w:pPr>
              <w:pStyle w:val="TableParagraph"/>
              <w:spacing w:line="184" w:lineRule="exact"/>
              <w:ind w:left="294" w:right="290"/>
              <w:rPr>
                <w:sz w:val="18"/>
              </w:rPr>
            </w:pPr>
            <w:r>
              <w:rPr>
                <w:sz w:val="18"/>
              </w:rPr>
              <w:t>--</w:t>
            </w:r>
          </w:p>
        </w:tc>
        <w:tc>
          <w:tcPr>
            <w:tcW w:w="2880" w:type="dxa"/>
          </w:tcPr>
          <w:p w:rsidR="0027470E" w:rsidRDefault="00320041">
            <w:pPr>
              <w:pStyle w:val="TableParagraph"/>
              <w:spacing w:line="184" w:lineRule="exact"/>
              <w:ind w:left="290" w:right="291"/>
              <w:rPr>
                <w:i/>
                <w:sz w:val="18"/>
              </w:rPr>
            </w:pPr>
            <w:r>
              <w:rPr>
                <w:sz w:val="18"/>
              </w:rPr>
              <w:t xml:space="preserve">30 F </w:t>
            </w:r>
            <w:r>
              <w:rPr>
                <w:i/>
                <w:sz w:val="18"/>
              </w:rPr>
              <w:t>[9.6]</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Albumin/globulin ratio ↑</w:t>
            </w:r>
          </w:p>
        </w:tc>
        <w:tc>
          <w:tcPr>
            <w:tcW w:w="2880" w:type="dxa"/>
          </w:tcPr>
          <w:p w:rsidR="0027470E" w:rsidRDefault="00320041">
            <w:pPr>
              <w:pStyle w:val="TableParagraph"/>
              <w:spacing w:line="181" w:lineRule="exact"/>
              <w:ind w:left="290" w:right="291"/>
              <w:rPr>
                <w:i/>
                <w:sz w:val="18"/>
              </w:rPr>
            </w:pPr>
            <w:r>
              <w:rPr>
                <w:sz w:val="18"/>
              </w:rPr>
              <w:t xml:space="preserve">100 M </w:t>
            </w:r>
            <w:r>
              <w:rPr>
                <w:i/>
                <w:sz w:val="18"/>
              </w:rPr>
              <w:t>[16]</w:t>
            </w:r>
          </w:p>
        </w:tc>
        <w:tc>
          <w:tcPr>
            <w:tcW w:w="2880" w:type="dxa"/>
          </w:tcPr>
          <w:p w:rsidR="0027470E" w:rsidRDefault="00320041">
            <w:pPr>
              <w:pStyle w:val="TableParagraph"/>
              <w:spacing w:line="181" w:lineRule="exact"/>
              <w:ind w:left="290" w:right="291"/>
              <w:rPr>
                <w:i/>
                <w:sz w:val="18"/>
              </w:rPr>
            </w:pPr>
            <w:r>
              <w:rPr>
                <w:sz w:val="18"/>
              </w:rPr>
              <w:t xml:space="preserve">30 F </w:t>
            </w:r>
            <w:r>
              <w:rPr>
                <w:i/>
                <w:sz w:val="18"/>
              </w:rPr>
              <w:t>[9.6]</w:t>
            </w:r>
          </w:p>
        </w:tc>
      </w:tr>
      <w:tr w:rsidR="0027470E">
        <w:trPr>
          <w:trHeight w:val="201"/>
        </w:trPr>
        <w:tc>
          <w:tcPr>
            <w:tcW w:w="9360" w:type="dxa"/>
            <w:gridSpan w:val="3"/>
          </w:tcPr>
          <w:p w:rsidR="0027470E" w:rsidRDefault="00320041">
            <w:pPr>
              <w:pStyle w:val="TableParagraph"/>
              <w:spacing w:line="181" w:lineRule="exact"/>
              <w:ind w:left="105"/>
              <w:jc w:val="left"/>
              <w:rPr>
                <w:b/>
                <w:sz w:val="18"/>
              </w:rPr>
            </w:pPr>
            <w:r>
              <w:rPr>
                <w:b/>
                <w:sz w:val="18"/>
              </w:rPr>
              <w:t>Urinalysis</w:t>
            </w:r>
          </w:p>
        </w:tc>
      </w:tr>
      <w:tr w:rsidR="0027470E">
        <w:trPr>
          <w:trHeight w:val="230"/>
        </w:trPr>
        <w:tc>
          <w:tcPr>
            <w:tcW w:w="3600" w:type="dxa"/>
          </w:tcPr>
          <w:p w:rsidR="0027470E" w:rsidRDefault="00320041">
            <w:pPr>
              <w:pStyle w:val="TableParagraph"/>
              <w:spacing w:line="210" w:lineRule="exact"/>
              <w:ind w:left="105"/>
              <w:jc w:val="left"/>
              <w:rPr>
                <w:rFonts w:ascii="ＭＳ 明朝" w:hAnsi="ＭＳ 明朝"/>
                <w:sz w:val="18"/>
              </w:rPr>
            </w:pPr>
            <w:r>
              <w:rPr>
                <w:sz w:val="18"/>
              </w:rPr>
              <w:t xml:space="preserve">Potassium </w:t>
            </w:r>
            <w:r>
              <w:rPr>
                <w:rFonts w:ascii="ＭＳ 明朝" w:hAnsi="ＭＳ 明朝"/>
                <w:sz w:val="18"/>
              </w:rPr>
              <w:t>↓</w:t>
            </w:r>
          </w:p>
        </w:tc>
        <w:tc>
          <w:tcPr>
            <w:tcW w:w="2880" w:type="dxa"/>
          </w:tcPr>
          <w:p w:rsidR="0027470E" w:rsidRDefault="00320041">
            <w:pPr>
              <w:pStyle w:val="TableParagraph"/>
              <w:spacing w:line="198" w:lineRule="exact"/>
              <w:ind w:left="290" w:right="291"/>
              <w:rPr>
                <w:i/>
                <w:sz w:val="18"/>
              </w:rPr>
            </w:pPr>
            <w:r>
              <w:rPr>
                <w:sz w:val="18"/>
              </w:rPr>
              <w:t xml:space="preserve">300 M </w:t>
            </w:r>
            <w:r>
              <w:rPr>
                <w:i/>
                <w:sz w:val="18"/>
              </w:rPr>
              <w:t>[48]</w:t>
            </w:r>
          </w:p>
        </w:tc>
        <w:tc>
          <w:tcPr>
            <w:tcW w:w="2880" w:type="dxa"/>
          </w:tcPr>
          <w:p w:rsidR="0027470E" w:rsidRDefault="00320041">
            <w:pPr>
              <w:pStyle w:val="TableParagraph"/>
              <w:spacing w:line="198" w:lineRule="exact"/>
              <w:ind w:left="294" w:right="290"/>
              <w:rPr>
                <w:sz w:val="18"/>
              </w:rPr>
            </w:pPr>
            <w:r>
              <w:rPr>
                <w:sz w:val="18"/>
              </w:rPr>
              <w:t>--</w:t>
            </w:r>
          </w:p>
        </w:tc>
      </w:tr>
      <w:tr w:rsidR="0027470E">
        <w:trPr>
          <w:trHeight w:val="201"/>
        </w:trPr>
        <w:tc>
          <w:tcPr>
            <w:tcW w:w="9360" w:type="dxa"/>
            <w:gridSpan w:val="3"/>
          </w:tcPr>
          <w:p w:rsidR="0027470E" w:rsidRDefault="00320041">
            <w:pPr>
              <w:pStyle w:val="TableParagraph"/>
              <w:spacing w:line="181" w:lineRule="exact"/>
              <w:ind w:left="105"/>
              <w:jc w:val="left"/>
              <w:rPr>
                <w:b/>
                <w:sz w:val="18"/>
              </w:rPr>
            </w:pPr>
            <w:r>
              <w:rPr>
                <w:b/>
                <w:sz w:val="18"/>
              </w:rPr>
              <w:t>Organ Weights-Relative</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Liver</w:t>
            </w:r>
          </w:p>
        </w:tc>
        <w:tc>
          <w:tcPr>
            <w:tcW w:w="2880" w:type="dxa"/>
          </w:tcPr>
          <w:p w:rsidR="0027470E" w:rsidRDefault="00320041">
            <w:pPr>
              <w:pStyle w:val="TableParagraph"/>
              <w:spacing w:line="181" w:lineRule="exact"/>
              <w:ind w:left="290" w:right="291"/>
              <w:rPr>
                <w:i/>
                <w:sz w:val="18"/>
              </w:rPr>
            </w:pPr>
            <w:r>
              <w:rPr>
                <w:sz w:val="18"/>
              </w:rPr>
              <w:t xml:space="preserve">10 F </w:t>
            </w:r>
            <w:r>
              <w:rPr>
                <w:i/>
                <w:sz w:val="18"/>
              </w:rPr>
              <w:t>[1.6]</w:t>
            </w:r>
            <w:r>
              <w:rPr>
                <w:sz w:val="18"/>
              </w:rPr>
              <w:t xml:space="preserve">, 100 M </w:t>
            </w:r>
            <w:r>
              <w:rPr>
                <w:i/>
                <w:sz w:val="18"/>
              </w:rPr>
              <w:t>[16]</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203"/>
        </w:trPr>
        <w:tc>
          <w:tcPr>
            <w:tcW w:w="3600" w:type="dxa"/>
          </w:tcPr>
          <w:p w:rsidR="0027470E" w:rsidRDefault="00320041">
            <w:pPr>
              <w:pStyle w:val="TableParagraph"/>
              <w:spacing w:line="184" w:lineRule="exact"/>
              <w:ind w:left="105"/>
              <w:jc w:val="left"/>
              <w:rPr>
                <w:sz w:val="18"/>
              </w:rPr>
            </w:pPr>
            <w:r>
              <w:rPr>
                <w:sz w:val="18"/>
              </w:rPr>
              <w:t>Kidney</w:t>
            </w:r>
          </w:p>
        </w:tc>
        <w:tc>
          <w:tcPr>
            <w:tcW w:w="2880" w:type="dxa"/>
          </w:tcPr>
          <w:p w:rsidR="0027470E" w:rsidRDefault="00320041">
            <w:pPr>
              <w:pStyle w:val="TableParagraph"/>
              <w:spacing w:line="184" w:lineRule="exact"/>
              <w:ind w:left="291" w:right="291"/>
              <w:rPr>
                <w:i/>
                <w:sz w:val="18"/>
              </w:rPr>
            </w:pPr>
            <w:r>
              <w:rPr>
                <w:sz w:val="18"/>
              </w:rPr>
              <w:t xml:space="preserve">100 F </w:t>
            </w:r>
            <w:r>
              <w:rPr>
                <w:i/>
                <w:sz w:val="18"/>
              </w:rPr>
              <w:t>[16]</w:t>
            </w:r>
            <w:r>
              <w:rPr>
                <w:sz w:val="18"/>
              </w:rPr>
              <w:t xml:space="preserve">, 300 M </w:t>
            </w:r>
            <w:r>
              <w:rPr>
                <w:i/>
                <w:sz w:val="18"/>
              </w:rPr>
              <w:t>[48]</w:t>
            </w:r>
          </w:p>
        </w:tc>
        <w:tc>
          <w:tcPr>
            <w:tcW w:w="2880" w:type="dxa"/>
          </w:tcPr>
          <w:p w:rsidR="0027470E" w:rsidRDefault="00320041">
            <w:pPr>
              <w:pStyle w:val="TableParagraph"/>
              <w:spacing w:line="184" w:lineRule="exact"/>
              <w:ind w:left="294" w:right="290"/>
              <w:rPr>
                <w:sz w:val="18"/>
              </w:rPr>
            </w:pPr>
            <w:r>
              <w:rPr>
                <w:sz w:val="18"/>
              </w:rPr>
              <w:t>--</w:t>
            </w:r>
          </w:p>
        </w:tc>
      </w:tr>
      <w:tr w:rsidR="0027470E">
        <w:trPr>
          <w:trHeight w:val="201"/>
        </w:trPr>
        <w:tc>
          <w:tcPr>
            <w:tcW w:w="9360" w:type="dxa"/>
            <w:gridSpan w:val="3"/>
          </w:tcPr>
          <w:p w:rsidR="0027470E" w:rsidRDefault="00320041">
            <w:pPr>
              <w:pStyle w:val="TableParagraph"/>
              <w:spacing w:line="181" w:lineRule="exact"/>
              <w:ind w:left="105"/>
              <w:jc w:val="left"/>
              <w:rPr>
                <w:b/>
                <w:sz w:val="18"/>
              </w:rPr>
            </w:pPr>
            <w:r>
              <w:rPr>
                <w:b/>
                <w:sz w:val="18"/>
              </w:rPr>
              <w:t>Histopathology</w:t>
            </w:r>
          </w:p>
        </w:tc>
      </w:tr>
      <w:tr w:rsidR="0027470E">
        <w:trPr>
          <w:trHeight w:val="201"/>
        </w:trPr>
        <w:tc>
          <w:tcPr>
            <w:tcW w:w="3600" w:type="dxa"/>
          </w:tcPr>
          <w:p w:rsidR="0027470E" w:rsidRDefault="00320041">
            <w:pPr>
              <w:pStyle w:val="TableParagraph"/>
              <w:spacing w:line="181" w:lineRule="exact"/>
              <w:ind w:left="105"/>
              <w:jc w:val="left"/>
              <w:rPr>
                <w:sz w:val="18"/>
              </w:rPr>
            </w:pPr>
            <w:r>
              <w:rPr>
                <w:sz w:val="18"/>
              </w:rPr>
              <w:t>Liver (hypertrophy, hepatocyte, centrilobular)</w:t>
            </w:r>
          </w:p>
        </w:tc>
        <w:tc>
          <w:tcPr>
            <w:tcW w:w="2880" w:type="dxa"/>
          </w:tcPr>
          <w:p w:rsidR="0027470E" w:rsidRDefault="00320041">
            <w:pPr>
              <w:pStyle w:val="TableParagraph"/>
              <w:spacing w:line="181" w:lineRule="exact"/>
              <w:ind w:left="291" w:right="291"/>
              <w:rPr>
                <w:i/>
                <w:sz w:val="18"/>
              </w:rPr>
            </w:pPr>
            <w:r>
              <w:rPr>
                <w:sz w:val="18"/>
              </w:rPr>
              <w:t xml:space="preserve">100 F </w:t>
            </w:r>
            <w:r>
              <w:rPr>
                <w:i/>
                <w:sz w:val="18"/>
              </w:rPr>
              <w:t>[16]</w:t>
            </w:r>
            <w:r>
              <w:rPr>
                <w:sz w:val="18"/>
              </w:rPr>
              <w:t xml:space="preserve">, 300 M </w:t>
            </w:r>
            <w:r>
              <w:rPr>
                <w:i/>
                <w:sz w:val="18"/>
              </w:rPr>
              <w:t>[48]</w:t>
            </w:r>
          </w:p>
        </w:tc>
        <w:tc>
          <w:tcPr>
            <w:tcW w:w="2880" w:type="dxa"/>
          </w:tcPr>
          <w:p w:rsidR="0027470E" w:rsidRDefault="00320041">
            <w:pPr>
              <w:pStyle w:val="TableParagraph"/>
              <w:spacing w:line="181" w:lineRule="exact"/>
              <w:ind w:left="294" w:right="290"/>
              <w:rPr>
                <w:sz w:val="18"/>
              </w:rPr>
            </w:pPr>
            <w:r>
              <w:rPr>
                <w:sz w:val="18"/>
              </w:rPr>
              <w:t>--</w:t>
            </w:r>
          </w:p>
        </w:tc>
      </w:tr>
      <w:tr w:rsidR="0027470E">
        <w:trPr>
          <w:trHeight w:val="410"/>
        </w:trPr>
        <w:tc>
          <w:tcPr>
            <w:tcW w:w="3600" w:type="dxa"/>
          </w:tcPr>
          <w:p w:rsidR="0027470E" w:rsidRDefault="00320041">
            <w:pPr>
              <w:pStyle w:val="TableParagraph"/>
              <w:spacing w:line="198" w:lineRule="exact"/>
              <w:ind w:left="105"/>
              <w:jc w:val="left"/>
              <w:rPr>
                <w:sz w:val="18"/>
              </w:rPr>
            </w:pPr>
            <w:r>
              <w:rPr>
                <w:sz w:val="18"/>
              </w:rPr>
              <w:t>Kidney (increase, eosinophilic body,</w:t>
            </w:r>
          </w:p>
          <w:p w:rsidR="0027470E" w:rsidRDefault="00320041">
            <w:pPr>
              <w:pStyle w:val="TableParagraph"/>
              <w:spacing w:before="2" w:line="190" w:lineRule="exact"/>
              <w:ind w:left="105"/>
              <w:jc w:val="left"/>
              <w:rPr>
                <w:sz w:val="18"/>
              </w:rPr>
            </w:pPr>
            <w:r>
              <w:rPr>
                <w:sz w:val="18"/>
              </w:rPr>
              <w:t>epithelium, proximal tubule)</w:t>
            </w:r>
          </w:p>
        </w:tc>
        <w:tc>
          <w:tcPr>
            <w:tcW w:w="2880" w:type="dxa"/>
          </w:tcPr>
          <w:p w:rsidR="0027470E" w:rsidRDefault="00320041">
            <w:pPr>
              <w:pStyle w:val="TableParagraph"/>
              <w:spacing w:line="198" w:lineRule="exact"/>
              <w:ind w:left="290" w:right="291"/>
              <w:rPr>
                <w:i/>
                <w:sz w:val="18"/>
              </w:rPr>
            </w:pPr>
            <w:r>
              <w:rPr>
                <w:sz w:val="18"/>
              </w:rPr>
              <w:t xml:space="preserve">100 M </w:t>
            </w:r>
            <w:r>
              <w:rPr>
                <w:i/>
                <w:sz w:val="18"/>
              </w:rPr>
              <w:t>[16]</w:t>
            </w:r>
          </w:p>
        </w:tc>
        <w:tc>
          <w:tcPr>
            <w:tcW w:w="2880" w:type="dxa"/>
          </w:tcPr>
          <w:p w:rsidR="0027470E" w:rsidRDefault="00320041">
            <w:pPr>
              <w:pStyle w:val="TableParagraph"/>
              <w:spacing w:line="198" w:lineRule="exact"/>
              <w:ind w:left="294" w:right="290"/>
              <w:rPr>
                <w:sz w:val="18"/>
              </w:rPr>
            </w:pPr>
            <w:r>
              <w:rPr>
                <w:sz w:val="18"/>
              </w:rPr>
              <w:t>--</w:t>
            </w:r>
          </w:p>
        </w:tc>
      </w:tr>
    </w:tbl>
    <w:p w:rsidR="0027470E" w:rsidRDefault="00320041">
      <w:pPr>
        <w:spacing w:before="52"/>
        <w:ind w:left="234"/>
        <w:rPr>
          <w:sz w:val="18"/>
        </w:rPr>
      </w:pPr>
      <w:r>
        <w:rPr>
          <w:sz w:val="18"/>
        </w:rPr>
        <w:t>-- Adverse response not observed; F; female; HED: human equivalent dose; M: male.</w:t>
      </w:r>
    </w:p>
    <w:p w:rsidR="0027470E" w:rsidRDefault="00320041">
      <w:pPr>
        <w:spacing w:before="60"/>
        <w:ind w:left="234"/>
        <w:rPr>
          <w:sz w:val="18"/>
        </w:rPr>
      </w:pPr>
      <w:r>
        <w:rPr>
          <w:sz w:val="18"/>
        </w:rPr>
        <w:t>† Lowest dose level at which a change in one or more of the listed parameters occurred as noted in report summary.</w:t>
      </w:r>
    </w:p>
    <w:p w:rsidR="0027470E" w:rsidRDefault="00320041">
      <w:pPr>
        <w:spacing w:before="2"/>
        <w:ind w:left="234"/>
        <w:rPr>
          <w:sz w:val="18"/>
        </w:rPr>
      </w:pPr>
      <w:r>
        <w:rPr>
          <w:i/>
          <w:sz w:val="18"/>
        </w:rPr>
        <w:t xml:space="preserve">HED </w:t>
      </w:r>
      <w:r>
        <w:rPr>
          <w:sz w:val="18"/>
        </w:rPr>
        <w:t>was based on human weight of 60 kg and scaling on the basis of</w:t>
      </w:r>
      <w:r>
        <w:rPr>
          <w:spacing w:val="-31"/>
          <w:sz w:val="18"/>
        </w:rPr>
        <w:t xml:space="preserve"> </w:t>
      </w:r>
      <w:r>
        <w:rPr>
          <w:sz w:val="18"/>
        </w:rPr>
        <w:t>mg/m</w:t>
      </w:r>
      <w:r>
        <w:rPr>
          <w:sz w:val="18"/>
          <w:vertAlign w:val="superscript"/>
        </w:rPr>
        <w:t>2</w:t>
      </w:r>
      <w:r>
        <w:rPr>
          <w:sz w:val="18"/>
        </w:rPr>
        <w:t>.</w:t>
      </w:r>
    </w:p>
    <w:p w:rsidR="0027470E" w:rsidRDefault="00320041">
      <w:pPr>
        <w:spacing w:before="59"/>
        <w:ind w:left="234"/>
        <w:rPr>
          <w:i/>
          <w:sz w:val="18"/>
        </w:rPr>
      </w:pPr>
      <w:r>
        <w:rPr>
          <w:sz w:val="18"/>
        </w:rPr>
        <w:t>‡</w:t>
      </w:r>
      <w:r>
        <w:rPr>
          <w:spacing w:val="-4"/>
          <w:sz w:val="18"/>
        </w:rPr>
        <w:t xml:space="preserve"> </w:t>
      </w:r>
      <w:r>
        <w:rPr>
          <w:sz w:val="18"/>
        </w:rPr>
        <w:t>Value</w:t>
      </w:r>
      <w:r>
        <w:rPr>
          <w:spacing w:val="-4"/>
          <w:sz w:val="18"/>
        </w:rPr>
        <w:t xml:space="preserve"> </w:t>
      </w:r>
      <w:r>
        <w:rPr>
          <w:sz w:val="18"/>
        </w:rPr>
        <w:t>taken</w:t>
      </w:r>
      <w:r>
        <w:rPr>
          <w:spacing w:val="-3"/>
          <w:sz w:val="18"/>
        </w:rPr>
        <w:t xml:space="preserve"> </w:t>
      </w:r>
      <w:r>
        <w:rPr>
          <w:sz w:val="18"/>
        </w:rPr>
        <w:t>from</w:t>
      </w:r>
      <w:r>
        <w:rPr>
          <w:spacing w:val="-4"/>
          <w:sz w:val="18"/>
        </w:rPr>
        <w:t xml:space="preserve"> </w:t>
      </w:r>
      <w:r>
        <w:rPr>
          <w:sz w:val="18"/>
        </w:rPr>
        <w:t>the</w:t>
      </w:r>
      <w:r>
        <w:rPr>
          <w:spacing w:val="-4"/>
          <w:sz w:val="18"/>
        </w:rPr>
        <w:t xml:space="preserve"> </w:t>
      </w:r>
      <w:r>
        <w:rPr>
          <w:sz w:val="18"/>
        </w:rPr>
        <w:t>recovery</w:t>
      </w:r>
      <w:r>
        <w:rPr>
          <w:spacing w:val="-3"/>
          <w:sz w:val="18"/>
        </w:rPr>
        <w:t xml:space="preserve"> </w:t>
      </w:r>
      <w:r>
        <w:rPr>
          <w:sz w:val="18"/>
        </w:rPr>
        <w:t>period</w:t>
      </w:r>
      <w:r>
        <w:rPr>
          <w:spacing w:val="-4"/>
          <w:sz w:val="18"/>
        </w:rPr>
        <w:t xml:space="preserve"> </w:t>
      </w:r>
      <w:r>
        <w:rPr>
          <w:sz w:val="18"/>
        </w:rPr>
        <w:t>only:</w:t>
      </w:r>
      <w:r>
        <w:rPr>
          <w:spacing w:val="-3"/>
          <w:sz w:val="18"/>
        </w:rPr>
        <w:t xml:space="preserve"> </w:t>
      </w:r>
      <w:r>
        <w:rPr>
          <w:sz w:val="18"/>
        </w:rPr>
        <w:t>300</w:t>
      </w:r>
      <w:r>
        <w:rPr>
          <w:spacing w:val="-3"/>
          <w:sz w:val="18"/>
        </w:rPr>
        <w:t xml:space="preserve"> </w:t>
      </w:r>
      <w:r>
        <w:rPr>
          <w:sz w:val="18"/>
        </w:rPr>
        <w:t>mg/kg</w:t>
      </w:r>
      <w:r>
        <w:rPr>
          <w:spacing w:val="-5"/>
          <w:sz w:val="18"/>
        </w:rPr>
        <w:t xml:space="preserve"> </w:t>
      </w:r>
      <w:r>
        <w:rPr>
          <w:sz w:val="18"/>
        </w:rPr>
        <w:t>M,</w:t>
      </w:r>
      <w:r>
        <w:rPr>
          <w:spacing w:val="-2"/>
          <w:sz w:val="18"/>
        </w:rPr>
        <w:t xml:space="preserve"> </w:t>
      </w:r>
      <w:r>
        <w:rPr>
          <w:i/>
          <w:sz w:val="18"/>
        </w:rPr>
        <w:t>HED</w:t>
      </w:r>
      <w:r>
        <w:rPr>
          <w:i/>
          <w:spacing w:val="-4"/>
          <w:sz w:val="18"/>
        </w:rPr>
        <w:t xml:space="preserve"> </w:t>
      </w:r>
      <w:r>
        <w:rPr>
          <w:i/>
          <w:sz w:val="18"/>
        </w:rPr>
        <w:t>[48</w:t>
      </w:r>
      <w:r>
        <w:rPr>
          <w:i/>
          <w:spacing w:val="-2"/>
          <w:sz w:val="18"/>
        </w:rPr>
        <w:t xml:space="preserve"> </w:t>
      </w:r>
      <w:r>
        <w:rPr>
          <w:i/>
          <w:sz w:val="18"/>
        </w:rPr>
        <w:t>mg/kg]</w:t>
      </w:r>
    </w:p>
    <w:p w:rsidR="0027470E" w:rsidRDefault="00320041">
      <w:pPr>
        <w:spacing w:before="60"/>
        <w:ind w:left="234"/>
        <w:rPr>
          <w:i/>
          <w:sz w:val="18"/>
        </w:rPr>
      </w:pPr>
      <w:r>
        <w:rPr>
          <w:sz w:val="18"/>
        </w:rPr>
        <w:t xml:space="preserve">§ Also observed during the recovery period: 100 mg/kg F, </w:t>
      </w:r>
      <w:r>
        <w:rPr>
          <w:i/>
          <w:sz w:val="18"/>
        </w:rPr>
        <w:t>HED [16 mg/kg]</w:t>
      </w:r>
    </w:p>
    <w:p w:rsidR="0027470E" w:rsidRDefault="00320041">
      <w:pPr>
        <w:spacing w:before="59"/>
        <w:ind w:left="234"/>
        <w:rPr>
          <w:sz w:val="18"/>
        </w:rPr>
      </w:pPr>
      <w:r>
        <w:rPr>
          <w:sz w:val="18"/>
        </w:rPr>
        <w:t xml:space="preserve">Source: Company Reports </w:t>
      </w:r>
      <w:r w:rsidR="00DC0254">
        <w:rPr>
          <w:sz w:val="18"/>
        </w:rPr>
        <w:t>Project 4</w:t>
      </w:r>
      <w:r>
        <w:rPr>
          <w:sz w:val="18"/>
        </w:rPr>
        <w:t xml:space="preserve">-TX-003 (4-week rat study) and </w:t>
      </w:r>
      <w:r w:rsidR="00DC0254">
        <w:rPr>
          <w:sz w:val="18"/>
        </w:rPr>
        <w:t>Project 4</w:t>
      </w:r>
      <w:r>
        <w:rPr>
          <w:sz w:val="18"/>
        </w:rPr>
        <w:t>-TX-004 (4-week monkey study).</w:t>
      </w:r>
    </w:p>
    <w:p w:rsidR="0027470E" w:rsidRDefault="0027470E">
      <w:pPr>
        <w:pStyle w:val="a3"/>
        <w:rPr>
          <w:sz w:val="20"/>
        </w:rPr>
      </w:pPr>
    </w:p>
    <w:p w:rsidR="0027470E" w:rsidRDefault="0027470E">
      <w:pPr>
        <w:pStyle w:val="a3"/>
        <w:spacing w:before="2"/>
        <w:rPr>
          <w:sz w:val="16"/>
        </w:rPr>
      </w:pPr>
    </w:p>
    <w:p w:rsidR="0027470E" w:rsidRPr="00DC0254" w:rsidRDefault="00320041">
      <w:pPr>
        <w:pStyle w:val="3"/>
        <w:numPr>
          <w:ilvl w:val="2"/>
          <w:numId w:val="3"/>
        </w:numPr>
        <w:tabs>
          <w:tab w:val="left" w:pos="1098"/>
          <w:tab w:val="left" w:pos="1099"/>
        </w:tabs>
        <w:spacing w:before="0"/>
        <w:rPr>
          <w:highlight w:val="magenta"/>
        </w:rPr>
      </w:pPr>
      <w:bookmarkStart w:id="54" w:name="4.5.1_Effects_on_Liver"/>
      <w:bookmarkStart w:id="55" w:name="_bookmark77"/>
      <w:bookmarkEnd w:id="54"/>
      <w:bookmarkEnd w:id="55"/>
      <w:r w:rsidRPr="00DC0254">
        <w:rPr>
          <w:highlight w:val="magenta"/>
        </w:rPr>
        <w:t>Effects on</w:t>
      </w:r>
      <w:r w:rsidRPr="00DC0254">
        <w:rPr>
          <w:spacing w:val="-1"/>
          <w:highlight w:val="magenta"/>
        </w:rPr>
        <w:t xml:space="preserve"> </w:t>
      </w:r>
      <w:r w:rsidRPr="00DC0254">
        <w:rPr>
          <w:highlight w:val="magenta"/>
        </w:rPr>
        <w:t>Liver</w:t>
      </w:r>
    </w:p>
    <w:p w:rsidR="0027470E" w:rsidRPr="00DC0254" w:rsidRDefault="00320041">
      <w:pPr>
        <w:pStyle w:val="a3"/>
        <w:spacing w:before="139" w:line="261" w:lineRule="auto"/>
        <w:ind w:left="234" w:right="1405"/>
        <w:rPr>
          <w:highlight w:val="magenta"/>
        </w:rPr>
      </w:pPr>
      <w:r w:rsidRPr="00DC0254">
        <w:rPr>
          <w:highlight w:val="magenta"/>
        </w:rPr>
        <w:t xml:space="preserve">In the 4-week study in rats, liver weight was increased at </w:t>
      </w:r>
      <w:r w:rsidR="00DC0254" w:rsidRPr="00DC0254">
        <w:rPr>
          <w:highlight w:val="magenta"/>
        </w:rPr>
        <w:t>PROJECT 4</w:t>
      </w:r>
      <w:r w:rsidRPr="00DC0254">
        <w:rPr>
          <w:highlight w:val="magenta"/>
        </w:rPr>
        <w:t xml:space="preserve"> doses ≥ 10 mg/kg in females and ≥ 100 mg/kg in males. In addition, centrilobular hypertrophy of hepatocytes was observed at the highest doses (300 mg/kg for male and 100 mg/kg for female).</w:t>
      </w:r>
      <w:r>
        <w:t xml:space="preserve"> This histopathological change was considered to be due to metabolic enzyme induction because, upon electron microscopic examination, an increased number of hepatocytes with smooth endoplasmic reticulum were observed. </w:t>
      </w:r>
      <w:r w:rsidRPr="00DC0254">
        <w:rPr>
          <w:highlight w:val="magenta"/>
        </w:rPr>
        <w:t>These liver abnormalities were not accompanied by changes in hepatic enzymes or pathological lesions of other related organs and they were not observed after a 4-week recovery period.</w:t>
      </w:r>
      <w:r>
        <w:t xml:space="preserve"> </w:t>
      </w:r>
      <w:r w:rsidRPr="00DC0254">
        <w:rPr>
          <w:highlight w:val="magenta"/>
        </w:rPr>
        <w:t>Furthermore, no such changes in the liver were</w:t>
      </w:r>
    </w:p>
    <w:p w:rsidR="0027470E" w:rsidRPr="00DC0254" w:rsidRDefault="0027470E">
      <w:pPr>
        <w:spacing w:line="261" w:lineRule="auto"/>
        <w:rPr>
          <w:highlight w:val="magenta"/>
        </w:rPr>
        <w:sectPr w:rsidR="0027470E" w:rsidRPr="00DC0254">
          <w:pgSz w:w="12240" w:h="15840"/>
          <w:pgMar w:top="1280" w:right="0" w:bottom="940" w:left="1580" w:header="578" w:footer="748" w:gutter="0"/>
          <w:cols w:space="720"/>
        </w:sectPr>
      </w:pPr>
    </w:p>
    <w:p w:rsidR="0027470E" w:rsidRDefault="00320041">
      <w:pPr>
        <w:pStyle w:val="a3"/>
        <w:spacing w:before="141" w:line="261" w:lineRule="auto"/>
        <w:ind w:left="234" w:right="1487"/>
      </w:pPr>
      <w:r w:rsidRPr="00DC0254">
        <w:rPr>
          <w:highlight w:val="magenta"/>
        </w:rPr>
        <w:lastRenderedPageBreak/>
        <w:t>observed in the 4-week monkey study.</w:t>
      </w:r>
      <w:r>
        <w:t xml:space="preserve"> Thus, the toxicological significance of this finding is considered to be minimal.</w:t>
      </w:r>
    </w:p>
    <w:p w:rsidR="0027470E" w:rsidRPr="00DC0254" w:rsidRDefault="00320041">
      <w:pPr>
        <w:pStyle w:val="3"/>
        <w:numPr>
          <w:ilvl w:val="2"/>
          <w:numId w:val="3"/>
        </w:numPr>
        <w:tabs>
          <w:tab w:val="left" w:pos="1098"/>
          <w:tab w:val="left" w:pos="1099"/>
        </w:tabs>
        <w:spacing w:before="123"/>
        <w:rPr>
          <w:highlight w:val="magenta"/>
        </w:rPr>
      </w:pPr>
      <w:bookmarkStart w:id="56" w:name="4.5.2_Effects_on_Kidney"/>
      <w:bookmarkStart w:id="57" w:name="_bookmark78"/>
      <w:bookmarkEnd w:id="56"/>
      <w:bookmarkEnd w:id="57"/>
      <w:r w:rsidRPr="00DC0254">
        <w:rPr>
          <w:highlight w:val="magenta"/>
        </w:rPr>
        <w:t>Effects on Kidney</w:t>
      </w:r>
    </w:p>
    <w:p w:rsidR="0027470E" w:rsidRDefault="00320041">
      <w:pPr>
        <w:pStyle w:val="a3"/>
        <w:spacing w:before="139" w:line="261" w:lineRule="auto"/>
        <w:ind w:left="234" w:right="1487"/>
      </w:pPr>
      <w:r w:rsidRPr="00DC0254">
        <w:rPr>
          <w:highlight w:val="magenta"/>
        </w:rPr>
        <w:t xml:space="preserve">In the 4-week study in rats, eosinophilic bodies in the epithelium of the proximal tubules were observed in male rats at </w:t>
      </w:r>
      <w:r w:rsidR="00DC0254" w:rsidRPr="00DC0254">
        <w:rPr>
          <w:highlight w:val="magenta"/>
        </w:rPr>
        <w:t>PROJECT 4</w:t>
      </w:r>
      <w:r w:rsidRPr="00DC0254">
        <w:rPr>
          <w:highlight w:val="magenta"/>
        </w:rPr>
        <w:t xml:space="preserve"> doses ≥ 100 mg/kg.</w:t>
      </w:r>
      <w:r>
        <w:t xml:space="preserve"> This lesion was periodic acid- Schiff (PAS) negative and, therefore, considered to be related to alpha-2-microglobulin.</w:t>
      </w:r>
    </w:p>
    <w:p w:rsidR="0027470E" w:rsidRDefault="00320041">
      <w:pPr>
        <w:pStyle w:val="a3"/>
        <w:spacing w:line="261" w:lineRule="auto"/>
        <w:ind w:left="234" w:right="1675"/>
        <w:jc w:val="both"/>
      </w:pPr>
      <w:r>
        <w:t>Accumulation of alpha-2-microglobulin in the kidneys of male rats is known to be a highly species- and sex-specific change [</w:t>
      </w:r>
      <w:proofErr w:type="spellStart"/>
      <w:r>
        <w:t>Uwagawa</w:t>
      </w:r>
      <w:proofErr w:type="spellEnd"/>
      <w:r>
        <w:t xml:space="preserve"> et al, 1999]. The toxicological significance of this renal change as well as the mechanism remain unclear; however, it is unlikely to be of relevance to humans.</w:t>
      </w:r>
    </w:p>
    <w:p w:rsidR="0027470E" w:rsidRPr="00DC0254" w:rsidRDefault="00320041">
      <w:pPr>
        <w:pStyle w:val="3"/>
        <w:numPr>
          <w:ilvl w:val="2"/>
          <w:numId w:val="3"/>
        </w:numPr>
        <w:tabs>
          <w:tab w:val="left" w:pos="1098"/>
          <w:tab w:val="left" w:pos="1099"/>
        </w:tabs>
        <w:spacing w:before="119"/>
        <w:rPr>
          <w:highlight w:val="magenta"/>
        </w:rPr>
      </w:pPr>
      <w:bookmarkStart w:id="58" w:name="4.5.3_Effects_on_the_Gastrointestinal_Tr"/>
      <w:bookmarkStart w:id="59" w:name="_bookmark79"/>
      <w:bookmarkEnd w:id="58"/>
      <w:bookmarkEnd w:id="59"/>
      <w:r w:rsidRPr="00DC0254">
        <w:rPr>
          <w:highlight w:val="magenta"/>
        </w:rPr>
        <w:t>Effects on the Gastrointestinal</w:t>
      </w:r>
      <w:r w:rsidRPr="00DC0254">
        <w:rPr>
          <w:spacing w:val="-2"/>
          <w:highlight w:val="magenta"/>
        </w:rPr>
        <w:t xml:space="preserve"> </w:t>
      </w:r>
      <w:r w:rsidRPr="00DC0254">
        <w:rPr>
          <w:highlight w:val="magenta"/>
        </w:rPr>
        <w:t>Tract</w:t>
      </w:r>
    </w:p>
    <w:p w:rsidR="0027470E" w:rsidRDefault="00320041">
      <w:pPr>
        <w:pStyle w:val="a3"/>
        <w:spacing w:before="140" w:line="261" w:lineRule="auto"/>
        <w:ind w:left="234" w:right="1478"/>
      </w:pPr>
      <w:r w:rsidRPr="00DC0254">
        <w:rPr>
          <w:highlight w:val="magenta"/>
        </w:rPr>
        <w:t xml:space="preserve">In the 4-week study in monkeys, vomiting was observed at </w:t>
      </w:r>
      <w:r w:rsidR="00DC0254" w:rsidRPr="00DC0254">
        <w:rPr>
          <w:highlight w:val="magenta"/>
        </w:rPr>
        <w:t>PROJECT 4</w:t>
      </w:r>
      <w:r w:rsidRPr="00DC0254">
        <w:rPr>
          <w:highlight w:val="magenta"/>
        </w:rPr>
        <w:t xml:space="preserve"> doses ≥ 10 mg/kg. Bouts of vomiting were transient and generally occurred during the first week of dosing. </w:t>
      </w:r>
      <w:r w:rsidRPr="00DC0254">
        <w:t>Vomiting was not associated with pathological lesion of the gastrointestinal tract.</w:t>
      </w:r>
      <w:r>
        <w:t xml:space="preserve"> While vomiting was considered drug-related, some animals had no vomiting even at the highest doses of </w:t>
      </w:r>
      <w:r w:rsidR="00DC0254">
        <w:t>PROJECT 4</w:t>
      </w:r>
      <w:r>
        <w:t xml:space="preserve">. On the other hand, </w:t>
      </w:r>
      <w:r w:rsidRPr="00DC0254">
        <w:rPr>
          <w:highlight w:val="magenta"/>
        </w:rPr>
        <w:t>in the preliminary 1-week study, vomiting was observed at 3 mg/kg, which is the NOAEL in the 4-week study,</w:t>
      </w:r>
      <w:r>
        <w:t xml:space="preserve"> suggesting that the sensitivity to vomiting may vary greatly among individual animals. The mechanism </w:t>
      </w:r>
      <w:r>
        <w:rPr>
          <w:spacing w:val="4"/>
        </w:rPr>
        <w:t xml:space="preserve">by </w:t>
      </w:r>
      <w:r>
        <w:t xml:space="preserve">which </w:t>
      </w:r>
      <w:r w:rsidR="00DC0254">
        <w:t>PROJECT 4</w:t>
      </w:r>
      <w:r>
        <w:t xml:space="preserve"> induces vomiting is unclear, but current data indicate that the exposure level at 3 mg/kg (approximately 12-15 times higher than the </w:t>
      </w:r>
      <w:proofErr w:type="spellStart"/>
      <w:r>
        <w:t>C</w:t>
      </w:r>
      <w:r>
        <w:rPr>
          <w:vertAlign w:val="subscript"/>
        </w:rPr>
        <w:t>max</w:t>
      </w:r>
      <w:proofErr w:type="spellEnd"/>
      <w:r>
        <w:t xml:space="preserve"> expected at the clinical dose) is the threshold at which vomiting may occur. In future clinical trials, symptoms related to nausea will be carefully</w:t>
      </w:r>
      <w:r>
        <w:rPr>
          <w:spacing w:val="-5"/>
        </w:rPr>
        <w:t xml:space="preserve"> </w:t>
      </w:r>
      <w:r>
        <w:t>assessed.</w:t>
      </w:r>
    </w:p>
    <w:p w:rsidR="0027470E" w:rsidRPr="00DC0254" w:rsidRDefault="00320041">
      <w:pPr>
        <w:pStyle w:val="3"/>
        <w:numPr>
          <w:ilvl w:val="2"/>
          <w:numId w:val="3"/>
        </w:numPr>
        <w:tabs>
          <w:tab w:val="left" w:pos="1098"/>
          <w:tab w:val="left" w:pos="1099"/>
        </w:tabs>
        <w:spacing w:before="115"/>
        <w:rPr>
          <w:highlight w:val="magenta"/>
        </w:rPr>
      </w:pPr>
      <w:bookmarkStart w:id="60" w:name="4.5.4_Effects_on_the_CNS"/>
      <w:bookmarkStart w:id="61" w:name="_bookmark80"/>
      <w:bookmarkEnd w:id="60"/>
      <w:bookmarkEnd w:id="61"/>
      <w:r w:rsidRPr="00DC0254">
        <w:rPr>
          <w:highlight w:val="magenta"/>
        </w:rPr>
        <w:t>Effects on the</w:t>
      </w:r>
      <w:r w:rsidRPr="00DC0254">
        <w:rPr>
          <w:spacing w:val="-4"/>
          <w:highlight w:val="magenta"/>
        </w:rPr>
        <w:t xml:space="preserve"> </w:t>
      </w:r>
      <w:r w:rsidRPr="00DC0254">
        <w:rPr>
          <w:highlight w:val="magenta"/>
        </w:rPr>
        <w:t>CNS</w:t>
      </w:r>
    </w:p>
    <w:p w:rsidR="0027470E" w:rsidRPr="00DC0254" w:rsidRDefault="00320041">
      <w:pPr>
        <w:pStyle w:val="a3"/>
        <w:spacing w:before="140" w:line="261" w:lineRule="auto"/>
        <w:ind w:left="234" w:right="2041"/>
        <w:rPr>
          <w:highlight w:val="magenta"/>
        </w:rPr>
      </w:pPr>
      <w:r w:rsidRPr="00DC0254">
        <w:rPr>
          <w:highlight w:val="magenta"/>
        </w:rPr>
        <w:t xml:space="preserve">In the rat CNS study, neurological signs were observed at </w:t>
      </w:r>
      <w:r w:rsidR="00DC0254" w:rsidRPr="00DC0254">
        <w:rPr>
          <w:highlight w:val="magenta"/>
        </w:rPr>
        <w:t>PROJECT 4</w:t>
      </w:r>
      <w:r w:rsidRPr="00DC0254">
        <w:rPr>
          <w:highlight w:val="magenta"/>
        </w:rPr>
        <w:t xml:space="preserve"> doses of 30 and 100 mg/kg and included staggering gait, increased locomotion, prone positioning and a</w:t>
      </w:r>
    </w:p>
    <w:p w:rsidR="0027470E" w:rsidRDefault="00320041">
      <w:pPr>
        <w:pStyle w:val="a3"/>
        <w:spacing w:line="261" w:lineRule="auto"/>
        <w:ind w:left="234" w:right="1428"/>
      </w:pPr>
      <w:r w:rsidRPr="00DC0254">
        <w:rPr>
          <w:highlight w:val="magenta"/>
        </w:rPr>
        <w:t>disappearance of the righting reflex.</w:t>
      </w:r>
      <w:r>
        <w:t xml:space="preserve"> Similar findings were commonly observed in all species used in the toxicity studies and considered to be related to the pharmacological action of </w:t>
      </w:r>
      <w:r w:rsidR="00DC0254">
        <w:t>PROJECT 4</w:t>
      </w:r>
      <w:r>
        <w:t>. They were not accompanied by histopathological changes to the CNS and promptly disappeared during the recovery period. Generally, staggering gait was the most frequent sign observed at the lowest observed effect level (LOEL). The exposure level (</w:t>
      </w:r>
      <w:proofErr w:type="spellStart"/>
      <w:r>
        <w:t>C</w:t>
      </w:r>
      <w:r>
        <w:rPr>
          <w:vertAlign w:val="subscript"/>
        </w:rPr>
        <w:t>max</w:t>
      </w:r>
      <w:proofErr w:type="spellEnd"/>
      <w:r>
        <w:t>) of LOEL is at least 36 times higher than that at the expected clinical dose.  At higher exposure levels, decreased spontaneous activity or abnormal positioning (lateral or prone sitting) also were observed, and severe signs such as twitching and convulsions were induced at the highest exposure level, suggesting that the severity of neurological findings was dependent on exposure level. However, to ensure safety during clinical trials serious neurological adverse reactions could be avoided with careful monitoring for clinical</w:t>
      </w:r>
      <w:r>
        <w:rPr>
          <w:spacing w:val="-20"/>
        </w:rPr>
        <w:t xml:space="preserve"> </w:t>
      </w:r>
      <w:r>
        <w:t>signs.</w:t>
      </w:r>
    </w:p>
    <w:p w:rsidR="0027470E" w:rsidRPr="00DC0254" w:rsidRDefault="00320041">
      <w:pPr>
        <w:pStyle w:val="3"/>
        <w:numPr>
          <w:ilvl w:val="2"/>
          <w:numId w:val="3"/>
        </w:numPr>
        <w:tabs>
          <w:tab w:val="left" w:pos="1098"/>
          <w:tab w:val="left" w:pos="1099"/>
        </w:tabs>
        <w:spacing w:before="114"/>
        <w:rPr>
          <w:highlight w:val="magenta"/>
        </w:rPr>
      </w:pPr>
      <w:bookmarkStart w:id="62" w:name="4.5.5_Effects_on_the_Cardiovascular_and_"/>
      <w:bookmarkStart w:id="63" w:name="_bookmark81"/>
      <w:bookmarkEnd w:id="62"/>
      <w:bookmarkEnd w:id="63"/>
      <w:r w:rsidRPr="00DC0254">
        <w:rPr>
          <w:highlight w:val="magenta"/>
        </w:rPr>
        <w:t>Effects on the Cardiovascular and Respiratory</w:t>
      </w:r>
      <w:r w:rsidRPr="00DC0254">
        <w:rPr>
          <w:spacing w:val="-8"/>
          <w:highlight w:val="magenta"/>
        </w:rPr>
        <w:t xml:space="preserve"> </w:t>
      </w:r>
      <w:r w:rsidRPr="00DC0254">
        <w:rPr>
          <w:highlight w:val="magenta"/>
        </w:rPr>
        <w:t>Systems</w:t>
      </w:r>
    </w:p>
    <w:p w:rsidR="0027470E" w:rsidRDefault="00320041" w:rsidP="00DC0254">
      <w:pPr>
        <w:pStyle w:val="a3"/>
        <w:spacing w:before="139" w:line="261" w:lineRule="auto"/>
        <w:ind w:left="234" w:right="2138"/>
      </w:pPr>
      <w:r w:rsidRPr="00DC0254">
        <w:rPr>
          <w:highlight w:val="magenta"/>
        </w:rPr>
        <w:t>In the cynomolgus monkey telemetry study, prolongation of QT</w:t>
      </w:r>
      <w:r w:rsidRPr="00DC0254">
        <w:rPr>
          <w:highlight w:val="magenta"/>
          <w:vertAlign w:val="subscript"/>
        </w:rPr>
        <w:t>c</w:t>
      </w:r>
      <w:r w:rsidRPr="00DC0254">
        <w:rPr>
          <w:highlight w:val="magenta"/>
        </w:rPr>
        <w:t xml:space="preserve"> was observed in 1 of 4 animals at </w:t>
      </w:r>
      <w:r w:rsidR="00DC0254" w:rsidRPr="00DC0254">
        <w:rPr>
          <w:highlight w:val="magenta"/>
        </w:rPr>
        <w:t>PROJECT 4</w:t>
      </w:r>
      <w:r w:rsidRPr="00DC0254">
        <w:rPr>
          <w:highlight w:val="magenta"/>
        </w:rPr>
        <w:t xml:space="preserve"> doses ≥ 10 mg/kg,</w:t>
      </w:r>
      <w:r>
        <w:t xml:space="preserve"> which corresponds to a </w:t>
      </w:r>
      <w:proofErr w:type="spellStart"/>
      <w:r>
        <w:t>C</w:t>
      </w:r>
      <w:r>
        <w:rPr>
          <w:vertAlign w:val="subscript"/>
        </w:rPr>
        <w:t>max</w:t>
      </w:r>
      <w:proofErr w:type="spellEnd"/>
      <w:r w:rsidR="00DC0254">
        <w:t xml:space="preserve"> a</w:t>
      </w:r>
      <w:r>
        <w:t>pproximately</w:t>
      </w:r>
      <w:r w:rsidR="00DC0254">
        <w:t xml:space="preserve"> </w:t>
      </w:r>
      <w:r>
        <w:t>25 times higher than that at the expected clinical dose. The QT</w:t>
      </w:r>
      <w:r>
        <w:rPr>
          <w:vertAlign w:val="subscript"/>
        </w:rPr>
        <w:t>c</w:t>
      </w:r>
      <w:r>
        <w:t xml:space="preserve"> prolongation was slight</w:t>
      </w:r>
      <w:r w:rsidR="00DC0254">
        <w:rPr>
          <w:rFonts w:eastAsiaTheme="minorEastAsia" w:hint="eastAsia"/>
          <w:lang w:eastAsia="ja-JP"/>
        </w:rPr>
        <w:t xml:space="preserve"> </w:t>
      </w:r>
      <w:r>
        <w:t xml:space="preserve">(10-12%), but this exceeded the historical data range in the </w:t>
      </w:r>
      <w:r>
        <w:lastRenderedPageBreak/>
        <w:t xml:space="preserve">testing laboratory. While </w:t>
      </w:r>
      <w:r w:rsidR="00DC0254" w:rsidRPr="00DC0254">
        <w:rPr>
          <w:highlight w:val="magenta"/>
        </w:rPr>
        <w:t>PROJECT 4</w:t>
      </w:r>
      <w:r w:rsidRPr="00DC0254">
        <w:rPr>
          <w:highlight w:val="magenta"/>
        </w:rPr>
        <w:t xml:space="preserve"> induced marginal inhibition in the </w:t>
      </w:r>
      <w:proofErr w:type="spellStart"/>
      <w:r w:rsidRPr="00DC0254">
        <w:rPr>
          <w:highlight w:val="magenta"/>
        </w:rPr>
        <w:t>hERG</w:t>
      </w:r>
      <w:proofErr w:type="spellEnd"/>
      <w:r w:rsidRPr="00DC0254">
        <w:rPr>
          <w:highlight w:val="magenta"/>
        </w:rPr>
        <w:t xml:space="preserve"> assay</w:t>
      </w:r>
      <w:r>
        <w:t xml:space="preserve">, it was at a concentration approximately 1,000 times higher than that at the expected clinical exposure level. In addition, </w:t>
      </w:r>
      <w:r w:rsidRPr="00DC0254">
        <w:rPr>
          <w:highlight w:val="magenta"/>
        </w:rPr>
        <w:t>the results of the 4-week and single dose toxicity studies in cynomolgus monkeys showed no evidence of QT</w:t>
      </w:r>
      <w:r w:rsidRPr="00DC0254">
        <w:rPr>
          <w:highlight w:val="magenta"/>
          <w:vertAlign w:val="subscript"/>
        </w:rPr>
        <w:t>c</w:t>
      </w:r>
      <w:r w:rsidRPr="00DC0254">
        <w:rPr>
          <w:highlight w:val="magenta"/>
        </w:rPr>
        <w:t xml:space="preserve"> prolongation</w:t>
      </w:r>
      <w:r>
        <w:t xml:space="preserve"> at exposure levels up to 600 times the expected clinical exposure level. Therefore, although the cause of QTc prolongation in 1 of 4 animals remains unclear, the safety concern for QT prolongation in humans is considered small.</w:t>
      </w:r>
    </w:p>
    <w:p w:rsidR="0027470E" w:rsidRDefault="00320041">
      <w:pPr>
        <w:pStyle w:val="a3"/>
        <w:spacing w:before="114" w:line="261" w:lineRule="auto"/>
        <w:ind w:left="234" w:right="1435"/>
      </w:pPr>
      <w:r w:rsidRPr="00DC0254">
        <w:rPr>
          <w:highlight w:val="magenta"/>
        </w:rPr>
        <w:t xml:space="preserve">Increased arterial carbon dioxide tension and decreased heart rate, body temperature and plasma potassium level were observed at 10 and 30 mg/kg </w:t>
      </w:r>
      <w:r w:rsidR="00DC0254" w:rsidRPr="00DC0254">
        <w:rPr>
          <w:highlight w:val="magenta"/>
        </w:rPr>
        <w:t>PROJECT 4</w:t>
      </w:r>
      <w:r w:rsidRPr="00DC0254">
        <w:rPr>
          <w:highlight w:val="magenta"/>
        </w:rPr>
        <w:t>.</w:t>
      </w:r>
      <w:r>
        <w:t xml:space="preserve"> </w:t>
      </w:r>
      <w:r w:rsidRPr="00DC0254">
        <w:rPr>
          <w:highlight w:val="magenta"/>
        </w:rPr>
        <w:t>The decrease in heart rate was also observed in the 4-week study</w:t>
      </w:r>
      <w:r>
        <w:t xml:space="preserve"> and was likely related to a sedative effect of </w:t>
      </w:r>
      <w:r w:rsidR="00DC0254">
        <w:t>PROJECT 4</w:t>
      </w:r>
      <w:r>
        <w:t xml:space="preserve">, such as decreased spontaneous activity. The increase in arterial carbon dioxide tension and the decrease in body temperature may be related to such a sedative effect as well. The significance of the decrease in plasma potassium level, which was not detected in the 4- week monkey study, is unknown. Although these parameter changes may suggest some effects of </w:t>
      </w:r>
      <w:r w:rsidR="00DC0254">
        <w:t>PROJECT 4</w:t>
      </w:r>
      <w:r>
        <w:t xml:space="preserve"> on the cardiovascular and respiratory systems, the changes were all small and no serious effects on these organ systems were noted in the 4-week study even after repeated doses of </w:t>
      </w:r>
      <w:r w:rsidR="00DC0254">
        <w:t>PROJECT 4</w:t>
      </w:r>
      <w:r>
        <w:t>. Although the risk to humans is considered to be small, to avoid unexpected adverse reactions, ECG parameters as well as vital signs will be carefully monitored during future clinical trials.</w:t>
      </w:r>
    </w:p>
    <w:p w:rsidR="0027470E" w:rsidRDefault="00320041">
      <w:pPr>
        <w:pStyle w:val="3"/>
        <w:numPr>
          <w:ilvl w:val="2"/>
          <w:numId w:val="3"/>
        </w:numPr>
        <w:tabs>
          <w:tab w:val="left" w:pos="1098"/>
          <w:tab w:val="left" w:pos="1099"/>
        </w:tabs>
        <w:spacing w:before="115"/>
      </w:pPr>
      <w:bookmarkStart w:id="64" w:name="4.5.6_Conclusion"/>
      <w:bookmarkStart w:id="65" w:name="_bookmark82"/>
      <w:bookmarkEnd w:id="64"/>
      <w:bookmarkEnd w:id="65"/>
      <w:r>
        <w:t>Conclusion</w:t>
      </w:r>
    </w:p>
    <w:p w:rsidR="0027470E" w:rsidRDefault="00DC0254">
      <w:pPr>
        <w:pStyle w:val="a3"/>
        <w:spacing w:before="139" w:line="261" w:lineRule="auto"/>
        <w:ind w:left="234" w:right="2181"/>
      </w:pPr>
      <w:r>
        <w:t>PROJECT 4</w:t>
      </w:r>
      <w:r w:rsidR="00320041">
        <w:t xml:space="preserve"> was evaluated in nonclinical safety pharmacology and toxicology studies at exposure levels similar to those expected for future clinical studies.</w:t>
      </w:r>
    </w:p>
    <w:p w:rsidR="0027470E" w:rsidRDefault="00320041">
      <w:pPr>
        <w:pStyle w:val="a3"/>
        <w:spacing w:before="119" w:line="261" w:lineRule="auto"/>
        <w:ind w:left="234" w:right="1438"/>
      </w:pPr>
      <w:r>
        <w:t xml:space="preserve">Findings of potential concern for clinical trials included neurological signs and vomiting. All toxicological findings were observed at doses that produced systemic exposures greater than the predicted human exposure at the estimated effective dose. None of the toxicological findings were accompanied with pathological changes and all were reversible. </w:t>
      </w:r>
      <w:r w:rsidR="00DC0254">
        <w:t>PROJECT 4</w:t>
      </w:r>
      <w:r>
        <w:t xml:space="preserve"> was not genotoxic or teratogenic in either in vitro or in vivo studies. </w:t>
      </w:r>
      <w:r w:rsidR="00DC0254">
        <w:t>PROJECT 4</w:t>
      </w:r>
      <w:r>
        <w:t xml:space="preserve"> weakly inhibited the </w:t>
      </w:r>
      <w:proofErr w:type="spellStart"/>
      <w:r>
        <w:t>hERG</w:t>
      </w:r>
      <w:proofErr w:type="spellEnd"/>
      <w:r>
        <w:t xml:space="preserve"> current but it shortened (not prolonged) the action potential duration at extremely high concentration (approximately 1,000 times higher than the expected clinical exposure level). However, </w:t>
      </w:r>
      <w:r w:rsidR="00DC0254">
        <w:t>PROJECT 4</w:t>
      </w:r>
      <w:r>
        <w:t xml:space="preserve"> induced some minor effects on the cardiovascular and respiratory systems in monkeys. Therefore, clinical signs, ECG parameters and vital signs will be carefully monitored during future clinical trials.</w:t>
      </w:r>
    </w:p>
    <w:p w:rsidR="0027470E" w:rsidRDefault="00320041">
      <w:pPr>
        <w:pStyle w:val="a3"/>
        <w:spacing w:before="112" w:line="261" w:lineRule="auto"/>
        <w:ind w:left="234" w:right="1888"/>
      </w:pPr>
      <w:r>
        <w:t xml:space="preserve">There were no serious toxicological findings that would prohibit starting phase 1 clinical trials of </w:t>
      </w:r>
      <w:r w:rsidR="00DC0254">
        <w:t>PROJECT 4</w:t>
      </w:r>
      <w:r>
        <w:t>.</w:t>
      </w:r>
    </w:p>
    <w:p w:rsidR="0027470E" w:rsidRDefault="0027470E">
      <w:pPr>
        <w:spacing w:line="261" w:lineRule="auto"/>
        <w:sectPr w:rsidR="0027470E">
          <w:pgSz w:w="12240" w:h="15840"/>
          <w:pgMar w:top="1280" w:right="0" w:bottom="940" w:left="1580" w:header="578" w:footer="748" w:gutter="0"/>
          <w:cols w:space="720"/>
        </w:sectPr>
      </w:pPr>
    </w:p>
    <w:p w:rsidR="0027470E" w:rsidRDefault="00320041">
      <w:pPr>
        <w:pStyle w:val="2"/>
        <w:numPr>
          <w:ilvl w:val="1"/>
          <w:numId w:val="3"/>
        </w:numPr>
        <w:tabs>
          <w:tab w:val="left" w:pos="1098"/>
          <w:tab w:val="left" w:pos="1099"/>
        </w:tabs>
      </w:pPr>
      <w:bookmarkStart w:id="66" w:name="4.6_List_of_References"/>
      <w:bookmarkStart w:id="67" w:name="_bookmark83"/>
      <w:bookmarkEnd w:id="66"/>
      <w:bookmarkEnd w:id="67"/>
      <w:r>
        <w:lastRenderedPageBreak/>
        <w:t>List of</w:t>
      </w:r>
      <w:r>
        <w:rPr>
          <w:spacing w:val="-3"/>
        </w:rPr>
        <w:t xml:space="preserve"> </w:t>
      </w:r>
      <w:r>
        <w:t>References</w:t>
      </w:r>
    </w:p>
    <w:p w:rsidR="0027470E" w:rsidRDefault="00320041">
      <w:pPr>
        <w:spacing w:before="56"/>
        <w:ind w:left="810" w:right="1407" w:hanging="576"/>
      </w:pPr>
      <w:proofErr w:type="spellStart"/>
      <w:r>
        <w:t>Adriani</w:t>
      </w:r>
      <w:proofErr w:type="spellEnd"/>
      <w:r>
        <w:t xml:space="preserve"> W, </w:t>
      </w:r>
      <w:proofErr w:type="spellStart"/>
      <w:r>
        <w:t>Felici</w:t>
      </w:r>
      <w:proofErr w:type="spellEnd"/>
      <w:r>
        <w:t xml:space="preserve"> A, </w:t>
      </w:r>
      <w:proofErr w:type="spellStart"/>
      <w:r>
        <w:t>Sargolini</w:t>
      </w:r>
      <w:proofErr w:type="spellEnd"/>
      <w:r>
        <w:t xml:space="preserve"> F, </w:t>
      </w:r>
      <w:proofErr w:type="spellStart"/>
      <w:r>
        <w:t>Roullet</w:t>
      </w:r>
      <w:proofErr w:type="spellEnd"/>
      <w:r>
        <w:t xml:space="preserve"> P, </w:t>
      </w:r>
      <w:proofErr w:type="spellStart"/>
      <w:r>
        <w:t>Usiello</w:t>
      </w:r>
      <w:proofErr w:type="spellEnd"/>
      <w:r>
        <w:t xml:space="preserve"> A, </w:t>
      </w:r>
      <w:proofErr w:type="spellStart"/>
      <w:r>
        <w:t>Oliverio</w:t>
      </w:r>
      <w:proofErr w:type="spellEnd"/>
      <w:r>
        <w:t xml:space="preserve"> A, et al. </w:t>
      </w:r>
      <w:r>
        <w:rPr>
          <w:i/>
        </w:rPr>
        <w:t>N</w:t>
      </w:r>
      <w:r>
        <w:t>-methyl-</w:t>
      </w:r>
      <w:r>
        <w:rPr>
          <w:sz w:val="16"/>
        </w:rPr>
        <w:t>D</w:t>
      </w:r>
      <w:r>
        <w:t>-aspartate and dopamine receptor involvement in the modulation of locomotor activity and memory processes. 1998;123:52-59.</w:t>
      </w:r>
    </w:p>
    <w:p w:rsidR="0027470E" w:rsidRDefault="0027470E">
      <w:pPr>
        <w:pStyle w:val="a3"/>
        <w:spacing w:before="9"/>
        <w:rPr>
          <w:sz w:val="20"/>
        </w:rPr>
      </w:pPr>
    </w:p>
    <w:p w:rsidR="0027470E" w:rsidRDefault="00320041">
      <w:pPr>
        <w:spacing w:before="1"/>
        <w:ind w:left="810" w:right="1471" w:hanging="576"/>
      </w:pPr>
      <w:r>
        <w:t xml:space="preserve">de Costa BR, Bowen WD, </w:t>
      </w:r>
      <w:proofErr w:type="spellStart"/>
      <w:r>
        <w:t>Hellewell</w:t>
      </w:r>
      <w:proofErr w:type="spellEnd"/>
      <w:r>
        <w:t xml:space="preserve"> SB, Walker JM, </w:t>
      </w:r>
      <w:proofErr w:type="spellStart"/>
      <w:r>
        <w:t>Thurkauf</w:t>
      </w:r>
      <w:proofErr w:type="spellEnd"/>
      <w:r>
        <w:t xml:space="preserve"> A, Jacobson AE et al. Synthesis and evaluation of optically pure [3H]-(+)-pentazocine, a highly potent and selective radioligand for sigma receptors. FEBS Lett 1989;251:53-8.</w:t>
      </w:r>
    </w:p>
    <w:p w:rsidR="0027470E" w:rsidRDefault="0027470E">
      <w:pPr>
        <w:pStyle w:val="a3"/>
        <w:rPr>
          <w:sz w:val="21"/>
        </w:rPr>
      </w:pPr>
    </w:p>
    <w:p w:rsidR="0027470E" w:rsidRDefault="00320041">
      <w:pPr>
        <w:ind w:left="810" w:right="1487" w:hanging="576"/>
      </w:pPr>
      <w:proofErr w:type="spellStart"/>
      <w:r>
        <w:t>Uwagawa</w:t>
      </w:r>
      <w:proofErr w:type="spellEnd"/>
      <w:r>
        <w:t xml:space="preserve"> S, Nakayama A, </w:t>
      </w:r>
      <w:proofErr w:type="spellStart"/>
      <w:r>
        <w:t>Okuno</w:t>
      </w:r>
      <w:proofErr w:type="spellEnd"/>
      <w:r>
        <w:t xml:space="preserve"> Y and Kawasaki H. Exfoliated cells in the urine reflect transient and sustained elevation of cell proliferation in rat alpha 2u-globulin nephropathy. J </w:t>
      </w:r>
      <w:proofErr w:type="spellStart"/>
      <w:r>
        <w:t>Toxicol</w:t>
      </w:r>
      <w:proofErr w:type="spellEnd"/>
      <w:r>
        <w:t xml:space="preserve"> </w:t>
      </w:r>
      <w:proofErr w:type="spellStart"/>
      <w:r>
        <w:t>Pathol</w:t>
      </w:r>
      <w:proofErr w:type="spellEnd"/>
      <w:r>
        <w:t>. 1999;12: 59-64.</w:t>
      </w:r>
    </w:p>
    <w:p w:rsidR="0027470E" w:rsidRDefault="0027470E">
      <w:pPr>
        <w:pStyle w:val="a3"/>
        <w:spacing w:before="9"/>
        <w:rPr>
          <w:sz w:val="20"/>
        </w:rPr>
      </w:pPr>
    </w:p>
    <w:p w:rsidR="0027470E" w:rsidRDefault="00320041" w:rsidP="00320041">
      <w:pPr>
        <w:ind w:left="810" w:right="2236" w:hanging="576"/>
        <w:rPr>
          <w:sz w:val="23"/>
        </w:rPr>
      </w:pPr>
      <w:proofErr w:type="spellStart"/>
      <w:r>
        <w:t>Werling</w:t>
      </w:r>
      <w:proofErr w:type="spellEnd"/>
      <w:r>
        <w:t xml:space="preserve"> LL, Keller A, Frank JG, </w:t>
      </w:r>
      <w:proofErr w:type="spellStart"/>
      <w:r>
        <w:t>Nuwayhid</w:t>
      </w:r>
      <w:proofErr w:type="spellEnd"/>
      <w:r>
        <w:t xml:space="preserve"> SJ. A comparison of the binding profiles of dextromethorphan, memantine, fluoxetine and amitriptyline: Treatment of involuntary emotional expression disorder. Exp Neurol 2007;207:248-57.</w:t>
      </w:r>
    </w:p>
    <w:sectPr w:rsidR="0027470E">
      <w:headerReference w:type="default" r:id="rId9"/>
      <w:footerReference w:type="default" r:id="rId10"/>
      <w:type w:val="continuous"/>
      <w:pgSz w:w="11910" w:h="16840"/>
      <w:pgMar w:top="1280" w:right="1160" w:bottom="940" w:left="11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7058" w:rsidRDefault="00107058">
      <w:r>
        <w:separator/>
      </w:r>
    </w:p>
  </w:endnote>
  <w:endnote w:type="continuationSeparator" w:id="0">
    <w:p w:rsidR="00107058" w:rsidRDefault="00107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70E" w:rsidRDefault="009F2004">
    <w:pPr>
      <w:pStyle w:val="a3"/>
      <w:spacing w:line="14" w:lineRule="auto"/>
      <w:rPr>
        <w:sz w:val="20"/>
      </w:rPr>
    </w:pPr>
    <w:r>
      <w:pict>
        <v:shapetype id="_x0000_t202" coordsize="21600,21600" o:spt="202" path="m,l,21600r21600,l21600,xe">
          <v:stroke joinstyle="miter"/>
          <v:path gradientshapeok="t" o:connecttype="rect"/>
        </v:shapetype>
        <v:shape id="_x0000_s2118" type="#_x0000_t202" style="position:absolute;margin-left:89.7pt;margin-top:743.6pt;width:39.7pt;height:13.05pt;z-index:-584776;mso-position-horizontal-relative:page;mso-position-vertical-relative:page" filled="f" stroked="f">
          <v:textbox style="mso-next-textbox:#_x0000_s2118" inset="0,0,0,0">
            <w:txbxContent>
              <w:p w:rsidR="0027470E" w:rsidRDefault="00320041">
                <w:pPr>
                  <w:spacing w:before="10"/>
                  <w:ind w:left="20"/>
                  <w:rPr>
                    <w:sz w:val="20"/>
                  </w:rPr>
                </w:pPr>
                <w:r>
                  <w:rPr>
                    <w:color w:val="323232"/>
                    <w:sz w:val="20"/>
                  </w:rPr>
                  <w:t>Feb 2009</w:t>
                </w:r>
              </w:p>
            </w:txbxContent>
          </v:textbox>
          <w10:wrap anchorx="page" anchory="page"/>
        </v:shape>
      </w:pict>
    </w:r>
    <w:r>
      <w:pict>
        <v:shape id="_x0000_s2117" type="#_x0000_t202" style="position:absolute;margin-left:300.45pt;margin-top:743.6pt;width:34.1pt;height:13.05pt;z-index:-584752;mso-position-horizontal-relative:page;mso-position-vertical-relative:page" filled="f" stroked="f">
          <v:textbox style="mso-next-textbox:#_x0000_s2117" inset="0,0,0,0">
            <w:txbxContent>
              <w:p w:rsidR="0027470E" w:rsidRDefault="00320041">
                <w:pPr>
                  <w:spacing w:before="10"/>
                  <w:ind w:left="20"/>
                  <w:rPr>
                    <w:sz w:val="20"/>
                  </w:rPr>
                </w:pPr>
                <w:r>
                  <w:rPr>
                    <w:color w:val="323232"/>
                    <w:sz w:val="20"/>
                  </w:rPr>
                  <w:t>Astellas</w:t>
                </w:r>
              </w:p>
            </w:txbxContent>
          </v:textbox>
          <w10:wrap anchorx="page" anchory="page"/>
        </v:shape>
      </w:pict>
    </w:r>
    <w:r>
      <w:pict>
        <v:shape id="_x0000_s2116" type="#_x0000_t202" style="position:absolute;margin-left:487.9pt;margin-top:743.6pt;width:57.45pt;height:13.05pt;z-index:-584728;mso-position-horizontal-relative:page;mso-position-vertical-relative:page" filled="f" stroked="f">
          <v:textbox style="mso-next-textbox:#_x0000_s2116" inset="0,0,0,0">
            <w:txbxContent>
              <w:p w:rsidR="0027470E" w:rsidRDefault="00320041">
                <w:pPr>
                  <w:spacing w:before="10"/>
                  <w:ind w:left="20"/>
                  <w:rPr>
                    <w:sz w:val="20"/>
                  </w:rPr>
                </w:pPr>
                <w:r>
                  <w:rPr>
                    <w:color w:val="323232"/>
                    <w:sz w:val="20"/>
                  </w:rPr>
                  <w:t xml:space="preserve">Page </w:t>
                </w:r>
                <w:r>
                  <w:fldChar w:fldCharType="begin"/>
                </w:r>
                <w:r>
                  <w:rPr>
                    <w:sz w:val="20"/>
                  </w:rPr>
                  <w:instrText xml:space="preserve"> PAGE </w:instrText>
                </w:r>
                <w:r>
                  <w:fldChar w:fldCharType="separate"/>
                </w:r>
                <w:r>
                  <w:t>10</w:t>
                </w:r>
                <w:r>
                  <w:fldChar w:fldCharType="end"/>
                </w:r>
                <w:r>
                  <w:rPr>
                    <w:sz w:val="20"/>
                  </w:rPr>
                  <w:t xml:space="preserve"> of 53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70E" w:rsidRDefault="0027470E">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7058" w:rsidRDefault="00107058">
      <w:r>
        <w:separator/>
      </w:r>
    </w:p>
  </w:footnote>
  <w:footnote w:type="continuationSeparator" w:id="0">
    <w:p w:rsidR="00107058" w:rsidRDefault="00107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70E" w:rsidRDefault="0027470E">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70E" w:rsidRDefault="0027470E">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432A1"/>
    <w:multiLevelType w:val="multilevel"/>
    <w:tmpl w:val="7EE24254"/>
    <w:lvl w:ilvl="0">
      <w:start w:val="5"/>
      <w:numFmt w:val="decimal"/>
      <w:lvlText w:val="%1"/>
      <w:lvlJc w:val="left"/>
      <w:pPr>
        <w:ind w:left="1098" w:hanging="864"/>
      </w:pPr>
      <w:rPr>
        <w:rFonts w:hint="default"/>
      </w:rPr>
    </w:lvl>
    <w:lvl w:ilvl="1">
      <w:start w:val="1"/>
      <w:numFmt w:val="decimal"/>
      <w:lvlText w:val="%1.%2"/>
      <w:lvlJc w:val="left"/>
      <w:pPr>
        <w:ind w:left="1098" w:hanging="864"/>
      </w:pPr>
      <w:rPr>
        <w:rFonts w:ascii="Times New Roman" w:eastAsia="Times New Roman" w:hAnsi="Times New Roman" w:cs="Times New Roman" w:hint="default"/>
        <w:b/>
        <w:bCs/>
        <w:w w:val="100"/>
        <w:sz w:val="28"/>
        <w:szCs w:val="28"/>
      </w:rPr>
    </w:lvl>
    <w:lvl w:ilvl="2">
      <w:start w:val="1"/>
      <w:numFmt w:val="decimal"/>
      <w:lvlText w:val="%1.%2.%3"/>
      <w:lvlJc w:val="left"/>
      <w:pPr>
        <w:ind w:left="1098" w:hanging="864"/>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98" w:hanging="864"/>
      </w:pPr>
      <w:rPr>
        <w:rFonts w:ascii="Times New Roman" w:eastAsia="Times New Roman" w:hAnsi="Times New Roman" w:cs="Times New Roman" w:hint="default"/>
        <w:b/>
        <w:bCs/>
        <w:w w:val="100"/>
        <w:sz w:val="24"/>
        <w:szCs w:val="24"/>
      </w:rPr>
    </w:lvl>
    <w:lvl w:ilvl="4">
      <w:numFmt w:val="bullet"/>
      <w:lvlText w:val="•"/>
      <w:lvlJc w:val="left"/>
      <w:pPr>
        <w:ind w:left="4924" w:hanging="864"/>
      </w:pPr>
      <w:rPr>
        <w:rFonts w:hint="default"/>
      </w:rPr>
    </w:lvl>
    <w:lvl w:ilvl="5">
      <w:numFmt w:val="bullet"/>
      <w:lvlText w:val="•"/>
      <w:lvlJc w:val="left"/>
      <w:pPr>
        <w:ind w:left="5880" w:hanging="864"/>
      </w:pPr>
      <w:rPr>
        <w:rFonts w:hint="default"/>
      </w:rPr>
    </w:lvl>
    <w:lvl w:ilvl="6">
      <w:numFmt w:val="bullet"/>
      <w:lvlText w:val="•"/>
      <w:lvlJc w:val="left"/>
      <w:pPr>
        <w:ind w:left="6836" w:hanging="864"/>
      </w:pPr>
      <w:rPr>
        <w:rFonts w:hint="default"/>
      </w:rPr>
    </w:lvl>
    <w:lvl w:ilvl="7">
      <w:numFmt w:val="bullet"/>
      <w:lvlText w:val="•"/>
      <w:lvlJc w:val="left"/>
      <w:pPr>
        <w:ind w:left="7792" w:hanging="864"/>
      </w:pPr>
      <w:rPr>
        <w:rFonts w:hint="default"/>
      </w:rPr>
    </w:lvl>
    <w:lvl w:ilvl="8">
      <w:numFmt w:val="bullet"/>
      <w:lvlText w:val="•"/>
      <w:lvlJc w:val="left"/>
      <w:pPr>
        <w:ind w:left="8748" w:hanging="864"/>
      </w:pPr>
      <w:rPr>
        <w:rFonts w:hint="default"/>
      </w:rPr>
    </w:lvl>
  </w:abstractNum>
  <w:abstractNum w:abstractNumId="1" w15:restartNumberingAfterBreak="0">
    <w:nsid w:val="0C4F62AC"/>
    <w:multiLevelType w:val="multilevel"/>
    <w:tmpl w:val="619620E2"/>
    <w:lvl w:ilvl="0">
      <w:start w:val="4"/>
      <w:numFmt w:val="decimal"/>
      <w:lvlText w:val="%1"/>
      <w:lvlJc w:val="left"/>
      <w:pPr>
        <w:ind w:left="1098" w:hanging="864"/>
      </w:pPr>
      <w:rPr>
        <w:rFonts w:hint="default"/>
      </w:rPr>
    </w:lvl>
    <w:lvl w:ilvl="1">
      <w:start w:val="4"/>
      <w:numFmt w:val="decimal"/>
      <w:lvlText w:val="%1.%2"/>
      <w:lvlJc w:val="left"/>
      <w:pPr>
        <w:ind w:left="1098" w:hanging="864"/>
      </w:pPr>
      <w:rPr>
        <w:rFonts w:hint="default"/>
      </w:rPr>
    </w:lvl>
    <w:lvl w:ilvl="2">
      <w:start w:val="7"/>
      <w:numFmt w:val="decimal"/>
      <w:lvlText w:val="%1.%2.%3"/>
      <w:lvlJc w:val="left"/>
      <w:pPr>
        <w:ind w:left="1098" w:hanging="864"/>
      </w:pPr>
      <w:rPr>
        <w:rFonts w:hint="default"/>
      </w:rPr>
    </w:lvl>
    <w:lvl w:ilvl="3">
      <w:start w:val="2"/>
      <w:numFmt w:val="decimal"/>
      <w:lvlText w:val="%1.%2.%3.%4"/>
      <w:lvlJc w:val="left"/>
      <w:pPr>
        <w:ind w:left="1098" w:hanging="864"/>
      </w:pPr>
      <w:rPr>
        <w:rFonts w:ascii="Times New Roman" w:eastAsia="ＭＳ 明朝" w:hAnsi="Times New Roman" w:cs="Times New Roman" w:hint="default"/>
        <w:b/>
        <w:bCs/>
        <w:spacing w:val="-1"/>
        <w:w w:val="100"/>
        <w:sz w:val="24"/>
        <w:szCs w:val="24"/>
      </w:rPr>
    </w:lvl>
    <w:lvl w:ilvl="4">
      <w:start w:val="1"/>
      <w:numFmt w:val="upperLetter"/>
      <w:lvlText w:val="(%5)"/>
      <w:lvlJc w:val="left"/>
      <w:pPr>
        <w:ind w:left="2003" w:hanging="329"/>
      </w:pPr>
      <w:rPr>
        <w:rFonts w:ascii="Times New Roman" w:eastAsia="ＭＳ 明朝" w:hAnsi="Times New Roman" w:cs="Times New Roman" w:hint="default"/>
        <w:b/>
        <w:bCs/>
        <w:w w:val="99"/>
        <w:sz w:val="20"/>
        <w:szCs w:val="20"/>
      </w:rPr>
    </w:lvl>
    <w:lvl w:ilvl="5">
      <w:numFmt w:val="bullet"/>
      <w:lvlText w:val="•"/>
      <w:lvlJc w:val="left"/>
      <w:pPr>
        <w:ind w:left="5848" w:hanging="329"/>
      </w:pPr>
      <w:rPr>
        <w:rFonts w:hint="default"/>
      </w:rPr>
    </w:lvl>
    <w:lvl w:ilvl="6">
      <w:numFmt w:val="bullet"/>
      <w:lvlText w:val="•"/>
      <w:lvlJc w:val="left"/>
      <w:pPr>
        <w:ind w:left="6811" w:hanging="329"/>
      </w:pPr>
      <w:rPr>
        <w:rFonts w:hint="default"/>
      </w:rPr>
    </w:lvl>
    <w:lvl w:ilvl="7">
      <w:numFmt w:val="bullet"/>
      <w:lvlText w:val="•"/>
      <w:lvlJc w:val="left"/>
      <w:pPr>
        <w:ind w:left="7773" w:hanging="329"/>
      </w:pPr>
      <w:rPr>
        <w:rFonts w:hint="default"/>
      </w:rPr>
    </w:lvl>
    <w:lvl w:ilvl="8">
      <w:numFmt w:val="bullet"/>
      <w:lvlText w:val="•"/>
      <w:lvlJc w:val="left"/>
      <w:pPr>
        <w:ind w:left="8735" w:hanging="329"/>
      </w:pPr>
      <w:rPr>
        <w:rFonts w:hint="default"/>
      </w:rPr>
    </w:lvl>
  </w:abstractNum>
  <w:abstractNum w:abstractNumId="2" w15:restartNumberingAfterBreak="0">
    <w:nsid w:val="1AD6469D"/>
    <w:multiLevelType w:val="hybridMultilevel"/>
    <w:tmpl w:val="6684578E"/>
    <w:lvl w:ilvl="0" w:tplc="397EE830">
      <w:start w:val="1"/>
      <w:numFmt w:val="upperLetter"/>
      <w:lvlText w:val="(%1)"/>
      <w:lvlJc w:val="left"/>
      <w:pPr>
        <w:ind w:left="1986" w:hanging="329"/>
      </w:pPr>
      <w:rPr>
        <w:rFonts w:ascii="Times New Roman" w:eastAsia="Times New Roman" w:hAnsi="Times New Roman" w:cs="Times New Roman" w:hint="default"/>
        <w:b/>
        <w:bCs/>
        <w:w w:val="99"/>
        <w:sz w:val="20"/>
        <w:szCs w:val="20"/>
      </w:rPr>
    </w:lvl>
    <w:lvl w:ilvl="1" w:tplc="2F94BC20">
      <w:start w:val="1"/>
      <w:numFmt w:val="upperLetter"/>
      <w:lvlText w:val="(%2)"/>
      <w:lvlJc w:val="left"/>
      <w:pPr>
        <w:ind w:left="4772" w:hanging="329"/>
        <w:jc w:val="right"/>
      </w:pPr>
      <w:rPr>
        <w:rFonts w:ascii="Times New Roman" w:eastAsia="Times New Roman" w:hAnsi="Times New Roman" w:cs="Times New Roman" w:hint="default"/>
        <w:b/>
        <w:bCs/>
        <w:w w:val="99"/>
        <w:sz w:val="20"/>
        <w:szCs w:val="20"/>
      </w:rPr>
    </w:lvl>
    <w:lvl w:ilvl="2" w:tplc="C7E63EEE">
      <w:numFmt w:val="bullet"/>
      <w:lvlText w:val="•"/>
      <w:lvlJc w:val="left"/>
      <w:pPr>
        <w:ind w:left="5433" w:hanging="329"/>
      </w:pPr>
      <w:rPr>
        <w:rFonts w:hint="default"/>
      </w:rPr>
    </w:lvl>
    <w:lvl w:ilvl="3" w:tplc="9028D8F6">
      <w:numFmt w:val="bullet"/>
      <w:lvlText w:val="•"/>
      <w:lvlJc w:val="left"/>
      <w:pPr>
        <w:ind w:left="6086" w:hanging="329"/>
      </w:pPr>
      <w:rPr>
        <w:rFonts w:hint="default"/>
      </w:rPr>
    </w:lvl>
    <w:lvl w:ilvl="4" w:tplc="CFE0550A">
      <w:numFmt w:val="bullet"/>
      <w:lvlText w:val="•"/>
      <w:lvlJc w:val="left"/>
      <w:pPr>
        <w:ind w:left="6740" w:hanging="329"/>
      </w:pPr>
      <w:rPr>
        <w:rFonts w:hint="default"/>
      </w:rPr>
    </w:lvl>
    <w:lvl w:ilvl="5" w:tplc="DAB61578">
      <w:numFmt w:val="bullet"/>
      <w:lvlText w:val="•"/>
      <w:lvlJc w:val="left"/>
      <w:pPr>
        <w:ind w:left="7393" w:hanging="329"/>
      </w:pPr>
      <w:rPr>
        <w:rFonts w:hint="default"/>
      </w:rPr>
    </w:lvl>
    <w:lvl w:ilvl="6" w:tplc="21B46C4C">
      <w:numFmt w:val="bullet"/>
      <w:lvlText w:val="•"/>
      <w:lvlJc w:val="left"/>
      <w:pPr>
        <w:ind w:left="8046" w:hanging="329"/>
      </w:pPr>
      <w:rPr>
        <w:rFonts w:hint="default"/>
      </w:rPr>
    </w:lvl>
    <w:lvl w:ilvl="7" w:tplc="F738CAD6">
      <w:numFmt w:val="bullet"/>
      <w:lvlText w:val="•"/>
      <w:lvlJc w:val="left"/>
      <w:pPr>
        <w:ind w:left="8700" w:hanging="329"/>
      </w:pPr>
      <w:rPr>
        <w:rFonts w:hint="default"/>
      </w:rPr>
    </w:lvl>
    <w:lvl w:ilvl="8" w:tplc="043A79D2">
      <w:numFmt w:val="bullet"/>
      <w:lvlText w:val="•"/>
      <w:lvlJc w:val="left"/>
      <w:pPr>
        <w:ind w:left="9353" w:hanging="329"/>
      </w:pPr>
      <w:rPr>
        <w:rFonts w:hint="default"/>
      </w:rPr>
    </w:lvl>
  </w:abstractNum>
  <w:abstractNum w:abstractNumId="3" w15:restartNumberingAfterBreak="0">
    <w:nsid w:val="1EE60223"/>
    <w:multiLevelType w:val="multilevel"/>
    <w:tmpl w:val="2FBA42B8"/>
    <w:lvl w:ilvl="0">
      <w:start w:val="4"/>
      <w:numFmt w:val="decimal"/>
      <w:lvlText w:val="%1"/>
      <w:lvlJc w:val="left"/>
      <w:pPr>
        <w:ind w:left="1386" w:hanging="1152"/>
      </w:pPr>
      <w:rPr>
        <w:rFonts w:hint="default"/>
      </w:rPr>
    </w:lvl>
    <w:lvl w:ilvl="1">
      <w:start w:val="4"/>
      <w:numFmt w:val="decimal"/>
      <w:lvlText w:val="%1.%2"/>
      <w:lvlJc w:val="left"/>
      <w:pPr>
        <w:ind w:left="1386" w:hanging="1152"/>
      </w:pPr>
      <w:rPr>
        <w:rFonts w:hint="default"/>
      </w:rPr>
    </w:lvl>
    <w:lvl w:ilvl="2">
      <w:start w:val="5"/>
      <w:numFmt w:val="decimal"/>
      <w:lvlText w:val="%1.%2.%3"/>
      <w:lvlJc w:val="left"/>
      <w:pPr>
        <w:ind w:left="1386" w:hanging="1152"/>
      </w:pPr>
      <w:rPr>
        <w:rFonts w:hint="default"/>
      </w:rPr>
    </w:lvl>
    <w:lvl w:ilvl="3">
      <w:start w:val="1"/>
      <w:numFmt w:val="decimal"/>
      <w:lvlText w:val="%1.%2.%3.%4"/>
      <w:lvlJc w:val="left"/>
      <w:pPr>
        <w:ind w:left="1386" w:hanging="1152"/>
      </w:pPr>
      <w:rPr>
        <w:rFonts w:hint="default"/>
      </w:rPr>
    </w:lvl>
    <w:lvl w:ilvl="4">
      <w:start w:val="1"/>
      <w:numFmt w:val="decimal"/>
      <w:lvlText w:val="%1.%2.%3.%4.%5"/>
      <w:lvlJc w:val="left"/>
      <w:pPr>
        <w:ind w:left="1386" w:hanging="1152"/>
      </w:pPr>
      <w:rPr>
        <w:rFonts w:ascii="Times New Roman" w:eastAsia="Times New Roman" w:hAnsi="Times New Roman" w:cs="Times New Roman" w:hint="default"/>
        <w:b/>
        <w:bCs/>
        <w:spacing w:val="-1"/>
        <w:w w:val="100"/>
        <w:sz w:val="24"/>
        <w:szCs w:val="24"/>
      </w:rPr>
    </w:lvl>
    <w:lvl w:ilvl="5">
      <w:numFmt w:val="bullet"/>
      <w:lvlText w:val="•"/>
      <w:lvlJc w:val="left"/>
      <w:pPr>
        <w:ind w:left="6020" w:hanging="1152"/>
      </w:pPr>
      <w:rPr>
        <w:rFonts w:hint="default"/>
      </w:rPr>
    </w:lvl>
    <w:lvl w:ilvl="6">
      <w:numFmt w:val="bullet"/>
      <w:lvlText w:val="•"/>
      <w:lvlJc w:val="left"/>
      <w:pPr>
        <w:ind w:left="6948" w:hanging="1152"/>
      </w:pPr>
      <w:rPr>
        <w:rFonts w:hint="default"/>
      </w:rPr>
    </w:lvl>
    <w:lvl w:ilvl="7">
      <w:numFmt w:val="bullet"/>
      <w:lvlText w:val="•"/>
      <w:lvlJc w:val="left"/>
      <w:pPr>
        <w:ind w:left="7876" w:hanging="1152"/>
      </w:pPr>
      <w:rPr>
        <w:rFonts w:hint="default"/>
      </w:rPr>
    </w:lvl>
    <w:lvl w:ilvl="8">
      <w:numFmt w:val="bullet"/>
      <w:lvlText w:val="•"/>
      <w:lvlJc w:val="left"/>
      <w:pPr>
        <w:ind w:left="8804" w:hanging="1152"/>
      </w:pPr>
      <w:rPr>
        <w:rFonts w:hint="default"/>
      </w:rPr>
    </w:lvl>
  </w:abstractNum>
  <w:abstractNum w:abstractNumId="4" w15:restartNumberingAfterBreak="0">
    <w:nsid w:val="32B34952"/>
    <w:multiLevelType w:val="multilevel"/>
    <w:tmpl w:val="EBFCE646"/>
    <w:lvl w:ilvl="0">
      <w:start w:val="1"/>
      <w:numFmt w:val="decimal"/>
      <w:lvlText w:val="%1"/>
      <w:lvlJc w:val="left"/>
      <w:pPr>
        <w:ind w:left="1098" w:hanging="864"/>
      </w:pPr>
      <w:rPr>
        <w:rFonts w:ascii="Times New Roman" w:eastAsia="Times New Roman" w:hAnsi="Times New Roman" w:cs="Times New Roman" w:hint="default"/>
        <w:b/>
        <w:bCs/>
        <w:w w:val="100"/>
        <w:sz w:val="28"/>
        <w:szCs w:val="28"/>
      </w:rPr>
    </w:lvl>
    <w:lvl w:ilvl="1">
      <w:start w:val="1"/>
      <w:numFmt w:val="decimal"/>
      <w:lvlText w:val="%1.%2"/>
      <w:lvlJc w:val="left"/>
      <w:pPr>
        <w:ind w:left="1098" w:hanging="864"/>
      </w:pPr>
      <w:rPr>
        <w:rFonts w:ascii="Times New Roman" w:eastAsia="Times New Roman" w:hAnsi="Times New Roman" w:cs="Times New Roman" w:hint="default"/>
        <w:b/>
        <w:bCs/>
        <w:w w:val="100"/>
        <w:sz w:val="28"/>
        <w:szCs w:val="28"/>
      </w:rPr>
    </w:lvl>
    <w:lvl w:ilvl="2">
      <w:start w:val="1"/>
      <w:numFmt w:val="decimal"/>
      <w:lvlText w:val="%1.%2.%3"/>
      <w:lvlJc w:val="left"/>
      <w:pPr>
        <w:ind w:left="1098" w:hanging="864"/>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98" w:hanging="864"/>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86" w:hanging="1152"/>
      </w:pPr>
      <w:rPr>
        <w:rFonts w:ascii="Times New Roman" w:eastAsia="Times New Roman" w:hAnsi="Times New Roman" w:cs="Times New Roman" w:hint="default"/>
        <w:b/>
        <w:bCs/>
        <w:spacing w:val="-1"/>
        <w:w w:val="100"/>
        <w:sz w:val="24"/>
        <w:szCs w:val="24"/>
      </w:rPr>
    </w:lvl>
    <w:lvl w:ilvl="5">
      <w:start w:val="1"/>
      <w:numFmt w:val="upperLetter"/>
      <w:lvlText w:val="(%6)"/>
      <w:lvlJc w:val="left"/>
      <w:pPr>
        <w:ind w:left="2003" w:hanging="329"/>
      </w:pPr>
      <w:rPr>
        <w:rFonts w:ascii="Times New Roman" w:eastAsia="Times New Roman" w:hAnsi="Times New Roman" w:cs="Times New Roman" w:hint="default"/>
        <w:b/>
        <w:bCs/>
        <w:w w:val="99"/>
        <w:sz w:val="20"/>
        <w:szCs w:val="20"/>
      </w:rPr>
    </w:lvl>
    <w:lvl w:ilvl="6">
      <w:numFmt w:val="bullet"/>
      <w:lvlText w:val="•"/>
      <w:lvlJc w:val="left"/>
      <w:pPr>
        <w:ind w:left="6330" w:hanging="329"/>
      </w:pPr>
      <w:rPr>
        <w:rFonts w:hint="default"/>
      </w:rPr>
    </w:lvl>
    <w:lvl w:ilvl="7">
      <w:numFmt w:val="bullet"/>
      <w:lvlText w:val="•"/>
      <w:lvlJc w:val="left"/>
      <w:pPr>
        <w:ind w:left="7412" w:hanging="329"/>
      </w:pPr>
      <w:rPr>
        <w:rFonts w:hint="default"/>
      </w:rPr>
    </w:lvl>
    <w:lvl w:ilvl="8">
      <w:numFmt w:val="bullet"/>
      <w:lvlText w:val="•"/>
      <w:lvlJc w:val="left"/>
      <w:pPr>
        <w:ind w:left="8495" w:hanging="329"/>
      </w:pPr>
      <w:rPr>
        <w:rFonts w:hint="default"/>
      </w:rPr>
    </w:lvl>
  </w:abstractNum>
  <w:abstractNum w:abstractNumId="5" w15:restartNumberingAfterBreak="0">
    <w:nsid w:val="34D22AB2"/>
    <w:multiLevelType w:val="multilevel"/>
    <w:tmpl w:val="B6661170"/>
    <w:lvl w:ilvl="0">
      <w:start w:val="4"/>
      <w:numFmt w:val="decimal"/>
      <w:lvlText w:val="%1"/>
      <w:lvlJc w:val="left"/>
      <w:pPr>
        <w:ind w:left="1530" w:hanging="1296"/>
      </w:pPr>
      <w:rPr>
        <w:rFonts w:hint="default"/>
      </w:rPr>
    </w:lvl>
    <w:lvl w:ilvl="1">
      <w:start w:val="2"/>
      <w:numFmt w:val="decimal"/>
      <w:lvlText w:val="%1.%2"/>
      <w:lvlJc w:val="left"/>
      <w:pPr>
        <w:ind w:left="1530" w:hanging="1296"/>
      </w:pPr>
      <w:rPr>
        <w:rFonts w:hint="default"/>
      </w:rPr>
    </w:lvl>
    <w:lvl w:ilvl="2">
      <w:start w:val="2"/>
      <w:numFmt w:val="decimal"/>
      <w:lvlText w:val="%1.%2.%3"/>
      <w:lvlJc w:val="left"/>
      <w:pPr>
        <w:ind w:left="1530" w:hanging="1296"/>
      </w:pPr>
      <w:rPr>
        <w:rFonts w:hint="default"/>
      </w:rPr>
    </w:lvl>
    <w:lvl w:ilvl="3">
      <w:start w:val="2"/>
      <w:numFmt w:val="decimal"/>
      <w:lvlText w:val="%1.%2.%3.%4"/>
      <w:lvlJc w:val="left"/>
      <w:pPr>
        <w:ind w:left="1530" w:hanging="1296"/>
      </w:pPr>
      <w:rPr>
        <w:rFonts w:hint="default"/>
      </w:rPr>
    </w:lvl>
    <w:lvl w:ilvl="4">
      <w:start w:val="1"/>
      <w:numFmt w:val="decimal"/>
      <w:lvlText w:val="%1.%2.%3.%4.%5"/>
      <w:lvlJc w:val="left"/>
      <w:pPr>
        <w:ind w:left="1530" w:hanging="1296"/>
      </w:pPr>
      <w:rPr>
        <w:rFonts w:hint="default"/>
      </w:rPr>
    </w:lvl>
    <w:lvl w:ilvl="5">
      <w:start w:val="1"/>
      <w:numFmt w:val="decimal"/>
      <w:lvlText w:val="%1.%2.%3.%4.%5.%6"/>
      <w:lvlJc w:val="left"/>
      <w:pPr>
        <w:ind w:left="1530" w:hanging="1296"/>
      </w:pPr>
      <w:rPr>
        <w:rFonts w:ascii="Times New Roman" w:eastAsia="Times New Roman" w:hAnsi="Times New Roman" w:cs="Times New Roman" w:hint="default"/>
        <w:b/>
        <w:bCs/>
        <w:w w:val="100"/>
        <w:sz w:val="22"/>
        <w:szCs w:val="22"/>
      </w:rPr>
    </w:lvl>
    <w:lvl w:ilvl="6">
      <w:numFmt w:val="bullet"/>
      <w:lvlText w:val="•"/>
      <w:lvlJc w:val="left"/>
      <w:pPr>
        <w:ind w:left="7012" w:hanging="1296"/>
      </w:pPr>
      <w:rPr>
        <w:rFonts w:hint="default"/>
      </w:rPr>
    </w:lvl>
    <w:lvl w:ilvl="7">
      <w:numFmt w:val="bullet"/>
      <w:lvlText w:val="•"/>
      <w:lvlJc w:val="left"/>
      <w:pPr>
        <w:ind w:left="7924" w:hanging="1296"/>
      </w:pPr>
      <w:rPr>
        <w:rFonts w:hint="default"/>
      </w:rPr>
    </w:lvl>
    <w:lvl w:ilvl="8">
      <w:numFmt w:val="bullet"/>
      <w:lvlText w:val="•"/>
      <w:lvlJc w:val="left"/>
      <w:pPr>
        <w:ind w:left="8836" w:hanging="1296"/>
      </w:pPr>
      <w:rPr>
        <w:rFonts w:hint="default"/>
      </w:rPr>
    </w:lvl>
  </w:abstractNum>
  <w:abstractNum w:abstractNumId="6" w15:restartNumberingAfterBreak="0">
    <w:nsid w:val="35BC1FD1"/>
    <w:multiLevelType w:val="multilevel"/>
    <w:tmpl w:val="455E760A"/>
    <w:lvl w:ilvl="0">
      <w:start w:val="4"/>
      <w:numFmt w:val="decimal"/>
      <w:lvlText w:val="%1"/>
      <w:lvlJc w:val="left"/>
      <w:pPr>
        <w:ind w:left="1098" w:hanging="864"/>
      </w:pPr>
      <w:rPr>
        <w:rFonts w:hint="default"/>
      </w:rPr>
    </w:lvl>
    <w:lvl w:ilvl="1">
      <w:start w:val="4"/>
      <w:numFmt w:val="decimal"/>
      <w:lvlText w:val="%1.%2"/>
      <w:lvlJc w:val="left"/>
      <w:pPr>
        <w:ind w:left="1098" w:hanging="864"/>
      </w:pPr>
      <w:rPr>
        <w:rFonts w:hint="default"/>
      </w:rPr>
    </w:lvl>
    <w:lvl w:ilvl="2">
      <w:start w:val="1"/>
      <w:numFmt w:val="decimal"/>
      <w:lvlText w:val="%1.%2.%3"/>
      <w:lvlJc w:val="left"/>
      <w:pPr>
        <w:ind w:left="1098" w:hanging="864"/>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98" w:hanging="864"/>
      </w:pPr>
      <w:rPr>
        <w:rFonts w:ascii="Times New Roman" w:eastAsia="Times New Roman" w:hAnsi="Times New Roman" w:cs="Times New Roman" w:hint="default"/>
        <w:b/>
        <w:bCs/>
        <w:w w:val="100"/>
        <w:sz w:val="24"/>
        <w:szCs w:val="24"/>
      </w:rPr>
    </w:lvl>
    <w:lvl w:ilvl="4">
      <w:start w:val="1"/>
      <w:numFmt w:val="decimal"/>
      <w:lvlText w:val="%1.%2.%3.%4.%5"/>
      <w:lvlJc w:val="left"/>
      <w:pPr>
        <w:ind w:left="1386" w:hanging="1152"/>
      </w:pPr>
      <w:rPr>
        <w:rFonts w:ascii="Times New Roman" w:eastAsia="Times New Roman" w:hAnsi="Times New Roman" w:cs="Times New Roman" w:hint="default"/>
        <w:b/>
        <w:bCs/>
        <w:spacing w:val="-1"/>
        <w:w w:val="100"/>
        <w:sz w:val="24"/>
        <w:szCs w:val="24"/>
      </w:rPr>
    </w:lvl>
    <w:lvl w:ilvl="5">
      <w:numFmt w:val="bullet"/>
      <w:lvlText w:val="•"/>
      <w:lvlJc w:val="left"/>
      <w:pPr>
        <w:ind w:left="5504" w:hanging="1152"/>
      </w:pPr>
      <w:rPr>
        <w:rFonts w:hint="default"/>
      </w:rPr>
    </w:lvl>
    <w:lvl w:ilvl="6">
      <w:numFmt w:val="bullet"/>
      <w:lvlText w:val="•"/>
      <w:lvlJc w:val="left"/>
      <w:pPr>
        <w:ind w:left="6535" w:hanging="1152"/>
      </w:pPr>
      <w:rPr>
        <w:rFonts w:hint="default"/>
      </w:rPr>
    </w:lvl>
    <w:lvl w:ilvl="7">
      <w:numFmt w:val="bullet"/>
      <w:lvlText w:val="•"/>
      <w:lvlJc w:val="left"/>
      <w:pPr>
        <w:ind w:left="7566" w:hanging="1152"/>
      </w:pPr>
      <w:rPr>
        <w:rFonts w:hint="default"/>
      </w:rPr>
    </w:lvl>
    <w:lvl w:ilvl="8">
      <w:numFmt w:val="bullet"/>
      <w:lvlText w:val="•"/>
      <w:lvlJc w:val="left"/>
      <w:pPr>
        <w:ind w:left="8597" w:hanging="1152"/>
      </w:pPr>
      <w:rPr>
        <w:rFonts w:hint="default"/>
      </w:rPr>
    </w:lvl>
  </w:abstractNum>
  <w:abstractNum w:abstractNumId="7" w15:restartNumberingAfterBreak="0">
    <w:nsid w:val="45911D47"/>
    <w:multiLevelType w:val="multilevel"/>
    <w:tmpl w:val="CEEA8C38"/>
    <w:lvl w:ilvl="0">
      <w:start w:val="8"/>
      <w:numFmt w:val="decimal"/>
      <w:lvlText w:val="%1"/>
      <w:lvlJc w:val="left"/>
      <w:pPr>
        <w:ind w:left="234" w:hanging="480"/>
      </w:pPr>
      <w:rPr>
        <w:rFonts w:hint="default"/>
      </w:rPr>
    </w:lvl>
    <w:lvl w:ilvl="1">
      <w:start w:val="83"/>
      <w:numFmt w:val="decimal"/>
      <w:lvlText w:val="%1.%2"/>
      <w:lvlJc w:val="left"/>
      <w:pPr>
        <w:ind w:left="234" w:hanging="480"/>
      </w:pPr>
      <w:rPr>
        <w:rFonts w:ascii="Times New Roman" w:eastAsia="Times New Roman" w:hAnsi="Times New Roman" w:cs="Times New Roman" w:hint="default"/>
        <w:spacing w:val="-3"/>
        <w:w w:val="100"/>
        <w:sz w:val="24"/>
        <w:szCs w:val="24"/>
      </w:rPr>
    </w:lvl>
    <w:lvl w:ilvl="2">
      <w:start w:val="1"/>
      <w:numFmt w:val="upperLetter"/>
      <w:lvlText w:val="(%3)"/>
      <w:lvlJc w:val="left"/>
      <w:pPr>
        <w:ind w:left="1967" w:hanging="329"/>
      </w:pPr>
      <w:rPr>
        <w:rFonts w:ascii="Times New Roman" w:eastAsia="Times New Roman" w:hAnsi="Times New Roman" w:cs="Times New Roman" w:hint="default"/>
        <w:b/>
        <w:bCs/>
        <w:w w:val="99"/>
        <w:sz w:val="20"/>
        <w:szCs w:val="20"/>
      </w:rPr>
    </w:lvl>
    <w:lvl w:ilvl="3">
      <w:numFmt w:val="bullet"/>
      <w:lvlText w:val="•"/>
      <w:lvlJc w:val="left"/>
      <w:pPr>
        <w:ind w:left="3893" w:hanging="329"/>
      </w:pPr>
      <w:rPr>
        <w:rFonts w:hint="default"/>
      </w:rPr>
    </w:lvl>
    <w:lvl w:ilvl="4">
      <w:numFmt w:val="bullet"/>
      <w:lvlText w:val="•"/>
      <w:lvlJc w:val="left"/>
      <w:pPr>
        <w:ind w:left="4860" w:hanging="329"/>
      </w:pPr>
      <w:rPr>
        <w:rFonts w:hint="default"/>
      </w:rPr>
    </w:lvl>
    <w:lvl w:ilvl="5">
      <w:numFmt w:val="bullet"/>
      <w:lvlText w:val="•"/>
      <w:lvlJc w:val="left"/>
      <w:pPr>
        <w:ind w:left="5826" w:hanging="329"/>
      </w:pPr>
      <w:rPr>
        <w:rFonts w:hint="default"/>
      </w:rPr>
    </w:lvl>
    <w:lvl w:ilvl="6">
      <w:numFmt w:val="bullet"/>
      <w:lvlText w:val="•"/>
      <w:lvlJc w:val="left"/>
      <w:pPr>
        <w:ind w:left="6793" w:hanging="329"/>
      </w:pPr>
      <w:rPr>
        <w:rFonts w:hint="default"/>
      </w:rPr>
    </w:lvl>
    <w:lvl w:ilvl="7">
      <w:numFmt w:val="bullet"/>
      <w:lvlText w:val="•"/>
      <w:lvlJc w:val="left"/>
      <w:pPr>
        <w:ind w:left="7760" w:hanging="329"/>
      </w:pPr>
      <w:rPr>
        <w:rFonts w:hint="default"/>
      </w:rPr>
    </w:lvl>
    <w:lvl w:ilvl="8">
      <w:numFmt w:val="bullet"/>
      <w:lvlText w:val="•"/>
      <w:lvlJc w:val="left"/>
      <w:pPr>
        <w:ind w:left="8726" w:hanging="329"/>
      </w:pPr>
      <w:rPr>
        <w:rFonts w:hint="default"/>
      </w:rPr>
    </w:lvl>
  </w:abstractNum>
  <w:abstractNum w:abstractNumId="8" w15:restartNumberingAfterBreak="0">
    <w:nsid w:val="52F957C1"/>
    <w:multiLevelType w:val="multilevel"/>
    <w:tmpl w:val="C8D2AEF2"/>
    <w:lvl w:ilvl="0">
      <w:start w:val="1"/>
      <w:numFmt w:val="decimal"/>
      <w:lvlText w:val="%1"/>
      <w:lvlJc w:val="left"/>
      <w:pPr>
        <w:ind w:left="954" w:hanging="720"/>
      </w:pPr>
      <w:rPr>
        <w:rFonts w:ascii="Times New Roman" w:eastAsia="Times New Roman" w:hAnsi="Times New Roman" w:cs="Times New Roman" w:hint="default"/>
        <w:b/>
        <w:bCs/>
        <w:w w:val="100"/>
        <w:sz w:val="22"/>
        <w:szCs w:val="22"/>
      </w:rPr>
    </w:lvl>
    <w:lvl w:ilvl="1">
      <w:start w:val="1"/>
      <w:numFmt w:val="decimal"/>
      <w:lvlText w:val="%1.%2"/>
      <w:lvlJc w:val="left"/>
      <w:pPr>
        <w:ind w:left="1386" w:hanging="864"/>
      </w:pPr>
      <w:rPr>
        <w:rFonts w:ascii="Times New Roman" w:eastAsia="Times New Roman" w:hAnsi="Times New Roman" w:cs="Times New Roman" w:hint="default"/>
        <w:w w:val="100"/>
        <w:sz w:val="22"/>
        <w:szCs w:val="22"/>
      </w:rPr>
    </w:lvl>
    <w:lvl w:ilvl="2">
      <w:start w:val="1"/>
      <w:numFmt w:val="decimal"/>
      <w:lvlText w:val="%1.%2.%3"/>
      <w:lvlJc w:val="left"/>
      <w:pPr>
        <w:ind w:left="1818" w:hanging="1008"/>
      </w:pPr>
      <w:rPr>
        <w:rFonts w:ascii="Times New Roman" w:eastAsia="Times New Roman" w:hAnsi="Times New Roman" w:cs="Times New Roman" w:hint="default"/>
        <w:w w:val="100"/>
        <w:sz w:val="22"/>
        <w:szCs w:val="22"/>
      </w:rPr>
    </w:lvl>
    <w:lvl w:ilvl="3">
      <w:start w:val="1"/>
      <w:numFmt w:val="decimal"/>
      <w:lvlText w:val="%1.%2.%3.%4"/>
      <w:lvlJc w:val="left"/>
      <w:pPr>
        <w:ind w:left="2250" w:hanging="1152"/>
      </w:pPr>
      <w:rPr>
        <w:rFonts w:ascii="Times New Roman" w:eastAsia="Times New Roman" w:hAnsi="Times New Roman" w:cs="Times New Roman" w:hint="default"/>
        <w:w w:val="100"/>
        <w:sz w:val="22"/>
        <w:szCs w:val="22"/>
      </w:rPr>
    </w:lvl>
    <w:lvl w:ilvl="4">
      <w:start w:val="1"/>
      <w:numFmt w:val="decimal"/>
      <w:lvlText w:val="%1.%2.%3.%4.%5"/>
      <w:lvlJc w:val="left"/>
      <w:pPr>
        <w:ind w:left="2538" w:hanging="1296"/>
      </w:pPr>
      <w:rPr>
        <w:rFonts w:ascii="Times New Roman" w:eastAsia="Times New Roman" w:hAnsi="Times New Roman" w:cs="Times New Roman" w:hint="default"/>
        <w:w w:val="100"/>
        <w:sz w:val="22"/>
        <w:szCs w:val="22"/>
      </w:rPr>
    </w:lvl>
    <w:lvl w:ilvl="5">
      <w:start w:val="1"/>
      <w:numFmt w:val="decimal"/>
      <w:lvlText w:val="%1.%2.%3.%4.%5.%6"/>
      <w:lvlJc w:val="left"/>
      <w:pPr>
        <w:ind w:left="2783" w:hanging="1354"/>
      </w:pPr>
      <w:rPr>
        <w:rFonts w:ascii="Times New Roman" w:eastAsia="Times New Roman" w:hAnsi="Times New Roman" w:cs="Times New Roman" w:hint="default"/>
        <w:w w:val="100"/>
        <w:sz w:val="22"/>
        <w:szCs w:val="22"/>
      </w:rPr>
    </w:lvl>
    <w:lvl w:ilvl="6">
      <w:numFmt w:val="bullet"/>
      <w:lvlText w:val="•"/>
      <w:lvlJc w:val="left"/>
      <w:pPr>
        <w:ind w:left="4356" w:hanging="1354"/>
      </w:pPr>
      <w:rPr>
        <w:rFonts w:hint="default"/>
      </w:rPr>
    </w:lvl>
    <w:lvl w:ilvl="7">
      <w:numFmt w:val="bullet"/>
      <w:lvlText w:val="•"/>
      <w:lvlJc w:val="left"/>
      <w:pPr>
        <w:ind w:left="5932" w:hanging="1354"/>
      </w:pPr>
      <w:rPr>
        <w:rFonts w:hint="default"/>
      </w:rPr>
    </w:lvl>
    <w:lvl w:ilvl="8">
      <w:numFmt w:val="bullet"/>
      <w:lvlText w:val="•"/>
      <w:lvlJc w:val="left"/>
      <w:pPr>
        <w:ind w:left="7508" w:hanging="1354"/>
      </w:pPr>
      <w:rPr>
        <w:rFonts w:hint="default"/>
      </w:rPr>
    </w:lvl>
  </w:abstractNum>
  <w:abstractNum w:abstractNumId="9" w15:restartNumberingAfterBreak="0">
    <w:nsid w:val="53176CE1"/>
    <w:multiLevelType w:val="multilevel"/>
    <w:tmpl w:val="F14ED258"/>
    <w:lvl w:ilvl="0">
      <w:start w:val="4"/>
      <w:numFmt w:val="decimal"/>
      <w:lvlText w:val="%1"/>
      <w:lvlJc w:val="left"/>
      <w:pPr>
        <w:ind w:left="1098" w:hanging="864"/>
      </w:pPr>
      <w:rPr>
        <w:rFonts w:hint="default"/>
      </w:rPr>
    </w:lvl>
    <w:lvl w:ilvl="1">
      <w:start w:val="5"/>
      <w:numFmt w:val="decimal"/>
      <w:lvlText w:val="%1.%2"/>
      <w:lvlJc w:val="left"/>
      <w:pPr>
        <w:ind w:left="1098" w:hanging="864"/>
      </w:pPr>
      <w:rPr>
        <w:rFonts w:hint="default"/>
      </w:rPr>
    </w:lvl>
    <w:lvl w:ilvl="2">
      <w:start w:val="1"/>
      <w:numFmt w:val="decimal"/>
      <w:lvlText w:val="%1.%2.%3"/>
      <w:lvlJc w:val="left"/>
      <w:pPr>
        <w:ind w:left="1098" w:hanging="864"/>
      </w:pPr>
      <w:rPr>
        <w:rFonts w:ascii="Times New Roman" w:eastAsia="Times New Roman" w:hAnsi="Times New Roman" w:cs="Times New Roman" w:hint="default"/>
        <w:b/>
        <w:bCs/>
        <w:spacing w:val="-1"/>
        <w:w w:val="100"/>
        <w:sz w:val="24"/>
        <w:szCs w:val="24"/>
      </w:rPr>
    </w:lvl>
    <w:lvl w:ilvl="3">
      <w:numFmt w:val="bullet"/>
      <w:lvlText w:val="•"/>
      <w:lvlJc w:val="left"/>
      <w:pPr>
        <w:ind w:left="3968" w:hanging="864"/>
      </w:pPr>
      <w:rPr>
        <w:rFonts w:hint="default"/>
      </w:rPr>
    </w:lvl>
    <w:lvl w:ilvl="4">
      <w:numFmt w:val="bullet"/>
      <w:lvlText w:val="•"/>
      <w:lvlJc w:val="left"/>
      <w:pPr>
        <w:ind w:left="4924" w:hanging="864"/>
      </w:pPr>
      <w:rPr>
        <w:rFonts w:hint="default"/>
      </w:rPr>
    </w:lvl>
    <w:lvl w:ilvl="5">
      <w:numFmt w:val="bullet"/>
      <w:lvlText w:val="•"/>
      <w:lvlJc w:val="left"/>
      <w:pPr>
        <w:ind w:left="5880" w:hanging="864"/>
      </w:pPr>
      <w:rPr>
        <w:rFonts w:hint="default"/>
      </w:rPr>
    </w:lvl>
    <w:lvl w:ilvl="6">
      <w:numFmt w:val="bullet"/>
      <w:lvlText w:val="•"/>
      <w:lvlJc w:val="left"/>
      <w:pPr>
        <w:ind w:left="6836" w:hanging="864"/>
      </w:pPr>
      <w:rPr>
        <w:rFonts w:hint="default"/>
      </w:rPr>
    </w:lvl>
    <w:lvl w:ilvl="7">
      <w:numFmt w:val="bullet"/>
      <w:lvlText w:val="•"/>
      <w:lvlJc w:val="left"/>
      <w:pPr>
        <w:ind w:left="7792" w:hanging="864"/>
      </w:pPr>
      <w:rPr>
        <w:rFonts w:hint="default"/>
      </w:rPr>
    </w:lvl>
    <w:lvl w:ilvl="8">
      <w:numFmt w:val="bullet"/>
      <w:lvlText w:val="•"/>
      <w:lvlJc w:val="left"/>
      <w:pPr>
        <w:ind w:left="8748" w:hanging="864"/>
      </w:pPr>
      <w:rPr>
        <w:rFonts w:hint="default"/>
      </w:rPr>
    </w:lvl>
  </w:abstractNum>
  <w:abstractNum w:abstractNumId="10" w15:restartNumberingAfterBreak="0">
    <w:nsid w:val="55A855DF"/>
    <w:multiLevelType w:val="multilevel"/>
    <w:tmpl w:val="0CE613EC"/>
    <w:lvl w:ilvl="0">
      <w:start w:val="4"/>
      <w:numFmt w:val="decimal"/>
      <w:lvlText w:val="%1"/>
      <w:lvlJc w:val="left"/>
      <w:pPr>
        <w:ind w:left="1818" w:hanging="1008"/>
        <w:jc w:val="right"/>
      </w:pPr>
      <w:rPr>
        <w:rFonts w:hint="default"/>
      </w:rPr>
    </w:lvl>
    <w:lvl w:ilvl="1">
      <w:start w:val="5"/>
      <w:numFmt w:val="decimal"/>
      <w:lvlText w:val="%1.%2"/>
      <w:lvlJc w:val="left"/>
      <w:pPr>
        <w:ind w:left="1818" w:hanging="1008"/>
        <w:jc w:val="right"/>
      </w:pPr>
      <w:rPr>
        <w:rFonts w:hint="default"/>
      </w:rPr>
    </w:lvl>
    <w:lvl w:ilvl="2">
      <w:start w:val="1"/>
      <w:numFmt w:val="decimal"/>
      <w:lvlText w:val="%1.%2.%3"/>
      <w:lvlJc w:val="left"/>
      <w:pPr>
        <w:ind w:left="1818" w:hanging="1008"/>
      </w:pPr>
      <w:rPr>
        <w:rFonts w:ascii="Times New Roman" w:eastAsia="Times New Roman" w:hAnsi="Times New Roman" w:cs="Times New Roman" w:hint="default"/>
        <w:w w:val="100"/>
        <w:sz w:val="22"/>
        <w:szCs w:val="22"/>
      </w:rPr>
    </w:lvl>
    <w:lvl w:ilvl="3">
      <w:numFmt w:val="bullet"/>
      <w:lvlText w:val="•"/>
      <w:lvlJc w:val="left"/>
      <w:pPr>
        <w:ind w:left="4472" w:hanging="1008"/>
      </w:pPr>
      <w:rPr>
        <w:rFonts w:hint="default"/>
      </w:rPr>
    </w:lvl>
    <w:lvl w:ilvl="4">
      <w:numFmt w:val="bullet"/>
      <w:lvlText w:val="•"/>
      <w:lvlJc w:val="left"/>
      <w:pPr>
        <w:ind w:left="5356" w:hanging="1008"/>
      </w:pPr>
      <w:rPr>
        <w:rFonts w:hint="default"/>
      </w:rPr>
    </w:lvl>
    <w:lvl w:ilvl="5">
      <w:numFmt w:val="bullet"/>
      <w:lvlText w:val="•"/>
      <w:lvlJc w:val="left"/>
      <w:pPr>
        <w:ind w:left="6240" w:hanging="1008"/>
      </w:pPr>
      <w:rPr>
        <w:rFonts w:hint="default"/>
      </w:rPr>
    </w:lvl>
    <w:lvl w:ilvl="6">
      <w:numFmt w:val="bullet"/>
      <w:lvlText w:val="•"/>
      <w:lvlJc w:val="left"/>
      <w:pPr>
        <w:ind w:left="7124" w:hanging="1008"/>
      </w:pPr>
      <w:rPr>
        <w:rFonts w:hint="default"/>
      </w:rPr>
    </w:lvl>
    <w:lvl w:ilvl="7">
      <w:numFmt w:val="bullet"/>
      <w:lvlText w:val="•"/>
      <w:lvlJc w:val="left"/>
      <w:pPr>
        <w:ind w:left="8008" w:hanging="1008"/>
      </w:pPr>
      <w:rPr>
        <w:rFonts w:hint="default"/>
      </w:rPr>
    </w:lvl>
    <w:lvl w:ilvl="8">
      <w:numFmt w:val="bullet"/>
      <w:lvlText w:val="•"/>
      <w:lvlJc w:val="left"/>
      <w:pPr>
        <w:ind w:left="8892" w:hanging="1008"/>
      </w:pPr>
      <w:rPr>
        <w:rFonts w:hint="default"/>
      </w:rPr>
    </w:lvl>
  </w:abstractNum>
  <w:abstractNum w:abstractNumId="11" w15:restartNumberingAfterBreak="0">
    <w:nsid w:val="5D555D87"/>
    <w:multiLevelType w:val="multilevel"/>
    <w:tmpl w:val="A94AEA5C"/>
    <w:lvl w:ilvl="0">
      <w:start w:val="4"/>
      <w:numFmt w:val="decimal"/>
      <w:lvlText w:val="%1"/>
      <w:lvlJc w:val="left"/>
      <w:pPr>
        <w:ind w:left="1098" w:hanging="864"/>
      </w:pPr>
      <w:rPr>
        <w:rFonts w:hint="default"/>
      </w:rPr>
    </w:lvl>
    <w:lvl w:ilvl="1">
      <w:start w:val="3"/>
      <w:numFmt w:val="decimal"/>
      <w:lvlText w:val="%1.%2"/>
      <w:lvlJc w:val="left"/>
      <w:pPr>
        <w:ind w:left="1098" w:hanging="864"/>
      </w:pPr>
      <w:rPr>
        <w:rFonts w:hint="default"/>
      </w:rPr>
    </w:lvl>
    <w:lvl w:ilvl="2">
      <w:start w:val="4"/>
      <w:numFmt w:val="decimal"/>
      <w:lvlText w:val="%1.%2.%3"/>
      <w:lvlJc w:val="left"/>
      <w:pPr>
        <w:ind w:left="1098" w:hanging="864"/>
      </w:pPr>
      <w:rPr>
        <w:rFonts w:ascii="Times New Roman" w:eastAsia="Times New Roman" w:hAnsi="Times New Roman" w:cs="Times New Roman" w:hint="default"/>
        <w:b/>
        <w:bCs/>
        <w:w w:val="100"/>
        <w:sz w:val="24"/>
        <w:szCs w:val="24"/>
      </w:rPr>
    </w:lvl>
    <w:lvl w:ilvl="3">
      <w:start w:val="1"/>
      <w:numFmt w:val="decimal"/>
      <w:lvlText w:val="%1.%2.%3.%4"/>
      <w:lvlJc w:val="left"/>
      <w:pPr>
        <w:ind w:left="1098" w:hanging="864"/>
      </w:pPr>
      <w:rPr>
        <w:rFonts w:ascii="Times New Roman" w:eastAsia="Times New Roman" w:hAnsi="Times New Roman" w:cs="Times New Roman" w:hint="default"/>
        <w:b/>
        <w:bCs/>
        <w:w w:val="100"/>
        <w:sz w:val="24"/>
        <w:szCs w:val="24"/>
      </w:rPr>
    </w:lvl>
    <w:lvl w:ilvl="4">
      <w:numFmt w:val="bullet"/>
      <w:lvlText w:val="•"/>
      <w:lvlJc w:val="left"/>
      <w:pPr>
        <w:ind w:left="4924" w:hanging="864"/>
      </w:pPr>
      <w:rPr>
        <w:rFonts w:hint="default"/>
      </w:rPr>
    </w:lvl>
    <w:lvl w:ilvl="5">
      <w:numFmt w:val="bullet"/>
      <w:lvlText w:val="•"/>
      <w:lvlJc w:val="left"/>
      <w:pPr>
        <w:ind w:left="5880" w:hanging="864"/>
      </w:pPr>
      <w:rPr>
        <w:rFonts w:hint="default"/>
      </w:rPr>
    </w:lvl>
    <w:lvl w:ilvl="6">
      <w:numFmt w:val="bullet"/>
      <w:lvlText w:val="•"/>
      <w:lvlJc w:val="left"/>
      <w:pPr>
        <w:ind w:left="6836" w:hanging="864"/>
      </w:pPr>
      <w:rPr>
        <w:rFonts w:hint="default"/>
      </w:rPr>
    </w:lvl>
    <w:lvl w:ilvl="7">
      <w:numFmt w:val="bullet"/>
      <w:lvlText w:val="•"/>
      <w:lvlJc w:val="left"/>
      <w:pPr>
        <w:ind w:left="7792" w:hanging="864"/>
      </w:pPr>
      <w:rPr>
        <w:rFonts w:hint="default"/>
      </w:rPr>
    </w:lvl>
    <w:lvl w:ilvl="8">
      <w:numFmt w:val="bullet"/>
      <w:lvlText w:val="•"/>
      <w:lvlJc w:val="left"/>
      <w:pPr>
        <w:ind w:left="8748" w:hanging="864"/>
      </w:pPr>
      <w:rPr>
        <w:rFonts w:hint="default"/>
      </w:rPr>
    </w:lvl>
  </w:abstractNum>
  <w:abstractNum w:abstractNumId="12" w15:restartNumberingAfterBreak="0">
    <w:nsid w:val="5E191CF2"/>
    <w:multiLevelType w:val="multilevel"/>
    <w:tmpl w:val="8DA42D26"/>
    <w:lvl w:ilvl="0">
      <w:start w:val="4"/>
      <w:numFmt w:val="decimal"/>
      <w:lvlText w:val="%1"/>
      <w:lvlJc w:val="left"/>
      <w:pPr>
        <w:ind w:left="2538" w:hanging="1296"/>
      </w:pPr>
      <w:rPr>
        <w:rFonts w:hint="default"/>
      </w:rPr>
    </w:lvl>
    <w:lvl w:ilvl="1">
      <w:start w:val="4"/>
      <w:numFmt w:val="decimal"/>
      <w:lvlText w:val="%1.%2"/>
      <w:lvlJc w:val="left"/>
      <w:pPr>
        <w:ind w:left="2538" w:hanging="1296"/>
        <w:jc w:val="right"/>
      </w:pPr>
      <w:rPr>
        <w:rFonts w:hint="default"/>
      </w:rPr>
    </w:lvl>
    <w:lvl w:ilvl="2">
      <w:start w:val="5"/>
      <w:numFmt w:val="decimal"/>
      <w:lvlText w:val="%1.%2.%3"/>
      <w:lvlJc w:val="left"/>
      <w:pPr>
        <w:ind w:left="2538" w:hanging="1296"/>
        <w:jc w:val="right"/>
      </w:pPr>
      <w:rPr>
        <w:rFonts w:hint="default"/>
      </w:rPr>
    </w:lvl>
    <w:lvl w:ilvl="3">
      <w:start w:val="1"/>
      <w:numFmt w:val="decimal"/>
      <w:lvlText w:val="%1.%2.%3.%4"/>
      <w:lvlJc w:val="left"/>
      <w:pPr>
        <w:ind w:left="2538" w:hanging="1296"/>
      </w:pPr>
      <w:rPr>
        <w:rFonts w:hint="default"/>
      </w:rPr>
    </w:lvl>
    <w:lvl w:ilvl="4">
      <w:start w:val="1"/>
      <w:numFmt w:val="decimal"/>
      <w:lvlText w:val="%1.%2.%3.%4.%5"/>
      <w:lvlJc w:val="left"/>
      <w:pPr>
        <w:ind w:left="2538" w:hanging="1296"/>
      </w:pPr>
      <w:rPr>
        <w:rFonts w:ascii="Times New Roman" w:eastAsia="Times New Roman" w:hAnsi="Times New Roman" w:cs="Times New Roman" w:hint="default"/>
        <w:w w:val="100"/>
        <w:sz w:val="22"/>
        <w:szCs w:val="22"/>
      </w:rPr>
    </w:lvl>
    <w:lvl w:ilvl="5">
      <w:numFmt w:val="bullet"/>
      <w:lvlText w:val="•"/>
      <w:lvlJc w:val="left"/>
      <w:pPr>
        <w:ind w:left="6600" w:hanging="1296"/>
      </w:pPr>
      <w:rPr>
        <w:rFonts w:hint="default"/>
      </w:rPr>
    </w:lvl>
    <w:lvl w:ilvl="6">
      <w:numFmt w:val="bullet"/>
      <w:lvlText w:val="•"/>
      <w:lvlJc w:val="left"/>
      <w:pPr>
        <w:ind w:left="7412" w:hanging="1296"/>
      </w:pPr>
      <w:rPr>
        <w:rFonts w:hint="default"/>
      </w:rPr>
    </w:lvl>
    <w:lvl w:ilvl="7">
      <w:numFmt w:val="bullet"/>
      <w:lvlText w:val="•"/>
      <w:lvlJc w:val="left"/>
      <w:pPr>
        <w:ind w:left="8224" w:hanging="1296"/>
      </w:pPr>
      <w:rPr>
        <w:rFonts w:hint="default"/>
      </w:rPr>
    </w:lvl>
    <w:lvl w:ilvl="8">
      <w:numFmt w:val="bullet"/>
      <w:lvlText w:val="•"/>
      <w:lvlJc w:val="left"/>
      <w:pPr>
        <w:ind w:left="9036" w:hanging="1296"/>
      </w:pPr>
      <w:rPr>
        <w:rFonts w:hint="default"/>
      </w:rPr>
    </w:lvl>
  </w:abstractNum>
  <w:abstractNum w:abstractNumId="13" w15:restartNumberingAfterBreak="0">
    <w:nsid w:val="6BE57971"/>
    <w:multiLevelType w:val="multilevel"/>
    <w:tmpl w:val="886299FC"/>
    <w:lvl w:ilvl="0">
      <w:start w:val="4"/>
      <w:numFmt w:val="decimal"/>
      <w:lvlText w:val="%1"/>
      <w:lvlJc w:val="left"/>
      <w:pPr>
        <w:ind w:left="1098" w:hanging="864"/>
      </w:pPr>
      <w:rPr>
        <w:rFonts w:hint="default"/>
      </w:rPr>
    </w:lvl>
    <w:lvl w:ilvl="1">
      <w:start w:val="4"/>
      <w:numFmt w:val="decimal"/>
      <w:lvlText w:val="%1.%2"/>
      <w:lvlJc w:val="left"/>
      <w:pPr>
        <w:ind w:left="1098" w:hanging="864"/>
      </w:pPr>
      <w:rPr>
        <w:rFonts w:hint="default"/>
      </w:rPr>
    </w:lvl>
    <w:lvl w:ilvl="2">
      <w:start w:val="6"/>
      <w:numFmt w:val="decimal"/>
      <w:lvlText w:val="%1.%2.%3"/>
      <w:lvlJc w:val="left"/>
      <w:pPr>
        <w:ind w:left="1098" w:hanging="864"/>
      </w:pPr>
      <w:rPr>
        <w:rFonts w:ascii="Times New Roman" w:eastAsia="Times New Roman" w:hAnsi="Times New Roman" w:cs="Times New Roman" w:hint="default"/>
        <w:b/>
        <w:bCs/>
        <w:spacing w:val="-1"/>
        <w:w w:val="100"/>
        <w:sz w:val="24"/>
        <w:szCs w:val="24"/>
      </w:rPr>
    </w:lvl>
    <w:lvl w:ilvl="3">
      <w:numFmt w:val="bullet"/>
      <w:lvlText w:val="•"/>
      <w:lvlJc w:val="left"/>
      <w:pPr>
        <w:ind w:left="3968" w:hanging="864"/>
      </w:pPr>
      <w:rPr>
        <w:rFonts w:hint="default"/>
      </w:rPr>
    </w:lvl>
    <w:lvl w:ilvl="4">
      <w:numFmt w:val="bullet"/>
      <w:lvlText w:val="•"/>
      <w:lvlJc w:val="left"/>
      <w:pPr>
        <w:ind w:left="4924" w:hanging="864"/>
      </w:pPr>
      <w:rPr>
        <w:rFonts w:hint="default"/>
      </w:rPr>
    </w:lvl>
    <w:lvl w:ilvl="5">
      <w:numFmt w:val="bullet"/>
      <w:lvlText w:val="•"/>
      <w:lvlJc w:val="left"/>
      <w:pPr>
        <w:ind w:left="5880" w:hanging="864"/>
      </w:pPr>
      <w:rPr>
        <w:rFonts w:hint="default"/>
      </w:rPr>
    </w:lvl>
    <w:lvl w:ilvl="6">
      <w:numFmt w:val="bullet"/>
      <w:lvlText w:val="•"/>
      <w:lvlJc w:val="left"/>
      <w:pPr>
        <w:ind w:left="6836" w:hanging="864"/>
      </w:pPr>
      <w:rPr>
        <w:rFonts w:hint="default"/>
      </w:rPr>
    </w:lvl>
    <w:lvl w:ilvl="7">
      <w:numFmt w:val="bullet"/>
      <w:lvlText w:val="•"/>
      <w:lvlJc w:val="left"/>
      <w:pPr>
        <w:ind w:left="7792" w:hanging="864"/>
      </w:pPr>
      <w:rPr>
        <w:rFonts w:hint="default"/>
      </w:rPr>
    </w:lvl>
    <w:lvl w:ilvl="8">
      <w:numFmt w:val="bullet"/>
      <w:lvlText w:val="•"/>
      <w:lvlJc w:val="left"/>
      <w:pPr>
        <w:ind w:left="8748" w:hanging="864"/>
      </w:pPr>
      <w:rPr>
        <w:rFonts w:hint="default"/>
      </w:rPr>
    </w:lvl>
  </w:abstractNum>
  <w:abstractNum w:abstractNumId="14" w15:restartNumberingAfterBreak="0">
    <w:nsid w:val="778A2D87"/>
    <w:multiLevelType w:val="multilevel"/>
    <w:tmpl w:val="D2F82D32"/>
    <w:lvl w:ilvl="0">
      <w:start w:val="4"/>
      <w:numFmt w:val="decimal"/>
      <w:lvlText w:val="%1"/>
      <w:lvlJc w:val="left"/>
      <w:pPr>
        <w:ind w:left="1098" w:hanging="864"/>
      </w:pPr>
      <w:rPr>
        <w:rFonts w:hint="default"/>
      </w:rPr>
    </w:lvl>
    <w:lvl w:ilvl="1">
      <w:start w:val="3"/>
      <w:numFmt w:val="decimal"/>
      <w:lvlText w:val="%1.%2"/>
      <w:lvlJc w:val="left"/>
      <w:pPr>
        <w:ind w:left="1098" w:hanging="864"/>
      </w:pPr>
      <w:rPr>
        <w:rFonts w:ascii="Times New Roman" w:eastAsia="Times New Roman" w:hAnsi="Times New Roman" w:cs="Times New Roman" w:hint="default"/>
        <w:b/>
        <w:bCs/>
        <w:w w:val="100"/>
        <w:sz w:val="28"/>
        <w:szCs w:val="28"/>
      </w:rPr>
    </w:lvl>
    <w:lvl w:ilvl="2">
      <w:start w:val="1"/>
      <w:numFmt w:val="decimal"/>
      <w:lvlText w:val="%1.%2.%3"/>
      <w:lvlJc w:val="left"/>
      <w:pPr>
        <w:ind w:left="1098" w:hanging="864"/>
      </w:pPr>
      <w:rPr>
        <w:rFonts w:ascii="Times New Roman" w:eastAsia="Times New Roman" w:hAnsi="Times New Roman" w:cs="Times New Roman" w:hint="default"/>
        <w:b/>
        <w:bCs/>
        <w:w w:val="100"/>
        <w:sz w:val="24"/>
        <w:szCs w:val="24"/>
      </w:rPr>
    </w:lvl>
    <w:lvl w:ilvl="3">
      <w:start w:val="1"/>
      <w:numFmt w:val="decimal"/>
      <w:lvlText w:val="%1.%2.%3.%4"/>
      <w:lvlJc w:val="left"/>
      <w:pPr>
        <w:ind w:left="1098" w:hanging="864"/>
      </w:pPr>
      <w:rPr>
        <w:rFonts w:ascii="Times New Roman" w:eastAsia="Times New Roman" w:hAnsi="Times New Roman" w:cs="Times New Roman" w:hint="default"/>
        <w:b/>
        <w:bCs/>
        <w:spacing w:val="-1"/>
        <w:w w:val="100"/>
        <w:sz w:val="24"/>
        <w:szCs w:val="24"/>
      </w:rPr>
    </w:lvl>
    <w:lvl w:ilvl="4">
      <w:numFmt w:val="bullet"/>
      <w:lvlText w:val="•"/>
      <w:lvlJc w:val="left"/>
      <w:pPr>
        <w:ind w:left="4924" w:hanging="864"/>
      </w:pPr>
      <w:rPr>
        <w:rFonts w:hint="default"/>
      </w:rPr>
    </w:lvl>
    <w:lvl w:ilvl="5">
      <w:numFmt w:val="bullet"/>
      <w:lvlText w:val="•"/>
      <w:lvlJc w:val="left"/>
      <w:pPr>
        <w:ind w:left="5880" w:hanging="864"/>
      </w:pPr>
      <w:rPr>
        <w:rFonts w:hint="default"/>
      </w:rPr>
    </w:lvl>
    <w:lvl w:ilvl="6">
      <w:numFmt w:val="bullet"/>
      <w:lvlText w:val="•"/>
      <w:lvlJc w:val="left"/>
      <w:pPr>
        <w:ind w:left="6836" w:hanging="864"/>
      </w:pPr>
      <w:rPr>
        <w:rFonts w:hint="default"/>
      </w:rPr>
    </w:lvl>
    <w:lvl w:ilvl="7">
      <w:numFmt w:val="bullet"/>
      <w:lvlText w:val="•"/>
      <w:lvlJc w:val="left"/>
      <w:pPr>
        <w:ind w:left="7792" w:hanging="864"/>
      </w:pPr>
      <w:rPr>
        <w:rFonts w:hint="default"/>
      </w:rPr>
    </w:lvl>
    <w:lvl w:ilvl="8">
      <w:numFmt w:val="bullet"/>
      <w:lvlText w:val="•"/>
      <w:lvlJc w:val="left"/>
      <w:pPr>
        <w:ind w:left="8748" w:hanging="864"/>
      </w:pPr>
      <w:rPr>
        <w:rFonts w:hint="default"/>
      </w:rPr>
    </w:lvl>
  </w:abstractNum>
  <w:abstractNum w:abstractNumId="15" w15:restartNumberingAfterBreak="0">
    <w:nsid w:val="7F787815"/>
    <w:multiLevelType w:val="multilevel"/>
    <w:tmpl w:val="43E06320"/>
    <w:lvl w:ilvl="0">
      <w:start w:val="5"/>
      <w:numFmt w:val="decimal"/>
      <w:lvlText w:val="%1"/>
      <w:lvlJc w:val="left"/>
      <w:pPr>
        <w:ind w:left="1386" w:hanging="864"/>
        <w:jc w:val="right"/>
      </w:pPr>
      <w:rPr>
        <w:rFonts w:hint="default"/>
      </w:rPr>
    </w:lvl>
    <w:lvl w:ilvl="1">
      <w:start w:val="1"/>
      <w:numFmt w:val="decimal"/>
      <w:lvlText w:val="%1.%2"/>
      <w:lvlJc w:val="left"/>
      <w:pPr>
        <w:ind w:left="1386" w:hanging="864"/>
      </w:pPr>
      <w:rPr>
        <w:rFonts w:ascii="Times New Roman" w:eastAsia="Times New Roman" w:hAnsi="Times New Roman" w:cs="Times New Roman" w:hint="default"/>
        <w:w w:val="100"/>
        <w:sz w:val="22"/>
        <w:szCs w:val="22"/>
      </w:rPr>
    </w:lvl>
    <w:lvl w:ilvl="2">
      <w:start w:val="1"/>
      <w:numFmt w:val="decimal"/>
      <w:lvlText w:val="%1.%2.%3"/>
      <w:lvlJc w:val="left"/>
      <w:pPr>
        <w:ind w:left="1818" w:hanging="1008"/>
      </w:pPr>
      <w:rPr>
        <w:rFonts w:ascii="Times New Roman" w:eastAsia="Times New Roman" w:hAnsi="Times New Roman" w:cs="Times New Roman" w:hint="default"/>
        <w:w w:val="100"/>
        <w:sz w:val="22"/>
        <w:szCs w:val="22"/>
      </w:rPr>
    </w:lvl>
    <w:lvl w:ilvl="3">
      <w:start w:val="1"/>
      <w:numFmt w:val="decimal"/>
      <w:lvlText w:val="%1.%2.%3.%4"/>
      <w:lvlJc w:val="left"/>
      <w:pPr>
        <w:ind w:left="2250" w:hanging="1152"/>
      </w:pPr>
      <w:rPr>
        <w:rFonts w:ascii="Times New Roman" w:eastAsia="Times New Roman" w:hAnsi="Times New Roman" w:cs="Times New Roman" w:hint="default"/>
        <w:w w:val="100"/>
        <w:sz w:val="22"/>
        <w:szCs w:val="22"/>
      </w:rPr>
    </w:lvl>
    <w:lvl w:ilvl="4">
      <w:numFmt w:val="bullet"/>
      <w:lvlText w:val="•"/>
      <w:lvlJc w:val="left"/>
      <w:pPr>
        <w:ind w:left="4360" w:hanging="1152"/>
      </w:pPr>
      <w:rPr>
        <w:rFonts w:hint="default"/>
      </w:rPr>
    </w:lvl>
    <w:lvl w:ilvl="5">
      <w:numFmt w:val="bullet"/>
      <w:lvlText w:val="•"/>
      <w:lvlJc w:val="left"/>
      <w:pPr>
        <w:ind w:left="5410" w:hanging="1152"/>
      </w:pPr>
      <w:rPr>
        <w:rFonts w:hint="default"/>
      </w:rPr>
    </w:lvl>
    <w:lvl w:ilvl="6">
      <w:numFmt w:val="bullet"/>
      <w:lvlText w:val="•"/>
      <w:lvlJc w:val="left"/>
      <w:pPr>
        <w:ind w:left="6460" w:hanging="1152"/>
      </w:pPr>
      <w:rPr>
        <w:rFonts w:hint="default"/>
      </w:rPr>
    </w:lvl>
    <w:lvl w:ilvl="7">
      <w:numFmt w:val="bullet"/>
      <w:lvlText w:val="•"/>
      <w:lvlJc w:val="left"/>
      <w:pPr>
        <w:ind w:left="7510" w:hanging="1152"/>
      </w:pPr>
      <w:rPr>
        <w:rFonts w:hint="default"/>
      </w:rPr>
    </w:lvl>
    <w:lvl w:ilvl="8">
      <w:numFmt w:val="bullet"/>
      <w:lvlText w:val="•"/>
      <w:lvlJc w:val="left"/>
      <w:pPr>
        <w:ind w:left="8560" w:hanging="1152"/>
      </w:pPr>
      <w:rPr>
        <w:rFonts w:hint="default"/>
      </w:rPr>
    </w:lvl>
  </w:abstractNum>
  <w:num w:numId="1">
    <w:abstractNumId w:val="2"/>
  </w:num>
  <w:num w:numId="2">
    <w:abstractNumId w:val="0"/>
  </w:num>
  <w:num w:numId="3">
    <w:abstractNumId w:val="9"/>
  </w:num>
  <w:num w:numId="4">
    <w:abstractNumId w:val="13"/>
  </w:num>
  <w:num w:numId="5">
    <w:abstractNumId w:val="3"/>
  </w:num>
  <w:num w:numId="6">
    <w:abstractNumId w:val="6"/>
  </w:num>
  <w:num w:numId="7">
    <w:abstractNumId w:val="1"/>
  </w:num>
  <w:num w:numId="8">
    <w:abstractNumId w:val="7"/>
  </w:num>
  <w:num w:numId="9">
    <w:abstractNumId w:val="11"/>
  </w:num>
  <w:num w:numId="10">
    <w:abstractNumId w:val="14"/>
  </w:num>
  <w:num w:numId="11">
    <w:abstractNumId w:val="5"/>
  </w:num>
  <w:num w:numId="12">
    <w:abstractNumId w:val="4"/>
  </w:num>
  <w:num w:numId="13">
    <w:abstractNumId w:val="15"/>
  </w:num>
  <w:num w:numId="14">
    <w:abstractNumId w:val="10"/>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120">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7470E"/>
    <w:rsid w:val="00107058"/>
    <w:rsid w:val="0027470E"/>
    <w:rsid w:val="00320041"/>
    <w:rsid w:val="0076247F"/>
    <w:rsid w:val="009F2004"/>
    <w:rsid w:val="00DC0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20">
      <v:textbox inset="5.85pt,.7pt,5.85pt,.7pt"/>
    </o:shapedefaults>
    <o:shapelayout v:ext="edit">
      <o:idmap v:ext="edit" data="1"/>
    </o:shapelayout>
  </w:shapeDefaults>
  <w:decimalSymbol w:val="."/>
  <w:listSeparator w:val=","/>
  <w14:docId w14:val="6C87316B"/>
  <w15:docId w15:val="{BCF0FEAE-2642-4ECB-8780-7E1C566A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1574"/>
      <w:outlineLvl w:val="0"/>
    </w:pPr>
    <w:rPr>
      <w:b/>
      <w:bCs/>
      <w:sz w:val="32"/>
      <w:szCs w:val="32"/>
    </w:rPr>
  </w:style>
  <w:style w:type="paragraph" w:styleId="2">
    <w:name w:val="heading 2"/>
    <w:basedOn w:val="a"/>
    <w:uiPriority w:val="9"/>
    <w:unhideWhenUsed/>
    <w:qFormat/>
    <w:pPr>
      <w:spacing w:before="120"/>
      <w:ind w:left="1098" w:hanging="864"/>
      <w:outlineLvl w:val="1"/>
    </w:pPr>
    <w:rPr>
      <w:b/>
      <w:bCs/>
      <w:sz w:val="28"/>
      <w:szCs w:val="28"/>
    </w:rPr>
  </w:style>
  <w:style w:type="paragraph" w:styleId="3">
    <w:name w:val="heading 3"/>
    <w:basedOn w:val="a"/>
    <w:uiPriority w:val="9"/>
    <w:unhideWhenUsed/>
    <w:qFormat/>
    <w:pPr>
      <w:spacing w:before="90"/>
      <w:ind w:left="1098" w:hanging="864"/>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trPr>
      <w:hidden/>
    </w:trPr>
  </w:style>
  <w:style w:type="paragraph" w:styleId="10">
    <w:name w:val="toc 1"/>
    <w:basedOn w:val="a"/>
    <w:uiPriority w:val="1"/>
    <w:qFormat/>
    <w:pPr>
      <w:spacing w:before="172"/>
      <w:ind w:left="954" w:hanging="720"/>
    </w:pPr>
    <w:rPr>
      <w:b/>
      <w:bCs/>
    </w:rPr>
  </w:style>
  <w:style w:type="paragraph" w:styleId="20">
    <w:name w:val="toc 2"/>
    <w:basedOn w:val="a"/>
    <w:uiPriority w:val="1"/>
    <w:qFormat/>
    <w:pPr>
      <w:spacing w:before="107"/>
      <w:ind w:left="1386" w:hanging="864"/>
    </w:pPr>
  </w:style>
  <w:style w:type="paragraph" w:styleId="30">
    <w:name w:val="toc 3"/>
    <w:basedOn w:val="a"/>
    <w:uiPriority w:val="1"/>
    <w:qFormat/>
    <w:pPr>
      <w:spacing w:before="107"/>
      <w:ind w:left="1818" w:hanging="1008"/>
    </w:pPr>
  </w:style>
  <w:style w:type="paragraph" w:styleId="4">
    <w:name w:val="toc 4"/>
    <w:basedOn w:val="a"/>
    <w:uiPriority w:val="1"/>
    <w:qFormat/>
    <w:pPr>
      <w:spacing w:before="107"/>
      <w:ind w:left="2250" w:right="541" w:hanging="1152"/>
    </w:pPr>
  </w:style>
  <w:style w:type="paragraph" w:styleId="5">
    <w:name w:val="toc 5"/>
    <w:basedOn w:val="a"/>
    <w:uiPriority w:val="1"/>
    <w:qFormat/>
    <w:pPr>
      <w:spacing w:before="107"/>
      <w:ind w:left="2538" w:right="397" w:hanging="1296"/>
    </w:pPr>
  </w:style>
  <w:style w:type="paragraph" w:styleId="6">
    <w:name w:val="toc 6"/>
    <w:basedOn w:val="a"/>
    <w:uiPriority w:val="1"/>
    <w:qFormat/>
    <w:pPr>
      <w:spacing w:before="107"/>
      <w:ind w:left="2783" w:right="211" w:hanging="1354"/>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98" w:hanging="864"/>
    </w:pPr>
  </w:style>
  <w:style w:type="paragraph" w:customStyle="1" w:styleId="TableParagraph">
    <w:name w:val="Table Paragraph"/>
    <w:basedOn w:val="a"/>
    <w:uiPriority w:val="1"/>
    <w:qFormat/>
    <w:pPr>
      <w:jc w:val="center"/>
    </w:pPr>
  </w:style>
  <w:style w:type="paragraph" w:styleId="a5">
    <w:name w:val="header"/>
    <w:basedOn w:val="a"/>
    <w:link w:val="a6"/>
    <w:uiPriority w:val="99"/>
    <w:unhideWhenUsed/>
    <w:rsid w:val="00320041"/>
    <w:pPr>
      <w:tabs>
        <w:tab w:val="center" w:pos="4252"/>
        <w:tab w:val="right" w:pos="8504"/>
      </w:tabs>
      <w:snapToGrid w:val="0"/>
    </w:pPr>
  </w:style>
  <w:style w:type="character" w:customStyle="1" w:styleId="a6">
    <w:name w:val="ヘッダー (文字)"/>
    <w:basedOn w:val="a0"/>
    <w:link w:val="a5"/>
    <w:uiPriority w:val="99"/>
    <w:rsid w:val="00320041"/>
    <w:rPr>
      <w:rFonts w:ascii="Times New Roman" w:eastAsia="Times New Roman" w:hAnsi="Times New Roman" w:cs="Times New Roman"/>
    </w:rPr>
  </w:style>
  <w:style w:type="paragraph" w:styleId="a7">
    <w:name w:val="footer"/>
    <w:basedOn w:val="a"/>
    <w:link w:val="a8"/>
    <w:uiPriority w:val="99"/>
    <w:unhideWhenUsed/>
    <w:rsid w:val="00320041"/>
    <w:pPr>
      <w:tabs>
        <w:tab w:val="center" w:pos="4252"/>
        <w:tab w:val="right" w:pos="8504"/>
      </w:tabs>
      <w:snapToGrid w:val="0"/>
    </w:pPr>
  </w:style>
  <w:style w:type="character" w:customStyle="1" w:styleId="a8">
    <w:name w:val="フッター (文字)"/>
    <w:basedOn w:val="a0"/>
    <w:link w:val="a7"/>
    <w:uiPriority w:val="99"/>
    <w:rsid w:val="0032004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0FE9EC-E573-48E3-ADA0-D8A479A5EFCF}"/>
</file>

<file path=customXml/itemProps2.xml><?xml version="1.0" encoding="utf-8"?>
<ds:datastoreItem xmlns:ds="http://schemas.openxmlformats.org/officeDocument/2006/customXml" ds:itemID="{E9A1DCC5-9FA5-4674-B849-DEB9E863CED3}"/>
</file>

<file path=customXml/itemProps3.xml><?xml version="1.0" encoding="utf-8"?>
<ds:datastoreItem xmlns:ds="http://schemas.openxmlformats.org/officeDocument/2006/customXml" ds:itemID="{9C61AEA3-41C5-4178-BA96-891C4702925A}"/>
</file>

<file path=docProps/app.xml><?xml version="1.0" encoding="utf-8"?>
<Properties xmlns="http://schemas.openxmlformats.org/officeDocument/2006/extended-properties" xmlns:vt="http://schemas.openxmlformats.org/officeDocument/2006/docPropsVTypes">
  <Template>Normal</Template>
  <TotalTime>11</TotalTime>
  <Pages>16</Pages>
  <Words>6289</Words>
  <Characters>35848</Characters>
  <Application>Microsoft Office Word</Application>
  <DocSecurity>0</DocSecurity>
  <Lines>298</Lines>
  <Paragraphs>84</Paragraphs>
  <ScaleCrop>false</ScaleCrop>
  <Company/>
  <LinksUpToDate>false</LinksUpToDate>
  <CharactersWithSpaces>42053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Astellas-eSignature-A4</dc:title>
  <cp:lastModifiedBy>Watanabe, Yudai(渡辺 雄大)</cp:lastModifiedBy>
  <cp:revision>4</cp:revision>
  <dcterms:created xsi:type="dcterms:W3CDTF">2021-06-22T01:04:00Z</dcterms:created>
  <dcterms:modified xsi:type="dcterms:W3CDTF">2021-07-08T09:14:00Z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2009-02-03T00:00:00Z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