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3A0" w:rsidRDefault="009F503D" w:rsidP="003065FF">
      <w:pPr>
        <w:autoSpaceDE w:val="0"/>
        <w:autoSpaceDN w:val="0"/>
        <w:adjustRightInd w:val="0"/>
        <w:jc w:val="left"/>
        <w:rPr>
          <w:b/>
          <w:bCs/>
          <w:kern w:val="0"/>
          <w:sz w:val="32"/>
          <w:szCs w:val="32"/>
        </w:rPr>
      </w:pPr>
      <w:r w:rsidRPr="009F503D">
        <w:rPr>
          <w:b/>
          <w:bCs/>
          <w:kern w:val="0"/>
          <w:sz w:val="32"/>
          <w:szCs w:val="32"/>
        </w:rPr>
        <w:t xml:space="preserve">A 4-Week Repeated Oral Dose Toxicity Study of </w:t>
      </w:r>
      <w:bookmarkStart w:id="0" w:name="_GoBack"/>
      <w:r w:rsidR="002F5D43">
        <w:rPr>
          <w:b/>
          <w:bCs/>
          <w:kern w:val="0"/>
          <w:sz w:val="32"/>
          <w:szCs w:val="32"/>
        </w:rPr>
        <w:t>Project 4</w:t>
      </w:r>
      <w:bookmarkEnd w:id="0"/>
      <w:r w:rsidRPr="009F503D">
        <w:rPr>
          <w:b/>
          <w:bCs/>
          <w:kern w:val="0"/>
          <w:sz w:val="32"/>
          <w:szCs w:val="32"/>
        </w:rPr>
        <w:t xml:space="preserve"> in Cynomolgus Monkeys Followed by a 4-Week Reversibility Study</w:t>
      </w:r>
    </w:p>
    <w:p w:rsidR="009F503D" w:rsidRPr="009F503D" w:rsidRDefault="009F503D" w:rsidP="003065FF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C20ABD" w:rsidRDefault="00D0213C" w:rsidP="00C20ABD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11 </w:t>
      </w:r>
      <w:proofErr w:type="gramStart"/>
      <w:r>
        <w:rPr>
          <w:b/>
          <w:bCs/>
          <w:kern w:val="0"/>
          <w:sz w:val="28"/>
          <w:szCs w:val="28"/>
        </w:rPr>
        <w:t>SUMMARY</w:t>
      </w:r>
      <w:proofErr w:type="gramEnd"/>
    </w:p>
    <w:p w:rsidR="009F503D" w:rsidRDefault="002F5D43" w:rsidP="009F503D">
      <w:r>
        <w:t>Project 4</w:t>
      </w:r>
      <w:r w:rsidR="009F503D">
        <w:t xml:space="preserve"> was administered orally once daily for 4 weeks at dose levels of 0 (vehicle), 1, 3, 10, and 30 mg/kg (as </w:t>
      </w:r>
      <w:r>
        <w:t>PROJECT 4</w:t>
      </w:r>
      <w:r w:rsidR="009F503D">
        <w:t xml:space="preserve">) to 3 male and 3 female cynomolgus monkeys per group in order to investigate its toxicity. Three males and three females were added to the 30 mg/kg group in order to assess the reversibility of toxicity during a subsequent 4-week recovery period. The animals in the control group received 0.5 w/v% methylcellulose solution. Systemic exposure to </w:t>
      </w:r>
      <w:r>
        <w:t>PROJECT 4</w:t>
      </w:r>
      <w:r w:rsidR="009F503D">
        <w:t xml:space="preserve"> was also evaluated.</w:t>
      </w:r>
    </w:p>
    <w:p w:rsidR="009F503D" w:rsidRDefault="009F503D" w:rsidP="009F503D">
      <w:r>
        <w:t>No animal died in any group during the dosing or recovery period.</w:t>
      </w:r>
    </w:p>
    <w:p w:rsidR="009F503D" w:rsidRDefault="009F503D" w:rsidP="009F503D">
      <w:r>
        <w:t>In the 1 and 3 mg/kg groups, no test article-related changes were noted in any examination.</w:t>
      </w:r>
    </w:p>
    <w:p w:rsidR="009F503D" w:rsidRDefault="009F503D" w:rsidP="009F503D">
      <w:r>
        <w:t>In the 10 mg/kg group, symptoms were observed in all males and females. Ataxic gait was observed daily or almost daily from Day 1 or 2 in 2 males and 1 female, and was</w:t>
      </w:r>
    </w:p>
    <w:p w:rsidR="009F503D" w:rsidRDefault="009F503D" w:rsidP="009F503D">
      <w:r>
        <w:t>accompanied frequently by decrease in spontaneous activity and/or incomplete eyelid opening. Ataxic gait was observed also in 1 male and 2 females, once, sporadically, or transiently in the middle of the dosing period. These symptoms were observed from 1 hour after dosing, and disappeared by 8 hours after dosing. Vomiting was observed in 2 females for 2 or 4 days from 1 or 4 hours after dosing. Food consumption was decreased in all males and 1 female for 2 to</w:t>
      </w:r>
    </w:p>
    <w:p w:rsidR="009F503D" w:rsidRDefault="009F503D" w:rsidP="009F503D">
      <w:r>
        <w:t>9 days during the first 2 weeks, and statistically significantly low values were noted in males from Day 1 to Day 4. Body weight decreased transiently in 1 male. No test article-related changes were noted in other examinations.</w:t>
      </w:r>
    </w:p>
    <w:p w:rsidR="009F503D" w:rsidRDefault="009F503D" w:rsidP="009F503D">
      <w:r>
        <w:t>In the 30 mg/kg group, symptoms were observed in all males and females. Ataxic gait was observed daily or almost daily from Day 1 in all animals, and was accompanied frequently by decrease in spontaneous activity and/or incomplete eyelid opening. Abnormal position (sitting, lateral, or prone position), suppressed response to stimulation, disappearance of touch response, somnolence, tremor, mydriasis, salivation, and/or vertical nystagmus were also observed frequently or sporadically in 5 males and 2 females. In 1 female, ataxic gait was the only sign observed for 11 days. These symptoms were observed from 1 hour after dosing, tended to be most severe around 1 to 2.5 hours after dosing, and subsided thereafter. Ataxic gait was the only one that sometimes remained 8 hours after dosing, but it had always disappeared by the next morning. Vomiting was observed in 3 males and 4 females for 1 to 6 days, mainly in the first week of dosing between 2.5 hours and 8 hours after dosing. Food consumption was decreased in 4 males and all females for 1 to 13 days during</w:t>
      </w:r>
      <w:r>
        <w:rPr>
          <w:spacing w:val="-44"/>
        </w:rPr>
        <w:t xml:space="preserve"> </w:t>
      </w:r>
      <w:r>
        <w:t xml:space="preserve">the first 2 weeks of the dosing period, and statistically significantly low values were noted in males on Day 3 and in females from Day 1 to Day 5. A decrease was also noted in 2 males and 1 female on Day 25. In 1 of these males, body weight decreased through the dosing period. In </w:t>
      </w:r>
      <w:proofErr w:type="spellStart"/>
      <w:r>
        <w:t>erectrocardiography</w:t>
      </w:r>
      <w:proofErr w:type="spellEnd"/>
      <w:r>
        <w:t>, a statistically significantly decrease or decreased tendency was noted in heart rate in males and females 2 hours after dosing on Day 22, and individual heart rate markedly decreased in 2 males and 1 female. In hematology, decreased erythrocyte count, hematocrit value, and hemoglobin concentration were noted in 1 female on Day 26. In blood chemistry, decreased albumin and albumin/globulin ratio were noted in 1 female on Day 26.</w:t>
      </w:r>
    </w:p>
    <w:p w:rsidR="009F503D" w:rsidRDefault="009F503D" w:rsidP="009F503D">
      <w:r>
        <w:t>No test article-related changes were noted in other examinations (ophthalmology, urinalysis, gross pathology, organ weight, and histopathology).</w:t>
      </w:r>
    </w:p>
    <w:p w:rsidR="009F503D" w:rsidRDefault="009F503D" w:rsidP="009F503D">
      <w:r>
        <w:t>During the recovery period in the 30 mg/kg group, the decreased body weight noted in 1 male recovered by Day 7, and no test article-related changes were noted in any examination in the recovery period.</w:t>
      </w:r>
    </w:p>
    <w:p w:rsidR="009F503D" w:rsidRDefault="009F503D" w:rsidP="009F503D">
      <w:r>
        <w:t xml:space="preserve">In toxicokinetics, </w:t>
      </w:r>
      <w:proofErr w:type="spellStart"/>
      <w:r>
        <w:t>T</w:t>
      </w:r>
      <w:r>
        <w:rPr>
          <w:vertAlign w:val="subscript"/>
        </w:rPr>
        <w:t>max</w:t>
      </w:r>
      <w:proofErr w:type="spellEnd"/>
      <w:r>
        <w:t xml:space="preserve"> showed no clear difference between doses. </w:t>
      </w:r>
      <w:proofErr w:type="spellStart"/>
      <w:r>
        <w:t>C</w:t>
      </w:r>
      <w:r>
        <w:rPr>
          <w:vertAlign w:val="subscript"/>
        </w:rPr>
        <w:t>max</w:t>
      </w:r>
      <w:proofErr w:type="spellEnd"/>
      <w:r>
        <w:t xml:space="preserve"> and AUC</w:t>
      </w:r>
      <w:r>
        <w:rPr>
          <w:vertAlign w:val="subscript"/>
        </w:rPr>
        <w:t>0-24h</w:t>
      </w:r>
      <w:r>
        <w:t xml:space="preserve"> increased almost dose proportionally in both sexes. There was no apparent sex difference in any parameter. </w:t>
      </w:r>
      <w:r>
        <w:lastRenderedPageBreak/>
        <w:t>These parameters showed no clear change after repeated dosing.</w:t>
      </w:r>
    </w:p>
    <w:p w:rsidR="009F503D" w:rsidRPr="009F503D" w:rsidRDefault="009F503D" w:rsidP="009F503D">
      <w:pPr>
        <w:rPr>
          <w:b/>
          <w:bCs/>
          <w:kern w:val="0"/>
          <w:sz w:val="28"/>
          <w:szCs w:val="28"/>
        </w:rPr>
      </w:pPr>
      <w:r>
        <w:t xml:space="preserve">In conclusion, the no-observed-adverse-effect-level was 3 mg/kg/day as </w:t>
      </w:r>
      <w:r w:rsidR="002F5D43">
        <w:t>PROJECT 4</w:t>
      </w:r>
      <w:r>
        <w:t xml:space="preserve"> in this 4- week repeated oral dose toxicity study of </w:t>
      </w:r>
      <w:r w:rsidR="002F5D43">
        <w:t>Project 4</w:t>
      </w:r>
      <w:r>
        <w:t xml:space="preserve"> in cynomolgus monkeys. No test article-related changes were noted during the recovery period.</w:t>
      </w:r>
    </w:p>
    <w:sectPr w:rsidR="009F503D" w:rsidRPr="009F503D" w:rsidSect="009F503D">
      <w:footerReference w:type="default" r:id="rId7"/>
      <w:pgSz w:w="11900" w:h="16840"/>
      <w:pgMar w:top="1660" w:right="96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5D2" w:rsidRDefault="001845D2" w:rsidP="00321748">
      <w:r>
        <w:separator/>
      </w:r>
    </w:p>
  </w:endnote>
  <w:endnote w:type="continuationSeparator" w:id="0">
    <w:p w:rsidR="001845D2" w:rsidRDefault="001845D2" w:rsidP="0032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416" w:rsidRDefault="00571416">
    <w:pPr>
      <w:pStyle w:val="a7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5D2" w:rsidRDefault="001845D2" w:rsidP="00321748">
      <w:r>
        <w:separator/>
      </w:r>
    </w:p>
  </w:footnote>
  <w:footnote w:type="continuationSeparator" w:id="0">
    <w:p w:rsidR="001845D2" w:rsidRDefault="001845D2" w:rsidP="0032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118"/>
    <w:multiLevelType w:val="multilevel"/>
    <w:tmpl w:val="0DB2A062"/>
    <w:lvl w:ilvl="0">
      <w:start w:val="3"/>
      <w:numFmt w:val="decimal"/>
      <w:lvlText w:val="%1."/>
      <w:lvlJc w:val="left"/>
      <w:pPr>
        <w:ind w:left="637" w:hanging="396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865" w:hanging="624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2">
      <w:start w:val="1"/>
      <w:numFmt w:val="lowerRoman"/>
      <w:lvlText w:val="(%3)"/>
      <w:lvlJc w:val="left"/>
      <w:pPr>
        <w:ind w:left="1320" w:hanging="72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1320" w:hanging="721"/>
      </w:pPr>
      <w:rPr>
        <w:rFonts w:hint="default"/>
      </w:rPr>
    </w:lvl>
    <w:lvl w:ilvl="4">
      <w:numFmt w:val="bullet"/>
      <w:lvlText w:val="•"/>
      <w:lvlJc w:val="left"/>
      <w:pPr>
        <w:ind w:left="3940" w:hanging="721"/>
      </w:pPr>
      <w:rPr>
        <w:rFonts w:hint="default"/>
      </w:rPr>
    </w:lvl>
    <w:lvl w:ilvl="5">
      <w:numFmt w:val="bullet"/>
      <w:lvlText w:val="•"/>
      <w:lvlJc w:val="left"/>
      <w:pPr>
        <w:ind w:left="3759" w:hanging="721"/>
      </w:pPr>
      <w:rPr>
        <w:rFonts w:hint="default"/>
      </w:rPr>
    </w:lvl>
    <w:lvl w:ilvl="6">
      <w:numFmt w:val="bullet"/>
      <w:lvlText w:val="•"/>
      <w:lvlJc w:val="left"/>
      <w:pPr>
        <w:ind w:left="3578" w:hanging="721"/>
      </w:pPr>
      <w:rPr>
        <w:rFonts w:hint="default"/>
      </w:rPr>
    </w:lvl>
    <w:lvl w:ilvl="7">
      <w:numFmt w:val="bullet"/>
      <w:lvlText w:val="•"/>
      <w:lvlJc w:val="left"/>
      <w:pPr>
        <w:ind w:left="3397" w:hanging="721"/>
      </w:pPr>
      <w:rPr>
        <w:rFonts w:hint="default"/>
      </w:rPr>
    </w:lvl>
    <w:lvl w:ilvl="8">
      <w:numFmt w:val="bullet"/>
      <w:lvlText w:val="•"/>
      <w:lvlJc w:val="left"/>
      <w:pPr>
        <w:ind w:left="3216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02312A"/>
    <w:rsid w:val="000804FC"/>
    <w:rsid w:val="0009083A"/>
    <w:rsid w:val="000934E2"/>
    <w:rsid w:val="000F6409"/>
    <w:rsid w:val="0012153B"/>
    <w:rsid w:val="0015063C"/>
    <w:rsid w:val="0016126B"/>
    <w:rsid w:val="001845D2"/>
    <w:rsid w:val="002206D5"/>
    <w:rsid w:val="00280895"/>
    <w:rsid w:val="002C7EB3"/>
    <w:rsid w:val="002D7B26"/>
    <w:rsid w:val="002F5D43"/>
    <w:rsid w:val="00305291"/>
    <w:rsid w:val="003065FF"/>
    <w:rsid w:val="00321748"/>
    <w:rsid w:val="00361285"/>
    <w:rsid w:val="00380F69"/>
    <w:rsid w:val="003A0A7C"/>
    <w:rsid w:val="003C3D3C"/>
    <w:rsid w:val="003F667A"/>
    <w:rsid w:val="004929BD"/>
    <w:rsid w:val="00571416"/>
    <w:rsid w:val="005835E5"/>
    <w:rsid w:val="005B7D2B"/>
    <w:rsid w:val="00667206"/>
    <w:rsid w:val="006C2900"/>
    <w:rsid w:val="006D1EC1"/>
    <w:rsid w:val="006F292D"/>
    <w:rsid w:val="0071344D"/>
    <w:rsid w:val="00714904"/>
    <w:rsid w:val="0078042E"/>
    <w:rsid w:val="007A13A0"/>
    <w:rsid w:val="007B04E7"/>
    <w:rsid w:val="007C55F6"/>
    <w:rsid w:val="007C6290"/>
    <w:rsid w:val="008E19B0"/>
    <w:rsid w:val="009376DC"/>
    <w:rsid w:val="00950A3B"/>
    <w:rsid w:val="00953BD7"/>
    <w:rsid w:val="00977F68"/>
    <w:rsid w:val="009F503D"/>
    <w:rsid w:val="00A13523"/>
    <w:rsid w:val="00AA621D"/>
    <w:rsid w:val="00AC22DF"/>
    <w:rsid w:val="00BC0EC2"/>
    <w:rsid w:val="00C20ABD"/>
    <w:rsid w:val="00C75423"/>
    <w:rsid w:val="00C93565"/>
    <w:rsid w:val="00D0213C"/>
    <w:rsid w:val="00D154DC"/>
    <w:rsid w:val="00D86D90"/>
    <w:rsid w:val="00D87BA5"/>
    <w:rsid w:val="00DA3A6D"/>
    <w:rsid w:val="00E62016"/>
    <w:rsid w:val="00E924DB"/>
    <w:rsid w:val="00ED218C"/>
    <w:rsid w:val="00EE3238"/>
    <w:rsid w:val="00F1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74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1748"/>
    <w:rPr>
      <w:sz w:val="24"/>
    </w:rPr>
  </w:style>
  <w:style w:type="paragraph" w:styleId="a5">
    <w:name w:val="footer"/>
    <w:basedOn w:val="a"/>
    <w:link w:val="a6"/>
    <w:uiPriority w:val="99"/>
    <w:unhideWhenUsed/>
    <w:rsid w:val="0032174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1748"/>
    <w:rPr>
      <w:sz w:val="24"/>
    </w:rPr>
  </w:style>
  <w:style w:type="paragraph" w:styleId="a7">
    <w:name w:val="Body Text"/>
    <w:basedOn w:val="a"/>
    <w:link w:val="a8"/>
    <w:uiPriority w:val="1"/>
    <w:qFormat/>
    <w:rsid w:val="00321748"/>
    <w:pPr>
      <w:autoSpaceDE w:val="0"/>
      <w:autoSpaceDN w:val="0"/>
      <w:jc w:val="left"/>
    </w:pPr>
    <w:rPr>
      <w:rFonts w:eastAsia="Times New Roman"/>
      <w:kern w:val="0"/>
      <w:szCs w:val="24"/>
      <w:lang w:eastAsia="en-US"/>
    </w:rPr>
  </w:style>
  <w:style w:type="character" w:customStyle="1" w:styleId="a8">
    <w:name w:val="本文 (文字)"/>
    <w:basedOn w:val="a0"/>
    <w:link w:val="a7"/>
    <w:uiPriority w:val="1"/>
    <w:rsid w:val="00321748"/>
    <w:rPr>
      <w:rFonts w:eastAsia="Times New Roman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50A3B"/>
    <w:pPr>
      <w:widowControl w:val="0"/>
      <w:autoSpaceDE w:val="0"/>
      <w:autoSpaceDN w:val="0"/>
    </w:pPr>
    <w:rPr>
      <w:rFonts w:asciiTheme="minorHAnsi" w:eastAsiaTheme="minorEastAsia" w:hAnsiTheme="minorHAnsi" w:cstheme="minorBid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0A3B"/>
    <w:pPr>
      <w:autoSpaceDE w:val="0"/>
      <w:autoSpaceDN w:val="0"/>
      <w:jc w:val="left"/>
    </w:pPr>
    <w:rPr>
      <w:rFonts w:ascii="Courier New" w:eastAsia="Courier New" w:hAnsi="Courier New" w:cs="Courier New"/>
      <w:kern w:val="0"/>
      <w:sz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3065FF"/>
    <w:pPr>
      <w:widowControl w:val="0"/>
      <w:autoSpaceDE w:val="0"/>
      <w:autoSpaceDN w:val="0"/>
    </w:pPr>
    <w:rPr>
      <w:rFonts w:ascii="Calibri" w:hAnsi="Calibr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71416"/>
    <w:pPr>
      <w:widowControl w:val="0"/>
      <w:autoSpaceDE w:val="0"/>
      <w:autoSpaceDN w:val="0"/>
    </w:pPr>
    <w:rPr>
      <w:rFonts w:ascii="Calibri" w:hAnsi="Calibr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FE980-A493-44D3-AFDE-3187FF1AD798}"/>
</file>

<file path=customXml/itemProps2.xml><?xml version="1.0" encoding="utf-8"?>
<ds:datastoreItem xmlns:ds="http://schemas.openxmlformats.org/officeDocument/2006/customXml" ds:itemID="{7C644D8D-25DC-49C2-A5BB-D75C17422433}"/>
</file>

<file path=customXml/itemProps3.xml><?xml version="1.0" encoding="utf-8"?>
<ds:datastoreItem xmlns:ds="http://schemas.openxmlformats.org/officeDocument/2006/customXml" ds:itemID="{04D69300-C15D-4A5C-A6F4-AB9CFAB871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28</cp:revision>
  <dcterms:created xsi:type="dcterms:W3CDTF">2021-06-23T13:15:00Z</dcterms:created>
  <dcterms:modified xsi:type="dcterms:W3CDTF">2021-07-01T02:37:00Z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