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DBD" w:rsidRDefault="00A61956">
      <w:pPr>
        <w:spacing w:before="183"/>
        <w:ind w:left="332" w:right="335" w:firstLine="2"/>
        <w:jc w:val="center"/>
        <w:rPr>
          <w:b/>
          <w:sz w:val="32"/>
        </w:rPr>
      </w:pPr>
      <w:r>
        <w:rPr>
          <w:b/>
          <w:sz w:val="32"/>
        </w:rPr>
        <w:t xml:space="preserve">A 4-Week Repeated Oral Dose Toxicity Study of </w:t>
      </w:r>
      <w:bookmarkStart w:id="0" w:name="_GoBack"/>
      <w:r w:rsidR="005B4B2C">
        <w:rPr>
          <w:b/>
          <w:sz w:val="32"/>
        </w:rPr>
        <w:t>Project 5</w:t>
      </w:r>
      <w:bookmarkEnd w:id="0"/>
      <w:r>
        <w:rPr>
          <w:b/>
          <w:sz w:val="32"/>
        </w:rPr>
        <w:t xml:space="preserve"> in Cynomolgus Monkeys Followed by a</w:t>
      </w:r>
      <w:r>
        <w:rPr>
          <w:b/>
          <w:spacing w:val="-20"/>
          <w:sz w:val="32"/>
        </w:rPr>
        <w:t xml:space="preserve"> </w:t>
      </w:r>
      <w:r>
        <w:rPr>
          <w:b/>
          <w:sz w:val="32"/>
        </w:rPr>
        <w:t>4-Week Recovery</w:t>
      </w:r>
      <w:r>
        <w:rPr>
          <w:b/>
          <w:spacing w:val="-2"/>
          <w:sz w:val="32"/>
        </w:rPr>
        <w:t xml:space="preserve"> </w:t>
      </w:r>
      <w:r>
        <w:rPr>
          <w:b/>
          <w:sz w:val="32"/>
        </w:rPr>
        <w:t>Period</w:t>
      </w:r>
    </w:p>
    <w:p w:rsidR="00001DBD" w:rsidRDefault="00001DBD">
      <w:pPr>
        <w:pStyle w:val="a3"/>
        <w:rPr>
          <w:sz w:val="20"/>
        </w:rPr>
      </w:pPr>
    </w:p>
    <w:p w:rsidR="00001DBD" w:rsidRDefault="00A61956" w:rsidP="00A61956">
      <w:pPr>
        <w:numPr>
          <w:ilvl w:val="0"/>
          <w:numId w:val="1"/>
        </w:numPr>
        <w:tabs>
          <w:tab w:val="left" w:pos="1013"/>
          <w:tab w:val="left" w:pos="1014"/>
        </w:tabs>
        <w:spacing w:before="252"/>
        <w:ind w:left="1013" w:hanging="852"/>
        <w:rPr>
          <w:b/>
          <w:sz w:val="28"/>
        </w:rPr>
      </w:pPr>
      <w:bookmarkStart w:id="1" w:name="2_SUMMARY_AND_CONCLUSION"/>
      <w:bookmarkStart w:id="2" w:name="_bookmark13"/>
      <w:bookmarkEnd w:id="1"/>
      <w:bookmarkEnd w:id="2"/>
      <w:r>
        <w:rPr>
          <w:b/>
          <w:sz w:val="28"/>
        </w:rPr>
        <w:t>SUMMARY AND</w:t>
      </w:r>
      <w:r>
        <w:rPr>
          <w:b/>
          <w:spacing w:val="-1"/>
          <w:sz w:val="28"/>
        </w:rPr>
        <w:t xml:space="preserve"> </w:t>
      </w:r>
      <w:r>
        <w:rPr>
          <w:b/>
          <w:sz w:val="28"/>
        </w:rPr>
        <w:t>CONCLUSION</w:t>
      </w:r>
    </w:p>
    <w:p w:rsidR="00001DBD" w:rsidRDefault="005B4B2C">
      <w:pPr>
        <w:pStyle w:val="a3"/>
        <w:spacing w:before="140" w:line="261" w:lineRule="auto"/>
        <w:ind w:left="161" w:right="608"/>
      </w:pPr>
      <w:r>
        <w:t>Project 5</w:t>
      </w:r>
      <w:r w:rsidR="00A61956">
        <w:t xml:space="preserve"> was administered orally once daily for 4 weeks at dose levels of 0 (vehicle), 8, 15, 30, and 60 mg/kg (as </w:t>
      </w:r>
      <w:r>
        <w:t>PROJECT 5</w:t>
      </w:r>
      <w:r w:rsidR="00A61956">
        <w:t>) to 3 male and 3 female cynomolgus monkeys per group in order to investigate its toxicity. Three males and three females were</w:t>
      </w:r>
    </w:p>
    <w:p w:rsidR="00001DBD" w:rsidRDefault="00A61956">
      <w:pPr>
        <w:pStyle w:val="a3"/>
        <w:spacing w:line="261" w:lineRule="auto"/>
        <w:ind w:left="161"/>
      </w:pPr>
      <w:r>
        <w:t>added</w:t>
      </w:r>
      <w:r>
        <w:rPr>
          <w:spacing w:val="-8"/>
        </w:rPr>
        <w:t xml:space="preserve"> </w:t>
      </w:r>
      <w:r>
        <w:t>to</w:t>
      </w:r>
      <w:r>
        <w:rPr>
          <w:spacing w:val="-8"/>
        </w:rPr>
        <w:t xml:space="preserve"> </w:t>
      </w:r>
      <w:r>
        <w:t>the</w:t>
      </w:r>
      <w:r>
        <w:rPr>
          <w:spacing w:val="-8"/>
        </w:rPr>
        <w:t xml:space="preserve"> </w:t>
      </w:r>
      <w:r>
        <w:t>60</w:t>
      </w:r>
      <w:r>
        <w:rPr>
          <w:spacing w:val="-8"/>
        </w:rPr>
        <w:t xml:space="preserve"> </w:t>
      </w:r>
      <w:r>
        <w:t>mg/kg</w:t>
      </w:r>
      <w:r>
        <w:rPr>
          <w:spacing w:val="-8"/>
        </w:rPr>
        <w:t xml:space="preserve"> </w:t>
      </w:r>
      <w:r>
        <w:t>groups</w:t>
      </w:r>
      <w:r>
        <w:rPr>
          <w:spacing w:val="-8"/>
        </w:rPr>
        <w:t xml:space="preserve"> </w:t>
      </w:r>
      <w:r>
        <w:t>in</w:t>
      </w:r>
      <w:r>
        <w:rPr>
          <w:spacing w:val="-8"/>
        </w:rPr>
        <w:t xml:space="preserve"> </w:t>
      </w:r>
      <w:r>
        <w:t>order</w:t>
      </w:r>
      <w:r>
        <w:rPr>
          <w:spacing w:val="-8"/>
        </w:rPr>
        <w:t xml:space="preserve"> </w:t>
      </w:r>
      <w:r>
        <w:t>to</w:t>
      </w:r>
      <w:r>
        <w:rPr>
          <w:spacing w:val="-8"/>
        </w:rPr>
        <w:t xml:space="preserve"> </w:t>
      </w:r>
      <w:r>
        <w:t>assess</w:t>
      </w:r>
      <w:r>
        <w:rPr>
          <w:spacing w:val="-8"/>
        </w:rPr>
        <w:t xml:space="preserve"> </w:t>
      </w:r>
      <w:r>
        <w:t>the</w:t>
      </w:r>
      <w:r>
        <w:rPr>
          <w:spacing w:val="-8"/>
        </w:rPr>
        <w:t xml:space="preserve"> </w:t>
      </w:r>
      <w:r>
        <w:t>reversibility</w:t>
      </w:r>
      <w:r>
        <w:rPr>
          <w:spacing w:val="-16"/>
        </w:rPr>
        <w:t xml:space="preserve"> </w:t>
      </w:r>
      <w:r>
        <w:t>of</w:t>
      </w:r>
      <w:r>
        <w:rPr>
          <w:spacing w:val="-8"/>
        </w:rPr>
        <w:t xml:space="preserve"> </w:t>
      </w:r>
      <w:r>
        <w:t>toxicity</w:t>
      </w:r>
      <w:r>
        <w:rPr>
          <w:spacing w:val="-11"/>
        </w:rPr>
        <w:t xml:space="preserve"> </w:t>
      </w:r>
      <w:r>
        <w:t>observed</w:t>
      </w:r>
      <w:r>
        <w:rPr>
          <w:spacing w:val="-8"/>
        </w:rPr>
        <w:t xml:space="preserve"> </w:t>
      </w:r>
      <w:r>
        <w:t>during</w:t>
      </w:r>
      <w:r>
        <w:rPr>
          <w:spacing w:val="-10"/>
        </w:rPr>
        <w:t xml:space="preserve"> </w:t>
      </w:r>
      <w:r>
        <w:t>the dosing period in the subsequent 4-week recovery period. Systemic exposure to the test article was also evaluated. The animals in the control group received 0.5 w/v% methylcellulose solution.</w:t>
      </w:r>
    </w:p>
    <w:p w:rsidR="00001DBD" w:rsidRDefault="00001DBD">
      <w:pPr>
        <w:pStyle w:val="a3"/>
        <w:rPr>
          <w:sz w:val="26"/>
        </w:rPr>
      </w:pPr>
    </w:p>
    <w:p w:rsidR="00001DBD" w:rsidRDefault="00001DBD">
      <w:pPr>
        <w:pStyle w:val="a3"/>
        <w:spacing w:before="5"/>
        <w:rPr>
          <w:sz w:val="20"/>
        </w:rPr>
      </w:pPr>
    </w:p>
    <w:p w:rsidR="00001DBD" w:rsidRDefault="00A61956">
      <w:pPr>
        <w:pStyle w:val="a3"/>
        <w:ind w:left="161"/>
      </w:pPr>
      <w:r>
        <w:t>No animals died in any group during the dosing or recovery period.</w:t>
      </w:r>
    </w:p>
    <w:p w:rsidR="00001DBD" w:rsidRDefault="00A61956">
      <w:pPr>
        <w:pStyle w:val="a3"/>
        <w:spacing w:before="144"/>
        <w:ind w:left="161"/>
      </w:pPr>
      <w:r>
        <w:t>In the 8 and 15 mg/kg groups, no test article-related changes were noted in any examination.</w:t>
      </w:r>
    </w:p>
    <w:p w:rsidR="00001DBD" w:rsidRDefault="00A61956">
      <w:pPr>
        <w:pStyle w:val="a3"/>
        <w:spacing w:before="144" w:line="261" w:lineRule="auto"/>
        <w:ind w:left="161" w:right="128"/>
      </w:pPr>
      <w:r>
        <w:t>In the 30 mg/kg group, soft stool or diarrhea (watery stool) was observed in 2 males for 3 or 4 days. Food consumption decreased in 1 male from Day 9 to Day 14 and body weight decreased on Day 14, but recovered thereafter. In histopathology, slight atrophy of the thymus was observed in 2 males. A very slight increase in granulocytes in the sternal bone marrow was observed in the males.</w:t>
      </w:r>
    </w:p>
    <w:p w:rsidR="00001DBD" w:rsidRDefault="00A61956">
      <w:pPr>
        <w:pStyle w:val="a3"/>
        <w:spacing w:before="116" w:line="261" w:lineRule="auto"/>
        <w:ind w:left="161" w:right="225"/>
        <w:jc w:val="both"/>
      </w:pPr>
      <w:r>
        <w:t>In</w:t>
      </w:r>
      <w:r>
        <w:rPr>
          <w:spacing w:val="-5"/>
        </w:rPr>
        <w:t xml:space="preserve"> </w:t>
      </w:r>
      <w:r>
        <w:t>the</w:t>
      </w:r>
      <w:r>
        <w:rPr>
          <w:spacing w:val="-4"/>
        </w:rPr>
        <w:t xml:space="preserve"> </w:t>
      </w:r>
      <w:r>
        <w:t>60</w:t>
      </w:r>
      <w:r>
        <w:rPr>
          <w:spacing w:val="-5"/>
        </w:rPr>
        <w:t xml:space="preserve"> </w:t>
      </w:r>
      <w:r>
        <w:t>mg/kg</w:t>
      </w:r>
      <w:r>
        <w:rPr>
          <w:spacing w:val="-4"/>
        </w:rPr>
        <w:t xml:space="preserve"> </w:t>
      </w:r>
      <w:r>
        <w:t>group,</w:t>
      </w:r>
      <w:r>
        <w:rPr>
          <w:spacing w:val="-4"/>
        </w:rPr>
        <w:t xml:space="preserve"> </w:t>
      </w:r>
      <w:r>
        <w:t>vomiting</w:t>
      </w:r>
      <w:r>
        <w:rPr>
          <w:spacing w:val="-7"/>
        </w:rPr>
        <w:t xml:space="preserve"> </w:t>
      </w:r>
      <w:r>
        <w:t>was</w:t>
      </w:r>
      <w:r>
        <w:rPr>
          <w:spacing w:val="-4"/>
        </w:rPr>
        <w:t xml:space="preserve"> </w:t>
      </w:r>
      <w:r>
        <w:t>observed</w:t>
      </w:r>
      <w:r>
        <w:rPr>
          <w:spacing w:val="-4"/>
        </w:rPr>
        <w:t xml:space="preserve"> </w:t>
      </w:r>
      <w:r>
        <w:t>in</w:t>
      </w:r>
      <w:r>
        <w:rPr>
          <w:spacing w:val="-5"/>
        </w:rPr>
        <w:t xml:space="preserve"> </w:t>
      </w:r>
      <w:r>
        <w:t>1</w:t>
      </w:r>
      <w:r>
        <w:rPr>
          <w:spacing w:val="-4"/>
        </w:rPr>
        <w:t xml:space="preserve"> </w:t>
      </w:r>
      <w:r>
        <w:t>male</w:t>
      </w:r>
      <w:r>
        <w:rPr>
          <w:spacing w:val="-4"/>
        </w:rPr>
        <w:t xml:space="preserve"> </w:t>
      </w:r>
      <w:r>
        <w:t>for</w:t>
      </w:r>
      <w:r>
        <w:rPr>
          <w:spacing w:val="-5"/>
        </w:rPr>
        <w:t xml:space="preserve"> </w:t>
      </w:r>
      <w:r>
        <w:t>6</w:t>
      </w:r>
      <w:r>
        <w:rPr>
          <w:spacing w:val="-4"/>
        </w:rPr>
        <w:t xml:space="preserve"> </w:t>
      </w:r>
      <w:r>
        <w:t>day,</w:t>
      </w:r>
      <w:r>
        <w:rPr>
          <w:spacing w:val="-4"/>
        </w:rPr>
        <w:t xml:space="preserve"> </w:t>
      </w:r>
      <w:r>
        <w:t>immediately</w:t>
      </w:r>
      <w:r>
        <w:rPr>
          <w:spacing w:val="-10"/>
        </w:rPr>
        <w:t xml:space="preserve"> </w:t>
      </w:r>
      <w:r>
        <w:t>to</w:t>
      </w:r>
      <w:r>
        <w:rPr>
          <w:spacing w:val="-4"/>
        </w:rPr>
        <w:t xml:space="preserve"> </w:t>
      </w:r>
      <w:r>
        <w:t>1</w:t>
      </w:r>
      <w:r>
        <w:rPr>
          <w:spacing w:val="-4"/>
        </w:rPr>
        <w:t xml:space="preserve"> </w:t>
      </w:r>
      <w:r>
        <w:t>hour</w:t>
      </w:r>
      <w:r>
        <w:rPr>
          <w:spacing w:val="-3"/>
        </w:rPr>
        <w:t xml:space="preserve"> </w:t>
      </w:r>
      <w:r>
        <w:t>after dosing</w:t>
      </w:r>
      <w:r>
        <w:rPr>
          <w:spacing w:val="-6"/>
        </w:rPr>
        <w:t xml:space="preserve"> </w:t>
      </w:r>
      <w:r>
        <w:t>or</w:t>
      </w:r>
      <w:r>
        <w:rPr>
          <w:spacing w:val="-4"/>
        </w:rPr>
        <w:t xml:space="preserve"> </w:t>
      </w:r>
      <w:r>
        <w:t>3</w:t>
      </w:r>
      <w:r>
        <w:rPr>
          <w:spacing w:val="-3"/>
        </w:rPr>
        <w:t xml:space="preserve"> </w:t>
      </w:r>
      <w:r>
        <w:t>to</w:t>
      </w:r>
      <w:r>
        <w:rPr>
          <w:spacing w:val="-3"/>
        </w:rPr>
        <w:t xml:space="preserve"> </w:t>
      </w:r>
      <w:r>
        <w:t>5</w:t>
      </w:r>
      <w:r>
        <w:rPr>
          <w:spacing w:val="-4"/>
        </w:rPr>
        <w:t xml:space="preserve"> </w:t>
      </w:r>
      <w:r>
        <w:t>hours</w:t>
      </w:r>
      <w:r>
        <w:rPr>
          <w:spacing w:val="-3"/>
        </w:rPr>
        <w:t xml:space="preserve"> </w:t>
      </w:r>
      <w:r>
        <w:t>after</w:t>
      </w:r>
      <w:r>
        <w:rPr>
          <w:spacing w:val="-4"/>
        </w:rPr>
        <w:t xml:space="preserve"> </w:t>
      </w:r>
      <w:r>
        <w:t>dosing.</w:t>
      </w:r>
      <w:r>
        <w:rPr>
          <w:spacing w:val="-4"/>
        </w:rPr>
        <w:t xml:space="preserve"> </w:t>
      </w:r>
      <w:r>
        <w:t>Salivation</w:t>
      </w:r>
      <w:r>
        <w:rPr>
          <w:spacing w:val="-3"/>
        </w:rPr>
        <w:t xml:space="preserve"> </w:t>
      </w:r>
      <w:r>
        <w:t>was</w:t>
      </w:r>
      <w:r>
        <w:rPr>
          <w:spacing w:val="-1"/>
        </w:rPr>
        <w:t xml:space="preserve"> </w:t>
      </w:r>
      <w:r>
        <w:t>observed</w:t>
      </w:r>
      <w:r>
        <w:rPr>
          <w:spacing w:val="-4"/>
        </w:rPr>
        <w:t xml:space="preserve"> </w:t>
      </w:r>
      <w:r>
        <w:t>in</w:t>
      </w:r>
      <w:r>
        <w:rPr>
          <w:spacing w:val="-3"/>
        </w:rPr>
        <w:t xml:space="preserve"> </w:t>
      </w:r>
      <w:r>
        <w:t>5</w:t>
      </w:r>
      <w:r>
        <w:rPr>
          <w:spacing w:val="-4"/>
        </w:rPr>
        <w:t xml:space="preserve"> </w:t>
      </w:r>
      <w:r>
        <w:t>females</w:t>
      </w:r>
      <w:r>
        <w:rPr>
          <w:spacing w:val="-3"/>
        </w:rPr>
        <w:t xml:space="preserve"> </w:t>
      </w:r>
      <w:r>
        <w:t>for</w:t>
      </w:r>
      <w:r>
        <w:rPr>
          <w:spacing w:val="-4"/>
        </w:rPr>
        <w:t xml:space="preserve"> </w:t>
      </w:r>
      <w:r>
        <w:t>1</w:t>
      </w:r>
      <w:r>
        <w:rPr>
          <w:spacing w:val="-4"/>
        </w:rPr>
        <w:t xml:space="preserve"> </w:t>
      </w:r>
      <w:r>
        <w:t>to</w:t>
      </w:r>
      <w:r>
        <w:rPr>
          <w:spacing w:val="-3"/>
        </w:rPr>
        <w:t xml:space="preserve"> </w:t>
      </w:r>
      <w:r>
        <w:t>22</w:t>
      </w:r>
      <w:r>
        <w:rPr>
          <w:spacing w:val="-4"/>
        </w:rPr>
        <w:t xml:space="preserve"> </w:t>
      </w:r>
      <w:r>
        <w:t>days</w:t>
      </w:r>
      <w:r>
        <w:rPr>
          <w:spacing w:val="-3"/>
        </w:rPr>
        <w:t xml:space="preserve"> </w:t>
      </w:r>
      <w:r>
        <w:t>from Day 6, immediately after dosing. Soft stool or diarrhea (watery stool) was observed in 3 males and</w:t>
      </w:r>
      <w:r>
        <w:rPr>
          <w:spacing w:val="-6"/>
        </w:rPr>
        <w:t xml:space="preserve"> </w:t>
      </w:r>
      <w:r>
        <w:t>3</w:t>
      </w:r>
      <w:r>
        <w:rPr>
          <w:spacing w:val="-6"/>
        </w:rPr>
        <w:t xml:space="preserve"> </w:t>
      </w:r>
      <w:r>
        <w:t>females</w:t>
      </w:r>
      <w:r>
        <w:rPr>
          <w:spacing w:val="-6"/>
        </w:rPr>
        <w:t xml:space="preserve"> </w:t>
      </w:r>
      <w:r>
        <w:t>for</w:t>
      </w:r>
      <w:r>
        <w:rPr>
          <w:spacing w:val="-6"/>
        </w:rPr>
        <w:t xml:space="preserve"> </w:t>
      </w:r>
      <w:r>
        <w:t>6</w:t>
      </w:r>
      <w:r>
        <w:rPr>
          <w:spacing w:val="-6"/>
        </w:rPr>
        <w:t xml:space="preserve"> </w:t>
      </w:r>
      <w:r>
        <w:t>to</w:t>
      </w:r>
      <w:r>
        <w:rPr>
          <w:spacing w:val="-6"/>
        </w:rPr>
        <w:t xml:space="preserve"> </w:t>
      </w:r>
      <w:r>
        <w:t>10</w:t>
      </w:r>
      <w:r>
        <w:rPr>
          <w:spacing w:val="-6"/>
        </w:rPr>
        <w:t xml:space="preserve"> </w:t>
      </w:r>
      <w:r>
        <w:t>days.</w:t>
      </w:r>
      <w:r>
        <w:rPr>
          <w:spacing w:val="-4"/>
        </w:rPr>
        <w:t xml:space="preserve"> </w:t>
      </w:r>
      <w:r>
        <w:t>Food</w:t>
      </w:r>
      <w:r>
        <w:rPr>
          <w:spacing w:val="-6"/>
        </w:rPr>
        <w:t xml:space="preserve"> </w:t>
      </w:r>
      <w:r>
        <w:t>consumption</w:t>
      </w:r>
      <w:r>
        <w:rPr>
          <w:spacing w:val="-5"/>
        </w:rPr>
        <w:t xml:space="preserve"> </w:t>
      </w:r>
      <w:r>
        <w:t>decreased</w:t>
      </w:r>
      <w:r>
        <w:rPr>
          <w:spacing w:val="-6"/>
        </w:rPr>
        <w:t xml:space="preserve"> </w:t>
      </w:r>
      <w:r>
        <w:t>in</w:t>
      </w:r>
      <w:r>
        <w:rPr>
          <w:spacing w:val="-6"/>
        </w:rPr>
        <w:t xml:space="preserve"> </w:t>
      </w:r>
      <w:r>
        <w:t>2</w:t>
      </w:r>
      <w:r>
        <w:rPr>
          <w:spacing w:val="-6"/>
        </w:rPr>
        <w:t xml:space="preserve"> </w:t>
      </w:r>
      <w:r>
        <w:t>males</w:t>
      </w:r>
      <w:r>
        <w:rPr>
          <w:spacing w:val="-7"/>
        </w:rPr>
        <w:t xml:space="preserve"> </w:t>
      </w:r>
      <w:r>
        <w:t>and</w:t>
      </w:r>
      <w:r>
        <w:rPr>
          <w:spacing w:val="-4"/>
        </w:rPr>
        <w:t xml:space="preserve"> </w:t>
      </w:r>
      <w:r>
        <w:t>2</w:t>
      </w:r>
      <w:r>
        <w:rPr>
          <w:spacing w:val="-6"/>
        </w:rPr>
        <w:t xml:space="preserve"> </w:t>
      </w:r>
      <w:r>
        <w:t>females</w:t>
      </w:r>
      <w:r>
        <w:rPr>
          <w:spacing w:val="-6"/>
        </w:rPr>
        <w:t xml:space="preserve"> </w:t>
      </w:r>
      <w:r>
        <w:t>between Days</w:t>
      </w:r>
      <w:r>
        <w:rPr>
          <w:spacing w:val="-6"/>
        </w:rPr>
        <w:t xml:space="preserve"> </w:t>
      </w:r>
      <w:r>
        <w:t>6</w:t>
      </w:r>
      <w:r>
        <w:rPr>
          <w:spacing w:val="-5"/>
        </w:rPr>
        <w:t xml:space="preserve"> </w:t>
      </w:r>
      <w:r>
        <w:t>and</w:t>
      </w:r>
      <w:r>
        <w:rPr>
          <w:spacing w:val="-6"/>
        </w:rPr>
        <w:t xml:space="preserve"> </w:t>
      </w:r>
      <w:r>
        <w:t>10,</w:t>
      </w:r>
      <w:r>
        <w:rPr>
          <w:spacing w:val="-5"/>
        </w:rPr>
        <w:t xml:space="preserve"> </w:t>
      </w:r>
      <w:r>
        <w:t>between</w:t>
      </w:r>
      <w:r>
        <w:rPr>
          <w:spacing w:val="-4"/>
        </w:rPr>
        <w:t xml:space="preserve"> </w:t>
      </w:r>
      <w:r>
        <w:t>Days</w:t>
      </w:r>
      <w:r>
        <w:rPr>
          <w:spacing w:val="-5"/>
        </w:rPr>
        <w:t xml:space="preserve"> </w:t>
      </w:r>
      <w:r>
        <w:t>20</w:t>
      </w:r>
      <w:r>
        <w:rPr>
          <w:spacing w:val="-6"/>
        </w:rPr>
        <w:t xml:space="preserve"> </w:t>
      </w:r>
      <w:r>
        <w:t>and</w:t>
      </w:r>
      <w:r>
        <w:rPr>
          <w:spacing w:val="-5"/>
        </w:rPr>
        <w:t xml:space="preserve"> </w:t>
      </w:r>
      <w:r>
        <w:t>24,</w:t>
      </w:r>
      <w:r>
        <w:rPr>
          <w:spacing w:val="-6"/>
        </w:rPr>
        <w:t xml:space="preserve"> </w:t>
      </w:r>
      <w:r>
        <w:t>and</w:t>
      </w:r>
      <w:r>
        <w:rPr>
          <w:spacing w:val="-5"/>
        </w:rPr>
        <w:t xml:space="preserve"> </w:t>
      </w:r>
      <w:r>
        <w:t>on</w:t>
      </w:r>
      <w:r>
        <w:rPr>
          <w:spacing w:val="-7"/>
        </w:rPr>
        <w:t xml:space="preserve"> </w:t>
      </w:r>
      <w:r>
        <w:t>Days</w:t>
      </w:r>
      <w:r>
        <w:rPr>
          <w:spacing w:val="-6"/>
        </w:rPr>
        <w:t xml:space="preserve"> </w:t>
      </w:r>
      <w:r>
        <w:t>26</w:t>
      </w:r>
      <w:r>
        <w:rPr>
          <w:spacing w:val="-5"/>
        </w:rPr>
        <w:t xml:space="preserve"> </w:t>
      </w:r>
      <w:r>
        <w:t>and</w:t>
      </w:r>
      <w:r>
        <w:rPr>
          <w:spacing w:val="-6"/>
        </w:rPr>
        <w:t xml:space="preserve"> </w:t>
      </w:r>
      <w:r>
        <w:t>28,</w:t>
      </w:r>
      <w:r>
        <w:rPr>
          <w:spacing w:val="-5"/>
        </w:rPr>
        <w:t xml:space="preserve"> </w:t>
      </w:r>
      <w:r>
        <w:t>between</w:t>
      </w:r>
      <w:r>
        <w:rPr>
          <w:spacing w:val="-3"/>
        </w:rPr>
        <w:t xml:space="preserve"> </w:t>
      </w:r>
      <w:r>
        <w:t>Days</w:t>
      </w:r>
      <w:r>
        <w:rPr>
          <w:spacing w:val="-5"/>
        </w:rPr>
        <w:t xml:space="preserve"> </w:t>
      </w:r>
      <w:r>
        <w:t>26</w:t>
      </w:r>
      <w:r>
        <w:rPr>
          <w:spacing w:val="-6"/>
        </w:rPr>
        <w:t xml:space="preserve"> </w:t>
      </w:r>
      <w:r>
        <w:t>and</w:t>
      </w:r>
      <w:r>
        <w:rPr>
          <w:spacing w:val="-5"/>
        </w:rPr>
        <w:t xml:space="preserve"> </w:t>
      </w:r>
      <w:r>
        <w:t>28,</w:t>
      </w:r>
      <w:r>
        <w:rPr>
          <w:spacing w:val="-6"/>
        </w:rPr>
        <w:t xml:space="preserve"> </w:t>
      </w:r>
      <w:r>
        <w:t>and between</w:t>
      </w:r>
      <w:r>
        <w:rPr>
          <w:spacing w:val="-4"/>
        </w:rPr>
        <w:t xml:space="preserve"> </w:t>
      </w:r>
      <w:r>
        <w:t>Days</w:t>
      </w:r>
      <w:r>
        <w:rPr>
          <w:spacing w:val="-2"/>
        </w:rPr>
        <w:t xml:space="preserve"> </w:t>
      </w:r>
      <w:r>
        <w:t>11</w:t>
      </w:r>
      <w:r>
        <w:rPr>
          <w:spacing w:val="-3"/>
        </w:rPr>
        <w:t xml:space="preserve"> </w:t>
      </w:r>
      <w:r>
        <w:t>and</w:t>
      </w:r>
      <w:r>
        <w:rPr>
          <w:spacing w:val="-3"/>
        </w:rPr>
        <w:t xml:space="preserve"> </w:t>
      </w:r>
      <w:r>
        <w:t>15, respectively. Body</w:t>
      </w:r>
      <w:r>
        <w:rPr>
          <w:spacing w:val="-7"/>
        </w:rPr>
        <w:t xml:space="preserve"> </w:t>
      </w:r>
      <w:r>
        <w:t>weight</w:t>
      </w:r>
      <w:r>
        <w:rPr>
          <w:spacing w:val="-3"/>
        </w:rPr>
        <w:t xml:space="preserve"> </w:t>
      </w:r>
      <w:r>
        <w:t>decreased</w:t>
      </w:r>
      <w:r>
        <w:rPr>
          <w:spacing w:val="-3"/>
        </w:rPr>
        <w:t xml:space="preserve"> </w:t>
      </w:r>
      <w:r>
        <w:t>in</w:t>
      </w:r>
      <w:r>
        <w:rPr>
          <w:spacing w:val="-3"/>
        </w:rPr>
        <w:t xml:space="preserve"> </w:t>
      </w:r>
      <w:r>
        <w:t>1</w:t>
      </w:r>
      <w:r>
        <w:rPr>
          <w:spacing w:val="-3"/>
        </w:rPr>
        <w:t xml:space="preserve"> </w:t>
      </w:r>
      <w:r>
        <w:t>male</w:t>
      </w:r>
      <w:r>
        <w:rPr>
          <w:spacing w:val="-2"/>
        </w:rPr>
        <w:t xml:space="preserve"> </w:t>
      </w:r>
      <w:r>
        <w:t>and</w:t>
      </w:r>
      <w:r>
        <w:rPr>
          <w:spacing w:val="-3"/>
        </w:rPr>
        <w:t xml:space="preserve"> </w:t>
      </w:r>
      <w:r>
        <w:t>1</w:t>
      </w:r>
      <w:r>
        <w:rPr>
          <w:spacing w:val="-3"/>
        </w:rPr>
        <w:t xml:space="preserve"> </w:t>
      </w:r>
      <w:r>
        <w:t>female</w:t>
      </w:r>
      <w:r>
        <w:rPr>
          <w:spacing w:val="-3"/>
        </w:rPr>
        <w:t xml:space="preserve"> </w:t>
      </w:r>
      <w:r>
        <w:t>on</w:t>
      </w:r>
      <w:r>
        <w:rPr>
          <w:spacing w:val="-3"/>
        </w:rPr>
        <w:t xml:space="preserve"> </w:t>
      </w:r>
      <w:r>
        <w:t>Day</w:t>
      </w:r>
    </w:p>
    <w:p w:rsidR="00001DBD" w:rsidRDefault="00A61956">
      <w:pPr>
        <w:pStyle w:val="a3"/>
        <w:spacing w:line="261" w:lineRule="auto"/>
        <w:ind w:left="161" w:right="214"/>
      </w:pPr>
      <w:r>
        <w:t>28.</w:t>
      </w:r>
      <w:r>
        <w:rPr>
          <w:spacing w:val="-11"/>
        </w:rPr>
        <w:t xml:space="preserve"> </w:t>
      </w:r>
      <w:r>
        <w:t>In</w:t>
      </w:r>
      <w:r>
        <w:rPr>
          <w:spacing w:val="-13"/>
        </w:rPr>
        <w:t xml:space="preserve"> </w:t>
      </w:r>
      <w:r>
        <w:t>urinalysis,</w:t>
      </w:r>
      <w:r>
        <w:rPr>
          <w:spacing w:val="-13"/>
        </w:rPr>
        <w:t xml:space="preserve"> </w:t>
      </w:r>
      <w:r>
        <w:t>low</w:t>
      </w:r>
      <w:r>
        <w:rPr>
          <w:spacing w:val="-13"/>
        </w:rPr>
        <w:t xml:space="preserve"> </w:t>
      </w:r>
      <w:r>
        <w:t>pH,</w:t>
      </w:r>
      <w:r>
        <w:rPr>
          <w:spacing w:val="-11"/>
        </w:rPr>
        <w:t xml:space="preserve"> </w:t>
      </w:r>
      <w:r>
        <w:t>decreased</w:t>
      </w:r>
      <w:r>
        <w:rPr>
          <w:spacing w:val="-11"/>
        </w:rPr>
        <w:t xml:space="preserve"> </w:t>
      </w:r>
      <w:r>
        <w:t>chloride</w:t>
      </w:r>
      <w:r>
        <w:rPr>
          <w:spacing w:val="-12"/>
        </w:rPr>
        <w:t xml:space="preserve"> </w:t>
      </w:r>
      <w:r>
        <w:t>excretion,</w:t>
      </w:r>
      <w:r>
        <w:rPr>
          <w:spacing w:val="-13"/>
        </w:rPr>
        <w:t xml:space="preserve"> </w:t>
      </w:r>
      <w:r>
        <w:t>and</w:t>
      </w:r>
      <w:r>
        <w:rPr>
          <w:spacing w:val="-13"/>
        </w:rPr>
        <w:t xml:space="preserve"> </w:t>
      </w:r>
      <w:r>
        <w:t>cast</w:t>
      </w:r>
      <w:r>
        <w:rPr>
          <w:spacing w:val="-12"/>
        </w:rPr>
        <w:t xml:space="preserve"> </w:t>
      </w:r>
      <w:r>
        <w:t>in</w:t>
      </w:r>
      <w:r>
        <w:rPr>
          <w:spacing w:val="-13"/>
        </w:rPr>
        <w:t xml:space="preserve"> </w:t>
      </w:r>
      <w:r>
        <w:t>urinary</w:t>
      </w:r>
      <w:r>
        <w:rPr>
          <w:spacing w:val="-18"/>
        </w:rPr>
        <w:t xml:space="preserve"> </w:t>
      </w:r>
      <w:r>
        <w:t>sediment</w:t>
      </w:r>
      <w:r>
        <w:rPr>
          <w:spacing w:val="-13"/>
        </w:rPr>
        <w:t xml:space="preserve"> </w:t>
      </w:r>
      <w:r>
        <w:t>were</w:t>
      </w:r>
      <w:r>
        <w:rPr>
          <w:spacing w:val="-13"/>
        </w:rPr>
        <w:t xml:space="preserve"> </w:t>
      </w:r>
      <w:r>
        <w:t>noted in 1 male on Day 26. In hematology, decreased erythrocyte count, hematocrit value, and hemoglobin</w:t>
      </w:r>
      <w:r>
        <w:rPr>
          <w:spacing w:val="-12"/>
        </w:rPr>
        <w:t xml:space="preserve"> </w:t>
      </w:r>
      <w:r>
        <w:t>concentration</w:t>
      </w:r>
      <w:r>
        <w:rPr>
          <w:spacing w:val="-12"/>
        </w:rPr>
        <w:t xml:space="preserve"> </w:t>
      </w:r>
      <w:r>
        <w:t>were</w:t>
      </w:r>
      <w:r>
        <w:rPr>
          <w:spacing w:val="-11"/>
        </w:rPr>
        <w:t xml:space="preserve"> </w:t>
      </w:r>
      <w:r>
        <w:t>noted</w:t>
      </w:r>
      <w:r>
        <w:rPr>
          <w:spacing w:val="-12"/>
        </w:rPr>
        <w:t xml:space="preserve"> </w:t>
      </w:r>
      <w:r>
        <w:t>in</w:t>
      </w:r>
      <w:r>
        <w:rPr>
          <w:spacing w:val="-11"/>
        </w:rPr>
        <w:t xml:space="preserve"> </w:t>
      </w:r>
      <w:r>
        <w:t>1</w:t>
      </w:r>
      <w:r>
        <w:rPr>
          <w:spacing w:val="-12"/>
        </w:rPr>
        <w:t xml:space="preserve"> </w:t>
      </w:r>
      <w:r>
        <w:t>male</w:t>
      </w:r>
      <w:r>
        <w:rPr>
          <w:spacing w:val="-12"/>
        </w:rPr>
        <w:t xml:space="preserve"> </w:t>
      </w:r>
      <w:r>
        <w:t>and</w:t>
      </w:r>
      <w:r>
        <w:rPr>
          <w:spacing w:val="-11"/>
        </w:rPr>
        <w:t xml:space="preserve"> </w:t>
      </w:r>
      <w:r>
        <w:t>1</w:t>
      </w:r>
      <w:r>
        <w:rPr>
          <w:spacing w:val="-12"/>
        </w:rPr>
        <w:t xml:space="preserve"> </w:t>
      </w:r>
      <w:r>
        <w:t>female</w:t>
      </w:r>
      <w:r>
        <w:rPr>
          <w:spacing w:val="-12"/>
        </w:rPr>
        <w:t xml:space="preserve"> </w:t>
      </w:r>
      <w:r>
        <w:t>on</w:t>
      </w:r>
      <w:r>
        <w:rPr>
          <w:spacing w:val="-12"/>
        </w:rPr>
        <w:t xml:space="preserve"> </w:t>
      </w:r>
      <w:r>
        <w:t>Day</w:t>
      </w:r>
      <w:r>
        <w:rPr>
          <w:spacing w:val="-15"/>
        </w:rPr>
        <w:t xml:space="preserve"> </w:t>
      </w:r>
      <w:r>
        <w:t>27.</w:t>
      </w:r>
      <w:r>
        <w:rPr>
          <w:spacing w:val="-12"/>
        </w:rPr>
        <w:t xml:space="preserve"> </w:t>
      </w:r>
      <w:r>
        <w:t>Conversely,</w:t>
      </w:r>
      <w:r>
        <w:rPr>
          <w:spacing w:val="-11"/>
        </w:rPr>
        <w:t xml:space="preserve"> </w:t>
      </w:r>
      <w:r>
        <w:t>increased erythrocyte count, hematocrit value, and hemoglobin concentration were noted in 1 male. Neutrophil count increased in 2 males and 1 female, and leukocyte count increased. In blood chemistry, increased creatinine in 1 male and 1 female, decreased albumin in 3 males, and decreased sodium and chloride decreased in 1 male were noted on Day 27. Increased chloride was noted in 4 males and 4 females, and was statistically significantly high in females. In histopathology, slight or moderate atrophy of the thymus in 1 male and 1 female, and an increase in granulocytes in the sternal bone marrow in 1 male and 1 female were observed. Although no test article-related changes were noted in troponin T, troponin I, or lactate dehydrogenase (LDH) isozyme, or in histopathology of any muscular tissue examined, increased LDH and creatine phosphokinase (CPK) activities were noted in 2 males in blood chemistry.</w:t>
      </w:r>
    </w:p>
    <w:p w:rsidR="00A61956" w:rsidRDefault="00A61956" w:rsidP="00A61956">
      <w:pPr>
        <w:pStyle w:val="a3"/>
        <w:spacing w:before="104" w:line="261" w:lineRule="auto"/>
        <w:ind w:left="161" w:right="822"/>
        <w:rPr>
          <w:sz w:val="20"/>
        </w:rPr>
      </w:pPr>
      <w:r>
        <w:t>No test article-related changes were noted in ophthalmology, electrocardiography, gross pathology, or organ weights in any group during or at the end of the dosing period.</w:t>
      </w:r>
    </w:p>
    <w:p w:rsidR="00001DBD" w:rsidRDefault="00001DBD">
      <w:pPr>
        <w:ind w:right="252"/>
        <w:jc w:val="right"/>
        <w:rPr>
          <w:sz w:val="20"/>
        </w:rPr>
      </w:pPr>
    </w:p>
    <w:sectPr w:rsidR="00001DBD">
      <w:headerReference w:type="default" r:id="rId7"/>
      <w:footerReference w:type="default" r:id="rId8"/>
      <w:type w:val="continuous"/>
      <w:pgSz w:w="11910" w:h="16840"/>
      <w:pgMar w:top="1600" w:right="1160" w:bottom="128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7D1" w:rsidRDefault="001047D1">
      <w:r>
        <w:separator/>
      </w:r>
    </w:p>
  </w:endnote>
  <w:endnote w:type="continuationSeparator" w:id="0">
    <w:p w:rsidR="001047D1" w:rsidRDefault="00104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S UI Gothic">
    <w:altName w:val="MS UI 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D" w:rsidRDefault="00001DBD">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7D1" w:rsidRDefault="001047D1">
      <w:r>
        <w:separator/>
      </w:r>
    </w:p>
  </w:footnote>
  <w:footnote w:type="continuationSeparator" w:id="0">
    <w:p w:rsidR="001047D1" w:rsidRDefault="00104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D" w:rsidRDefault="00001DBD">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D041B"/>
    <w:multiLevelType w:val="multilevel"/>
    <w:tmpl w:val="43AC8570"/>
    <w:lvl w:ilvl="0">
      <w:start w:val="1"/>
      <w:numFmt w:val="decimal"/>
      <w:lvlText w:val="%1"/>
      <w:lvlJc w:val="left"/>
      <w:pPr>
        <w:ind w:left="1014" w:hanging="853"/>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1"/>
        <w:jc w:val="left"/>
      </w:pPr>
      <w:rPr>
        <w:rFonts w:ascii="Times New Roman" w:eastAsia="Times New Roman" w:hAnsi="Times New Roman" w:cs="Times New Roman" w:hint="default"/>
        <w:b/>
        <w:bCs/>
        <w:spacing w:val="-4"/>
        <w:w w:val="99"/>
        <w:sz w:val="24"/>
        <w:szCs w:val="24"/>
      </w:rPr>
    </w:lvl>
    <w:lvl w:ilvl="3">
      <w:numFmt w:val="bullet"/>
      <w:lvlText w:val="•"/>
      <w:lvlJc w:val="left"/>
      <w:pPr>
        <w:ind w:left="3552" w:hanging="851"/>
      </w:pPr>
      <w:rPr>
        <w:rFonts w:hint="default"/>
      </w:rPr>
    </w:lvl>
    <w:lvl w:ilvl="4">
      <w:numFmt w:val="bullet"/>
      <w:lvlText w:val="•"/>
      <w:lvlJc w:val="left"/>
      <w:pPr>
        <w:ind w:left="4396" w:hanging="851"/>
      </w:pPr>
      <w:rPr>
        <w:rFonts w:hint="default"/>
      </w:rPr>
    </w:lvl>
    <w:lvl w:ilvl="5">
      <w:numFmt w:val="bullet"/>
      <w:lvlText w:val="•"/>
      <w:lvlJc w:val="left"/>
      <w:pPr>
        <w:ind w:left="5240" w:hanging="851"/>
      </w:pPr>
      <w:rPr>
        <w:rFonts w:hint="default"/>
      </w:rPr>
    </w:lvl>
    <w:lvl w:ilvl="6">
      <w:numFmt w:val="bullet"/>
      <w:lvlText w:val="•"/>
      <w:lvlJc w:val="left"/>
      <w:pPr>
        <w:ind w:left="6084" w:hanging="851"/>
      </w:pPr>
      <w:rPr>
        <w:rFonts w:hint="default"/>
      </w:rPr>
    </w:lvl>
    <w:lvl w:ilvl="7">
      <w:numFmt w:val="bullet"/>
      <w:lvlText w:val="•"/>
      <w:lvlJc w:val="left"/>
      <w:pPr>
        <w:ind w:left="6928" w:hanging="851"/>
      </w:pPr>
      <w:rPr>
        <w:rFonts w:hint="default"/>
      </w:rPr>
    </w:lvl>
    <w:lvl w:ilvl="8">
      <w:numFmt w:val="bullet"/>
      <w:lvlText w:val="•"/>
      <w:lvlJc w:val="left"/>
      <w:pPr>
        <w:ind w:left="7772" w:hanging="851"/>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01DBD"/>
    <w:rsid w:val="00001DBD"/>
    <w:rsid w:val="001047D1"/>
    <w:rsid w:val="005B4B2C"/>
    <w:rsid w:val="00A61956"/>
    <w:rsid w:val="00B85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DC1EFEF3-9400-4396-AA75-E011E5CC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line="671" w:lineRule="exact"/>
      <w:outlineLvl w:val="0"/>
    </w:pPr>
    <w:rPr>
      <w:rFonts w:ascii="MS UI Gothic" w:eastAsia="MS UI Gothic" w:hAnsi="MS UI Gothic" w:cs="MS UI Gothic"/>
      <w:sz w:val="67"/>
      <w:szCs w:val="67"/>
    </w:rPr>
  </w:style>
  <w:style w:type="paragraph" w:styleId="2">
    <w:name w:val="heading 2"/>
    <w:basedOn w:val="a"/>
    <w:uiPriority w:val="9"/>
    <w:unhideWhenUsed/>
    <w:qFormat/>
    <w:pPr>
      <w:spacing w:before="6"/>
      <w:ind w:left="3551"/>
      <w:outlineLvl w:val="1"/>
    </w:pPr>
    <w:rPr>
      <w:rFonts w:ascii="MS UI Gothic" w:eastAsia="MS UI Gothic" w:hAnsi="MS UI Gothic" w:cs="MS UI Gothic"/>
      <w:sz w:val="66"/>
      <w:szCs w:val="66"/>
    </w:rPr>
  </w:style>
  <w:style w:type="paragraph" w:styleId="3">
    <w:name w:val="heading 3"/>
    <w:basedOn w:val="a"/>
    <w:uiPriority w:val="9"/>
    <w:unhideWhenUsed/>
    <w:qFormat/>
    <w:pPr>
      <w:outlineLvl w:val="2"/>
    </w:pPr>
    <w:rPr>
      <w:rFonts w:ascii="MS UI Gothic" w:eastAsia="MS UI Gothic" w:hAnsi="MS UI Gothic" w:cs="MS UI Gothic"/>
      <w:sz w:val="56"/>
      <w:szCs w:val="56"/>
    </w:rPr>
  </w:style>
  <w:style w:type="paragraph" w:styleId="4">
    <w:name w:val="heading 4"/>
    <w:basedOn w:val="a"/>
    <w:uiPriority w:val="9"/>
    <w:unhideWhenUsed/>
    <w:qFormat/>
    <w:pPr>
      <w:spacing w:line="469" w:lineRule="exact"/>
      <w:outlineLvl w:val="3"/>
    </w:pPr>
    <w:rPr>
      <w:rFonts w:ascii="MS UI Gothic" w:eastAsia="MS UI Gothic" w:hAnsi="MS UI Gothic" w:cs="MS UI Gothic"/>
      <w:sz w:val="47"/>
      <w:szCs w:val="47"/>
    </w:rPr>
  </w:style>
  <w:style w:type="paragraph" w:styleId="5">
    <w:name w:val="heading 5"/>
    <w:basedOn w:val="a"/>
    <w:uiPriority w:val="9"/>
    <w:unhideWhenUsed/>
    <w:qFormat/>
    <w:pPr>
      <w:spacing w:line="441" w:lineRule="exact"/>
      <w:outlineLvl w:val="4"/>
    </w:pPr>
    <w:rPr>
      <w:sz w:val="44"/>
      <w:szCs w:val="44"/>
    </w:rPr>
  </w:style>
  <w:style w:type="paragraph" w:styleId="6">
    <w:name w:val="heading 6"/>
    <w:basedOn w:val="a"/>
    <w:uiPriority w:val="9"/>
    <w:unhideWhenUsed/>
    <w:qFormat/>
    <w:pPr>
      <w:ind w:left="20"/>
      <w:outlineLvl w:val="5"/>
    </w:pPr>
    <w:rPr>
      <w:sz w:val="34"/>
      <w:szCs w:val="34"/>
    </w:rPr>
  </w:style>
  <w:style w:type="paragraph" w:styleId="7">
    <w:name w:val="heading 7"/>
    <w:basedOn w:val="a"/>
    <w:uiPriority w:val="1"/>
    <w:qFormat/>
    <w:pPr>
      <w:ind w:left="20"/>
      <w:outlineLvl w:val="6"/>
    </w:pPr>
    <w:rPr>
      <w:sz w:val="32"/>
      <w:szCs w:val="32"/>
    </w:rPr>
  </w:style>
  <w:style w:type="paragraph" w:styleId="8">
    <w:name w:val="heading 8"/>
    <w:basedOn w:val="a"/>
    <w:uiPriority w:val="1"/>
    <w:qFormat/>
    <w:pPr>
      <w:spacing w:before="63"/>
      <w:ind w:left="106"/>
      <w:outlineLvl w:val="7"/>
    </w:pPr>
    <w:rPr>
      <w:rFonts w:ascii="MS UI Gothic" w:eastAsia="MS UI Gothic" w:hAnsi="MS UI Gothic" w:cs="MS UI Gothic"/>
      <w:sz w:val="30"/>
      <w:szCs w:val="30"/>
    </w:rPr>
  </w:style>
  <w:style w:type="paragraph" w:styleId="9">
    <w:name w:val="heading 9"/>
    <w:basedOn w:val="a"/>
    <w:uiPriority w:val="1"/>
    <w:qFormat/>
    <w:pPr>
      <w:ind w:left="20"/>
      <w:outlineLvl w:val="8"/>
    </w:pPr>
    <w:rPr>
      <w:rFonts w:ascii="Arial" w:eastAsia="Arial" w:hAnsi="Arial" w:cs="Arial"/>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24"/>
      <w:ind w:right="625"/>
      <w:jc w:val="right"/>
    </w:pPr>
    <w:rPr>
      <w:sz w:val="24"/>
      <w:szCs w:val="24"/>
    </w:rPr>
  </w:style>
  <w:style w:type="paragraph" w:styleId="20">
    <w:name w:val="toc 2"/>
    <w:basedOn w:val="a"/>
    <w:uiPriority w:val="1"/>
    <w:qFormat/>
    <w:pPr>
      <w:spacing w:before="144"/>
      <w:ind w:left="869" w:hanging="708"/>
    </w:pPr>
    <w:rPr>
      <w:b/>
      <w:bCs/>
      <w:sz w:val="24"/>
      <w:szCs w:val="24"/>
    </w:rPr>
  </w:style>
  <w:style w:type="paragraph" w:styleId="30">
    <w:name w:val="toc 3"/>
    <w:basedOn w:val="a"/>
    <w:uiPriority w:val="1"/>
    <w:qFormat/>
    <w:pPr>
      <w:spacing w:before="84"/>
      <w:ind w:left="675" w:hanging="406"/>
    </w:pPr>
    <w:rPr>
      <w:sz w:val="24"/>
      <w:szCs w:val="24"/>
    </w:rPr>
  </w:style>
  <w:style w:type="paragraph" w:styleId="40">
    <w:name w:val="toc 4"/>
    <w:basedOn w:val="a"/>
    <w:uiPriority w:val="1"/>
    <w:qFormat/>
    <w:pPr>
      <w:spacing w:before="167"/>
      <w:ind w:left="1296" w:hanging="852"/>
    </w:pPr>
  </w:style>
  <w:style w:type="paragraph" w:styleId="50">
    <w:name w:val="toc 5"/>
    <w:basedOn w:val="a"/>
    <w:uiPriority w:val="1"/>
    <w:qFormat/>
    <w:pPr>
      <w:spacing w:before="24"/>
      <w:ind w:left="617"/>
    </w:pPr>
    <w:rPr>
      <w:sz w:val="24"/>
      <w:szCs w:val="24"/>
    </w:rPr>
  </w:style>
  <w:style w:type="paragraph" w:styleId="60">
    <w:name w:val="toc 6"/>
    <w:basedOn w:val="a"/>
    <w:uiPriority w:val="1"/>
    <w:qFormat/>
    <w:pPr>
      <w:spacing w:before="107"/>
      <w:ind w:left="1721" w:hanging="993"/>
    </w:pPr>
  </w:style>
  <w:style w:type="paragraph" w:styleId="70">
    <w:name w:val="toc 7"/>
    <w:basedOn w:val="a"/>
    <w:uiPriority w:val="1"/>
    <w:qFormat/>
    <w:pPr>
      <w:spacing w:before="47"/>
      <w:ind w:left="1296"/>
    </w:pPr>
  </w:style>
  <w:style w:type="paragraph" w:styleId="a3">
    <w:name w:val="Body Text"/>
    <w:basedOn w:val="a"/>
    <w:uiPriority w:val="1"/>
    <w:qFormat/>
    <w:rPr>
      <w:sz w:val="24"/>
      <w:szCs w:val="24"/>
    </w:rPr>
  </w:style>
  <w:style w:type="paragraph" w:styleId="a4">
    <w:name w:val="List Paragraph"/>
    <w:basedOn w:val="a"/>
    <w:uiPriority w:val="1"/>
    <w:qFormat/>
    <w:pPr>
      <w:ind w:left="1012" w:hanging="851"/>
    </w:pPr>
  </w:style>
  <w:style w:type="paragraph" w:customStyle="1" w:styleId="TableParagraph">
    <w:name w:val="Table Paragraph"/>
    <w:basedOn w:val="a"/>
    <w:uiPriority w:val="1"/>
    <w:qFormat/>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980A29-4FDD-4C32-8EF8-70081F5DC527}"/>
</file>

<file path=customXml/itemProps2.xml><?xml version="1.0" encoding="utf-8"?>
<ds:datastoreItem xmlns:ds="http://schemas.openxmlformats.org/officeDocument/2006/customXml" ds:itemID="{66694A85-940D-4112-A126-FD24D583EEF3}"/>
</file>

<file path=customXml/itemProps3.xml><?xml version="1.0" encoding="utf-8"?>
<ds:datastoreItem xmlns:ds="http://schemas.openxmlformats.org/officeDocument/2006/customXml" ds:itemID="{2E61E0B9-915D-41C6-AA93-231114EF4E84}"/>
</file>

<file path=docProps/app.xml><?xml version="1.0" encoding="utf-8"?>
<Properties xmlns="http://schemas.openxmlformats.org/officeDocument/2006/extended-properties" xmlns:vt="http://schemas.openxmlformats.org/officeDocument/2006/docPropsVTypes">
  <Template>Normal</Template>
  <TotalTime>1</TotalTime>
  <Pages>1</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3</cp:revision>
  <dcterms:created xsi:type="dcterms:W3CDTF">2021-06-23T01:53:00Z</dcterms:created>
  <dcterms:modified xsi:type="dcterms:W3CDTF">2021-07-01T02:44:00Z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2008-01-07T00:00:00Z</vt:filetime>
  </property>
  <property fmtid="{D5CDD505-2E9C-101B-9397-08002B2CF9AE}" pid="3" name="LastSaved">
    <vt:filetime>2021-06-23T00:00:00Z</vt:filetime>
  </property>
  <property fmtid="{D5CDD505-2E9C-101B-9397-08002B2CF9AE}" pid="4" name="ContentTypeId">
    <vt:lpwstr>0x0101007EA8C9399C6F4249AB6A1823D3F13C35</vt:lpwstr>
  </property>
</Properties>
</file>