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DBD" w:rsidRDefault="00863E02" w:rsidP="00863E02">
      <w:pPr>
        <w:spacing w:before="183"/>
        <w:ind w:left="332" w:right="335" w:firstLine="2"/>
        <w:jc w:val="center"/>
        <w:rPr>
          <w:b/>
          <w:sz w:val="32"/>
        </w:rPr>
      </w:pPr>
      <w:r w:rsidRPr="00863E02">
        <w:rPr>
          <w:b/>
          <w:sz w:val="32"/>
        </w:rPr>
        <w:t xml:space="preserve">A 4-week repeated dose oral toxicity study of </w:t>
      </w:r>
      <w:bookmarkStart w:id="0" w:name="_GoBack"/>
      <w:r w:rsidR="00913E5F">
        <w:rPr>
          <w:b/>
          <w:sz w:val="32"/>
        </w:rPr>
        <w:t>Project 6</w:t>
      </w:r>
      <w:bookmarkEnd w:id="0"/>
      <w:r w:rsidRPr="00863E02">
        <w:rPr>
          <w:b/>
          <w:sz w:val="32"/>
        </w:rPr>
        <w:t xml:space="preserve"> in beagle dogs</w:t>
      </w:r>
      <w:r>
        <w:rPr>
          <w:b/>
          <w:sz w:val="32"/>
        </w:rPr>
        <w:t xml:space="preserve"> </w:t>
      </w:r>
      <w:r w:rsidRPr="00863E02">
        <w:rPr>
          <w:b/>
          <w:sz w:val="32"/>
        </w:rPr>
        <w:t>followed by a 4-week reversibility study</w:t>
      </w:r>
    </w:p>
    <w:p w:rsidR="00001DBD" w:rsidRDefault="00001DBD">
      <w:pPr>
        <w:pStyle w:val="a3"/>
        <w:rPr>
          <w:sz w:val="20"/>
        </w:rPr>
      </w:pPr>
    </w:p>
    <w:p w:rsidR="00001DBD" w:rsidRDefault="00A61956" w:rsidP="00A61956">
      <w:pPr>
        <w:numPr>
          <w:ilvl w:val="0"/>
          <w:numId w:val="1"/>
        </w:numPr>
        <w:tabs>
          <w:tab w:val="left" w:pos="1013"/>
          <w:tab w:val="left" w:pos="1014"/>
        </w:tabs>
        <w:spacing w:before="252"/>
        <w:ind w:left="1013" w:hanging="852"/>
        <w:rPr>
          <w:b/>
          <w:sz w:val="28"/>
        </w:rPr>
      </w:pPr>
      <w:bookmarkStart w:id="1" w:name="2_SUMMARY_AND_CONCLUSION"/>
      <w:bookmarkStart w:id="2" w:name="_bookmark13"/>
      <w:bookmarkEnd w:id="1"/>
      <w:bookmarkEnd w:id="2"/>
      <w:r>
        <w:rPr>
          <w:b/>
          <w:sz w:val="28"/>
        </w:rPr>
        <w:t>SUMMARY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CONCLUSION</w:t>
      </w:r>
    </w:p>
    <w:p w:rsidR="00863E02" w:rsidRDefault="00913E5F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Project 6</w:t>
      </w:r>
      <w:r w:rsidR="00863E02">
        <w:rPr>
          <w:rFonts w:eastAsiaTheme="minorEastAsia"/>
          <w:sz w:val="24"/>
          <w:szCs w:val="24"/>
        </w:rPr>
        <w:t xml:space="preserve"> at dose levels of 0.3, 1, 3 and 30 mg/kg (as </w:t>
      </w:r>
      <w:r>
        <w:rPr>
          <w:rFonts w:eastAsiaTheme="minorEastAsia"/>
          <w:sz w:val="24"/>
          <w:szCs w:val="24"/>
        </w:rPr>
        <w:t>PROJECT 6</w:t>
      </w:r>
      <w:r w:rsidR="00863E02">
        <w:rPr>
          <w:rFonts w:eastAsiaTheme="minorEastAsia"/>
          <w:sz w:val="24"/>
          <w:szCs w:val="24"/>
        </w:rPr>
        <w:t xml:space="preserve"> free form , dose volume: 5 mL/kg) was administered orally to groups of beagle dogs each consisting of 3 males and 3 females (6 males and 6 females for the 30 mg/kg group) at 8 months of age for 4 weeks. For 3 males and 3 females in the 30 mg/kg group, administration was withdrawn for 4 weeks after the end of the administration period to examine reversibility of the toxic effects that occurred during the 4-week administration period. Animals in the control group received 0.5 w/v% methylcellulose solution in the same manner. Plasma concentrations of </w:t>
      </w:r>
      <w:r>
        <w:rPr>
          <w:rFonts w:eastAsiaTheme="minorEastAsia"/>
          <w:sz w:val="24"/>
          <w:szCs w:val="24"/>
        </w:rPr>
        <w:t>PROJECT 6</w:t>
      </w:r>
      <w:r w:rsidR="00863E02">
        <w:rPr>
          <w:rFonts w:eastAsiaTheme="minorEastAsia"/>
          <w:sz w:val="24"/>
          <w:szCs w:val="24"/>
        </w:rPr>
        <w:t xml:space="preserve"> were determined to detect systemic exposure to the test article.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1) Clinical Signs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article-related effects were a series of behavioral changes that reflect the pharmacological effect of the test article on the central nervous system. In the 3 mg/kg group, excitement and/or restlessness were observed in 2 males and 1 female mostly during the first 5 days of treatment. In the 30 mg/kg group, restlessness, excitement, tonic convulsion, staggering gait, aggressive behavior (aggression) and a decrease in spontaneous movement were observed simultaneously every day for several days after the start of treatment. They diminished thereafter to occasional occurrence.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2) Blood Chemistry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high value for ALT was recorded for females in the 30 mg/kg group.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3) Organ Weight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high value for relative kidney weight was recorded for males in the 30 mg/kg group.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4) Body Weight, Food Consumption, Ophthalmology, Electrocardiogram, Urinalysis, Hematology, Necropsy and Histopathology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test article-related effects were recorded in any observation or examination.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5) Observation and examination of the recovery group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noticeable findings were obtained.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6) </w:t>
      </w:r>
      <w:proofErr w:type="spellStart"/>
      <w:r>
        <w:rPr>
          <w:rFonts w:eastAsiaTheme="minorEastAsia"/>
          <w:sz w:val="24"/>
          <w:szCs w:val="24"/>
        </w:rPr>
        <w:t>Tokicokinetic</w:t>
      </w:r>
      <w:proofErr w:type="spellEnd"/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16"/>
          <w:szCs w:val="16"/>
        </w:rPr>
        <w:t>max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24"/>
          <w:szCs w:val="24"/>
        </w:rPr>
        <w:t>and AUC</w:t>
      </w:r>
      <w:r>
        <w:rPr>
          <w:rFonts w:eastAsiaTheme="minorEastAsia"/>
          <w:sz w:val="16"/>
          <w:szCs w:val="16"/>
        </w:rPr>
        <w:t xml:space="preserve">0-24 </w:t>
      </w:r>
      <w:proofErr w:type="spellStart"/>
      <w:r>
        <w:rPr>
          <w:rFonts w:eastAsiaTheme="minorEastAsia"/>
          <w:sz w:val="16"/>
          <w:szCs w:val="16"/>
        </w:rPr>
        <w:t>hr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24"/>
          <w:szCs w:val="24"/>
        </w:rPr>
        <w:t xml:space="preserve">increased with the increasing dose of </w:t>
      </w:r>
      <w:r w:rsidR="00913E5F">
        <w:rPr>
          <w:rFonts w:eastAsiaTheme="minorEastAsia"/>
          <w:sz w:val="24"/>
          <w:szCs w:val="24"/>
        </w:rPr>
        <w:t>PROJECT 6</w:t>
      </w:r>
      <w:r>
        <w:rPr>
          <w:rFonts w:eastAsiaTheme="minorEastAsia"/>
          <w:sz w:val="24"/>
          <w:szCs w:val="24"/>
        </w:rPr>
        <w:t xml:space="preserve"> administrated in each administration. AUC</w:t>
      </w:r>
      <w:r>
        <w:rPr>
          <w:rFonts w:eastAsiaTheme="minorEastAsia"/>
          <w:sz w:val="16"/>
          <w:szCs w:val="16"/>
        </w:rPr>
        <w:t xml:space="preserve">0-24 </w:t>
      </w:r>
      <w:proofErr w:type="spellStart"/>
      <w:r>
        <w:rPr>
          <w:rFonts w:eastAsiaTheme="minorEastAsia"/>
          <w:sz w:val="16"/>
          <w:szCs w:val="16"/>
        </w:rPr>
        <w:t>hr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24"/>
          <w:szCs w:val="24"/>
        </w:rPr>
        <w:t xml:space="preserve">tended to be smaller after repeated dosing at all doses except for 0.3 mg/kg. </w:t>
      </w:r>
      <w:proofErr w:type="spellStart"/>
      <w:r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16"/>
          <w:szCs w:val="16"/>
        </w:rPr>
        <w:t>max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24"/>
          <w:szCs w:val="24"/>
        </w:rPr>
        <w:t>in most animals dosed at 0.3, 1 and 3 mg/kg was 0.5 or 1 hour, though that in most animals dosed at 30 mg/kg was 1 or 2 hours. In the control group, all determined concentrations were below the lower limit of quantification.</w:t>
      </w:r>
    </w:p>
    <w:p w:rsidR="00863E02" w:rsidRDefault="00863E02" w:rsidP="00863E02">
      <w:pPr>
        <w:adjustRightInd w:val="0"/>
        <w:rPr>
          <w:rFonts w:eastAsiaTheme="minorEastAsia"/>
          <w:sz w:val="24"/>
          <w:szCs w:val="24"/>
        </w:rPr>
      </w:pPr>
    </w:p>
    <w:p w:rsidR="009E3045" w:rsidRDefault="00863E02" w:rsidP="00863E02">
      <w:pPr>
        <w:adjustRightInd w:val="0"/>
        <w:rPr>
          <w:sz w:val="20"/>
        </w:rPr>
      </w:pPr>
      <w:r>
        <w:rPr>
          <w:rFonts w:eastAsiaTheme="minorEastAsia"/>
          <w:sz w:val="24"/>
          <w:szCs w:val="24"/>
        </w:rPr>
        <w:t xml:space="preserve">In conclusion, the no observed adverse effect level of </w:t>
      </w:r>
      <w:r w:rsidR="00913E5F">
        <w:rPr>
          <w:rFonts w:eastAsiaTheme="minorEastAsia"/>
          <w:sz w:val="24"/>
          <w:szCs w:val="24"/>
        </w:rPr>
        <w:t>Project 6</w:t>
      </w:r>
      <w:r>
        <w:rPr>
          <w:rFonts w:eastAsiaTheme="minorEastAsia"/>
          <w:sz w:val="24"/>
          <w:szCs w:val="24"/>
        </w:rPr>
        <w:t xml:space="preserve"> in beagle dogs was judged to be 3 mg/kg under the conditions of this study.</w:t>
      </w:r>
    </w:p>
    <w:sectPr w:rsidR="009E3045">
      <w:headerReference w:type="default" r:id="rId7"/>
      <w:footerReference w:type="default" r:id="rId8"/>
      <w:type w:val="continuous"/>
      <w:pgSz w:w="11910" w:h="16840"/>
      <w:pgMar w:top="1600" w:right="1160" w:bottom="1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238" w:rsidRDefault="003F6238">
      <w:r>
        <w:separator/>
      </w:r>
    </w:p>
  </w:endnote>
  <w:endnote w:type="continuationSeparator" w:id="0">
    <w:p w:rsidR="003F6238" w:rsidRDefault="003F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BD" w:rsidRDefault="00001DBD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238" w:rsidRDefault="003F6238">
      <w:r>
        <w:separator/>
      </w:r>
    </w:p>
  </w:footnote>
  <w:footnote w:type="continuationSeparator" w:id="0">
    <w:p w:rsidR="003F6238" w:rsidRDefault="003F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DBD" w:rsidRDefault="00001DB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D041B"/>
    <w:multiLevelType w:val="multilevel"/>
    <w:tmpl w:val="43AC8570"/>
    <w:lvl w:ilvl="0">
      <w:start w:val="1"/>
      <w:numFmt w:val="decimal"/>
      <w:lvlText w:val="%1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numFmt w:val="bullet"/>
      <w:lvlText w:val="•"/>
      <w:lvlJc w:val="left"/>
      <w:pPr>
        <w:ind w:left="3552" w:hanging="851"/>
      </w:pPr>
      <w:rPr>
        <w:rFonts w:hint="default"/>
      </w:rPr>
    </w:lvl>
    <w:lvl w:ilvl="4">
      <w:numFmt w:val="bullet"/>
      <w:lvlText w:val="•"/>
      <w:lvlJc w:val="left"/>
      <w:pPr>
        <w:ind w:left="4396" w:hanging="851"/>
      </w:pPr>
      <w:rPr>
        <w:rFonts w:hint="default"/>
      </w:rPr>
    </w:lvl>
    <w:lvl w:ilvl="5">
      <w:numFmt w:val="bullet"/>
      <w:lvlText w:val="•"/>
      <w:lvlJc w:val="left"/>
      <w:pPr>
        <w:ind w:left="5240" w:hanging="851"/>
      </w:pPr>
      <w:rPr>
        <w:rFonts w:hint="default"/>
      </w:rPr>
    </w:lvl>
    <w:lvl w:ilvl="6">
      <w:numFmt w:val="bullet"/>
      <w:lvlText w:val="•"/>
      <w:lvlJc w:val="left"/>
      <w:pPr>
        <w:ind w:left="6084" w:hanging="851"/>
      </w:pPr>
      <w:rPr>
        <w:rFonts w:hint="default"/>
      </w:rPr>
    </w:lvl>
    <w:lvl w:ilvl="7">
      <w:numFmt w:val="bullet"/>
      <w:lvlText w:val="•"/>
      <w:lvlJc w:val="left"/>
      <w:pPr>
        <w:ind w:left="6928" w:hanging="851"/>
      </w:pPr>
      <w:rPr>
        <w:rFonts w:hint="default"/>
      </w:rPr>
    </w:lvl>
    <w:lvl w:ilvl="8">
      <w:numFmt w:val="bullet"/>
      <w:lvlText w:val="•"/>
      <w:lvlJc w:val="left"/>
      <w:pPr>
        <w:ind w:left="7772" w:hanging="851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DBD"/>
    <w:rsid w:val="00001DBD"/>
    <w:rsid w:val="00083D57"/>
    <w:rsid w:val="0036647C"/>
    <w:rsid w:val="003F6238"/>
    <w:rsid w:val="005B0F03"/>
    <w:rsid w:val="00606991"/>
    <w:rsid w:val="00863E02"/>
    <w:rsid w:val="00906441"/>
    <w:rsid w:val="00913E5F"/>
    <w:rsid w:val="00924518"/>
    <w:rsid w:val="009E3045"/>
    <w:rsid w:val="00A06EA9"/>
    <w:rsid w:val="00A61956"/>
    <w:rsid w:val="00C36F67"/>
    <w:rsid w:val="00E7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C1EFEF3-9400-4396-AA75-E011E5CC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671" w:lineRule="exact"/>
      <w:outlineLvl w:val="0"/>
    </w:pPr>
    <w:rPr>
      <w:rFonts w:ascii="MS UI Gothic" w:eastAsia="MS UI Gothic" w:hAnsi="MS UI Gothic" w:cs="MS UI Gothic"/>
      <w:sz w:val="67"/>
      <w:szCs w:val="67"/>
    </w:rPr>
  </w:style>
  <w:style w:type="paragraph" w:styleId="2">
    <w:name w:val="heading 2"/>
    <w:basedOn w:val="a"/>
    <w:uiPriority w:val="9"/>
    <w:unhideWhenUsed/>
    <w:qFormat/>
    <w:pPr>
      <w:spacing w:before="6"/>
      <w:ind w:left="3551"/>
      <w:outlineLvl w:val="1"/>
    </w:pPr>
    <w:rPr>
      <w:rFonts w:ascii="MS UI Gothic" w:eastAsia="MS UI Gothic" w:hAnsi="MS UI Gothic" w:cs="MS UI Gothic"/>
      <w:sz w:val="66"/>
      <w:szCs w:val="66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rFonts w:ascii="MS UI Gothic" w:eastAsia="MS UI Gothic" w:hAnsi="MS UI Gothic" w:cs="MS UI Gothic"/>
      <w:sz w:val="56"/>
      <w:szCs w:val="56"/>
    </w:rPr>
  </w:style>
  <w:style w:type="paragraph" w:styleId="4">
    <w:name w:val="heading 4"/>
    <w:basedOn w:val="a"/>
    <w:uiPriority w:val="9"/>
    <w:unhideWhenUsed/>
    <w:qFormat/>
    <w:pPr>
      <w:spacing w:line="469" w:lineRule="exact"/>
      <w:outlineLvl w:val="3"/>
    </w:pPr>
    <w:rPr>
      <w:rFonts w:ascii="MS UI Gothic" w:eastAsia="MS UI Gothic" w:hAnsi="MS UI Gothic" w:cs="MS UI Gothic"/>
      <w:sz w:val="47"/>
      <w:szCs w:val="47"/>
    </w:rPr>
  </w:style>
  <w:style w:type="paragraph" w:styleId="5">
    <w:name w:val="heading 5"/>
    <w:basedOn w:val="a"/>
    <w:uiPriority w:val="9"/>
    <w:unhideWhenUsed/>
    <w:qFormat/>
    <w:pPr>
      <w:spacing w:line="441" w:lineRule="exact"/>
      <w:outlineLvl w:val="4"/>
    </w:pPr>
    <w:rPr>
      <w:sz w:val="44"/>
      <w:szCs w:val="4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34"/>
      <w:szCs w:val="34"/>
    </w:rPr>
  </w:style>
  <w:style w:type="paragraph" w:styleId="7">
    <w:name w:val="heading 7"/>
    <w:basedOn w:val="a"/>
    <w:uiPriority w:val="1"/>
    <w:qFormat/>
    <w:pPr>
      <w:ind w:left="20"/>
      <w:outlineLvl w:val="6"/>
    </w:pPr>
    <w:rPr>
      <w:sz w:val="32"/>
      <w:szCs w:val="32"/>
    </w:rPr>
  </w:style>
  <w:style w:type="paragraph" w:styleId="8">
    <w:name w:val="heading 8"/>
    <w:basedOn w:val="a"/>
    <w:uiPriority w:val="1"/>
    <w:qFormat/>
    <w:pPr>
      <w:spacing w:before="63"/>
      <w:ind w:left="106"/>
      <w:outlineLvl w:val="7"/>
    </w:pPr>
    <w:rPr>
      <w:rFonts w:ascii="MS UI Gothic" w:eastAsia="MS UI Gothic" w:hAnsi="MS UI Gothic" w:cs="MS UI Gothic"/>
      <w:sz w:val="30"/>
      <w:szCs w:val="30"/>
    </w:rPr>
  </w:style>
  <w:style w:type="paragraph" w:styleId="9">
    <w:name w:val="heading 9"/>
    <w:basedOn w:val="a"/>
    <w:uiPriority w:val="1"/>
    <w:qFormat/>
    <w:pPr>
      <w:ind w:left="20"/>
      <w:outlineLvl w:val="8"/>
    </w:pPr>
    <w:rPr>
      <w:rFonts w:ascii="Arial" w:eastAsia="Arial" w:hAnsi="Arial" w:cs="Arial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"/>
      <w:ind w:right="625"/>
      <w:jc w:val="right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4"/>
      <w:ind w:left="869" w:hanging="708"/>
    </w:pPr>
    <w:rPr>
      <w:b/>
      <w:bCs/>
      <w:sz w:val="24"/>
      <w:szCs w:val="24"/>
    </w:rPr>
  </w:style>
  <w:style w:type="paragraph" w:styleId="30">
    <w:name w:val="toc 3"/>
    <w:basedOn w:val="a"/>
    <w:uiPriority w:val="1"/>
    <w:qFormat/>
    <w:pPr>
      <w:spacing w:before="84"/>
      <w:ind w:left="675" w:hanging="406"/>
    </w:pPr>
    <w:rPr>
      <w:sz w:val="24"/>
      <w:szCs w:val="24"/>
    </w:rPr>
  </w:style>
  <w:style w:type="paragraph" w:styleId="40">
    <w:name w:val="toc 4"/>
    <w:basedOn w:val="a"/>
    <w:uiPriority w:val="1"/>
    <w:qFormat/>
    <w:pPr>
      <w:spacing w:before="167"/>
      <w:ind w:left="1296" w:hanging="852"/>
    </w:pPr>
  </w:style>
  <w:style w:type="paragraph" w:styleId="50">
    <w:name w:val="toc 5"/>
    <w:basedOn w:val="a"/>
    <w:uiPriority w:val="1"/>
    <w:qFormat/>
    <w:pPr>
      <w:spacing w:before="24"/>
      <w:ind w:left="617"/>
    </w:pPr>
    <w:rPr>
      <w:sz w:val="24"/>
      <w:szCs w:val="24"/>
    </w:rPr>
  </w:style>
  <w:style w:type="paragraph" w:styleId="60">
    <w:name w:val="toc 6"/>
    <w:basedOn w:val="a"/>
    <w:uiPriority w:val="1"/>
    <w:qFormat/>
    <w:pPr>
      <w:spacing w:before="107"/>
      <w:ind w:left="1721" w:hanging="993"/>
    </w:pPr>
  </w:style>
  <w:style w:type="paragraph" w:styleId="70">
    <w:name w:val="toc 7"/>
    <w:basedOn w:val="a"/>
    <w:uiPriority w:val="1"/>
    <w:qFormat/>
    <w:pPr>
      <w:spacing w:before="47"/>
      <w:ind w:left="1296"/>
    </w:p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12" w:hanging="851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6B02B-A452-4A1C-8D5D-BEEB386CDC13}"/>
</file>

<file path=customXml/itemProps2.xml><?xml version="1.0" encoding="utf-8"?>
<ds:datastoreItem xmlns:ds="http://schemas.openxmlformats.org/officeDocument/2006/customXml" ds:itemID="{262A3D3D-60DD-4864-AF3C-5E875DD7AC7B}"/>
</file>

<file path=customXml/itemProps3.xml><?xml version="1.0" encoding="utf-8"?>
<ds:datastoreItem xmlns:ds="http://schemas.openxmlformats.org/officeDocument/2006/customXml" ds:itemID="{697C6304-8D68-4D15-9DA0-87273BA75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9</cp:revision>
  <dcterms:created xsi:type="dcterms:W3CDTF">2021-06-23T01:53:00Z</dcterms:created>
  <dcterms:modified xsi:type="dcterms:W3CDTF">2021-07-01T02:50:00Z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2008-01-07T00:00:00Z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