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6A3" w:rsidRDefault="00D436A3">
      <w:pPr>
        <w:pStyle w:val="a3"/>
        <w:rPr>
          <w:sz w:val="22"/>
        </w:rPr>
      </w:pPr>
    </w:p>
    <w:p w:rsidR="00D436A3" w:rsidRDefault="008C31BA">
      <w:pPr>
        <w:pStyle w:val="3"/>
        <w:numPr>
          <w:ilvl w:val="2"/>
          <w:numId w:val="15"/>
        </w:numPr>
        <w:tabs>
          <w:tab w:val="left" w:pos="1087"/>
          <w:tab w:val="left" w:pos="1088"/>
        </w:tabs>
        <w:spacing w:before="185"/>
      </w:pPr>
      <w:bookmarkStart w:id="0" w:name="4.1.3_Safety_Pharmacology"/>
      <w:bookmarkStart w:id="1" w:name="_bookmark25"/>
      <w:bookmarkEnd w:id="0"/>
      <w:bookmarkEnd w:id="1"/>
      <w:r>
        <w:t>Safety</w:t>
      </w:r>
      <w:r>
        <w:rPr>
          <w:spacing w:val="-2"/>
        </w:rPr>
        <w:t xml:space="preserve"> </w:t>
      </w:r>
      <w:r>
        <w:t>Pharmacology</w:t>
      </w:r>
    </w:p>
    <w:p w:rsidR="00D436A3" w:rsidRDefault="008C31BA" w:rsidP="004C24C6">
      <w:pPr>
        <w:pStyle w:val="a3"/>
        <w:spacing w:before="139" w:line="261" w:lineRule="auto"/>
        <w:ind w:left="235" w:right="1770"/>
      </w:pPr>
      <w:r>
        <w:t xml:space="preserve">Safety pharmacology assessments of the major organ systems were performed as part of the 4-week intravenous toxicity study in cynomolgus monkeys (Study </w:t>
      </w:r>
      <w:r w:rsidR="004C24C6">
        <w:t>Project 9</w:t>
      </w:r>
      <w:r>
        <w:t xml:space="preserve"> -TX-0001)</w:t>
      </w:r>
      <w:r w:rsidR="004C24C6">
        <w:t xml:space="preserve"> </w:t>
      </w:r>
      <w:r>
        <w:t xml:space="preserve">[Section </w:t>
      </w:r>
      <w:hyperlink w:anchor="_bookmark39" w:history="1">
        <w:r>
          <w:t>4.3.2.1</w:t>
        </w:r>
      </w:hyperlink>
      <w:r>
        <w:t xml:space="preserve">]. At doses up to 30 mg/kg, no effects on the CNS (clinical observations and body temperature), cardiovascular (ECG and blood pressure) or respiratory (respiration rate) systems were noted. In a preliminary single dose toxicity study (Study </w:t>
      </w:r>
      <w:r w:rsidR="004C24C6">
        <w:t>Project 9</w:t>
      </w:r>
      <w:r>
        <w:t xml:space="preserve"> -TX-5001), no changes in cytokine release (interleukin [IL]-2, IL-4, IL-5, IL-6, tumor necrosis factor (TNF), and interferon [IFN]-γ) were observed at doses up to 100 mg/kg.</w:t>
      </w:r>
    </w:p>
    <w:p w:rsidR="00D436A3" w:rsidRDefault="008C31BA">
      <w:pPr>
        <w:pStyle w:val="3"/>
        <w:numPr>
          <w:ilvl w:val="2"/>
          <w:numId w:val="15"/>
        </w:numPr>
        <w:tabs>
          <w:tab w:val="left" w:pos="1087"/>
          <w:tab w:val="left" w:pos="1088"/>
        </w:tabs>
        <w:spacing w:before="119"/>
      </w:pPr>
      <w:bookmarkStart w:id="2" w:name="4.1.4_Pharmacodynamic_Drug_Interactions"/>
      <w:bookmarkStart w:id="3" w:name="_bookmark26"/>
      <w:bookmarkEnd w:id="2"/>
      <w:bookmarkEnd w:id="3"/>
      <w:r>
        <w:t>Pharmacodynamic Drug</w:t>
      </w:r>
      <w:r>
        <w:rPr>
          <w:spacing w:val="-1"/>
        </w:rPr>
        <w:t xml:space="preserve"> </w:t>
      </w:r>
      <w:r>
        <w:t>Interactions</w:t>
      </w:r>
    </w:p>
    <w:p w:rsidR="00D436A3" w:rsidRDefault="008C31BA" w:rsidP="008C31BA">
      <w:pPr>
        <w:pStyle w:val="a3"/>
        <w:spacing w:before="140" w:line="261" w:lineRule="auto"/>
        <w:ind w:left="235" w:right="1596"/>
        <w:rPr>
          <w:sz w:val="20"/>
        </w:rPr>
      </w:pPr>
      <w:r>
        <w:t xml:space="preserve">As of the date of the preparation of this IB, no nonclinical pharmacodynamic drug interaction studies of </w:t>
      </w:r>
      <w:r w:rsidR="004C24C6">
        <w:t>PROJECT 9</w:t>
      </w:r>
      <w:r>
        <w:t xml:space="preserve"> have been conducted.</w:t>
      </w:r>
    </w:p>
    <w:p w:rsidR="00D436A3" w:rsidRDefault="008C31BA" w:rsidP="0073433E">
      <w:pPr>
        <w:pStyle w:val="2"/>
        <w:numPr>
          <w:ilvl w:val="1"/>
          <w:numId w:val="14"/>
        </w:numPr>
        <w:tabs>
          <w:tab w:val="left" w:pos="1084"/>
          <w:tab w:val="left" w:pos="1085"/>
        </w:tabs>
        <w:spacing w:before="93"/>
      </w:pPr>
      <w:bookmarkStart w:id="4" w:name="4.2_Pharmacokinetics_and_Product_Metabol"/>
      <w:bookmarkStart w:id="5" w:name="_bookmark27"/>
      <w:bookmarkStart w:id="6" w:name="4.3_Toxicology"/>
      <w:bookmarkStart w:id="7" w:name="_bookmark36"/>
      <w:bookmarkStart w:id="8" w:name="_GoBack"/>
      <w:bookmarkEnd w:id="4"/>
      <w:bookmarkEnd w:id="5"/>
      <w:bookmarkEnd w:id="6"/>
      <w:bookmarkEnd w:id="7"/>
      <w:bookmarkEnd w:id="8"/>
      <w:r>
        <w:t>Toxicology</w:t>
      </w:r>
    </w:p>
    <w:p w:rsidR="00D436A3" w:rsidRDefault="004C24C6">
      <w:pPr>
        <w:pStyle w:val="a3"/>
        <w:spacing w:before="140" w:line="261" w:lineRule="auto"/>
        <w:ind w:left="232" w:right="1649"/>
      </w:pPr>
      <w:r>
        <w:t>PROJECT 9</w:t>
      </w:r>
      <w:r w:rsidR="008C31BA">
        <w:t xml:space="preserve"> binds to monkey Igβ but not to rat or mouse Igβ, suggesting monkeys are the relevant species for </w:t>
      </w:r>
      <w:r>
        <w:t>PROJECT 9</w:t>
      </w:r>
      <w:r w:rsidR="008C31BA">
        <w:t xml:space="preserve"> pharmacology and toxicology studies. A preliminary single intravenous dose toxicity study (Study </w:t>
      </w:r>
      <w:r>
        <w:t>Project 9</w:t>
      </w:r>
      <w:r w:rsidR="008C31BA">
        <w:t xml:space="preserve">-TX-5001), an immunological assessment study by 4-week repeated intravenous dosing in cynomolgus monkeys (Study </w:t>
      </w:r>
      <w:r>
        <w:t>Project 9</w:t>
      </w:r>
      <w:r w:rsidR="008C31BA">
        <w:t xml:space="preserve">-TX-5002) and a cytokine release assay (Study </w:t>
      </w:r>
      <w:r>
        <w:t>Project 9</w:t>
      </w:r>
      <w:r w:rsidR="008C31BA">
        <w:t xml:space="preserve">-TX-5003) were conducted. The safety of </w:t>
      </w:r>
      <w:r>
        <w:t>PROJECT 9</w:t>
      </w:r>
      <w:r w:rsidR="008C31BA">
        <w:t xml:space="preserve"> was then evaluated in 1 pivotal 4-week intravenous repeat-dose toxicity study in cynomolgus monkeys (Study </w:t>
      </w:r>
      <w:r>
        <w:t>Project 9</w:t>
      </w:r>
      <w:r w:rsidR="008C31BA">
        <w:t xml:space="preserve">-TX-0001). </w:t>
      </w:r>
      <w:r>
        <w:t>PROJECT 9</w:t>
      </w:r>
      <w:r w:rsidR="008C31BA">
        <w:t xml:space="preserve"> was tested for tissue cross-reactivity in humans in Study </w:t>
      </w:r>
      <w:r>
        <w:t>Project 9</w:t>
      </w:r>
      <w:r w:rsidR="008C31BA">
        <w:t xml:space="preserve">-TX-0003 and in monkeys in Study </w:t>
      </w:r>
      <w:r>
        <w:t>Project 9</w:t>
      </w:r>
      <w:r w:rsidR="008C31BA">
        <w:t xml:space="preserve">-TX-0004. The pivotal 4-week intravenous repeat-dose toxicity study in cynomolgus monkeys (Study </w:t>
      </w:r>
      <w:r>
        <w:t>Project 9</w:t>
      </w:r>
      <w:r w:rsidR="008C31BA">
        <w:t xml:space="preserve">-TX-0001) and the human tissue cross-reactivity study (Study </w:t>
      </w:r>
      <w:r>
        <w:t>Project 9</w:t>
      </w:r>
      <w:r w:rsidR="008C31BA">
        <w:t>-TX-0003) were conducted under appropriate national and international guidelines/</w:t>
      </w:r>
      <w:proofErr w:type="spellStart"/>
      <w:r w:rsidR="008C31BA">
        <w:t>guidances</w:t>
      </w:r>
      <w:proofErr w:type="spellEnd"/>
      <w:r w:rsidR="008C31BA">
        <w:t xml:space="preserve"> and in accordance with Good Laboratory Practice (GLP) standards. In 4 of the toxicity studies conducted with </w:t>
      </w:r>
      <w:r>
        <w:t>PROJECT 9</w:t>
      </w:r>
      <w:r w:rsidR="008C31BA">
        <w:t xml:space="preserve"> (Studies </w:t>
      </w:r>
      <w:r>
        <w:t>Project 9</w:t>
      </w:r>
      <w:r w:rsidR="008C31BA">
        <w:t xml:space="preserve">-TX-0001, </w:t>
      </w:r>
      <w:r>
        <w:t>Project 9</w:t>
      </w:r>
      <w:r w:rsidR="008C31BA">
        <w:t xml:space="preserve">-TX-0003, </w:t>
      </w:r>
      <w:r>
        <w:t>Project 9</w:t>
      </w:r>
      <w:r w:rsidR="008C31BA">
        <w:t xml:space="preserve">-TX-0004 and </w:t>
      </w:r>
      <w:r>
        <w:t>Project 9</w:t>
      </w:r>
      <w:r w:rsidR="008C31BA">
        <w:t>-TX-5003),</w:t>
      </w:r>
      <w:r w:rsidR="008C31BA">
        <w:rPr>
          <w:spacing w:val="-6"/>
        </w:rPr>
        <w:t xml:space="preserve"> </w:t>
      </w:r>
      <w:r w:rsidR="008C31BA">
        <w:t>the</w:t>
      </w:r>
    </w:p>
    <w:p w:rsidR="00D436A3" w:rsidRDefault="008C31BA">
      <w:pPr>
        <w:pStyle w:val="a3"/>
        <w:spacing w:line="261" w:lineRule="auto"/>
        <w:ind w:left="232" w:right="1634"/>
      </w:pPr>
      <w:r>
        <w:t>concentration of the citrate buffer used to prepare the dosing formulations (35 mmol/L) was higher than the citrate concentration anticipated to be used in the clinical studies</w:t>
      </w:r>
    </w:p>
    <w:p w:rsidR="00D436A3" w:rsidRDefault="008C31BA" w:rsidP="008C31BA">
      <w:pPr>
        <w:pStyle w:val="a3"/>
        <w:spacing w:line="261" w:lineRule="auto"/>
        <w:ind w:left="232" w:right="1702"/>
        <w:rPr>
          <w:sz w:val="20"/>
        </w:rPr>
      </w:pPr>
      <w:r>
        <w:t xml:space="preserve">(20 mmol/L). Results from stability studies have confirmed there is acceptable stability for </w:t>
      </w:r>
      <w:r w:rsidR="004C24C6">
        <w:t>PROJECT 9</w:t>
      </w:r>
      <w:r>
        <w:t xml:space="preserve"> with either concentration of citrate buffer (20 and 35 mmol/L). The difference in citrate concentration was considered to be of a magnitude that was unlikely to impact the results and conclusions of these 4 studies. A tabulated overview of these studies is provided in [End-of-Text Table 3.1].</w:t>
      </w:r>
    </w:p>
    <w:p w:rsidR="00D436A3" w:rsidRDefault="008C31BA">
      <w:pPr>
        <w:pStyle w:val="3"/>
        <w:numPr>
          <w:ilvl w:val="2"/>
          <w:numId w:val="13"/>
        </w:numPr>
        <w:tabs>
          <w:tab w:val="left" w:pos="1084"/>
          <w:tab w:val="left" w:pos="1085"/>
        </w:tabs>
        <w:spacing w:before="232"/>
      </w:pPr>
      <w:bookmarkStart w:id="9" w:name="4.3.1_Single-dose_Toxicity"/>
      <w:bookmarkStart w:id="10" w:name="_bookmark37"/>
      <w:bookmarkEnd w:id="9"/>
      <w:bookmarkEnd w:id="10"/>
      <w:r>
        <w:t>Single-dose</w:t>
      </w:r>
      <w:r>
        <w:rPr>
          <w:spacing w:val="-2"/>
        </w:rPr>
        <w:t xml:space="preserve"> </w:t>
      </w:r>
      <w:r>
        <w:t>Toxicity</w:t>
      </w:r>
    </w:p>
    <w:p w:rsidR="00D436A3" w:rsidRDefault="008C31BA">
      <w:pPr>
        <w:pStyle w:val="a3"/>
        <w:spacing w:before="139" w:line="261" w:lineRule="auto"/>
        <w:ind w:left="232" w:right="1862"/>
      </w:pPr>
      <w:r>
        <w:t xml:space="preserve">In the preliminary intravenous single dose toxicity study of </w:t>
      </w:r>
      <w:r w:rsidR="004C24C6">
        <w:t>PROJECT 9</w:t>
      </w:r>
      <w:r>
        <w:t xml:space="preserve"> (dose level: 0 mg/kg, 3 mg/kg, 30 mg/kg, and 100 mg/kg) in cynomolgus monkeys (Study </w:t>
      </w:r>
      <w:r w:rsidR="004C24C6">
        <w:t>Project 9</w:t>
      </w:r>
      <w:r>
        <w:t>-TX-5001),</w:t>
      </w:r>
    </w:p>
    <w:p w:rsidR="00D436A3" w:rsidRDefault="008C31BA">
      <w:pPr>
        <w:pStyle w:val="a3"/>
        <w:spacing w:line="261" w:lineRule="auto"/>
        <w:ind w:left="232" w:right="1678"/>
      </w:pPr>
      <w:r>
        <w:t>decreased erythrocyte count and hematocrit value and focal necrosis in the spleen were</w:t>
      </w:r>
      <w:r>
        <w:rPr>
          <w:spacing w:val="-20"/>
        </w:rPr>
        <w:t xml:space="preserve"> </w:t>
      </w:r>
      <w:r>
        <w:t xml:space="preserve">noted at the 100 mg/kg dose level. No changes in cytokine release </w:t>
      </w:r>
      <w:r>
        <w:lastRenderedPageBreak/>
        <w:t>(IL-2, IL-4, IL-5, IL-6, TNF, and IFN-γ) were observed in this study. The NOAEL was estimated to be 30 mg/kg in this study.</w:t>
      </w:r>
    </w:p>
    <w:p w:rsidR="00D436A3" w:rsidRDefault="008C31BA">
      <w:pPr>
        <w:pStyle w:val="3"/>
        <w:numPr>
          <w:ilvl w:val="2"/>
          <w:numId w:val="13"/>
        </w:numPr>
        <w:tabs>
          <w:tab w:val="left" w:pos="1084"/>
          <w:tab w:val="left" w:pos="1085"/>
        </w:tabs>
        <w:spacing w:before="120"/>
      </w:pPr>
      <w:bookmarkStart w:id="11" w:name="4.3.2_Repeat-dose_Toxicity"/>
      <w:bookmarkStart w:id="12" w:name="_bookmark38"/>
      <w:bookmarkEnd w:id="11"/>
      <w:bookmarkEnd w:id="12"/>
      <w:r>
        <w:t>Repeat-dose</w:t>
      </w:r>
      <w:r>
        <w:rPr>
          <w:spacing w:val="-2"/>
        </w:rPr>
        <w:t xml:space="preserve"> </w:t>
      </w:r>
      <w:r>
        <w:t>Toxicity</w:t>
      </w:r>
    </w:p>
    <w:p w:rsidR="00D436A3" w:rsidRPr="004C24C6" w:rsidRDefault="008C31BA">
      <w:pPr>
        <w:pStyle w:val="3"/>
        <w:ind w:left="232" w:firstLine="0"/>
        <w:rPr>
          <w:highlight w:val="cyan"/>
        </w:rPr>
      </w:pPr>
      <w:bookmarkStart w:id="13" w:name="4.3.2.1_4-week_Repeated_Intravenous_Dose"/>
      <w:bookmarkStart w:id="14" w:name="_bookmark39"/>
      <w:bookmarkEnd w:id="13"/>
      <w:bookmarkEnd w:id="14"/>
      <w:r>
        <w:t xml:space="preserve">4.3.2.1 </w:t>
      </w:r>
      <w:r w:rsidRPr="004C24C6">
        <w:rPr>
          <w:highlight w:val="cyan"/>
        </w:rPr>
        <w:t>4-week Repeated Intravenous Dose Toxicity Study in Cynomolgus Monkeys</w:t>
      </w:r>
    </w:p>
    <w:p w:rsidR="00D436A3" w:rsidRPr="004C24C6" w:rsidRDefault="008C31BA">
      <w:pPr>
        <w:pStyle w:val="a3"/>
        <w:spacing w:before="140" w:line="261" w:lineRule="auto"/>
        <w:ind w:left="232" w:right="1900"/>
        <w:rPr>
          <w:highlight w:val="cyan"/>
        </w:rPr>
      </w:pPr>
      <w:r w:rsidRPr="004C24C6">
        <w:rPr>
          <w:highlight w:val="cyan"/>
        </w:rPr>
        <w:t xml:space="preserve">A tabulated summary of the results of the GLP-compliant repeat-dose toxicity study (Study </w:t>
      </w:r>
      <w:r w:rsidR="004C24C6" w:rsidRPr="004C24C6">
        <w:rPr>
          <w:highlight w:val="cyan"/>
        </w:rPr>
        <w:t>Project 9</w:t>
      </w:r>
      <w:r w:rsidRPr="004C24C6">
        <w:rPr>
          <w:highlight w:val="cyan"/>
        </w:rPr>
        <w:t xml:space="preserve">-TX-0001) is presented in [End-of-Text Table 3.2.1]. The safety of </w:t>
      </w:r>
      <w:r w:rsidR="004C24C6" w:rsidRPr="004C24C6">
        <w:rPr>
          <w:highlight w:val="cyan"/>
        </w:rPr>
        <w:t>PROJECT 9</w:t>
      </w:r>
      <w:r w:rsidRPr="004C24C6">
        <w:rPr>
          <w:highlight w:val="cyan"/>
        </w:rPr>
        <w:t xml:space="preserve"> was evaluated following weekly intravenous administration (0 mg/kg, 0.3 mg/kg, 1 mg/kg, 3 mg/kg and 30 mg/kg) to cynomolgus monkeys (4 males and 4 females per group)</w:t>
      </w:r>
      <w:r w:rsidRPr="004C24C6">
        <w:rPr>
          <w:spacing w:val="-19"/>
          <w:highlight w:val="cyan"/>
        </w:rPr>
        <w:t xml:space="preserve"> </w:t>
      </w:r>
      <w:r w:rsidRPr="004C24C6">
        <w:rPr>
          <w:highlight w:val="cyan"/>
        </w:rPr>
        <w:t>for</w:t>
      </w:r>
    </w:p>
    <w:p w:rsidR="00D436A3" w:rsidRPr="004C24C6" w:rsidRDefault="008C31BA">
      <w:pPr>
        <w:pStyle w:val="a3"/>
        <w:spacing w:line="261" w:lineRule="auto"/>
        <w:ind w:left="232" w:right="1895"/>
        <w:rPr>
          <w:highlight w:val="cyan"/>
        </w:rPr>
      </w:pPr>
      <w:r w:rsidRPr="004C24C6">
        <w:rPr>
          <w:highlight w:val="cyan"/>
        </w:rPr>
        <w:t>4 weeks. The animals were sacrificed 7 days after the last dosing (4th dosing). In addition, 3 male and 3 female animals were added to the 3 mg/kg and 30 mg/kg group to assess the reversibility of toxicity following a 6-week recovery</w:t>
      </w:r>
      <w:r w:rsidRPr="004C24C6">
        <w:rPr>
          <w:spacing w:val="-22"/>
          <w:highlight w:val="cyan"/>
        </w:rPr>
        <w:t xml:space="preserve"> </w:t>
      </w:r>
      <w:r w:rsidRPr="004C24C6">
        <w:rPr>
          <w:highlight w:val="cyan"/>
        </w:rPr>
        <w:t>period.</w:t>
      </w:r>
    </w:p>
    <w:p w:rsidR="00D436A3" w:rsidRPr="004C24C6" w:rsidRDefault="008C31BA">
      <w:pPr>
        <w:pStyle w:val="a3"/>
        <w:spacing w:before="114"/>
        <w:ind w:left="232"/>
        <w:rPr>
          <w:highlight w:val="cyan"/>
        </w:rPr>
      </w:pPr>
      <w:r w:rsidRPr="004C24C6">
        <w:rPr>
          <w:highlight w:val="cyan"/>
        </w:rPr>
        <w:t>No animal died or was euthanized due to moribundity.</w:t>
      </w:r>
    </w:p>
    <w:p w:rsidR="00D436A3" w:rsidRPr="004C24C6" w:rsidRDefault="008C31BA">
      <w:pPr>
        <w:pStyle w:val="a3"/>
        <w:spacing w:before="144" w:line="261" w:lineRule="auto"/>
        <w:ind w:left="232" w:right="2170"/>
        <w:rPr>
          <w:highlight w:val="cyan"/>
        </w:rPr>
      </w:pPr>
      <w:r w:rsidRPr="004C24C6">
        <w:rPr>
          <w:highlight w:val="cyan"/>
        </w:rPr>
        <w:t>At the 30 mg/kg dose level, increased reticulocyte ratio and eosinophil count, decreased platelet count, enlargement of the spleen and high spleen weights were observed.</w:t>
      </w:r>
    </w:p>
    <w:p w:rsidR="00D436A3" w:rsidRPr="004C24C6" w:rsidRDefault="008C31BA">
      <w:pPr>
        <w:pStyle w:val="a3"/>
        <w:spacing w:line="261" w:lineRule="auto"/>
        <w:ind w:left="232" w:right="1644"/>
        <w:rPr>
          <w:highlight w:val="cyan"/>
        </w:rPr>
      </w:pPr>
      <w:r w:rsidRPr="004C24C6">
        <w:rPr>
          <w:highlight w:val="cyan"/>
        </w:rPr>
        <w:t xml:space="preserve">Histopathology findings included congestion and hyperplasia of the red pulp in the spleen, hypertrophy of Kupffer cells in the liver, increase in hematopoiesis in the femoral bone marrow, atrophy in the thymus, hypertrophy of sinus histiocytes in the submandibular lymph node, edema and mixed inflammatory cell infiltration in the subserosa and lamina propria in the gallbladder, and vacuolation in the urothelium in the urinary bladder (all at the end of dosing period), fibrosis, hemorrhage and brown pigment in the capsule in the spleen, intimal thickening and perivascular fibrosis in the artery of the liver and in the </w:t>
      </w:r>
      <w:proofErr w:type="spellStart"/>
      <w:r w:rsidRPr="004C24C6">
        <w:rPr>
          <w:highlight w:val="cyan"/>
        </w:rPr>
        <w:t>subserosal</w:t>
      </w:r>
      <w:proofErr w:type="spellEnd"/>
      <w:r w:rsidRPr="004C24C6">
        <w:rPr>
          <w:highlight w:val="cyan"/>
        </w:rPr>
        <w:t xml:space="preserve"> artery of the gallbladder (at the end of recovery period). All changes observed during the dosing period recovered or tended toward recovery during the 6-week recovery period.  At the end of the recovery period, fibrosis, hemorrhage and brown pigment in the capsule in the spleen, and intimal thickening and perivascular fibrosis in the artery of the liver and in the </w:t>
      </w:r>
      <w:proofErr w:type="spellStart"/>
      <w:r w:rsidRPr="004C24C6">
        <w:rPr>
          <w:highlight w:val="cyan"/>
        </w:rPr>
        <w:t>subserosal</w:t>
      </w:r>
      <w:proofErr w:type="spellEnd"/>
      <w:r w:rsidRPr="004C24C6">
        <w:rPr>
          <w:highlight w:val="cyan"/>
        </w:rPr>
        <w:t xml:space="preserve"> artery of the gallbladder were observed at the 30 mg/kg dose</w:t>
      </w:r>
      <w:r w:rsidRPr="004C24C6">
        <w:rPr>
          <w:spacing w:val="-12"/>
          <w:highlight w:val="cyan"/>
        </w:rPr>
        <w:t xml:space="preserve"> </w:t>
      </w:r>
      <w:r w:rsidRPr="004C24C6">
        <w:rPr>
          <w:highlight w:val="cyan"/>
        </w:rPr>
        <w:t>level.</w:t>
      </w:r>
    </w:p>
    <w:p w:rsidR="00D436A3" w:rsidRPr="004C24C6" w:rsidRDefault="008C31BA">
      <w:pPr>
        <w:pStyle w:val="a3"/>
        <w:spacing w:before="108"/>
        <w:ind w:left="232"/>
        <w:rPr>
          <w:highlight w:val="cyan"/>
        </w:rPr>
      </w:pPr>
      <w:r w:rsidRPr="004C24C6">
        <w:rPr>
          <w:highlight w:val="cyan"/>
        </w:rPr>
        <w:t>No test article-related toxic changes were noted at 0.3 mg/kg, 1 mg/kg, or 3 mg/kg.</w:t>
      </w:r>
    </w:p>
    <w:p w:rsidR="00D436A3" w:rsidRPr="004C24C6" w:rsidRDefault="008C31BA">
      <w:pPr>
        <w:pStyle w:val="a3"/>
        <w:spacing w:before="144"/>
        <w:ind w:left="232"/>
        <w:rPr>
          <w:highlight w:val="cyan"/>
        </w:rPr>
      </w:pPr>
      <w:r w:rsidRPr="004C24C6">
        <w:rPr>
          <w:highlight w:val="cyan"/>
        </w:rPr>
        <w:t>At the end of the last dosing period (day 29), ADA were detected in 6 of 8 animals at the</w:t>
      </w:r>
    </w:p>
    <w:p w:rsidR="00D436A3" w:rsidRPr="004C24C6" w:rsidRDefault="008C31BA" w:rsidP="008C31BA">
      <w:pPr>
        <w:pStyle w:val="a3"/>
        <w:spacing w:before="25" w:line="261" w:lineRule="auto"/>
        <w:ind w:left="232" w:right="1703"/>
        <w:rPr>
          <w:sz w:val="20"/>
          <w:highlight w:val="cyan"/>
        </w:rPr>
      </w:pPr>
      <w:r w:rsidRPr="004C24C6">
        <w:rPr>
          <w:highlight w:val="cyan"/>
        </w:rPr>
        <w:t xml:space="preserve">0.3 mg/kg dose level, in 5 of 8 animals at the 1 mg/kg dose level, and in 4 of 14 animals at the 3 mg/kg and 30 mg/kg dose levels. ADA were also observed during the recovery period. The </w:t>
      </w:r>
      <w:proofErr w:type="spellStart"/>
      <w:r w:rsidRPr="004C24C6">
        <w:rPr>
          <w:highlight w:val="cyan"/>
        </w:rPr>
        <w:t>C</w:t>
      </w:r>
      <w:r w:rsidRPr="004C24C6">
        <w:rPr>
          <w:highlight w:val="cyan"/>
          <w:vertAlign w:val="subscript"/>
        </w:rPr>
        <w:t>max</w:t>
      </w:r>
      <w:proofErr w:type="spellEnd"/>
      <w:r w:rsidRPr="004C24C6">
        <w:rPr>
          <w:highlight w:val="cyan"/>
        </w:rPr>
        <w:t xml:space="preserve"> and AUC</w:t>
      </w:r>
      <w:r w:rsidRPr="004C24C6">
        <w:rPr>
          <w:highlight w:val="cyan"/>
          <w:vertAlign w:val="subscript"/>
        </w:rPr>
        <w:t>168</w:t>
      </w:r>
      <w:r w:rsidRPr="004C24C6">
        <w:rPr>
          <w:highlight w:val="cyan"/>
        </w:rPr>
        <w:t xml:space="preserve"> values of </w:t>
      </w:r>
      <w:r w:rsidR="004C24C6" w:rsidRPr="004C24C6">
        <w:rPr>
          <w:highlight w:val="cyan"/>
        </w:rPr>
        <w:t>PROJECT 9</w:t>
      </w:r>
      <w:r w:rsidRPr="004C24C6">
        <w:rPr>
          <w:highlight w:val="cyan"/>
        </w:rPr>
        <w:t xml:space="preserve"> increased dose proportionally on day 1, but the exposure levels after the last dosing were affected by the production of ADA. The </w:t>
      </w:r>
      <w:proofErr w:type="spellStart"/>
      <w:r w:rsidRPr="004C24C6">
        <w:rPr>
          <w:highlight w:val="cyan"/>
        </w:rPr>
        <w:t>C</w:t>
      </w:r>
      <w:r w:rsidRPr="004C24C6">
        <w:rPr>
          <w:highlight w:val="cyan"/>
          <w:vertAlign w:val="subscript"/>
        </w:rPr>
        <w:t>max</w:t>
      </w:r>
      <w:proofErr w:type="spellEnd"/>
      <w:r w:rsidRPr="004C24C6">
        <w:rPr>
          <w:highlight w:val="cyan"/>
        </w:rPr>
        <w:t xml:space="preserve"> and AUC</w:t>
      </w:r>
      <w:r w:rsidRPr="004C24C6">
        <w:rPr>
          <w:highlight w:val="cyan"/>
          <w:vertAlign w:val="subscript"/>
        </w:rPr>
        <w:t>168</w:t>
      </w:r>
      <w:r w:rsidRPr="004C24C6">
        <w:rPr>
          <w:highlight w:val="cyan"/>
        </w:rPr>
        <w:t xml:space="preserve"> values on day 22 were higher than those on day 1 for all the animals in the 30 mg/kg group. However, the </w:t>
      </w:r>
      <w:proofErr w:type="spellStart"/>
      <w:r w:rsidRPr="004C24C6">
        <w:rPr>
          <w:highlight w:val="cyan"/>
        </w:rPr>
        <w:t>C</w:t>
      </w:r>
      <w:r w:rsidRPr="004C24C6">
        <w:rPr>
          <w:highlight w:val="cyan"/>
          <w:vertAlign w:val="subscript"/>
        </w:rPr>
        <w:t>max</w:t>
      </w:r>
      <w:proofErr w:type="spellEnd"/>
      <w:r w:rsidRPr="004C24C6">
        <w:rPr>
          <w:highlight w:val="cyan"/>
        </w:rPr>
        <w:t xml:space="preserve"> and AUC</w:t>
      </w:r>
      <w:r w:rsidRPr="004C24C6">
        <w:rPr>
          <w:highlight w:val="cyan"/>
          <w:vertAlign w:val="subscript"/>
        </w:rPr>
        <w:t>168</w:t>
      </w:r>
      <w:r w:rsidRPr="004C24C6">
        <w:rPr>
          <w:highlight w:val="cyan"/>
        </w:rPr>
        <w:t xml:space="preserve"> values on day 22 were lower than those on day 1 for anti-</w:t>
      </w:r>
      <w:r w:rsidR="004C24C6" w:rsidRPr="004C24C6">
        <w:rPr>
          <w:highlight w:val="cyan"/>
        </w:rPr>
        <w:t>PROJECT 9</w:t>
      </w:r>
      <w:r w:rsidRPr="004C24C6">
        <w:rPr>
          <w:highlight w:val="cyan"/>
        </w:rPr>
        <w:t xml:space="preserve"> antibody-positive animals in the 0.3 to 3 mg/kg dosing groups. The decrease</w:t>
      </w:r>
    </w:p>
    <w:p w:rsidR="00D436A3" w:rsidRPr="004C24C6" w:rsidRDefault="008C31BA">
      <w:pPr>
        <w:pStyle w:val="a3"/>
        <w:spacing w:before="227" w:line="261" w:lineRule="auto"/>
        <w:ind w:left="232" w:right="1744"/>
        <w:rPr>
          <w:highlight w:val="cyan"/>
        </w:rPr>
      </w:pPr>
      <w:r w:rsidRPr="004C24C6">
        <w:rPr>
          <w:highlight w:val="cyan"/>
        </w:rPr>
        <w:t>in these values after repeated dosing was considered to be related to the production of ADA. No apparent sex differences were noted at any dose level.</w:t>
      </w:r>
    </w:p>
    <w:p w:rsidR="00D436A3" w:rsidRDefault="008C31BA">
      <w:pPr>
        <w:pStyle w:val="a3"/>
        <w:spacing w:before="119" w:line="261" w:lineRule="auto"/>
        <w:ind w:left="232" w:right="1743"/>
      </w:pPr>
      <w:r w:rsidRPr="004C24C6">
        <w:rPr>
          <w:highlight w:val="cyan"/>
        </w:rPr>
        <w:t xml:space="preserve">In conclusion, under the conditions of this study, the NOAEL was 3 mg/kg for male and female animals due to the toxic changes in hematology, gross </w:t>
      </w:r>
      <w:r w:rsidRPr="004C24C6">
        <w:rPr>
          <w:highlight w:val="cyan"/>
        </w:rPr>
        <w:lastRenderedPageBreak/>
        <w:t>pathology, organ weights, and histopathology seen at the 30 mg/kg dose.</w:t>
      </w:r>
    </w:p>
    <w:p w:rsidR="00D436A3" w:rsidRDefault="008C31BA">
      <w:pPr>
        <w:pStyle w:val="3"/>
        <w:numPr>
          <w:ilvl w:val="2"/>
          <w:numId w:val="12"/>
        </w:numPr>
        <w:tabs>
          <w:tab w:val="left" w:pos="1084"/>
          <w:tab w:val="left" w:pos="1085"/>
        </w:tabs>
        <w:spacing w:before="122"/>
      </w:pPr>
      <w:bookmarkStart w:id="15" w:name="4.3.3_Genotoxicity"/>
      <w:bookmarkStart w:id="16" w:name="_bookmark40"/>
      <w:bookmarkEnd w:id="15"/>
      <w:bookmarkEnd w:id="16"/>
      <w:r>
        <w:t>Genotoxicity</w:t>
      </w:r>
    </w:p>
    <w:p w:rsidR="00D436A3" w:rsidRDefault="008C31BA">
      <w:pPr>
        <w:pStyle w:val="a3"/>
        <w:spacing w:before="139" w:line="261" w:lineRule="auto"/>
        <w:ind w:left="232" w:right="1684"/>
      </w:pPr>
      <w:r>
        <w:t>Genotoxicity studies are not routinely conducted for biotechnology-derived pharmaceuticals. There are no pharmacological or toxicological effects that would warrant genotoxicity evaluations.</w:t>
      </w:r>
    </w:p>
    <w:p w:rsidR="00D436A3" w:rsidRDefault="008C31BA">
      <w:pPr>
        <w:pStyle w:val="3"/>
        <w:numPr>
          <w:ilvl w:val="2"/>
          <w:numId w:val="12"/>
        </w:numPr>
        <w:tabs>
          <w:tab w:val="left" w:pos="1084"/>
          <w:tab w:val="left" w:pos="1085"/>
        </w:tabs>
        <w:spacing w:before="123"/>
      </w:pPr>
      <w:bookmarkStart w:id="17" w:name="4.3.4_Carcinogenicity"/>
      <w:bookmarkStart w:id="18" w:name="_bookmark41"/>
      <w:bookmarkEnd w:id="17"/>
      <w:bookmarkEnd w:id="18"/>
      <w:r>
        <w:t>Carcinogenicity</w:t>
      </w:r>
    </w:p>
    <w:p w:rsidR="00D436A3" w:rsidRDefault="008C31BA">
      <w:pPr>
        <w:pStyle w:val="a3"/>
        <w:spacing w:before="139"/>
        <w:ind w:left="232"/>
      </w:pPr>
      <w:r>
        <w:t>No carcinogenicity studies have been conducted.</w:t>
      </w:r>
    </w:p>
    <w:p w:rsidR="00D436A3" w:rsidRDefault="008C31BA">
      <w:pPr>
        <w:pStyle w:val="3"/>
        <w:numPr>
          <w:ilvl w:val="2"/>
          <w:numId w:val="12"/>
        </w:numPr>
        <w:tabs>
          <w:tab w:val="left" w:pos="1084"/>
          <w:tab w:val="left" w:pos="1085"/>
        </w:tabs>
        <w:spacing w:before="149"/>
      </w:pPr>
      <w:bookmarkStart w:id="19" w:name="4.3.5_Reproductive_and_Developmental_Tox"/>
      <w:bookmarkStart w:id="20" w:name="_bookmark42"/>
      <w:bookmarkEnd w:id="19"/>
      <w:bookmarkEnd w:id="20"/>
      <w:r>
        <w:t>Reproductive and Developmental</w:t>
      </w:r>
      <w:r>
        <w:rPr>
          <w:spacing w:val="-5"/>
        </w:rPr>
        <w:t xml:space="preserve"> </w:t>
      </w:r>
      <w:r>
        <w:t>Toxicity</w:t>
      </w:r>
    </w:p>
    <w:p w:rsidR="00D436A3" w:rsidRDefault="008C31BA">
      <w:pPr>
        <w:pStyle w:val="a3"/>
        <w:spacing w:before="139"/>
        <w:ind w:left="232"/>
      </w:pPr>
      <w:r>
        <w:t>No reproductive and developmental toxicity studies have been conducted.</w:t>
      </w:r>
    </w:p>
    <w:p w:rsidR="00D436A3" w:rsidRDefault="008C31BA">
      <w:pPr>
        <w:pStyle w:val="3"/>
        <w:numPr>
          <w:ilvl w:val="2"/>
          <w:numId w:val="12"/>
        </w:numPr>
        <w:tabs>
          <w:tab w:val="left" w:pos="1084"/>
          <w:tab w:val="left" w:pos="1085"/>
        </w:tabs>
        <w:spacing w:before="149"/>
      </w:pPr>
      <w:bookmarkStart w:id="21" w:name="4.3.6_Local_Tolerance"/>
      <w:bookmarkStart w:id="22" w:name="_bookmark43"/>
      <w:bookmarkEnd w:id="21"/>
      <w:bookmarkEnd w:id="22"/>
      <w:r>
        <w:t>Local</w:t>
      </w:r>
      <w:r>
        <w:rPr>
          <w:spacing w:val="-2"/>
        </w:rPr>
        <w:t xml:space="preserve"> </w:t>
      </w:r>
      <w:r>
        <w:t>Tolerance</w:t>
      </w:r>
    </w:p>
    <w:p w:rsidR="00D436A3" w:rsidRDefault="008C31BA">
      <w:pPr>
        <w:pStyle w:val="a3"/>
        <w:spacing w:before="139" w:line="261" w:lineRule="auto"/>
        <w:ind w:left="232" w:right="1664"/>
      </w:pPr>
      <w:r>
        <w:t xml:space="preserve">No notable macroscopic or microscopic changes were observed at the injection sites in the 4- week repeat dose toxicity study in cynomolgus monkeys (Study </w:t>
      </w:r>
      <w:r w:rsidR="004C24C6">
        <w:t>Project 9</w:t>
      </w:r>
      <w:r>
        <w:t>-TX-0001).</w:t>
      </w:r>
    </w:p>
    <w:p w:rsidR="00D436A3" w:rsidRDefault="008C31BA">
      <w:pPr>
        <w:pStyle w:val="3"/>
        <w:numPr>
          <w:ilvl w:val="2"/>
          <w:numId w:val="12"/>
        </w:numPr>
        <w:tabs>
          <w:tab w:val="left" w:pos="1084"/>
          <w:tab w:val="left" w:pos="1085"/>
        </w:tabs>
        <w:spacing w:before="123"/>
      </w:pPr>
      <w:bookmarkStart w:id="23" w:name="4.3.7_Other_Toxicity_Studies"/>
      <w:bookmarkStart w:id="24" w:name="_bookmark44"/>
      <w:bookmarkEnd w:id="23"/>
      <w:bookmarkEnd w:id="24"/>
      <w:r>
        <w:t>Other Toxicity</w:t>
      </w:r>
      <w:r>
        <w:rPr>
          <w:spacing w:val="-1"/>
        </w:rPr>
        <w:t xml:space="preserve"> </w:t>
      </w:r>
      <w:r>
        <w:t>Studies</w:t>
      </w:r>
    </w:p>
    <w:p w:rsidR="00D436A3" w:rsidRDefault="008C31BA">
      <w:pPr>
        <w:pStyle w:val="a4"/>
        <w:numPr>
          <w:ilvl w:val="3"/>
          <w:numId w:val="12"/>
        </w:numPr>
        <w:tabs>
          <w:tab w:val="left" w:pos="1085"/>
        </w:tabs>
        <w:spacing w:before="144" w:line="261" w:lineRule="auto"/>
        <w:ind w:right="2198"/>
        <w:rPr>
          <w:b/>
          <w:sz w:val="24"/>
        </w:rPr>
      </w:pPr>
      <w:bookmarkStart w:id="25" w:name="4.3.7.1_Exploratory_Immunological_Assess"/>
      <w:bookmarkStart w:id="26" w:name="_bookmark45"/>
      <w:bookmarkEnd w:id="25"/>
      <w:bookmarkEnd w:id="26"/>
      <w:r>
        <w:rPr>
          <w:b/>
          <w:sz w:val="24"/>
        </w:rPr>
        <w:t>Exploratory Immunological Assessment by 4-Week Repeated Intravenous Dosing in Cynomolgus</w:t>
      </w:r>
      <w:r>
        <w:rPr>
          <w:b/>
          <w:spacing w:val="-3"/>
          <w:sz w:val="24"/>
        </w:rPr>
        <w:t xml:space="preserve"> </w:t>
      </w:r>
      <w:r>
        <w:rPr>
          <w:b/>
          <w:sz w:val="24"/>
        </w:rPr>
        <w:t>Monkeys</w:t>
      </w:r>
    </w:p>
    <w:p w:rsidR="00D436A3" w:rsidRDefault="008C31BA">
      <w:pPr>
        <w:pStyle w:val="a3"/>
        <w:spacing w:before="114" w:line="261" w:lineRule="auto"/>
        <w:ind w:left="232" w:right="1634"/>
      </w:pPr>
      <w:r>
        <w:t xml:space="preserve">In an exploratory study, the immunological effects of </w:t>
      </w:r>
      <w:r w:rsidR="004C24C6">
        <w:t>PROJECT 9</w:t>
      </w:r>
      <w:r>
        <w:t xml:space="preserve"> were evaluated following weekly intravenous administration (0 mg/kg, 3 mg/kg, and 30 mg/kg) to cynomolgus monkeys (3 </w:t>
      </w:r>
      <w:proofErr w:type="spellStart"/>
      <w:r>
        <w:t>males</w:t>
      </w:r>
      <w:proofErr w:type="spellEnd"/>
      <w:r>
        <w:t xml:space="preserve"> per group) for 4 weeks. The animals were sacrificed 7 days after the last dosing (4th dosing) (Study </w:t>
      </w:r>
      <w:r w:rsidR="004C24C6">
        <w:t>Project 9</w:t>
      </w:r>
      <w:r>
        <w:t>-TX-5002).</w:t>
      </w:r>
    </w:p>
    <w:p w:rsidR="00D436A3" w:rsidRDefault="008C31BA">
      <w:pPr>
        <w:pStyle w:val="a3"/>
        <w:spacing w:before="117" w:line="261" w:lineRule="auto"/>
        <w:ind w:left="232" w:right="1895"/>
      </w:pPr>
      <w:r>
        <w:t>In this study, decreases in lymphocyte count and CD3</w:t>
      </w:r>
      <w:r>
        <w:rPr>
          <w:vertAlign w:val="superscript"/>
        </w:rPr>
        <w:t>-</w:t>
      </w:r>
      <w:r>
        <w:t>CD20</w:t>
      </w:r>
      <w:r>
        <w:rPr>
          <w:vertAlign w:val="superscript"/>
        </w:rPr>
        <w:t>+</w:t>
      </w:r>
      <w:r>
        <w:t xml:space="preserve"> cell ratio and count in peripheral blood, atrophic changes of the thymus, spleen, submandibular and mesenteric lymph nodes, Peyer’s patch, and/or inguinal lymph node were observed at 3 mg/kg and</w:t>
      </w:r>
    </w:p>
    <w:p w:rsidR="00D436A3" w:rsidRDefault="008C31BA">
      <w:pPr>
        <w:pStyle w:val="a3"/>
        <w:spacing w:line="261" w:lineRule="auto"/>
        <w:ind w:left="232" w:right="1785"/>
      </w:pPr>
      <w:r>
        <w:t>30 mg/kg. In the immunohistochemical assessment, decreases in CD20</w:t>
      </w:r>
      <w:r>
        <w:rPr>
          <w:vertAlign w:val="superscript"/>
        </w:rPr>
        <w:t>+</w:t>
      </w:r>
      <w:r>
        <w:t xml:space="preserve"> cells in the spleen, submandibular and mesenteric lymph nodes, Peyer’s patch, thymus, and/or inguinal lymph node at 3 mg/kg and 30 mg/kg, and decreases in CD3</w:t>
      </w:r>
      <w:r>
        <w:rPr>
          <w:vertAlign w:val="superscript"/>
        </w:rPr>
        <w:t>+</w:t>
      </w:r>
      <w:r>
        <w:t>, CD4</w:t>
      </w:r>
      <w:r>
        <w:rPr>
          <w:vertAlign w:val="superscript"/>
        </w:rPr>
        <w:t>+</w:t>
      </w:r>
      <w:r>
        <w:t>, and CD8</w:t>
      </w:r>
      <w:r>
        <w:rPr>
          <w:vertAlign w:val="superscript"/>
        </w:rPr>
        <w:t>+</w:t>
      </w:r>
      <w:r>
        <w:t xml:space="preserve"> cells in the thymus at 3 mg/kg and 30 mg/kg and in the spleen at 30 mg/kg were observed. Among the above- stated findings, decreases in CD20</w:t>
      </w:r>
      <w:r>
        <w:rPr>
          <w:vertAlign w:val="superscript"/>
        </w:rPr>
        <w:t>+</w:t>
      </w:r>
      <w:r>
        <w:t xml:space="preserve"> cells in the blood and tissues were considered to be a pharmacological effect of </w:t>
      </w:r>
      <w:r w:rsidR="004C24C6">
        <w:t>PROJECT 9</w:t>
      </w:r>
      <w:r>
        <w:t>.</w:t>
      </w:r>
    </w:p>
    <w:p w:rsidR="00D436A3" w:rsidRDefault="008C31BA">
      <w:pPr>
        <w:pStyle w:val="3"/>
        <w:numPr>
          <w:ilvl w:val="3"/>
          <w:numId w:val="12"/>
        </w:numPr>
        <w:tabs>
          <w:tab w:val="left" w:pos="1085"/>
        </w:tabs>
        <w:spacing w:before="117"/>
      </w:pPr>
      <w:bookmarkStart w:id="27" w:name="4.3.7.2_In_vitro_Tissue_Cross-reactivity"/>
      <w:bookmarkStart w:id="28" w:name="_bookmark46"/>
      <w:bookmarkEnd w:id="27"/>
      <w:bookmarkEnd w:id="28"/>
      <w:r>
        <w:t>In vitro Tissue Cross-reactivity Study in Human</w:t>
      </w:r>
      <w:r>
        <w:rPr>
          <w:spacing w:val="-3"/>
        </w:rPr>
        <w:t xml:space="preserve"> </w:t>
      </w:r>
      <w:r>
        <w:t>Tissues</w:t>
      </w:r>
    </w:p>
    <w:p w:rsidR="00D436A3" w:rsidRDefault="004C24C6">
      <w:pPr>
        <w:pStyle w:val="a3"/>
        <w:spacing w:before="139" w:line="261" w:lineRule="auto"/>
        <w:ind w:left="232" w:right="1676"/>
      </w:pPr>
      <w:r>
        <w:t>PROJECT 9</w:t>
      </w:r>
      <w:r w:rsidR="008C31BA">
        <w:t xml:space="preserve"> was applied to cryosections of 36 different normal human tissues (at least 3 donors per tissue, where available) at 2 concentrations (2 µg/mL and 10 µg/mL)</w:t>
      </w:r>
    </w:p>
    <w:p w:rsidR="00D436A3" w:rsidRDefault="008C31BA" w:rsidP="008C31BA">
      <w:pPr>
        <w:pStyle w:val="a3"/>
        <w:spacing w:line="261" w:lineRule="auto"/>
        <w:ind w:left="232" w:right="1634"/>
        <w:rPr>
          <w:sz w:val="20"/>
        </w:rPr>
      </w:pPr>
      <w:r>
        <w:t xml:space="preserve">(Study </w:t>
      </w:r>
      <w:r w:rsidR="004C24C6">
        <w:t>Project 9</w:t>
      </w:r>
      <w:r>
        <w:t xml:space="preserve">-TX-0003). A control antibody with a different antigenic specificity from </w:t>
      </w:r>
      <w:r w:rsidR="004C24C6">
        <w:t>PROJECT 9</w:t>
      </w:r>
      <w:r>
        <w:t xml:space="preserve"> (designated HuIgG1) was applied to the same panel of tissues. In order to confirm</w:t>
      </w:r>
    </w:p>
    <w:p w:rsidR="00D436A3" w:rsidRDefault="008C31BA">
      <w:pPr>
        <w:pStyle w:val="a3"/>
        <w:spacing w:before="227" w:line="261" w:lineRule="auto"/>
        <w:ind w:left="232" w:right="2022"/>
      </w:pPr>
      <w:r>
        <w:t xml:space="preserve">antibody binding under the conditions of the study, recombinant human CD79b UV-resin spot slides (designated rhCD79b) served as the positive control material; and human hypercalcemia of malignancy peptide (amino acid residues 1 - 34) UV-resin spot slides (designated </w:t>
      </w:r>
      <w:proofErr w:type="spellStart"/>
      <w:r>
        <w:t>PTHrP</w:t>
      </w:r>
      <w:proofErr w:type="spellEnd"/>
      <w:r>
        <w:t xml:space="preserve"> 1 - 34) served as the negative control material.</w:t>
      </w:r>
    </w:p>
    <w:p w:rsidR="00D436A3" w:rsidRDefault="004C24C6">
      <w:pPr>
        <w:pStyle w:val="a3"/>
        <w:spacing w:before="117" w:line="261" w:lineRule="auto"/>
        <w:ind w:left="232" w:right="1882"/>
      </w:pPr>
      <w:r>
        <w:lastRenderedPageBreak/>
        <w:t>PROJECT 9</w:t>
      </w:r>
      <w:r w:rsidR="008C31BA">
        <w:t xml:space="preserve"> produced weak to strong staining of the positive control material at both staining concentrations. </w:t>
      </w:r>
      <w:r>
        <w:t>PROJECT 9</w:t>
      </w:r>
      <w:r w:rsidR="008C31BA">
        <w:t xml:space="preserve"> did not specifically react with the negative control material at either staining concentration. The control article, HuIgG1, did not specifically react with either the positive or negative control materials.</w:t>
      </w:r>
    </w:p>
    <w:p w:rsidR="00D436A3" w:rsidRDefault="004C24C6">
      <w:pPr>
        <w:pStyle w:val="a3"/>
        <w:spacing w:before="117" w:line="261" w:lineRule="auto"/>
        <w:ind w:left="232" w:right="1703"/>
      </w:pPr>
      <w:r>
        <w:t>PROJECT 9</w:t>
      </w:r>
      <w:r w:rsidR="008C31BA">
        <w:t xml:space="preserve"> stained the membrane and cytoplasm in mononuclear cells in most human tissues examined (including lymphocytes in blood smears, Kupffer cells in liver, and </w:t>
      </w:r>
      <w:proofErr w:type="spellStart"/>
      <w:r w:rsidR="008C31BA">
        <w:t>Hofbauer</w:t>
      </w:r>
      <w:proofErr w:type="spellEnd"/>
      <w:r w:rsidR="008C31BA">
        <w:t xml:space="preserve"> cells in placenta), hematopoietic cells in the bone marrow, and basal epithelium in ducts of the salivary gland. As the expression of Igβ has been previously reported on the surface of</w:t>
      </w:r>
    </w:p>
    <w:p w:rsidR="00D436A3" w:rsidRDefault="008C31BA">
      <w:pPr>
        <w:pStyle w:val="a3"/>
        <w:spacing w:line="261" w:lineRule="auto"/>
        <w:ind w:left="232" w:right="1634"/>
      </w:pPr>
      <w:r>
        <w:t xml:space="preserve">B cells as well as on monocytes, hematopoietic progenitor cells, and T cells, as has the expression of </w:t>
      </w:r>
      <w:proofErr w:type="spellStart"/>
      <w:r>
        <w:t>FcγRIIB</w:t>
      </w:r>
      <w:proofErr w:type="spellEnd"/>
      <w:r>
        <w:t xml:space="preserve"> on monocytes/macrophages and/or dendritic cells , the staining observed in mononuclear cells and hematopoietic cells with </w:t>
      </w:r>
      <w:r w:rsidR="004C24C6">
        <w:t>PROJECT 9</w:t>
      </w:r>
      <w:r>
        <w:t xml:space="preserve"> in this study was anticipated. However, the staining in ductal epithelium of the salivary gland, which is not a known site of Igβ or </w:t>
      </w:r>
      <w:proofErr w:type="spellStart"/>
      <w:r>
        <w:t>FcγRIIB</w:t>
      </w:r>
      <w:proofErr w:type="spellEnd"/>
      <w:r>
        <w:t xml:space="preserve"> expression, was an unanticipated cross-reactivity of the test article.</w:t>
      </w:r>
    </w:p>
    <w:p w:rsidR="00D436A3" w:rsidRDefault="008C31BA">
      <w:pPr>
        <w:pStyle w:val="a3"/>
        <w:spacing w:before="112" w:line="261" w:lineRule="auto"/>
        <w:ind w:left="232" w:right="1643"/>
      </w:pPr>
      <w:r>
        <w:t xml:space="preserve">All other reactivity with </w:t>
      </w:r>
      <w:r w:rsidR="004C24C6">
        <w:t>PROJECT 9</w:t>
      </w:r>
      <w:r>
        <w:t xml:space="preserve"> in the human tissue panel was cytoplasmic in nature, and monoclonal antibody binding to cytoplasmic sites in tissue cross-reactivity studies generally is considered of little to no toxicological significance due to the inability of antibody drugs to access the cytoplasmic compartment in vivo.</w:t>
      </w:r>
    </w:p>
    <w:p w:rsidR="00D436A3" w:rsidRDefault="008C31BA">
      <w:pPr>
        <w:pStyle w:val="a3"/>
        <w:spacing w:before="116" w:line="261" w:lineRule="auto"/>
        <w:ind w:left="232" w:right="2175"/>
      </w:pPr>
      <w:r>
        <w:t>In a study using cynomolgus monkey tissues [</w:t>
      </w:r>
      <w:r w:rsidR="004C24C6">
        <w:t>Project 9</w:t>
      </w:r>
      <w:r>
        <w:t>-TX-0004], the staining in the ductal epithelium of the salivary gland was seen only in the cytoplasm.</w:t>
      </w:r>
    </w:p>
    <w:p w:rsidR="00D436A3" w:rsidRDefault="008C31BA">
      <w:pPr>
        <w:pStyle w:val="a3"/>
        <w:spacing w:before="119" w:line="261" w:lineRule="auto"/>
        <w:ind w:left="232" w:right="1821"/>
      </w:pPr>
      <w:r>
        <w:t xml:space="preserve">These data showed that </w:t>
      </w:r>
      <w:r w:rsidR="004C24C6">
        <w:t>PROJECT 9</w:t>
      </w:r>
      <w:r>
        <w:t xml:space="preserve"> had little discernible tissue cross reactivity and that the tissue binding that did occur was related to known expression of Igβ or </w:t>
      </w:r>
      <w:proofErr w:type="spellStart"/>
      <w:r>
        <w:t>FcγRIIB</w:t>
      </w:r>
      <w:proofErr w:type="spellEnd"/>
      <w:r>
        <w:t>, except for the salivary gland staining.</w:t>
      </w:r>
    </w:p>
    <w:p w:rsidR="00D436A3" w:rsidRDefault="008C31BA">
      <w:pPr>
        <w:pStyle w:val="3"/>
        <w:numPr>
          <w:ilvl w:val="3"/>
          <w:numId w:val="12"/>
        </w:numPr>
        <w:tabs>
          <w:tab w:val="left" w:pos="1085"/>
        </w:tabs>
        <w:spacing w:before="122"/>
      </w:pPr>
      <w:bookmarkStart w:id="29" w:name="4.3.7.3_In_vitro_Tissue_Cross-reactivity"/>
      <w:bookmarkStart w:id="30" w:name="_bookmark47"/>
      <w:bookmarkEnd w:id="29"/>
      <w:bookmarkEnd w:id="30"/>
      <w:r>
        <w:t>In vitro Tissue Cross-reactivity Study in Cynomolgus Monkey</w:t>
      </w:r>
      <w:r>
        <w:rPr>
          <w:spacing w:val="-6"/>
        </w:rPr>
        <w:t xml:space="preserve"> </w:t>
      </w:r>
      <w:r>
        <w:t>Tissues</w:t>
      </w:r>
    </w:p>
    <w:p w:rsidR="00D436A3" w:rsidRDefault="004C24C6">
      <w:pPr>
        <w:pStyle w:val="a3"/>
        <w:spacing w:before="139" w:line="261" w:lineRule="auto"/>
        <w:ind w:left="232" w:right="1702"/>
      </w:pPr>
      <w:r>
        <w:t>PROJECT 9</w:t>
      </w:r>
      <w:r w:rsidR="008C31BA">
        <w:t xml:space="preserve"> was applied to cryosections of 36 different normal cynomolgus monkey tissues (at least 2 animals per tissue, where available) at 2 concentrations (0.5 µg/mL and 5 µg/mL) (Study </w:t>
      </w:r>
      <w:r>
        <w:t>Project 9</w:t>
      </w:r>
      <w:r w:rsidR="008C31BA">
        <w:t xml:space="preserve">-TX-0004). A control antibody with a different antigenic specificity from </w:t>
      </w:r>
      <w:r>
        <w:t>PROJECT 9</w:t>
      </w:r>
      <w:r w:rsidR="008C31BA">
        <w:t xml:space="preserve"> (designated HuIgG1) was applied to the same panel of tissues. In order to confirm antibody binding under the conditions of the study, recombinant human CD79b UV-resin spot slides (designated rhCD79b) served as the positive control material, and human hypercalcemia of malignancy peptide (amino acid residues 1 - 34) UV-resin spot slides (designated </w:t>
      </w:r>
      <w:proofErr w:type="spellStart"/>
      <w:r w:rsidR="008C31BA">
        <w:t>PTHrP</w:t>
      </w:r>
      <w:proofErr w:type="spellEnd"/>
      <w:r w:rsidR="008C31BA">
        <w:t xml:space="preserve"> 1 - 34) served as the negative control material.</w:t>
      </w:r>
    </w:p>
    <w:p w:rsidR="00D436A3" w:rsidRDefault="004C24C6" w:rsidP="008C31BA">
      <w:pPr>
        <w:pStyle w:val="a3"/>
        <w:spacing w:before="114" w:line="261" w:lineRule="auto"/>
        <w:ind w:left="232" w:right="1882"/>
        <w:rPr>
          <w:sz w:val="20"/>
        </w:rPr>
      </w:pPr>
      <w:r>
        <w:t>PROJECT 9</w:t>
      </w:r>
      <w:r w:rsidR="008C31BA">
        <w:t xml:space="preserve"> produced weak to strong staining of the positive control material at both staining concentrations. </w:t>
      </w:r>
      <w:r>
        <w:t>PROJECT 9</w:t>
      </w:r>
      <w:r w:rsidR="008C31BA">
        <w:t xml:space="preserve"> did not specifically react with the negative control material at either staining concentration. The control article, HuIgG1, did not specifically react with either the positive or negative control materials.</w:t>
      </w:r>
    </w:p>
    <w:p w:rsidR="00D436A3" w:rsidRDefault="004C24C6">
      <w:pPr>
        <w:pStyle w:val="a3"/>
        <w:spacing w:before="227" w:line="261" w:lineRule="auto"/>
        <w:ind w:left="232" w:right="1655"/>
      </w:pPr>
      <w:r>
        <w:t>PROJECT 9</w:t>
      </w:r>
      <w:r w:rsidR="008C31BA">
        <w:t xml:space="preserve"> stained mononuclear cells in lymphoid tissues and </w:t>
      </w:r>
      <w:proofErr w:type="spellStart"/>
      <w:r w:rsidR="008C31BA">
        <w:t>non lymphoid</w:t>
      </w:r>
      <w:proofErr w:type="spellEnd"/>
      <w:r w:rsidR="008C31BA">
        <w:t xml:space="preserve"> tissues (including the adrenal, bladder, Fallopian tube, ovary, pancreas, peripheral nerve, placenta, prostate, salivary gland, striated skeletal muscle, testis, and uterus), lymphocytes in blood smears, hematopoietic cells (including megakaryocytes) in the bone marrow, and trophoblasts in the </w:t>
      </w:r>
      <w:r w:rsidR="008C31BA">
        <w:lastRenderedPageBreak/>
        <w:t>placenta and epithelium in the prostate.</w:t>
      </w:r>
    </w:p>
    <w:p w:rsidR="00D436A3" w:rsidRDefault="008C31BA">
      <w:pPr>
        <w:pStyle w:val="a3"/>
        <w:spacing w:before="116" w:line="261" w:lineRule="auto"/>
        <w:ind w:left="232" w:right="1865"/>
      </w:pPr>
      <w:r>
        <w:t>As described in Sectio</w:t>
      </w:r>
      <w:hyperlink w:anchor="_bookmark46" w:history="1">
        <w:r>
          <w:t>n 4.3.7.2</w:t>
        </w:r>
      </w:hyperlink>
      <w:r>
        <w:t xml:space="preserve">, the staining observed in mononuclear cells and hematopoietic cells with </w:t>
      </w:r>
      <w:r w:rsidR="004C24C6">
        <w:t>PROJECT 9</w:t>
      </w:r>
      <w:r>
        <w:t xml:space="preserve"> in this study corresponded to the reported sites of Igβ or </w:t>
      </w:r>
      <w:proofErr w:type="spellStart"/>
      <w:r>
        <w:t>FcγRIIB</w:t>
      </w:r>
      <w:proofErr w:type="spellEnd"/>
      <w:r>
        <w:t xml:space="preserve"> expression. In contrast, the trophoblasts in the placenta and epithelium in the prostate are not known sites of Igβ or </w:t>
      </w:r>
      <w:proofErr w:type="spellStart"/>
      <w:r>
        <w:t>FcγRIIb</w:t>
      </w:r>
      <w:proofErr w:type="spellEnd"/>
      <w:r>
        <w:t xml:space="preserve"> expression and represents unanticipated cross-reactivity.</w:t>
      </w:r>
    </w:p>
    <w:p w:rsidR="00D436A3" w:rsidRDefault="008C31BA">
      <w:pPr>
        <w:pStyle w:val="a3"/>
        <w:spacing w:before="116" w:line="261" w:lineRule="auto"/>
        <w:ind w:left="232" w:right="1703"/>
      </w:pPr>
      <w:r>
        <w:t xml:space="preserve">All other reactivity with </w:t>
      </w:r>
      <w:r w:rsidR="004C24C6">
        <w:t>PROJECT 9</w:t>
      </w:r>
      <w:r>
        <w:t xml:space="preserve"> in the cynomolgus monkey tissue panel was cytoplasmic in nature, and monoclonal antibody binding to cytoplasmic sites in tissue cross-reactivity studies generally is considered of little to no toxicological significance due to the inability of antibody drugs to access the cytoplasmic compartment in vivo.</w:t>
      </w:r>
    </w:p>
    <w:p w:rsidR="00D436A3" w:rsidRDefault="008C31BA">
      <w:pPr>
        <w:pStyle w:val="3"/>
        <w:numPr>
          <w:ilvl w:val="3"/>
          <w:numId w:val="12"/>
        </w:numPr>
        <w:tabs>
          <w:tab w:val="left" w:pos="1085"/>
        </w:tabs>
        <w:spacing w:before="122"/>
      </w:pPr>
      <w:bookmarkStart w:id="31" w:name="4.3.7.4_In_vitro_Cytokine_Release_Assess"/>
      <w:bookmarkStart w:id="32" w:name="_bookmark48"/>
      <w:bookmarkEnd w:id="31"/>
      <w:bookmarkEnd w:id="32"/>
      <w:r>
        <w:t>In vitro Cytokine Release Assessment in Human Peripheral</w:t>
      </w:r>
      <w:r>
        <w:rPr>
          <w:spacing w:val="-8"/>
        </w:rPr>
        <w:t xml:space="preserve"> </w:t>
      </w:r>
      <w:r>
        <w:t>Blood</w:t>
      </w:r>
    </w:p>
    <w:p w:rsidR="00D436A3" w:rsidRDefault="008C31BA">
      <w:pPr>
        <w:pStyle w:val="a3"/>
        <w:spacing w:before="139" w:line="261" w:lineRule="auto"/>
        <w:ind w:left="232" w:right="1634"/>
      </w:pPr>
      <w:r>
        <w:t xml:space="preserve">Whole blood samples from 10 healthy subjects were incubated with </w:t>
      </w:r>
      <w:r w:rsidR="004C24C6">
        <w:t>PROJECT 9</w:t>
      </w:r>
      <w:r>
        <w:t xml:space="preserve"> to a final concentration of 0 µg/mL, 1 µg/mL, 10 µg/mL, 100 µg/mL or 1000 µg/mL for 24 h at 37°C and under an atmosphere of 5% CO</w:t>
      </w:r>
      <w:r>
        <w:rPr>
          <w:vertAlign w:val="subscript"/>
        </w:rPr>
        <w:t>2</w:t>
      </w:r>
      <w:r>
        <w:t xml:space="preserve"> (Study </w:t>
      </w:r>
      <w:r w:rsidR="004C24C6">
        <w:t>Project 9</w:t>
      </w:r>
      <w:r>
        <w:t>-TX-5003). Alemtuzumab or a monoclonal antihuman CD28 antibody (ANC28.1/5D10) at a concentration of 1 µg/mL served as the positive control while bevacizumab at a concentration of 10 µg/mL or phosphate-buffered saline (PBS) served as the negative control. After incubation, the blood was centrifuged and the cytokine (IL-1β, IL-2, IL-4, IL-6, IL-8, IL-10, IFN- γ and TNF-α) concentrations in the plasma were recorded. An increased cytokine concentration 2 times or greater than the background (cytokine level in PBS), plus cytokine levels greater than the negative control (bevacizumab), in 3 or more donors at each concentration was considered to be positive.</w:t>
      </w:r>
    </w:p>
    <w:p w:rsidR="00D436A3" w:rsidRDefault="004C24C6">
      <w:pPr>
        <w:pStyle w:val="a3"/>
        <w:spacing w:before="112" w:line="261" w:lineRule="auto"/>
        <w:ind w:left="232" w:right="2224"/>
        <w:jc w:val="both"/>
      </w:pPr>
      <w:r>
        <w:t>PROJECT 9</w:t>
      </w:r>
      <w:r w:rsidR="008C31BA">
        <w:t xml:space="preserve"> at concentrations up to 1000 µg/mL had no discernable potential for cytokine release from whole human blood. Positive and negative control monoclonal antibodies yielded the expected results, confirming the assay validity.</w:t>
      </w:r>
    </w:p>
    <w:p w:rsidR="00D436A3" w:rsidRDefault="008C31BA">
      <w:pPr>
        <w:pStyle w:val="2"/>
        <w:tabs>
          <w:tab w:val="left" w:pos="1084"/>
        </w:tabs>
        <w:spacing w:before="97"/>
        <w:ind w:right="1696"/>
      </w:pPr>
      <w:bookmarkStart w:id="33" w:name="4.4_Integrated_Nonclinical_Overview_and_"/>
      <w:bookmarkStart w:id="34" w:name="_bookmark49"/>
      <w:bookmarkEnd w:id="33"/>
      <w:bookmarkEnd w:id="34"/>
      <w:r>
        <w:t>4.4</w:t>
      </w:r>
      <w:r>
        <w:tab/>
        <w:t>Integrated Nonclinical Overview and Conclusion: Potential Clinical Relevance</w:t>
      </w:r>
    </w:p>
    <w:p w:rsidR="00D436A3" w:rsidRDefault="008C31BA">
      <w:pPr>
        <w:pStyle w:val="3"/>
        <w:tabs>
          <w:tab w:val="left" w:pos="1084"/>
        </w:tabs>
        <w:ind w:left="232" w:firstLine="0"/>
      </w:pPr>
      <w:bookmarkStart w:id="35" w:name="4.4.1_Pharmacology"/>
      <w:bookmarkStart w:id="36" w:name="_bookmark50"/>
      <w:bookmarkEnd w:id="35"/>
      <w:bookmarkEnd w:id="36"/>
      <w:r>
        <w:t>4.4.1</w:t>
      </w:r>
      <w:r>
        <w:tab/>
        <w:t>Pharmacology</w:t>
      </w:r>
    </w:p>
    <w:p w:rsidR="00D436A3" w:rsidRDefault="004C24C6">
      <w:pPr>
        <w:pStyle w:val="a3"/>
        <w:spacing w:before="140" w:line="261" w:lineRule="auto"/>
        <w:ind w:left="232" w:right="1634"/>
      </w:pPr>
      <w:r>
        <w:t>PROJECT 9</w:t>
      </w:r>
      <w:r w:rsidR="008C31BA">
        <w:t xml:space="preserve"> bound with higher affinity to </w:t>
      </w:r>
      <w:proofErr w:type="spellStart"/>
      <w:r w:rsidR="008C31BA">
        <w:t>FcγRIIB</w:t>
      </w:r>
      <w:proofErr w:type="spellEnd"/>
      <w:r w:rsidR="008C31BA">
        <w:t xml:space="preserve"> and induced greater </w:t>
      </w:r>
      <w:proofErr w:type="spellStart"/>
      <w:r w:rsidR="008C31BA">
        <w:t>FcγRIIB</w:t>
      </w:r>
      <w:proofErr w:type="spellEnd"/>
      <w:r w:rsidR="008C31BA">
        <w:t xml:space="preserve"> ITIM phosphorylation in the presence of BCR stimulation compared to an anti-human Igβ antibody with the Fc domain of native IgG1. </w:t>
      </w:r>
      <w:r>
        <w:t>PROJECT 9</w:t>
      </w:r>
      <w:r w:rsidR="008C31BA">
        <w:t xml:space="preserve"> inhibited human primary B cell proliferation induced by BCR stimulation and also inhibited in vitro IgG2 antibody production using B cells isolated from SLE patients. These results indicate that </w:t>
      </w:r>
      <w:r>
        <w:t>PROJECT 9</w:t>
      </w:r>
      <w:r w:rsidR="008C31BA">
        <w:t xml:space="preserve"> has an effective inhibitory activity on B cell function in SLE patients via Fc engineering.</w:t>
      </w:r>
    </w:p>
    <w:p w:rsidR="00D436A3" w:rsidRDefault="004C24C6" w:rsidP="008C31BA">
      <w:pPr>
        <w:pStyle w:val="a3"/>
        <w:spacing w:before="115" w:line="261" w:lineRule="auto"/>
        <w:ind w:left="232" w:right="1691"/>
        <w:rPr>
          <w:sz w:val="20"/>
        </w:rPr>
      </w:pPr>
      <w:r>
        <w:t>PROJECT 9</w:t>
      </w:r>
      <w:r w:rsidR="008C31BA">
        <w:t xml:space="preserve"> bound to human and monkey Igβ, but not to rat or mouse Igβ, suggesting monkeys are the relevant species for </w:t>
      </w:r>
      <w:r>
        <w:t>PROJECT 9</w:t>
      </w:r>
      <w:r w:rsidR="008C31BA">
        <w:t xml:space="preserve"> pharmacology and toxicology studies. </w:t>
      </w:r>
      <w:r>
        <w:t>PROJECT 9</w:t>
      </w:r>
    </w:p>
    <w:p w:rsidR="00D436A3" w:rsidRDefault="008C31BA">
      <w:pPr>
        <w:pStyle w:val="a3"/>
        <w:spacing w:before="227" w:line="261" w:lineRule="auto"/>
        <w:ind w:left="232" w:right="1828"/>
      </w:pPr>
      <w:r>
        <w:t xml:space="preserve">showed concentration-dependent Igβ receptor occupancy in B cells from monkeys, healthy subjects and SLE patients. </w:t>
      </w:r>
      <w:r>
        <w:rPr>
          <w:spacing w:val="-3"/>
        </w:rPr>
        <w:t xml:space="preserve">In </w:t>
      </w:r>
      <w:r>
        <w:t xml:space="preserve">cynomolgus monkey </w:t>
      </w:r>
      <w:proofErr w:type="spellStart"/>
      <w:r>
        <w:t>TTx</w:t>
      </w:r>
      <w:proofErr w:type="spellEnd"/>
      <w:r>
        <w:t xml:space="preserve"> immunization models, </w:t>
      </w:r>
      <w:r w:rsidR="004C24C6">
        <w:t>PROJECT 9</w:t>
      </w:r>
      <w:r>
        <w:t xml:space="preserve"> prevented anti-</w:t>
      </w:r>
      <w:proofErr w:type="spellStart"/>
      <w:r>
        <w:t>TTx</w:t>
      </w:r>
      <w:proofErr w:type="spellEnd"/>
      <w:r>
        <w:t xml:space="preserve"> antibody production in a dose-related manner from 0.01 to 1 mg/kg and 1 mg/kg of </w:t>
      </w:r>
      <w:r w:rsidR="004C24C6">
        <w:t>PROJECT 9</w:t>
      </w:r>
      <w:r>
        <w:t xml:space="preserve"> was the dose exerting the maximum inhibitory effect on antibody production </w:t>
      </w:r>
      <w:r>
        <w:lastRenderedPageBreak/>
        <w:t xml:space="preserve">in monkeys.  At a dose of 1 mg/kg and above, a full Igβ receptor occupancy in B cells was observed. </w:t>
      </w:r>
      <w:r w:rsidR="004C24C6">
        <w:t>PROJECT 9</w:t>
      </w:r>
      <w:r>
        <w:t xml:space="preserve"> (10 mg/kg) significantly decreased anti-</w:t>
      </w:r>
      <w:proofErr w:type="spellStart"/>
      <w:r>
        <w:t>TTx</w:t>
      </w:r>
      <w:proofErr w:type="spellEnd"/>
      <w:r>
        <w:t xml:space="preserve"> IgG titer</w:t>
      </w:r>
      <w:r>
        <w:rPr>
          <w:spacing w:val="-10"/>
        </w:rPr>
        <w:t xml:space="preserve"> </w:t>
      </w:r>
      <w:r>
        <w:t>by</w:t>
      </w:r>
    </w:p>
    <w:p w:rsidR="00D436A3" w:rsidRDefault="008C31BA">
      <w:pPr>
        <w:pStyle w:val="a3"/>
        <w:spacing w:line="261" w:lineRule="auto"/>
        <w:ind w:left="232" w:right="1634"/>
      </w:pPr>
      <w:r>
        <w:t xml:space="preserve">71.3% whereas rituximab (10 mg/kg) decreased it by 20.3%. Rituximab completely depleted peripheral B cells while </w:t>
      </w:r>
      <w:r w:rsidR="004C24C6">
        <w:t>PROJECT 9</w:t>
      </w:r>
      <w:r>
        <w:t xml:space="preserve"> showed about an 80% reduction from day 14 to day</w:t>
      </w:r>
      <w:r>
        <w:rPr>
          <w:spacing w:val="-21"/>
        </w:rPr>
        <w:t xml:space="preserve"> </w:t>
      </w:r>
      <w:r>
        <w:t>28.</w:t>
      </w:r>
    </w:p>
    <w:p w:rsidR="00D436A3" w:rsidRDefault="008C31BA">
      <w:pPr>
        <w:pStyle w:val="a3"/>
        <w:spacing w:line="261" w:lineRule="auto"/>
        <w:ind w:left="232" w:right="1687"/>
      </w:pPr>
      <w:r>
        <w:t xml:space="preserve">Additionally, </w:t>
      </w:r>
      <w:r w:rsidR="004C24C6">
        <w:t>PROJECT 9</w:t>
      </w:r>
      <w:r>
        <w:t xml:space="preserve"> significantly inhibited anti-</w:t>
      </w:r>
      <w:proofErr w:type="spellStart"/>
      <w:r>
        <w:t>TTx</w:t>
      </w:r>
      <w:proofErr w:type="spellEnd"/>
      <w:r>
        <w:t xml:space="preserve"> IgG production induced by a secondary immunization with </w:t>
      </w:r>
      <w:proofErr w:type="spellStart"/>
      <w:r>
        <w:t>TTx</w:t>
      </w:r>
      <w:proofErr w:type="spellEnd"/>
      <w:r>
        <w:t xml:space="preserve"> antigen. These results indicate in vivo efficacy of </w:t>
      </w:r>
      <w:r w:rsidR="004C24C6">
        <w:t>PROJECT 9</w:t>
      </w:r>
      <w:r>
        <w:t xml:space="preserve"> on B cell activation including naive and memory B cells in cynomolgus monkey and suggest that </w:t>
      </w:r>
      <w:r w:rsidR="004C24C6">
        <w:t>PROJECT 9</w:t>
      </w:r>
      <w:r>
        <w:t xml:space="preserve"> with a full Igβ receptor occupancy is expected to inhibit B cells in SLE patients.</w:t>
      </w:r>
    </w:p>
    <w:p w:rsidR="00D436A3" w:rsidRDefault="008C31BA">
      <w:pPr>
        <w:pStyle w:val="a3"/>
        <w:spacing w:before="110" w:line="261" w:lineRule="auto"/>
        <w:ind w:left="232" w:right="1644"/>
      </w:pPr>
      <w:r>
        <w:t xml:space="preserve">The recovery of peripheral blood B cells after single intravenous administration of </w:t>
      </w:r>
      <w:r w:rsidR="004C24C6">
        <w:t>PROJECT 9</w:t>
      </w:r>
      <w:r>
        <w:t xml:space="preserve"> (1 to 10 mg/kg) was examined in cynomolgus monkeys. A decrease in peripheral blood B cell counts was noted from 1 h after dosing. Recovery from the decrease in B cell counts was initiated from day 7 and was completed on day 42 at the 1 mg/kg dose and on day 49</w:t>
      </w:r>
      <w:r>
        <w:rPr>
          <w:spacing w:val="-17"/>
        </w:rPr>
        <w:t xml:space="preserve"> </w:t>
      </w:r>
      <w:r>
        <w:t>at</w:t>
      </w:r>
    </w:p>
    <w:p w:rsidR="00D436A3" w:rsidRDefault="008C31BA">
      <w:pPr>
        <w:pStyle w:val="a3"/>
        <w:spacing w:line="261" w:lineRule="auto"/>
        <w:ind w:left="232" w:right="1924"/>
      </w:pPr>
      <w:r>
        <w:t xml:space="preserve">10 mg/kg. These results indicate that the effect of </w:t>
      </w:r>
      <w:r w:rsidR="004C24C6">
        <w:t>PROJECT 9</w:t>
      </w:r>
      <w:r>
        <w:t xml:space="preserve"> on B cell counts in peripheral blood is reversible. Serum </w:t>
      </w:r>
      <w:r w:rsidR="004C24C6">
        <w:t>PROJECT 9</w:t>
      </w:r>
      <w:r>
        <w:t xml:space="preserve"> concentration also decreased time-dependently, suggesting that B cell decrease and subsequent recovery are related to the concentration of </w:t>
      </w:r>
      <w:r w:rsidR="004C24C6">
        <w:t>PROJECT 9</w:t>
      </w:r>
      <w:r>
        <w:t xml:space="preserve"> in peripheral blood.</w:t>
      </w:r>
    </w:p>
    <w:p w:rsidR="00D436A3" w:rsidRDefault="004C24C6">
      <w:pPr>
        <w:pStyle w:val="a3"/>
        <w:spacing w:before="113" w:line="261" w:lineRule="auto"/>
        <w:ind w:left="232" w:right="2290"/>
      </w:pPr>
      <w:r>
        <w:t>PROJECT 9</w:t>
      </w:r>
      <w:r w:rsidR="008C31BA">
        <w:t xml:space="preserve"> did not show in vitro cytotoxic activity on human primary B cells, whereas rituximab decreased B cells, indicating </w:t>
      </w:r>
      <w:r>
        <w:t>PROJECT 9</w:t>
      </w:r>
      <w:r w:rsidR="008C31BA">
        <w:t xml:space="preserve"> does not have the potential for B cell cytotoxic activity, in contrast to rituximab.</w:t>
      </w:r>
    </w:p>
    <w:p w:rsidR="00D436A3" w:rsidRDefault="008C31BA">
      <w:pPr>
        <w:pStyle w:val="a3"/>
        <w:spacing w:before="118" w:line="261" w:lineRule="auto"/>
        <w:ind w:left="232" w:right="1850"/>
      </w:pPr>
      <w:r>
        <w:t xml:space="preserve">In conclusion, the data from non-clinical pharmacology studies indicate that </w:t>
      </w:r>
      <w:r w:rsidR="004C24C6">
        <w:t>PROJECT 9</w:t>
      </w:r>
      <w:r>
        <w:t xml:space="preserve"> may have therapeutic potential as a treatment of SLE, where B cells play a pathogenic role.</w:t>
      </w:r>
    </w:p>
    <w:p w:rsidR="00D436A3" w:rsidRDefault="008C31BA">
      <w:pPr>
        <w:pStyle w:val="3"/>
        <w:numPr>
          <w:ilvl w:val="2"/>
          <w:numId w:val="11"/>
        </w:numPr>
        <w:tabs>
          <w:tab w:val="left" w:pos="1084"/>
          <w:tab w:val="left" w:pos="1085"/>
        </w:tabs>
        <w:spacing w:before="123"/>
      </w:pPr>
      <w:bookmarkStart w:id="37" w:name="4.4.2_Toxicology"/>
      <w:bookmarkStart w:id="38" w:name="_bookmark51"/>
      <w:bookmarkEnd w:id="37"/>
      <w:bookmarkEnd w:id="38"/>
      <w:r>
        <w:t>Toxicology</w:t>
      </w:r>
    </w:p>
    <w:p w:rsidR="00D436A3" w:rsidRDefault="008C31BA">
      <w:pPr>
        <w:pStyle w:val="a4"/>
        <w:numPr>
          <w:ilvl w:val="3"/>
          <w:numId w:val="11"/>
        </w:numPr>
        <w:tabs>
          <w:tab w:val="left" w:pos="1085"/>
        </w:tabs>
        <w:spacing w:before="144"/>
        <w:rPr>
          <w:b/>
          <w:sz w:val="24"/>
        </w:rPr>
      </w:pPr>
      <w:bookmarkStart w:id="39" w:name="4.4.2.1_Rationale_for_Animal_Selection"/>
      <w:bookmarkStart w:id="40" w:name="_bookmark52"/>
      <w:bookmarkEnd w:id="39"/>
      <w:bookmarkEnd w:id="40"/>
      <w:r>
        <w:rPr>
          <w:b/>
          <w:sz w:val="24"/>
        </w:rPr>
        <w:t>Rationale for Animal</w:t>
      </w:r>
      <w:r>
        <w:rPr>
          <w:b/>
          <w:spacing w:val="-4"/>
          <w:sz w:val="24"/>
        </w:rPr>
        <w:t xml:space="preserve"> </w:t>
      </w:r>
      <w:r>
        <w:rPr>
          <w:b/>
          <w:sz w:val="24"/>
        </w:rPr>
        <w:t>Selection</w:t>
      </w:r>
    </w:p>
    <w:p w:rsidR="00D436A3" w:rsidRDefault="0073433E">
      <w:pPr>
        <w:pStyle w:val="a3"/>
        <w:spacing w:before="139" w:line="261" w:lineRule="auto"/>
        <w:ind w:left="232" w:right="1710"/>
      </w:pPr>
      <w:r>
        <w:pict>
          <v:rect id="_x0000_s1047" style="position:absolute;left:0;text-align:left;margin-left:326.45pt;margin-top:70.45pt;width:39.8pt;height:20pt;z-index:-251658752;mso-position-horizontal-relative:page" filled="f" strokecolor="blue" strokeweight="1pt">
            <w10:wrap anchorx="page"/>
          </v:rect>
        </w:pict>
      </w:r>
      <w:r w:rsidR="008C31BA">
        <w:t xml:space="preserve">The nonclinical safety profile of </w:t>
      </w:r>
      <w:r w:rsidR="004C24C6">
        <w:t>PROJECT 9</w:t>
      </w:r>
      <w:r w:rsidR="008C31BA">
        <w:t xml:space="preserve"> has been evaluated according to ICH S6(R1); and all findings were evaluated for relevance to human risk. </w:t>
      </w:r>
      <w:r w:rsidR="004C24C6">
        <w:t>PROJECT 9</w:t>
      </w:r>
      <w:r w:rsidR="008C31BA">
        <w:t xml:space="preserve"> binds to the Igβ from humans and cynomolgus monkeys, but did not bind to rodent Igβ. In addition, </w:t>
      </w:r>
      <w:r w:rsidR="004C24C6">
        <w:t>PROJECT 9</w:t>
      </w:r>
      <w:r w:rsidR="008C31BA">
        <w:t xml:space="preserve"> showed pharmacological activity in the cynomolgus monkey as evidenced by a drug- associated decrease in circulating CD20</w:t>
      </w:r>
      <w:r w:rsidR="008C31BA">
        <w:rPr>
          <w:vertAlign w:val="superscript"/>
        </w:rPr>
        <w:t>+</w:t>
      </w:r>
      <w:r w:rsidR="008C31BA">
        <w:t xml:space="preserve"> cells. Based on these findings the cynomolgus monkey was chosen as the toxicology test species and no toxicity studies were conducted in rodents.</w:t>
      </w:r>
    </w:p>
    <w:p w:rsidR="00D436A3" w:rsidRDefault="008C31BA">
      <w:pPr>
        <w:pStyle w:val="3"/>
        <w:numPr>
          <w:ilvl w:val="3"/>
          <w:numId w:val="11"/>
        </w:numPr>
        <w:tabs>
          <w:tab w:val="left" w:pos="1085"/>
        </w:tabs>
        <w:spacing w:before="119"/>
      </w:pPr>
      <w:bookmarkStart w:id="41" w:name="4.4.2.2_Exposure_Ratios"/>
      <w:bookmarkStart w:id="42" w:name="_bookmark53"/>
      <w:bookmarkEnd w:id="41"/>
      <w:bookmarkEnd w:id="42"/>
      <w:r>
        <w:t>Exposure</w:t>
      </w:r>
      <w:r>
        <w:rPr>
          <w:spacing w:val="-1"/>
        </w:rPr>
        <w:t xml:space="preserve"> </w:t>
      </w:r>
      <w:r>
        <w:t>Ratios</w:t>
      </w:r>
    </w:p>
    <w:p w:rsidR="00D436A3" w:rsidRDefault="008C31BA" w:rsidP="008C31BA">
      <w:pPr>
        <w:pStyle w:val="a3"/>
        <w:spacing w:before="140" w:line="261" w:lineRule="auto"/>
        <w:ind w:left="232" w:right="2491"/>
        <w:rPr>
          <w:sz w:val="20"/>
        </w:rPr>
      </w:pPr>
      <w:r>
        <w:t>Exposure ratios were calculated based on a simulated human exposure at a predicted efficacious dose [</w:t>
      </w:r>
      <w:hyperlink w:anchor="_bookmark54" w:history="1">
        <w:r>
          <w:t>Table 1</w:t>
        </w:r>
      </w:hyperlink>
      <w:r>
        <w:t>].</w:t>
      </w:r>
    </w:p>
    <w:p w:rsidR="00D436A3" w:rsidRDefault="008C31BA">
      <w:pPr>
        <w:pStyle w:val="3"/>
        <w:tabs>
          <w:tab w:val="left" w:pos="1651"/>
        </w:tabs>
        <w:spacing w:before="206"/>
        <w:ind w:left="1651" w:right="2273" w:hanging="1419"/>
      </w:pPr>
      <w:bookmarkStart w:id="43" w:name="_bookmark54"/>
      <w:bookmarkEnd w:id="43"/>
      <w:r>
        <w:t>Table</w:t>
      </w:r>
      <w:r>
        <w:rPr>
          <w:spacing w:val="-1"/>
        </w:rPr>
        <w:t xml:space="preserve"> </w:t>
      </w:r>
      <w:r>
        <w:t>1</w:t>
      </w:r>
      <w:r>
        <w:tab/>
        <w:t xml:space="preserve">Exposure Ratios Based on Animal </w:t>
      </w:r>
      <w:proofErr w:type="spellStart"/>
      <w:r>
        <w:t>C</w:t>
      </w:r>
      <w:r>
        <w:rPr>
          <w:vertAlign w:val="subscript"/>
        </w:rPr>
        <w:t>max</w:t>
      </w:r>
      <w:proofErr w:type="spellEnd"/>
      <w:r>
        <w:t xml:space="preserve">/AUC and Predicted Human </w:t>
      </w:r>
      <w:proofErr w:type="spellStart"/>
      <w:r>
        <w:t>C</w:t>
      </w:r>
      <w:r>
        <w:rPr>
          <w:vertAlign w:val="subscript"/>
        </w:rPr>
        <w:t>max</w:t>
      </w:r>
      <w:proofErr w:type="spellEnd"/>
      <w:r>
        <w:t>/AUC of</w:t>
      </w:r>
      <w:r>
        <w:rPr>
          <w:spacing w:val="-3"/>
        </w:rPr>
        <w:t xml:space="preserve"> </w:t>
      </w:r>
      <w:r w:rsidR="004C24C6">
        <w:t>PROJECT 9</w:t>
      </w:r>
    </w:p>
    <w:p w:rsidR="00D436A3" w:rsidRDefault="00D436A3">
      <w:pPr>
        <w:pStyle w:val="a3"/>
        <w:spacing w:before="5"/>
        <w:rPr>
          <w:b/>
          <w:sz w:val="5"/>
        </w:rPr>
      </w:pPr>
    </w:p>
    <w:tbl>
      <w:tblPr>
        <w:tblStyle w:val="TableNormal"/>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0"/>
        <w:gridCol w:w="900"/>
        <w:gridCol w:w="910"/>
        <w:gridCol w:w="708"/>
        <w:gridCol w:w="708"/>
        <w:gridCol w:w="710"/>
        <w:gridCol w:w="710"/>
        <w:gridCol w:w="842"/>
        <w:gridCol w:w="859"/>
        <w:gridCol w:w="708"/>
        <w:gridCol w:w="708"/>
      </w:tblGrid>
      <w:tr w:rsidR="00D436A3">
        <w:trPr>
          <w:trHeight w:val="309"/>
        </w:trPr>
        <w:tc>
          <w:tcPr>
            <w:tcW w:w="1450" w:type="dxa"/>
            <w:vMerge w:val="restart"/>
          </w:tcPr>
          <w:p w:rsidR="00D436A3" w:rsidRDefault="00D436A3">
            <w:pPr>
              <w:pStyle w:val="TableParagraph"/>
              <w:spacing w:before="5"/>
              <w:jc w:val="left"/>
              <w:rPr>
                <w:b/>
                <w:sz w:val="29"/>
              </w:rPr>
            </w:pPr>
          </w:p>
          <w:p w:rsidR="00D436A3" w:rsidRDefault="008C31BA">
            <w:pPr>
              <w:pStyle w:val="TableParagraph"/>
              <w:spacing w:line="280" w:lineRule="auto"/>
              <w:ind w:left="98" w:right="338"/>
              <w:jc w:val="left"/>
              <w:rPr>
                <w:b/>
                <w:sz w:val="20"/>
              </w:rPr>
            </w:pPr>
            <w:r>
              <w:rPr>
                <w:b/>
                <w:sz w:val="20"/>
              </w:rPr>
              <w:t xml:space="preserve">Study Type </w:t>
            </w:r>
            <w:r>
              <w:rPr>
                <w:b/>
                <w:sz w:val="20"/>
              </w:rPr>
              <w:lastRenderedPageBreak/>
              <w:t>(Study No.)</w:t>
            </w:r>
          </w:p>
        </w:tc>
        <w:tc>
          <w:tcPr>
            <w:tcW w:w="900" w:type="dxa"/>
            <w:vMerge w:val="restart"/>
          </w:tcPr>
          <w:p w:rsidR="00D436A3" w:rsidRDefault="00D436A3">
            <w:pPr>
              <w:pStyle w:val="TableParagraph"/>
              <w:spacing w:before="5"/>
              <w:jc w:val="left"/>
              <w:rPr>
                <w:b/>
                <w:sz w:val="29"/>
              </w:rPr>
            </w:pPr>
          </w:p>
          <w:p w:rsidR="00D436A3" w:rsidRDefault="008C31BA">
            <w:pPr>
              <w:pStyle w:val="TableParagraph"/>
              <w:spacing w:line="280" w:lineRule="auto"/>
              <w:ind w:left="112" w:firstLine="79"/>
              <w:jc w:val="left"/>
              <w:rPr>
                <w:b/>
                <w:sz w:val="20"/>
              </w:rPr>
            </w:pPr>
            <w:r>
              <w:rPr>
                <w:b/>
                <w:sz w:val="20"/>
              </w:rPr>
              <w:t xml:space="preserve">Dose† </w:t>
            </w:r>
            <w:r>
              <w:rPr>
                <w:b/>
                <w:w w:val="95"/>
                <w:sz w:val="20"/>
              </w:rPr>
              <w:lastRenderedPageBreak/>
              <w:t>(mg/kg)</w:t>
            </w:r>
          </w:p>
        </w:tc>
        <w:tc>
          <w:tcPr>
            <w:tcW w:w="910" w:type="dxa"/>
            <w:vMerge w:val="restart"/>
          </w:tcPr>
          <w:p w:rsidR="00D436A3" w:rsidRDefault="00D436A3">
            <w:pPr>
              <w:pStyle w:val="TableParagraph"/>
              <w:spacing w:before="1"/>
              <w:jc w:val="left"/>
              <w:rPr>
                <w:b/>
                <w:sz w:val="21"/>
              </w:rPr>
            </w:pPr>
          </w:p>
          <w:p w:rsidR="00D436A3" w:rsidRDefault="008C31BA">
            <w:pPr>
              <w:pStyle w:val="TableParagraph"/>
              <w:ind w:left="95" w:right="94" w:firstLine="4"/>
              <w:rPr>
                <w:b/>
                <w:sz w:val="20"/>
              </w:rPr>
            </w:pPr>
            <w:r>
              <w:rPr>
                <w:b/>
                <w:sz w:val="20"/>
              </w:rPr>
              <w:t xml:space="preserve">Sex/ No. of   </w:t>
            </w:r>
            <w:r>
              <w:rPr>
                <w:b/>
                <w:w w:val="95"/>
                <w:sz w:val="20"/>
              </w:rPr>
              <w:lastRenderedPageBreak/>
              <w:t>Animals</w:t>
            </w:r>
          </w:p>
        </w:tc>
        <w:tc>
          <w:tcPr>
            <w:tcW w:w="2836" w:type="dxa"/>
            <w:gridSpan w:val="4"/>
          </w:tcPr>
          <w:p w:rsidR="00D436A3" w:rsidRDefault="008C31BA">
            <w:pPr>
              <w:pStyle w:val="TableParagraph"/>
              <w:spacing w:before="38"/>
              <w:ind w:left="858"/>
              <w:jc w:val="left"/>
              <w:rPr>
                <w:b/>
                <w:sz w:val="20"/>
              </w:rPr>
            </w:pPr>
            <w:proofErr w:type="spellStart"/>
            <w:r>
              <w:rPr>
                <w:b/>
                <w:sz w:val="20"/>
              </w:rPr>
              <w:lastRenderedPageBreak/>
              <w:t>C</w:t>
            </w:r>
            <w:r>
              <w:rPr>
                <w:b/>
                <w:sz w:val="20"/>
                <w:vertAlign w:val="subscript"/>
              </w:rPr>
              <w:t>max</w:t>
            </w:r>
            <w:proofErr w:type="spellEnd"/>
            <w:r>
              <w:rPr>
                <w:b/>
                <w:sz w:val="20"/>
              </w:rPr>
              <w:t xml:space="preserve"> (µg/mL)</w:t>
            </w:r>
          </w:p>
        </w:tc>
        <w:tc>
          <w:tcPr>
            <w:tcW w:w="3117" w:type="dxa"/>
            <w:gridSpan w:val="4"/>
          </w:tcPr>
          <w:p w:rsidR="00D436A3" w:rsidRDefault="008C31BA">
            <w:pPr>
              <w:pStyle w:val="TableParagraph"/>
              <w:spacing w:before="38"/>
              <w:ind w:left="787"/>
              <w:jc w:val="left"/>
              <w:rPr>
                <w:b/>
                <w:sz w:val="20"/>
              </w:rPr>
            </w:pPr>
            <w:r>
              <w:rPr>
                <w:b/>
                <w:sz w:val="20"/>
              </w:rPr>
              <w:t>AUC</w:t>
            </w:r>
            <w:r>
              <w:rPr>
                <w:b/>
                <w:sz w:val="20"/>
                <w:vertAlign w:val="subscript"/>
              </w:rPr>
              <w:t>168</w:t>
            </w:r>
            <w:r>
              <w:rPr>
                <w:b/>
                <w:sz w:val="20"/>
              </w:rPr>
              <w:t xml:space="preserve"> (µ</w:t>
            </w:r>
            <w:proofErr w:type="spellStart"/>
            <w:r>
              <w:rPr>
                <w:b/>
                <w:sz w:val="20"/>
              </w:rPr>
              <w:t>g·h</w:t>
            </w:r>
            <w:proofErr w:type="spellEnd"/>
            <w:r>
              <w:rPr>
                <w:b/>
                <w:sz w:val="20"/>
              </w:rPr>
              <w:t>/mL)</w:t>
            </w:r>
          </w:p>
        </w:tc>
      </w:tr>
      <w:tr w:rsidR="00D436A3">
        <w:trPr>
          <w:trHeight w:val="539"/>
        </w:trPr>
        <w:tc>
          <w:tcPr>
            <w:tcW w:w="1450" w:type="dxa"/>
            <w:vMerge/>
            <w:tcBorders>
              <w:top w:val="nil"/>
            </w:tcBorders>
          </w:tcPr>
          <w:p w:rsidR="00D436A3" w:rsidRDefault="00D436A3">
            <w:pPr>
              <w:rPr>
                <w:sz w:val="2"/>
                <w:szCs w:val="2"/>
              </w:rPr>
            </w:pPr>
          </w:p>
        </w:tc>
        <w:tc>
          <w:tcPr>
            <w:tcW w:w="900" w:type="dxa"/>
            <w:vMerge/>
            <w:tcBorders>
              <w:top w:val="nil"/>
            </w:tcBorders>
          </w:tcPr>
          <w:p w:rsidR="00D436A3" w:rsidRDefault="00D436A3">
            <w:pPr>
              <w:rPr>
                <w:sz w:val="2"/>
                <w:szCs w:val="2"/>
              </w:rPr>
            </w:pPr>
          </w:p>
        </w:tc>
        <w:tc>
          <w:tcPr>
            <w:tcW w:w="910" w:type="dxa"/>
            <w:vMerge/>
            <w:tcBorders>
              <w:top w:val="nil"/>
            </w:tcBorders>
          </w:tcPr>
          <w:p w:rsidR="00D436A3" w:rsidRDefault="00D436A3">
            <w:pPr>
              <w:rPr>
                <w:sz w:val="2"/>
                <w:szCs w:val="2"/>
              </w:rPr>
            </w:pPr>
          </w:p>
        </w:tc>
        <w:tc>
          <w:tcPr>
            <w:tcW w:w="708" w:type="dxa"/>
            <w:vMerge w:val="restart"/>
          </w:tcPr>
          <w:p w:rsidR="00D436A3" w:rsidRDefault="00D436A3">
            <w:pPr>
              <w:pStyle w:val="TableParagraph"/>
              <w:spacing w:before="4"/>
              <w:jc w:val="left"/>
              <w:rPr>
                <w:b/>
                <w:sz w:val="17"/>
              </w:rPr>
            </w:pPr>
          </w:p>
          <w:p w:rsidR="00D436A3" w:rsidRDefault="008C31BA">
            <w:pPr>
              <w:pStyle w:val="TableParagraph"/>
              <w:ind w:left="147" w:right="119"/>
              <w:jc w:val="left"/>
              <w:rPr>
                <w:b/>
                <w:sz w:val="20"/>
              </w:rPr>
            </w:pPr>
            <w:r>
              <w:rPr>
                <w:b/>
                <w:sz w:val="20"/>
              </w:rPr>
              <w:t xml:space="preserve">First </w:t>
            </w:r>
            <w:r>
              <w:rPr>
                <w:b/>
                <w:sz w:val="20"/>
              </w:rPr>
              <w:lastRenderedPageBreak/>
              <w:t>Dose</w:t>
            </w:r>
          </w:p>
        </w:tc>
        <w:tc>
          <w:tcPr>
            <w:tcW w:w="708" w:type="dxa"/>
            <w:vMerge w:val="restart"/>
          </w:tcPr>
          <w:p w:rsidR="00D436A3" w:rsidRDefault="00D436A3">
            <w:pPr>
              <w:pStyle w:val="TableParagraph"/>
              <w:spacing w:before="4"/>
              <w:jc w:val="left"/>
              <w:rPr>
                <w:b/>
                <w:sz w:val="17"/>
              </w:rPr>
            </w:pPr>
          </w:p>
          <w:p w:rsidR="00D436A3" w:rsidRDefault="008C31BA">
            <w:pPr>
              <w:pStyle w:val="TableParagraph"/>
              <w:ind w:left="147" w:right="119" w:firstLine="16"/>
              <w:jc w:val="left"/>
              <w:rPr>
                <w:b/>
                <w:sz w:val="20"/>
              </w:rPr>
            </w:pPr>
            <w:r>
              <w:rPr>
                <w:b/>
                <w:sz w:val="20"/>
              </w:rPr>
              <w:t xml:space="preserve">Last </w:t>
            </w:r>
            <w:r>
              <w:rPr>
                <w:b/>
                <w:sz w:val="20"/>
              </w:rPr>
              <w:lastRenderedPageBreak/>
              <w:t>Dose</w:t>
            </w:r>
          </w:p>
        </w:tc>
        <w:tc>
          <w:tcPr>
            <w:tcW w:w="1420" w:type="dxa"/>
            <w:gridSpan w:val="2"/>
          </w:tcPr>
          <w:p w:rsidR="00D436A3" w:rsidRDefault="008C31BA">
            <w:pPr>
              <w:pStyle w:val="TableParagraph"/>
              <w:spacing w:before="38"/>
              <w:ind w:left="385" w:hanging="82"/>
              <w:jc w:val="left"/>
              <w:rPr>
                <w:b/>
                <w:sz w:val="20"/>
              </w:rPr>
            </w:pPr>
            <w:r>
              <w:rPr>
                <w:b/>
                <w:w w:val="95"/>
                <w:sz w:val="20"/>
              </w:rPr>
              <w:lastRenderedPageBreak/>
              <w:t xml:space="preserve">Exposure </w:t>
            </w:r>
            <w:r>
              <w:rPr>
                <w:b/>
                <w:sz w:val="20"/>
              </w:rPr>
              <w:t>Ratios‡</w:t>
            </w:r>
          </w:p>
        </w:tc>
        <w:tc>
          <w:tcPr>
            <w:tcW w:w="842" w:type="dxa"/>
            <w:vMerge w:val="restart"/>
          </w:tcPr>
          <w:p w:rsidR="00D436A3" w:rsidRDefault="00D436A3">
            <w:pPr>
              <w:pStyle w:val="TableParagraph"/>
              <w:spacing w:before="4"/>
              <w:jc w:val="left"/>
              <w:rPr>
                <w:b/>
                <w:sz w:val="17"/>
              </w:rPr>
            </w:pPr>
          </w:p>
          <w:p w:rsidR="00D436A3" w:rsidRDefault="008C31BA">
            <w:pPr>
              <w:pStyle w:val="TableParagraph"/>
              <w:ind w:left="215" w:right="185"/>
              <w:jc w:val="left"/>
              <w:rPr>
                <w:b/>
                <w:sz w:val="20"/>
              </w:rPr>
            </w:pPr>
            <w:r>
              <w:rPr>
                <w:b/>
                <w:sz w:val="20"/>
              </w:rPr>
              <w:t xml:space="preserve">First </w:t>
            </w:r>
            <w:r>
              <w:rPr>
                <w:b/>
                <w:sz w:val="20"/>
              </w:rPr>
              <w:lastRenderedPageBreak/>
              <w:t>Dose</w:t>
            </w:r>
          </w:p>
        </w:tc>
        <w:tc>
          <w:tcPr>
            <w:tcW w:w="859" w:type="dxa"/>
            <w:vMerge w:val="restart"/>
          </w:tcPr>
          <w:p w:rsidR="00D436A3" w:rsidRDefault="00D436A3">
            <w:pPr>
              <w:pStyle w:val="TableParagraph"/>
              <w:spacing w:before="4"/>
              <w:jc w:val="left"/>
              <w:rPr>
                <w:b/>
                <w:sz w:val="17"/>
              </w:rPr>
            </w:pPr>
          </w:p>
          <w:p w:rsidR="00D436A3" w:rsidRDefault="008C31BA">
            <w:pPr>
              <w:pStyle w:val="TableParagraph"/>
              <w:ind w:left="223" w:right="194" w:firstLine="16"/>
              <w:jc w:val="left"/>
              <w:rPr>
                <w:b/>
                <w:sz w:val="20"/>
              </w:rPr>
            </w:pPr>
            <w:r>
              <w:rPr>
                <w:b/>
                <w:sz w:val="20"/>
              </w:rPr>
              <w:t xml:space="preserve">Last </w:t>
            </w:r>
            <w:r>
              <w:rPr>
                <w:b/>
                <w:sz w:val="20"/>
              </w:rPr>
              <w:lastRenderedPageBreak/>
              <w:t>Dose</w:t>
            </w:r>
          </w:p>
        </w:tc>
        <w:tc>
          <w:tcPr>
            <w:tcW w:w="1416" w:type="dxa"/>
            <w:gridSpan w:val="2"/>
          </w:tcPr>
          <w:p w:rsidR="00D436A3" w:rsidRDefault="008C31BA">
            <w:pPr>
              <w:pStyle w:val="TableParagraph"/>
              <w:spacing w:before="38"/>
              <w:ind w:left="382" w:hanging="82"/>
              <w:jc w:val="left"/>
              <w:rPr>
                <w:b/>
                <w:sz w:val="20"/>
              </w:rPr>
            </w:pPr>
            <w:r>
              <w:rPr>
                <w:b/>
                <w:w w:val="95"/>
                <w:sz w:val="20"/>
              </w:rPr>
              <w:lastRenderedPageBreak/>
              <w:t xml:space="preserve">Exposure </w:t>
            </w:r>
            <w:r>
              <w:rPr>
                <w:b/>
                <w:sz w:val="20"/>
              </w:rPr>
              <w:t>Ratios‡</w:t>
            </w:r>
          </w:p>
        </w:tc>
      </w:tr>
      <w:tr w:rsidR="00D436A3">
        <w:trPr>
          <w:trHeight w:val="311"/>
        </w:trPr>
        <w:tc>
          <w:tcPr>
            <w:tcW w:w="1450" w:type="dxa"/>
            <w:vMerge/>
            <w:tcBorders>
              <w:top w:val="nil"/>
            </w:tcBorders>
          </w:tcPr>
          <w:p w:rsidR="00D436A3" w:rsidRDefault="00D436A3">
            <w:pPr>
              <w:rPr>
                <w:sz w:val="2"/>
                <w:szCs w:val="2"/>
              </w:rPr>
            </w:pPr>
          </w:p>
        </w:tc>
        <w:tc>
          <w:tcPr>
            <w:tcW w:w="900" w:type="dxa"/>
            <w:vMerge/>
            <w:tcBorders>
              <w:top w:val="nil"/>
            </w:tcBorders>
          </w:tcPr>
          <w:p w:rsidR="00D436A3" w:rsidRDefault="00D436A3">
            <w:pPr>
              <w:rPr>
                <w:sz w:val="2"/>
                <w:szCs w:val="2"/>
              </w:rPr>
            </w:pPr>
          </w:p>
        </w:tc>
        <w:tc>
          <w:tcPr>
            <w:tcW w:w="910" w:type="dxa"/>
            <w:vMerge/>
            <w:tcBorders>
              <w:top w:val="nil"/>
            </w:tcBorders>
          </w:tcPr>
          <w:p w:rsidR="00D436A3" w:rsidRDefault="00D436A3">
            <w:pPr>
              <w:rPr>
                <w:sz w:val="2"/>
                <w:szCs w:val="2"/>
              </w:rPr>
            </w:pPr>
          </w:p>
        </w:tc>
        <w:tc>
          <w:tcPr>
            <w:tcW w:w="708" w:type="dxa"/>
            <w:vMerge/>
            <w:tcBorders>
              <w:top w:val="nil"/>
            </w:tcBorders>
          </w:tcPr>
          <w:p w:rsidR="00D436A3" w:rsidRDefault="00D436A3">
            <w:pPr>
              <w:rPr>
                <w:sz w:val="2"/>
                <w:szCs w:val="2"/>
              </w:rPr>
            </w:pPr>
          </w:p>
        </w:tc>
        <w:tc>
          <w:tcPr>
            <w:tcW w:w="708" w:type="dxa"/>
            <w:vMerge/>
            <w:tcBorders>
              <w:top w:val="nil"/>
            </w:tcBorders>
          </w:tcPr>
          <w:p w:rsidR="00D436A3" w:rsidRDefault="00D436A3">
            <w:pPr>
              <w:rPr>
                <w:sz w:val="2"/>
                <w:szCs w:val="2"/>
              </w:rPr>
            </w:pPr>
          </w:p>
        </w:tc>
        <w:tc>
          <w:tcPr>
            <w:tcW w:w="710" w:type="dxa"/>
          </w:tcPr>
          <w:p w:rsidR="00D436A3" w:rsidRDefault="008C31BA">
            <w:pPr>
              <w:pStyle w:val="TableParagraph"/>
              <w:spacing w:before="41"/>
              <w:ind w:left="127" w:right="122"/>
              <w:rPr>
                <w:b/>
                <w:sz w:val="20"/>
              </w:rPr>
            </w:pPr>
            <w:r>
              <w:rPr>
                <w:b/>
                <w:sz w:val="20"/>
              </w:rPr>
              <w:t>First</w:t>
            </w:r>
          </w:p>
        </w:tc>
        <w:tc>
          <w:tcPr>
            <w:tcW w:w="710" w:type="dxa"/>
          </w:tcPr>
          <w:p w:rsidR="00D436A3" w:rsidRDefault="008C31BA">
            <w:pPr>
              <w:pStyle w:val="TableParagraph"/>
              <w:spacing w:before="41"/>
              <w:ind w:left="127" w:right="122"/>
              <w:rPr>
                <w:b/>
                <w:sz w:val="20"/>
              </w:rPr>
            </w:pPr>
            <w:r>
              <w:rPr>
                <w:b/>
                <w:sz w:val="20"/>
              </w:rPr>
              <w:t>Last</w:t>
            </w:r>
          </w:p>
        </w:tc>
        <w:tc>
          <w:tcPr>
            <w:tcW w:w="842" w:type="dxa"/>
            <w:vMerge/>
            <w:tcBorders>
              <w:top w:val="nil"/>
            </w:tcBorders>
          </w:tcPr>
          <w:p w:rsidR="00D436A3" w:rsidRDefault="00D436A3">
            <w:pPr>
              <w:rPr>
                <w:sz w:val="2"/>
                <w:szCs w:val="2"/>
              </w:rPr>
            </w:pPr>
          </w:p>
        </w:tc>
        <w:tc>
          <w:tcPr>
            <w:tcW w:w="859" w:type="dxa"/>
            <w:vMerge/>
            <w:tcBorders>
              <w:top w:val="nil"/>
            </w:tcBorders>
          </w:tcPr>
          <w:p w:rsidR="00D436A3" w:rsidRDefault="00D436A3">
            <w:pPr>
              <w:rPr>
                <w:sz w:val="2"/>
                <w:szCs w:val="2"/>
              </w:rPr>
            </w:pPr>
          </w:p>
        </w:tc>
        <w:tc>
          <w:tcPr>
            <w:tcW w:w="708" w:type="dxa"/>
          </w:tcPr>
          <w:p w:rsidR="00D436A3" w:rsidRDefault="008C31BA">
            <w:pPr>
              <w:pStyle w:val="TableParagraph"/>
              <w:spacing w:before="41"/>
              <w:ind w:left="126" w:right="121"/>
              <w:rPr>
                <w:b/>
                <w:sz w:val="20"/>
              </w:rPr>
            </w:pPr>
            <w:r>
              <w:rPr>
                <w:b/>
                <w:sz w:val="20"/>
              </w:rPr>
              <w:t>First</w:t>
            </w:r>
          </w:p>
        </w:tc>
        <w:tc>
          <w:tcPr>
            <w:tcW w:w="708" w:type="dxa"/>
          </w:tcPr>
          <w:p w:rsidR="00D436A3" w:rsidRDefault="008C31BA">
            <w:pPr>
              <w:pStyle w:val="TableParagraph"/>
              <w:spacing w:before="41"/>
              <w:ind w:right="156"/>
              <w:jc w:val="right"/>
              <w:rPr>
                <w:b/>
                <w:sz w:val="20"/>
              </w:rPr>
            </w:pPr>
            <w:r>
              <w:rPr>
                <w:b/>
                <w:w w:val="95"/>
                <w:sz w:val="20"/>
              </w:rPr>
              <w:t>Last</w:t>
            </w:r>
          </w:p>
        </w:tc>
      </w:tr>
      <w:tr w:rsidR="00D436A3">
        <w:trPr>
          <w:trHeight w:val="285"/>
        </w:trPr>
        <w:tc>
          <w:tcPr>
            <w:tcW w:w="1450" w:type="dxa"/>
            <w:vMerge w:val="restart"/>
          </w:tcPr>
          <w:p w:rsidR="00D436A3" w:rsidRDefault="00D436A3">
            <w:pPr>
              <w:pStyle w:val="TableParagraph"/>
              <w:jc w:val="left"/>
              <w:rPr>
                <w:b/>
                <w:sz w:val="20"/>
              </w:rPr>
            </w:pPr>
          </w:p>
          <w:p w:rsidR="00D436A3" w:rsidRDefault="00D436A3">
            <w:pPr>
              <w:pStyle w:val="TableParagraph"/>
              <w:jc w:val="left"/>
              <w:rPr>
                <w:b/>
                <w:sz w:val="20"/>
              </w:rPr>
            </w:pPr>
          </w:p>
          <w:p w:rsidR="00D436A3" w:rsidRDefault="00D436A3">
            <w:pPr>
              <w:pStyle w:val="TableParagraph"/>
              <w:jc w:val="left"/>
              <w:rPr>
                <w:b/>
                <w:sz w:val="20"/>
              </w:rPr>
            </w:pPr>
          </w:p>
          <w:p w:rsidR="00D436A3" w:rsidRDefault="008C31BA">
            <w:pPr>
              <w:pStyle w:val="TableParagraph"/>
              <w:spacing w:before="154"/>
              <w:ind w:left="98" w:right="580"/>
              <w:jc w:val="left"/>
              <w:rPr>
                <w:sz w:val="18"/>
              </w:rPr>
            </w:pPr>
            <w:r>
              <w:rPr>
                <w:sz w:val="18"/>
              </w:rPr>
              <w:t>Monkey/ 4-week, iv</w:t>
            </w:r>
          </w:p>
          <w:p w:rsidR="00D436A3" w:rsidRDefault="008C31BA">
            <w:pPr>
              <w:pStyle w:val="TableParagraph"/>
              <w:spacing w:before="40"/>
              <w:ind w:left="98"/>
              <w:jc w:val="left"/>
              <w:rPr>
                <w:sz w:val="18"/>
              </w:rPr>
            </w:pPr>
            <w:r>
              <w:rPr>
                <w:sz w:val="18"/>
              </w:rPr>
              <w:t>(</w:t>
            </w:r>
            <w:r w:rsidR="004C24C6">
              <w:rPr>
                <w:sz w:val="18"/>
              </w:rPr>
              <w:t>Project 9</w:t>
            </w:r>
            <w:r>
              <w:rPr>
                <w:sz w:val="18"/>
              </w:rPr>
              <w:t>-TX-0001)</w:t>
            </w:r>
          </w:p>
        </w:tc>
        <w:tc>
          <w:tcPr>
            <w:tcW w:w="900" w:type="dxa"/>
            <w:vMerge w:val="restart"/>
          </w:tcPr>
          <w:p w:rsidR="00D436A3" w:rsidRDefault="00D436A3">
            <w:pPr>
              <w:pStyle w:val="TableParagraph"/>
              <w:spacing w:before="9"/>
              <w:jc w:val="left"/>
              <w:rPr>
                <w:b/>
                <w:sz w:val="15"/>
              </w:rPr>
            </w:pPr>
          </w:p>
          <w:p w:rsidR="00D436A3" w:rsidRDefault="008C31BA">
            <w:pPr>
              <w:pStyle w:val="TableParagraph"/>
              <w:ind w:left="314" w:right="311"/>
              <w:rPr>
                <w:sz w:val="18"/>
              </w:rPr>
            </w:pPr>
            <w:r>
              <w:rPr>
                <w:sz w:val="18"/>
              </w:rPr>
              <w:t>0.3</w:t>
            </w:r>
          </w:p>
        </w:tc>
        <w:tc>
          <w:tcPr>
            <w:tcW w:w="910" w:type="dxa"/>
          </w:tcPr>
          <w:p w:rsidR="00D436A3" w:rsidRDefault="008C31BA">
            <w:pPr>
              <w:pStyle w:val="TableParagraph"/>
              <w:spacing w:before="33"/>
              <w:ind w:left="301"/>
              <w:jc w:val="left"/>
              <w:rPr>
                <w:sz w:val="18"/>
              </w:rPr>
            </w:pPr>
            <w:r>
              <w:rPr>
                <w:sz w:val="18"/>
              </w:rPr>
              <w:t>M/4</w:t>
            </w:r>
          </w:p>
        </w:tc>
        <w:tc>
          <w:tcPr>
            <w:tcW w:w="708" w:type="dxa"/>
          </w:tcPr>
          <w:p w:rsidR="00D436A3" w:rsidRDefault="008C31BA">
            <w:pPr>
              <w:pStyle w:val="TableParagraph"/>
              <w:spacing w:before="33"/>
              <w:ind w:left="195"/>
              <w:jc w:val="left"/>
              <w:rPr>
                <w:sz w:val="18"/>
              </w:rPr>
            </w:pPr>
            <w:r>
              <w:rPr>
                <w:sz w:val="18"/>
              </w:rPr>
              <w:t>7.65</w:t>
            </w:r>
          </w:p>
        </w:tc>
        <w:tc>
          <w:tcPr>
            <w:tcW w:w="708" w:type="dxa"/>
          </w:tcPr>
          <w:p w:rsidR="00D436A3" w:rsidRDefault="008C31BA">
            <w:pPr>
              <w:pStyle w:val="TableParagraph"/>
              <w:spacing w:before="33"/>
              <w:ind w:left="126" w:right="117"/>
              <w:rPr>
                <w:sz w:val="18"/>
              </w:rPr>
            </w:pPr>
            <w:r>
              <w:rPr>
                <w:sz w:val="18"/>
              </w:rPr>
              <w:t>2.99</w:t>
            </w:r>
          </w:p>
        </w:tc>
        <w:tc>
          <w:tcPr>
            <w:tcW w:w="710" w:type="dxa"/>
          </w:tcPr>
          <w:p w:rsidR="00D436A3" w:rsidRDefault="008C31BA">
            <w:pPr>
              <w:pStyle w:val="TableParagraph"/>
              <w:spacing w:before="33"/>
              <w:ind w:left="127" w:right="117"/>
              <w:rPr>
                <w:sz w:val="18"/>
              </w:rPr>
            </w:pPr>
            <w:r>
              <w:rPr>
                <w:sz w:val="18"/>
              </w:rPr>
              <w:t>0.7</w:t>
            </w:r>
          </w:p>
        </w:tc>
        <w:tc>
          <w:tcPr>
            <w:tcW w:w="710" w:type="dxa"/>
          </w:tcPr>
          <w:p w:rsidR="00D436A3" w:rsidRDefault="008C31BA">
            <w:pPr>
              <w:pStyle w:val="TableParagraph"/>
              <w:spacing w:before="33"/>
              <w:ind w:left="127" w:right="121"/>
              <w:rPr>
                <w:sz w:val="18"/>
              </w:rPr>
            </w:pPr>
            <w:r>
              <w:rPr>
                <w:sz w:val="18"/>
              </w:rPr>
              <w:t>0.3</w:t>
            </w:r>
          </w:p>
        </w:tc>
        <w:tc>
          <w:tcPr>
            <w:tcW w:w="842" w:type="dxa"/>
          </w:tcPr>
          <w:p w:rsidR="00D436A3" w:rsidRDefault="008C31BA">
            <w:pPr>
              <w:pStyle w:val="TableParagraph"/>
              <w:spacing w:before="33"/>
              <w:ind w:left="175" w:right="163"/>
              <w:rPr>
                <w:sz w:val="18"/>
              </w:rPr>
            </w:pPr>
            <w:r>
              <w:rPr>
                <w:sz w:val="18"/>
              </w:rPr>
              <w:t>626</w:t>
            </w:r>
          </w:p>
        </w:tc>
        <w:tc>
          <w:tcPr>
            <w:tcW w:w="859" w:type="dxa"/>
          </w:tcPr>
          <w:p w:rsidR="00D436A3" w:rsidRDefault="008C31BA">
            <w:pPr>
              <w:pStyle w:val="TableParagraph"/>
              <w:spacing w:before="33"/>
              <w:ind w:left="139" w:right="129"/>
              <w:rPr>
                <w:sz w:val="18"/>
              </w:rPr>
            </w:pPr>
            <w:r>
              <w:rPr>
                <w:sz w:val="18"/>
              </w:rPr>
              <w:t>135</w:t>
            </w:r>
          </w:p>
        </w:tc>
        <w:tc>
          <w:tcPr>
            <w:tcW w:w="708" w:type="dxa"/>
          </w:tcPr>
          <w:p w:rsidR="00D436A3" w:rsidRDefault="008C31BA">
            <w:pPr>
              <w:pStyle w:val="TableParagraph"/>
              <w:spacing w:before="33"/>
              <w:ind w:left="126" w:right="121"/>
              <w:rPr>
                <w:sz w:val="18"/>
              </w:rPr>
            </w:pPr>
            <w:r>
              <w:rPr>
                <w:sz w:val="18"/>
              </w:rPr>
              <w:t>1.3</w:t>
            </w:r>
          </w:p>
        </w:tc>
        <w:tc>
          <w:tcPr>
            <w:tcW w:w="708" w:type="dxa"/>
          </w:tcPr>
          <w:p w:rsidR="00D436A3" w:rsidRDefault="008C31BA">
            <w:pPr>
              <w:pStyle w:val="TableParagraph"/>
              <w:spacing w:before="33"/>
              <w:ind w:right="230"/>
              <w:jc w:val="right"/>
              <w:rPr>
                <w:sz w:val="18"/>
              </w:rPr>
            </w:pPr>
            <w:r>
              <w:rPr>
                <w:sz w:val="18"/>
              </w:rPr>
              <w:t>0.3</w:t>
            </w:r>
          </w:p>
        </w:tc>
      </w:tr>
      <w:tr w:rsidR="00D436A3">
        <w:trPr>
          <w:trHeight w:val="287"/>
        </w:trPr>
        <w:tc>
          <w:tcPr>
            <w:tcW w:w="1450" w:type="dxa"/>
            <w:vMerge/>
            <w:tcBorders>
              <w:top w:val="nil"/>
            </w:tcBorders>
          </w:tcPr>
          <w:p w:rsidR="00D436A3" w:rsidRDefault="00D436A3">
            <w:pPr>
              <w:rPr>
                <w:sz w:val="2"/>
                <w:szCs w:val="2"/>
              </w:rPr>
            </w:pPr>
          </w:p>
        </w:tc>
        <w:tc>
          <w:tcPr>
            <w:tcW w:w="900" w:type="dxa"/>
            <w:vMerge/>
            <w:tcBorders>
              <w:top w:val="nil"/>
            </w:tcBorders>
          </w:tcPr>
          <w:p w:rsidR="00D436A3" w:rsidRDefault="00D436A3">
            <w:pPr>
              <w:rPr>
                <w:sz w:val="2"/>
                <w:szCs w:val="2"/>
              </w:rPr>
            </w:pPr>
          </w:p>
        </w:tc>
        <w:tc>
          <w:tcPr>
            <w:tcW w:w="910" w:type="dxa"/>
          </w:tcPr>
          <w:p w:rsidR="00D436A3" w:rsidRDefault="008C31BA">
            <w:pPr>
              <w:pStyle w:val="TableParagraph"/>
              <w:spacing w:before="35"/>
              <w:ind w:left="330"/>
              <w:jc w:val="left"/>
              <w:rPr>
                <w:sz w:val="18"/>
              </w:rPr>
            </w:pPr>
            <w:r>
              <w:rPr>
                <w:sz w:val="18"/>
              </w:rPr>
              <w:t>F/4</w:t>
            </w:r>
          </w:p>
        </w:tc>
        <w:tc>
          <w:tcPr>
            <w:tcW w:w="708" w:type="dxa"/>
          </w:tcPr>
          <w:p w:rsidR="00D436A3" w:rsidRDefault="008C31BA">
            <w:pPr>
              <w:pStyle w:val="TableParagraph"/>
              <w:spacing w:before="35"/>
              <w:ind w:left="195"/>
              <w:jc w:val="left"/>
              <w:rPr>
                <w:sz w:val="18"/>
              </w:rPr>
            </w:pPr>
            <w:r>
              <w:rPr>
                <w:sz w:val="18"/>
              </w:rPr>
              <w:t>7.99</w:t>
            </w:r>
          </w:p>
        </w:tc>
        <w:tc>
          <w:tcPr>
            <w:tcW w:w="708" w:type="dxa"/>
          </w:tcPr>
          <w:p w:rsidR="00D436A3" w:rsidRDefault="008C31BA">
            <w:pPr>
              <w:pStyle w:val="TableParagraph"/>
              <w:spacing w:before="35"/>
              <w:ind w:left="126" w:right="117"/>
              <w:rPr>
                <w:sz w:val="18"/>
              </w:rPr>
            </w:pPr>
            <w:r>
              <w:rPr>
                <w:sz w:val="18"/>
              </w:rPr>
              <w:t>10.1</w:t>
            </w:r>
          </w:p>
        </w:tc>
        <w:tc>
          <w:tcPr>
            <w:tcW w:w="710" w:type="dxa"/>
          </w:tcPr>
          <w:p w:rsidR="00D436A3" w:rsidRDefault="008C31BA">
            <w:pPr>
              <w:pStyle w:val="TableParagraph"/>
              <w:spacing w:before="35"/>
              <w:ind w:left="127" w:right="117"/>
              <w:rPr>
                <w:sz w:val="18"/>
              </w:rPr>
            </w:pPr>
            <w:r>
              <w:rPr>
                <w:sz w:val="18"/>
              </w:rPr>
              <w:t>0.8</w:t>
            </w:r>
          </w:p>
        </w:tc>
        <w:tc>
          <w:tcPr>
            <w:tcW w:w="710" w:type="dxa"/>
          </w:tcPr>
          <w:p w:rsidR="00D436A3" w:rsidRDefault="008C31BA">
            <w:pPr>
              <w:pStyle w:val="TableParagraph"/>
              <w:spacing w:before="35"/>
              <w:ind w:left="127" w:right="121"/>
              <w:rPr>
                <w:sz w:val="18"/>
              </w:rPr>
            </w:pPr>
            <w:r>
              <w:rPr>
                <w:sz w:val="18"/>
              </w:rPr>
              <w:t>1.0</w:t>
            </w:r>
          </w:p>
        </w:tc>
        <w:tc>
          <w:tcPr>
            <w:tcW w:w="842" w:type="dxa"/>
          </w:tcPr>
          <w:p w:rsidR="00D436A3" w:rsidRDefault="008C31BA">
            <w:pPr>
              <w:pStyle w:val="TableParagraph"/>
              <w:spacing w:before="35"/>
              <w:ind w:left="175" w:right="163"/>
              <w:rPr>
                <w:sz w:val="18"/>
              </w:rPr>
            </w:pPr>
            <w:r>
              <w:rPr>
                <w:sz w:val="18"/>
              </w:rPr>
              <w:t>704</w:t>
            </w:r>
          </w:p>
        </w:tc>
        <w:tc>
          <w:tcPr>
            <w:tcW w:w="859" w:type="dxa"/>
          </w:tcPr>
          <w:p w:rsidR="00D436A3" w:rsidRDefault="008C31BA">
            <w:pPr>
              <w:pStyle w:val="TableParagraph"/>
              <w:spacing w:before="35"/>
              <w:ind w:left="137" w:right="130"/>
              <w:rPr>
                <w:sz w:val="18"/>
              </w:rPr>
            </w:pPr>
            <w:r>
              <w:rPr>
                <w:sz w:val="18"/>
              </w:rPr>
              <w:t>1010</w:t>
            </w:r>
          </w:p>
        </w:tc>
        <w:tc>
          <w:tcPr>
            <w:tcW w:w="708" w:type="dxa"/>
          </w:tcPr>
          <w:p w:rsidR="00D436A3" w:rsidRDefault="008C31BA">
            <w:pPr>
              <w:pStyle w:val="TableParagraph"/>
              <w:spacing w:before="35"/>
              <w:ind w:left="126" w:right="121"/>
              <w:rPr>
                <w:sz w:val="18"/>
              </w:rPr>
            </w:pPr>
            <w:r>
              <w:rPr>
                <w:sz w:val="18"/>
              </w:rPr>
              <w:t>1.5</w:t>
            </w:r>
          </w:p>
        </w:tc>
        <w:tc>
          <w:tcPr>
            <w:tcW w:w="708" w:type="dxa"/>
          </w:tcPr>
          <w:p w:rsidR="00D436A3" w:rsidRDefault="008C31BA">
            <w:pPr>
              <w:pStyle w:val="TableParagraph"/>
              <w:spacing w:before="35"/>
              <w:ind w:right="230"/>
              <w:jc w:val="right"/>
              <w:rPr>
                <w:sz w:val="18"/>
              </w:rPr>
            </w:pPr>
            <w:r>
              <w:rPr>
                <w:sz w:val="18"/>
              </w:rPr>
              <w:t>2.2</w:t>
            </w:r>
          </w:p>
        </w:tc>
      </w:tr>
      <w:tr w:rsidR="00D436A3">
        <w:trPr>
          <w:trHeight w:val="287"/>
        </w:trPr>
        <w:tc>
          <w:tcPr>
            <w:tcW w:w="1450" w:type="dxa"/>
            <w:vMerge/>
            <w:tcBorders>
              <w:top w:val="nil"/>
            </w:tcBorders>
          </w:tcPr>
          <w:p w:rsidR="00D436A3" w:rsidRDefault="00D436A3">
            <w:pPr>
              <w:rPr>
                <w:sz w:val="2"/>
                <w:szCs w:val="2"/>
              </w:rPr>
            </w:pPr>
          </w:p>
        </w:tc>
        <w:tc>
          <w:tcPr>
            <w:tcW w:w="900" w:type="dxa"/>
            <w:vMerge w:val="restart"/>
          </w:tcPr>
          <w:p w:rsidR="00D436A3" w:rsidRDefault="00D436A3">
            <w:pPr>
              <w:pStyle w:val="TableParagraph"/>
              <w:spacing w:before="9"/>
              <w:jc w:val="left"/>
              <w:rPr>
                <w:b/>
                <w:sz w:val="15"/>
              </w:rPr>
            </w:pPr>
          </w:p>
          <w:p w:rsidR="00D436A3" w:rsidRDefault="008C31BA">
            <w:pPr>
              <w:pStyle w:val="TableParagraph"/>
              <w:rPr>
                <w:sz w:val="18"/>
              </w:rPr>
            </w:pPr>
            <w:r>
              <w:rPr>
                <w:sz w:val="18"/>
              </w:rPr>
              <w:t>1</w:t>
            </w:r>
          </w:p>
        </w:tc>
        <w:tc>
          <w:tcPr>
            <w:tcW w:w="910" w:type="dxa"/>
          </w:tcPr>
          <w:p w:rsidR="00D436A3" w:rsidRDefault="008C31BA">
            <w:pPr>
              <w:pStyle w:val="TableParagraph"/>
              <w:spacing w:before="33"/>
              <w:ind w:left="301"/>
              <w:jc w:val="left"/>
              <w:rPr>
                <w:sz w:val="18"/>
              </w:rPr>
            </w:pPr>
            <w:r>
              <w:rPr>
                <w:sz w:val="18"/>
              </w:rPr>
              <w:t>M/4</w:t>
            </w:r>
          </w:p>
        </w:tc>
        <w:tc>
          <w:tcPr>
            <w:tcW w:w="708" w:type="dxa"/>
          </w:tcPr>
          <w:p w:rsidR="00D436A3" w:rsidRDefault="008C31BA">
            <w:pPr>
              <w:pStyle w:val="TableParagraph"/>
              <w:spacing w:before="33"/>
              <w:ind w:left="195"/>
              <w:jc w:val="left"/>
              <w:rPr>
                <w:sz w:val="18"/>
              </w:rPr>
            </w:pPr>
            <w:r>
              <w:rPr>
                <w:sz w:val="18"/>
              </w:rPr>
              <w:t>25.3</w:t>
            </w:r>
          </w:p>
        </w:tc>
        <w:tc>
          <w:tcPr>
            <w:tcW w:w="708" w:type="dxa"/>
          </w:tcPr>
          <w:p w:rsidR="00D436A3" w:rsidRDefault="008C31BA">
            <w:pPr>
              <w:pStyle w:val="TableParagraph"/>
              <w:spacing w:before="33"/>
              <w:ind w:left="126" w:right="117"/>
              <w:rPr>
                <w:sz w:val="18"/>
              </w:rPr>
            </w:pPr>
            <w:r>
              <w:rPr>
                <w:sz w:val="18"/>
              </w:rPr>
              <w:t>27.4</w:t>
            </w:r>
          </w:p>
        </w:tc>
        <w:tc>
          <w:tcPr>
            <w:tcW w:w="710" w:type="dxa"/>
          </w:tcPr>
          <w:p w:rsidR="00D436A3" w:rsidRDefault="008C31BA">
            <w:pPr>
              <w:pStyle w:val="TableParagraph"/>
              <w:spacing w:before="33"/>
              <w:ind w:left="127" w:right="117"/>
              <w:rPr>
                <w:sz w:val="18"/>
              </w:rPr>
            </w:pPr>
            <w:r>
              <w:rPr>
                <w:sz w:val="18"/>
              </w:rPr>
              <w:t>2.5</w:t>
            </w:r>
          </w:p>
        </w:tc>
        <w:tc>
          <w:tcPr>
            <w:tcW w:w="710" w:type="dxa"/>
          </w:tcPr>
          <w:p w:rsidR="00D436A3" w:rsidRDefault="008C31BA">
            <w:pPr>
              <w:pStyle w:val="TableParagraph"/>
              <w:spacing w:before="33"/>
              <w:ind w:left="127" w:right="121"/>
              <w:rPr>
                <w:sz w:val="18"/>
              </w:rPr>
            </w:pPr>
            <w:r>
              <w:rPr>
                <w:sz w:val="18"/>
              </w:rPr>
              <w:t>2.7</w:t>
            </w:r>
          </w:p>
        </w:tc>
        <w:tc>
          <w:tcPr>
            <w:tcW w:w="842" w:type="dxa"/>
          </w:tcPr>
          <w:p w:rsidR="00D436A3" w:rsidRDefault="008C31BA">
            <w:pPr>
              <w:pStyle w:val="TableParagraph"/>
              <w:spacing w:before="33"/>
              <w:ind w:left="175" w:right="166"/>
              <w:rPr>
                <w:sz w:val="18"/>
              </w:rPr>
            </w:pPr>
            <w:r>
              <w:rPr>
                <w:sz w:val="18"/>
              </w:rPr>
              <w:t>2230</w:t>
            </w:r>
          </w:p>
        </w:tc>
        <w:tc>
          <w:tcPr>
            <w:tcW w:w="859" w:type="dxa"/>
          </w:tcPr>
          <w:p w:rsidR="00D436A3" w:rsidRDefault="008C31BA">
            <w:pPr>
              <w:pStyle w:val="TableParagraph"/>
              <w:spacing w:before="33"/>
              <w:ind w:left="137" w:right="130"/>
              <w:rPr>
                <w:sz w:val="18"/>
              </w:rPr>
            </w:pPr>
            <w:r>
              <w:rPr>
                <w:sz w:val="18"/>
              </w:rPr>
              <w:t>2370</w:t>
            </w:r>
          </w:p>
        </w:tc>
        <w:tc>
          <w:tcPr>
            <w:tcW w:w="708" w:type="dxa"/>
          </w:tcPr>
          <w:p w:rsidR="00D436A3" w:rsidRDefault="008C31BA">
            <w:pPr>
              <w:pStyle w:val="TableParagraph"/>
              <w:spacing w:before="33"/>
              <w:ind w:left="126" w:right="121"/>
              <w:rPr>
                <w:sz w:val="18"/>
              </w:rPr>
            </w:pPr>
            <w:r>
              <w:rPr>
                <w:sz w:val="18"/>
              </w:rPr>
              <w:t>4.8</w:t>
            </w:r>
          </w:p>
        </w:tc>
        <w:tc>
          <w:tcPr>
            <w:tcW w:w="708" w:type="dxa"/>
          </w:tcPr>
          <w:p w:rsidR="00D436A3" w:rsidRDefault="008C31BA">
            <w:pPr>
              <w:pStyle w:val="TableParagraph"/>
              <w:spacing w:before="33"/>
              <w:ind w:right="230"/>
              <w:jc w:val="right"/>
              <w:rPr>
                <w:sz w:val="18"/>
              </w:rPr>
            </w:pPr>
            <w:r>
              <w:rPr>
                <w:sz w:val="18"/>
              </w:rPr>
              <w:t>5.1</w:t>
            </w:r>
          </w:p>
        </w:tc>
      </w:tr>
      <w:tr w:rsidR="00D436A3">
        <w:trPr>
          <w:trHeight w:val="287"/>
        </w:trPr>
        <w:tc>
          <w:tcPr>
            <w:tcW w:w="1450" w:type="dxa"/>
            <w:vMerge/>
            <w:tcBorders>
              <w:top w:val="nil"/>
            </w:tcBorders>
          </w:tcPr>
          <w:p w:rsidR="00D436A3" w:rsidRDefault="00D436A3">
            <w:pPr>
              <w:rPr>
                <w:sz w:val="2"/>
                <w:szCs w:val="2"/>
              </w:rPr>
            </w:pPr>
          </w:p>
        </w:tc>
        <w:tc>
          <w:tcPr>
            <w:tcW w:w="900" w:type="dxa"/>
            <w:vMerge/>
            <w:tcBorders>
              <w:top w:val="nil"/>
            </w:tcBorders>
          </w:tcPr>
          <w:p w:rsidR="00D436A3" w:rsidRDefault="00D436A3">
            <w:pPr>
              <w:rPr>
                <w:sz w:val="2"/>
                <w:szCs w:val="2"/>
              </w:rPr>
            </w:pPr>
          </w:p>
        </w:tc>
        <w:tc>
          <w:tcPr>
            <w:tcW w:w="910" w:type="dxa"/>
          </w:tcPr>
          <w:p w:rsidR="00D436A3" w:rsidRDefault="008C31BA">
            <w:pPr>
              <w:pStyle w:val="TableParagraph"/>
              <w:spacing w:before="33"/>
              <w:ind w:left="330"/>
              <w:jc w:val="left"/>
              <w:rPr>
                <w:sz w:val="18"/>
              </w:rPr>
            </w:pPr>
            <w:r>
              <w:rPr>
                <w:sz w:val="18"/>
              </w:rPr>
              <w:t>F/4</w:t>
            </w:r>
          </w:p>
        </w:tc>
        <w:tc>
          <w:tcPr>
            <w:tcW w:w="708" w:type="dxa"/>
          </w:tcPr>
          <w:p w:rsidR="00D436A3" w:rsidRDefault="008C31BA">
            <w:pPr>
              <w:pStyle w:val="TableParagraph"/>
              <w:spacing w:before="33"/>
              <w:ind w:left="195"/>
              <w:jc w:val="left"/>
              <w:rPr>
                <w:sz w:val="18"/>
              </w:rPr>
            </w:pPr>
            <w:r>
              <w:rPr>
                <w:sz w:val="18"/>
              </w:rPr>
              <w:t>24.6</w:t>
            </w:r>
          </w:p>
        </w:tc>
        <w:tc>
          <w:tcPr>
            <w:tcW w:w="708" w:type="dxa"/>
          </w:tcPr>
          <w:p w:rsidR="00D436A3" w:rsidRDefault="008C31BA">
            <w:pPr>
              <w:pStyle w:val="TableParagraph"/>
              <w:spacing w:before="33"/>
              <w:ind w:left="126" w:right="116"/>
              <w:rPr>
                <w:sz w:val="18"/>
              </w:rPr>
            </w:pPr>
            <w:r>
              <w:rPr>
                <w:sz w:val="18"/>
              </w:rPr>
              <w:t>15</w:t>
            </w:r>
          </w:p>
        </w:tc>
        <w:tc>
          <w:tcPr>
            <w:tcW w:w="710" w:type="dxa"/>
          </w:tcPr>
          <w:p w:rsidR="00D436A3" w:rsidRDefault="008C31BA">
            <w:pPr>
              <w:pStyle w:val="TableParagraph"/>
              <w:spacing w:before="33"/>
              <w:ind w:left="127" w:right="117"/>
              <w:rPr>
                <w:sz w:val="18"/>
              </w:rPr>
            </w:pPr>
            <w:r>
              <w:rPr>
                <w:sz w:val="18"/>
              </w:rPr>
              <w:t>2.4</w:t>
            </w:r>
          </w:p>
        </w:tc>
        <w:tc>
          <w:tcPr>
            <w:tcW w:w="710" w:type="dxa"/>
          </w:tcPr>
          <w:p w:rsidR="00D436A3" w:rsidRDefault="008C31BA">
            <w:pPr>
              <w:pStyle w:val="TableParagraph"/>
              <w:spacing w:before="33"/>
              <w:ind w:left="127" w:right="121"/>
              <w:rPr>
                <w:sz w:val="18"/>
              </w:rPr>
            </w:pPr>
            <w:r>
              <w:rPr>
                <w:sz w:val="18"/>
              </w:rPr>
              <w:t>1.5</w:t>
            </w:r>
          </w:p>
        </w:tc>
        <w:tc>
          <w:tcPr>
            <w:tcW w:w="842" w:type="dxa"/>
          </w:tcPr>
          <w:p w:rsidR="00D436A3" w:rsidRDefault="008C31BA">
            <w:pPr>
              <w:pStyle w:val="TableParagraph"/>
              <w:spacing w:before="33"/>
              <w:ind w:left="175" w:right="166"/>
              <w:rPr>
                <w:sz w:val="18"/>
              </w:rPr>
            </w:pPr>
            <w:r>
              <w:rPr>
                <w:sz w:val="18"/>
              </w:rPr>
              <w:t>2160</w:t>
            </w:r>
          </w:p>
        </w:tc>
        <w:tc>
          <w:tcPr>
            <w:tcW w:w="859" w:type="dxa"/>
          </w:tcPr>
          <w:p w:rsidR="00D436A3" w:rsidRDefault="008C31BA">
            <w:pPr>
              <w:pStyle w:val="TableParagraph"/>
              <w:spacing w:before="33"/>
              <w:ind w:left="137" w:right="130"/>
              <w:rPr>
                <w:sz w:val="18"/>
              </w:rPr>
            </w:pPr>
            <w:r>
              <w:rPr>
                <w:sz w:val="18"/>
              </w:rPr>
              <w:t>1340</w:t>
            </w:r>
          </w:p>
        </w:tc>
        <w:tc>
          <w:tcPr>
            <w:tcW w:w="708" w:type="dxa"/>
          </w:tcPr>
          <w:p w:rsidR="00D436A3" w:rsidRDefault="008C31BA">
            <w:pPr>
              <w:pStyle w:val="TableParagraph"/>
              <w:spacing w:before="33"/>
              <w:ind w:left="126" w:right="121"/>
              <w:rPr>
                <w:sz w:val="18"/>
              </w:rPr>
            </w:pPr>
            <w:r>
              <w:rPr>
                <w:sz w:val="18"/>
              </w:rPr>
              <w:t>4.7</w:t>
            </w:r>
          </w:p>
        </w:tc>
        <w:tc>
          <w:tcPr>
            <w:tcW w:w="708" w:type="dxa"/>
          </w:tcPr>
          <w:p w:rsidR="00D436A3" w:rsidRDefault="008C31BA">
            <w:pPr>
              <w:pStyle w:val="TableParagraph"/>
              <w:spacing w:before="33"/>
              <w:ind w:right="230"/>
              <w:jc w:val="right"/>
              <w:rPr>
                <w:sz w:val="18"/>
              </w:rPr>
            </w:pPr>
            <w:r>
              <w:rPr>
                <w:sz w:val="18"/>
              </w:rPr>
              <w:t>2.9</w:t>
            </w:r>
          </w:p>
        </w:tc>
      </w:tr>
      <w:tr w:rsidR="00D436A3">
        <w:trPr>
          <w:trHeight w:val="285"/>
        </w:trPr>
        <w:tc>
          <w:tcPr>
            <w:tcW w:w="1450" w:type="dxa"/>
            <w:vMerge/>
            <w:tcBorders>
              <w:top w:val="nil"/>
            </w:tcBorders>
          </w:tcPr>
          <w:p w:rsidR="00D436A3" w:rsidRDefault="00D436A3">
            <w:pPr>
              <w:rPr>
                <w:sz w:val="2"/>
                <w:szCs w:val="2"/>
              </w:rPr>
            </w:pPr>
          </w:p>
        </w:tc>
        <w:tc>
          <w:tcPr>
            <w:tcW w:w="900" w:type="dxa"/>
            <w:vMerge w:val="restart"/>
          </w:tcPr>
          <w:p w:rsidR="00D436A3" w:rsidRDefault="00D436A3">
            <w:pPr>
              <w:pStyle w:val="TableParagraph"/>
              <w:spacing w:before="9"/>
              <w:jc w:val="left"/>
              <w:rPr>
                <w:b/>
                <w:sz w:val="15"/>
              </w:rPr>
            </w:pPr>
          </w:p>
          <w:p w:rsidR="00D436A3" w:rsidRDefault="008C31BA">
            <w:pPr>
              <w:pStyle w:val="TableParagraph"/>
              <w:rPr>
                <w:sz w:val="18"/>
              </w:rPr>
            </w:pPr>
            <w:r>
              <w:rPr>
                <w:sz w:val="18"/>
                <w:u w:val="single"/>
              </w:rPr>
              <w:t>3</w:t>
            </w:r>
          </w:p>
        </w:tc>
        <w:tc>
          <w:tcPr>
            <w:tcW w:w="910" w:type="dxa"/>
          </w:tcPr>
          <w:p w:rsidR="00D436A3" w:rsidRDefault="008C31BA">
            <w:pPr>
              <w:pStyle w:val="TableParagraph"/>
              <w:spacing w:before="33"/>
              <w:ind w:left="301"/>
              <w:jc w:val="left"/>
              <w:rPr>
                <w:sz w:val="18"/>
              </w:rPr>
            </w:pPr>
            <w:r>
              <w:rPr>
                <w:sz w:val="18"/>
              </w:rPr>
              <w:t>M/7</w:t>
            </w:r>
          </w:p>
        </w:tc>
        <w:tc>
          <w:tcPr>
            <w:tcW w:w="708" w:type="dxa"/>
          </w:tcPr>
          <w:p w:rsidR="00D436A3" w:rsidRDefault="008C31BA">
            <w:pPr>
              <w:pStyle w:val="TableParagraph"/>
              <w:spacing w:before="33"/>
              <w:ind w:left="195"/>
              <w:jc w:val="left"/>
              <w:rPr>
                <w:sz w:val="18"/>
              </w:rPr>
            </w:pPr>
            <w:r>
              <w:rPr>
                <w:sz w:val="18"/>
              </w:rPr>
              <w:t>74.5</w:t>
            </w:r>
          </w:p>
        </w:tc>
        <w:tc>
          <w:tcPr>
            <w:tcW w:w="708" w:type="dxa"/>
          </w:tcPr>
          <w:p w:rsidR="00D436A3" w:rsidRDefault="008C31BA">
            <w:pPr>
              <w:pStyle w:val="TableParagraph"/>
              <w:spacing w:before="33"/>
              <w:ind w:left="126" w:right="116"/>
              <w:rPr>
                <w:sz w:val="18"/>
              </w:rPr>
            </w:pPr>
            <w:r>
              <w:rPr>
                <w:sz w:val="18"/>
              </w:rPr>
              <w:t>108</w:t>
            </w:r>
          </w:p>
        </w:tc>
        <w:tc>
          <w:tcPr>
            <w:tcW w:w="710" w:type="dxa"/>
          </w:tcPr>
          <w:p w:rsidR="00D436A3" w:rsidRDefault="008C31BA">
            <w:pPr>
              <w:pStyle w:val="TableParagraph"/>
              <w:spacing w:before="33"/>
              <w:ind w:left="127" w:right="117"/>
              <w:rPr>
                <w:sz w:val="18"/>
              </w:rPr>
            </w:pPr>
            <w:r>
              <w:rPr>
                <w:sz w:val="18"/>
              </w:rPr>
              <w:t>7.2</w:t>
            </w:r>
          </w:p>
        </w:tc>
        <w:tc>
          <w:tcPr>
            <w:tcW w:w="710" w:type="dxa"/>
          </w:tcPr>
          <w:p w:rsidR="00D436A3" w:rsidRDefault="008C31BA">
            <w:pPr>
              <w:pStyle w:val="TableParagraph"/>
              <w:spacing w:before="33"/>
              <w:ind w:left="127" w:right="118"/>
              <w:rPr>
                <w:sz w:val="18"/>
              </w:rPr>
            </w:pPr>
            <w:r>
              <w:rPr>
                <w:sz w:val="18"/>
              </w:rPr>
              <w:t>10</w:t>
            </w:r>
          </w:p>
        </w:tc>
        <w:tc>
          <w:tcPr>
            <w:tcW w:w="842" w:type="dxa"/>
          </w:tcPr>
          <w:p w:rsidR="00D436A3" w:rsidRDefault="008C31BA">
            <w:pPr>
              <w:pStyle w:val="TableParagraph"/>
              <w:spacing w:before="33"/>
              <w:ind w:left="175" w:right="166"/>
              <w:rPr>
                <w:sz w:val="18"/>
              </w:rPr>
            </w:pPr>
            <w:r>
              <w:rPr>
                <w:sz w:val="18"/>
              </w:rPr>
              <w:t>6790</w:t>
            </w:r>
          </w:p>
        </w:tc>
        <w:tc>
          <w:tcPr>
            <w:tcW w:w="859" w:type="dxa"/>
          </w:tcPr>
          <w:p w:rsidR="00D436A3" w:rsidRDefault="008C31BA">
            <w:pPr>
              <w:pStyle w:val="TableParagraph"/>
              <w:spacing w:before="33"/>
              <w:ind w:left="137" w:right="130"/>
              <w:rPr>
                <w:sz w:val="18"/>
              </w:rPr>
            </w:pPr>
            <w:r>
              <w:rPr>
                <w:sz w:val="18"/>
              </w:rPr>
              <w:t>10800</w:t>
            </w:r>
          </w:p>
        </w:tc>
        <w:tc>
          <w:tcPr>
            <w:tcW w:w="708" w:type="dxa"/>
          </w:tcPr>
          <w:p w:rsidR="00D436A3" w:rsidRDefault="008C31BA">
            <w:pPr>
              <w:pStyle w:val="TableParagraph"/>
              <w:spacing w:before="33"/>
              <w:ind w:left="126" w:right="118"/>
              <w:rPr>
                <w:sz w:val="18"/>
              </w:rPr>
            </w:pPr>
            <w:r>
              <w:rPr>
                <w:sz w:val="18"/>
              </w:rPr>
              <w:t>15</w:t>
            </w:r>
          </w:p>
        </w:tc>
        <w:tc>
          <w:tcPr>
            <w:tcW w:w="708" w:type="dxa"/>
          </w:tcPr>
          <w:p w:rsidR="00D436A3" w:rsidRDefault="008C31BA">
            <w:pPr>
              <w:pStyle w:val="TableParagraph"/>
              <w:spacing w:before="33"/>
              <w:ind w:right="251"/>
              <w:jc w:val="right"/>
              <w:rPr>
                <w:sz w:val="18"/>
              </w:rPr>
            </w:pPr>
            <w:r>
              <w:rPr>
                <w:sz w:val="18"/>
              </w:rPr>
              <w:t>23</w:t>
            </w:r>
          </w:p>
        </w:tc>
      </w:tr>
      <w:tr w:rsidR="00D436A3">
        <w:trPr>
          <w:trHeight w:val="287"/>
        </w:trPr>
        <w:tc>
          <w:tcPr>
            <w:tcW w:w="1450" w:type="dxa"/>
            <w:vMerge/>
            <w:tcBorders>
              <w:top w:val="nil"/>
            </w:tcBorders>
          </w:tcPr>
          <w:p w:rsidR="00D436A3" w:rsidRDefault="00D436A3">
            <w:pPr>
              <w:rPr>
                <w:sz w:val="2"/>
                <w:szCs w:val="2"/>
              </w:rPr>
            </w:pPr>
          </w:p>
        </w:tc>
        <w:tc>
          <w:tcPr>
            <w:tcW w:w="900" w:type="dxa"/>
            <w:vMerge/>
            <w:tcBorders>
              <w:top w:val="nil"/>
            </w:tcBorders>
          </w:tcPr>
          <w:p w:rsidR="00D436A3" w:rsidRDefault="00D436A3">
            <w:pPr>
              <w:rPr>
                <w:sz w:val="2"/>
                <w:szCs w:val="2"/>
              </w:rPr>
            </w:pPr>
          </w:p>
        </w:tc>
        <w:tc>
          <w:tcPr>
            <w:tcW w:w="910" w:type="dxa"/>
          </w:tcPr>
          <w:p w:rsidR="00D436A3" w:rsidRDefault="008C31BA">
            <w:pPr>
              <w:pStyle w:val="TableParagraph"/>
              <w:spacing w:before="35"/>
              <w:ind w:left="330"/>
              <w:jc w:val="left"/>
              <w:rPr>
                <w:sz w:val="18"/>
              </w:rPr>
            </w:pPr>
            <w:r>
              <w:rPr>
                <w:sz w:val="18"/>
              </w:rPr>
              <w:t>F/7</w:t>
            </w:r>
          </w:p>
        </w:tc>
        <w:tc>
          <w:tcPr>
            <w:tcW w:w="708" w:type="dxa"/>
          </w:tcPr>
          <w:p w:rsidR="00D436A3" w:rsidRDefault="008C31BA">
            <w:pPr>
              <w:pStyle w:val="TableParagraph"/>
              <w:spacing w:before="35"/>
              <w:ind w:left="195"/>
              <w:jc w:val="left"/>
              <w:rPr>
                <w:sz w:val="18"/>
              </w:rPr>
            </w:pPr>
            <w:r>
              <w:rPr>
                <w:sz w:val="18"/>
              </w:rPr>
              <w:t>82.6</w:t>
            </w:r>
          </w:p>
        </w:tc>
        <w:tc>
          <w:tcPr>
            <w:tcW w:w="708" w:type="dxa"/>
          </w:tcPr>
          <w:p w:rsidR="00D436A3" w:rsidRDefault="008C31BA">
            <w:pPr>
              <w:pStyle w:val="TableParagraph"/>
              <w:spacing w:before="35"/>
              <w:ind w:left="126" w:right="116"/>
              <w:rPr>
                <w:sz w:val="18"/>
              </w:rPr>
            </w:pPr>
            <w:r>
              <w:rPr>
                <w:sz w:val="18"/>
              </w:rPr>
              <w:t>129</w:t>
            </w:r>
          </w:p>
        </w:tc>
        <w:tc>
          <w:tcPr>
            <w:tcW w:w="710" w:type="dxa"/>
          </w:tcPr>
          <w:p w:rsidR="00D436A3" w:rsidRDefault="008C31BA">
            <w:pPr>
              <w:pStyle w:val="TableParagraph"/>
              <w:spacing w:before="35"/>
              <w:ind w:left="127" w:right="117"/>
              <w:rPr>
                <w:sz w:val="18"/>
              </w:rPr>
            </w:pPr>
            <w:r>
              <w:rPr>
                <w:sz w:val="18"/>
              </w:rPr>
              <w:t>8.0</w:t>
            </w:r>
          </w:p>
        </w:tc>
        <w:tc>
          <w:tcPr>
            <w:tcW w:w="710" w:type="dxa"/>
          </w:tcPr>
          <w:p w:rsidR="00D436A3" w:rsidRDefault="008C31BA">
            <w:pPr>
              <w:pStyle w:val="TableParagraph"/>
              <w:spacing w:before="35"/>
              <w:ind w:left="127" w:right="118"/>
              <w:rPr>
                <w:sz w:val="18"/>
              </w:rPr>
            </w:pPr>
            <w:r>
              <w:rPr>
                <w:sz w:val="18"/>
              </w:rPr>
              <w:t>13</w:t>
            </w:r>
          </w:p>
        </w:tc>
        <w:tc>
          <w:tcPr>
            <w:tcW w:w="842" w:type="dxa"/>
          </w:tcPr>
          <w:p w:rsidR="00D436A3" w:rsidRDefault="008C31BA">
            <w:pPr>
              <w:pStyle w:val="TableParagraph"/>
              <w:spacing w:before="35"/>
              <w:ind w:left="175" w:right="166"/>
              <w:rPr>
                <w:sz w:val="18"/>
              </w:rPr>
            </w:pPr>
            <w:r>
              <w:rPr>
                <w:sz w:val="18"/>
              </w:rPr>
              <w:t>7510</w:t>
            </w:r>
          </w:p>
        </w:tc>
        <w:tc>
          <w:tcPr>
            <w:tcW w:w="859" w:type="dxa"/>
          </w:tcPr>
          <w:p w:rsidR="00D436A3" w:rsidRDefault="008C31BA">
            <w:pPr>
              <w:pStyle w:val="TableParagraph"/>
              <w:spacing w:before="35"/>
              <w:ind w:left="137" w:right="130"/>
              <w:rPr>
                <w:sz w:val="18"/>
              </w:rPr>
            </w:pPr>
            <w:r>
              <w:rPr>
                <w:sz w:val="18"/>
              </w:rPr>
              <w:t>12900</w:t>
            </w:r>
          </w:p>
        </w:tc>
        <w:tc>
          <w:tcPr>
            <w:tcW w:w="708" w:type="dxa"/>
          </w:tcPr>
          <w:p w:rsidR="00D436A3" w:rsidRDefault="008C31BA">
            <w:pPr>
              <w:pStyle w:val="TableParagraph"/>
              <w:spacing w:before="35"/>
              <w:ind w:left="126" w:right="118"/>
              <w:rPr>
                <w:sz w:val="18"/>
              </w:rPr>
            </w:pPr>
            <w:r>
              <w:rPr>
                <w:sz w:val="18"/>
              </w:rPr>
              <w:t>16</w:t>
            </w:r>
          </w:p>
        </w:tc>
        <w:tc>
          <w:tcPr>
            <w:tcW w:w="708" w:type="dxa"/>
          </w:tcPr>
          <w:p w:rsidR="00D436A3" w:rsidRDefault="008C31BA">
            <w:pPr>
              <w:pStyle w:val="TableParagraph"/>
              <w:spacing w:before="35"/>
              <w:ind w:right="251"/>
              <w:jc w:val="right"/>
              <w:rPr>
                <w:sz w:val="18"/>
              </w:rPr>
            </w:pPr>
            <w:r>
              <w:rPr>
                <w:sz w:val="18"/>
              </w:rPr>
              <w:t>28</w:t>
            </w:r>
          </w:p>
        </w:tc>
      </w:tr>
      <w:tr w:rsidR="00D436A3">
        <w:trPr>
          <w:trHeight w:val="287"/>
        </w:trPr>
        <w:tc>
          <w:tcPr>
            <w:tcW w:w="1450" w:type="dxa"/>
            <w:vMerge/>
            <w:tcBorders>
              <w:top w:val="nil"/>
            </w:tcBorders>
          </w:tcPr>
          <w:p w:rsidR="00D436A3" w:rsidRDefault="00D436A3">
            <w:pPr>
              <w:rPr>
                <w:sz w:val="2"/>
                <w:szCs w:val="2"/>
              </w:rPr>
            </w:pPr>
          </w:p>
        </w:tc>
        <w:tc>
          <w:tcPr>
            <w:tcW w:w="900" w:type="dxa"/>
            <w:vMerge w:val="restart"/>
          </w:tcPr>
          <w:p w:rsidR="00D436A3" w:rsidRDefault="00D436A3">
            <w:pPr>
              <w:pStyle w:val="TableParagraph"/>
              <w:spacing w:before="9"/>
              <w:jc w:val="left"/>
              <w:rPr>
                <w:b/>
                <w:sz w:val="15"/>
              </w:rPr>
            </w:pPr>
          </w:p>
          <w:p w:rsidR="00D436A3" w:rsidRDefault="008C31BA">
            <w:pPr>
              <w:pStyle w:val="TableParagraph"/>
              <w:ind w:left="314" w:right="308"/>
              <w:rPr>
                <w:sz w:val="18"/>
              </w:rPr>
            </w:pPr>
            <w:r>
              <w:rPr>
                <w:sz w:val="18"/>
              </w:rPr>
              <w:t>30</w:t>
            </w:r>
          </w:p>
        </w:tc>
        <w:tc>
          <w:tcPr>
            <w:tcW w:w="910" w:type="dxa"/>
          </w:tcPr>
          <w:p w:rsidR="00D436A3" w:rsidRDefault="008C31BA">
            <w:pPr>
              <w:pStyle w:val="TableParagraph"/>
              <w:spacing w:before="33"/>
              <w:ind w:left="301"/>
              <w:jc w:val="left"/>
              <w:rPr>
                <w:sz w:val="18"/>
              </w:rPr>
            </w:pPr>
            <w:r>
              <w:rPr>
                <w:sz w:val="18"/>
              </w:rPr>
              <w:t>M/7</w:t>
            </w:r>
          </w:p>
        </w:tc>
        <w:tc>
          <w:tcPr>
            <w:tcW w:w="708" w:type="dxa"/>
          </w:tcPr>
          <w:p w:rsidR="00D436A3" w:rsidRDefault="008C31BA">
            <w:pPr>
              <w:pStyle w:val="TableParagraph"/>
              <w:spacing w:before="33"/>
              <w:ind w:left="217"/>
              <w:jc w:val="left"/>
              <w:rPr>
                <w:sz w:val="18"/>
              </w:rPr>
            </w:pPr>
            <w:r>
              <w:rPr>
                <w:sz w:val="18"/>
              </w:rPr>
              <w:t>824</w:t>
            </w:r>
          </w:p>
        </w:tc>
        <w:tc>
          <w:tcPr>
            <w:tcW w:w="708" w:type="dxa"/>
          </w:tcPr>
          <w:p w:rsidR="00D436A3" w:rsidRDefault="008C31BA">
            <w:pPr>
              <w:pStyle w:val="TableParagraph"/>
              <w:spacing w:before="33"/>
              <w:ind w:left="126" w:right="119"/>
              <w:rPr>
                <w:sz w:val="18"/>
              </w:rPr>
            </w:pPr>
            <w:r>
              <w:rPr>
                <w:sz w:val="18"/>
              </w:rPr>
              <w:t>1630</w:t>
            </w:r>
          </w:p>
        </w:tc>
        <w:tc>
          <w:tcPr>
            <w:tcW w:w="710" w:type="dxa"/>
          </w:tcPr>
          <w:p w:rsidR="00D436A3" w:rsidRDefault="008C31BA">
            <w:pPr>
              <w:pStyle w:val="TableParagraph"/>
              <w:spacing w:before="33"/>
              <w:ind w:left="127" w:right="119"/>
              <w:rPr>
                <w:sz w:val="18"/>
              </w:rPr>
            </w:pPr>
            <w:r>
              <w:rPr>
                <w:sz w:val="18"/>
              </w:rPr>
              <w:t>80</w:t>
            </w:r>
          </w:p>
        </w:tc>
        <w:tc>
          <w:tcPr>
            <w:tcW w:w="710" w:type="dxa"/>
          </w:tcPr>
          <w:p w:rsidR="00D436A3" w:rsidRDefault="008C31BA">
            <w:pPr>
              <w:pStyle w:val="TableParagraph"/>
              <w:spacing w:before="33"/>
              <w:ind w:left="127" w:right="118"/>
              <w:rPr>
                <w:sz w:val="18"/>
              </w:rPr>
            </w:pPr>
            <w:r>
              <w:rPr>
                <w:sz w:val="18"/>
              </w:rPr>
              <w:t>158</w:t>
            </w:r>
          </w:p>
        </w:tc>
        <w:tc>
          <w:tcPr>
            <w:tcW w:w="842" w:type="dxa"/>
          </w:tcPr>
          <w:p w:rsidR="00D436A3" w:rsidRDefault="008C31BA">
            <w:pPr>
              <w:pStyle w:val="TableParagraph"/>
              <w:spacing w:before="33"/>
              <w:ind w:left="175" w:right="166"/>
              <w:rPr>
                <w:sz w:val="18"/>
              </w:rPr>
            </w:pPr>
            <w:r>
              <w:rPr>
                <w:sz w:val="18"/>
              </w:rPr>
              <w:t>71500</w:t>
            </w:r>
          </w:p>
        </w:tc>
        <w:tc>
          <w:tcPr>
            <w:tcW w:w="859" w:type="dxa"/>
          </w:tcPr>
          <w:p w:rsidR="00D436A3" w:rsidRDefault="008C31BA">
            <w:pPr>
              <w:pStyle w:val="TableParagraph"/>
              <w:spacing w:before="33"/>
              <w:ind w:left="139" w:right="130"/>
              <w:rPr>
                <w:sz w:val="18"/>
              </w:rPr>
            </w:pPr>
            <w:r>
              <w:rPr>
                <w:sz w:val="18"/>
              </w:rPr>
              <w:t>177000</w:t>
            </w:r>
          </w:p>
        </w:tc>
        <w:tc>
          <w:tcPr>
            <w:tcW w:w="708" w:type="dxa"/>
          </w:tcPr>
          <w:p w:rsidR="00D436A3" w:rsidRDefault="008C31BA">
            <w:pPr>
              <w:pStyle w:val="TableParagraph"/>
              <w:spacing w:before="33"/>
              <w:ind w:left="126" w:right="118"/>
              <w:rPr>
                <w:sz w:val="18"/>
              </w:rPr>
            </w:pPr>
            <w:r>
              <w:rPr>
                <w:sz w:val="18"/>
              </w:rPr>
              <w:t>154</w:t>
            </w:r>
          </w:p>
        </w:tc>
        <w:tc>
          <w:tcPr>
            <w:tcW w:w="708" w:type="dxa"/>
          </w:tcPr>
          <w:p w:rsidR="00D436A3" w:rsidRDefault="008C31BA">
            <w:pPr>
              <w:pStyle w:val="TableParagraph"/>
              <w:spacing w:before="33"/>
              <w:ind w:right="207"/>
              <w:jc w:val="right"/>
              <w:rPr>
                <w:sz w:val="18"/>
              </w:rPr>
            </w:pPr>
            <w:r>
              <w:rPr>
                <w:sz w:val="18"/>
              </w:rPr>
              <w:t>382</w:t>
            </w:r>
          </w:p>
        </w:tc>
      </w:tr>
      <w:tr w:rsidR="00D436A3">
        <w:trPr>
          <w:trHeight w:val="287"/>
        </w:trPr>
        <w:tc>
          <w:tcPr>
            <w:tcW w:w="1450" w:type="dxa"/>
            <w:vMerge/>
            <w:tcBorders>
              <w:top w:val="nil"/>
            </w:tcBorders>
          </w:tcPr>
          <w:p w:rsidR="00D436A3" w:rsidRDefault="00D436A3">
            <w:pPr>
              <w:rPr>
                <w:sz w:val="2"/>
                <w:szCs w:val="2"/>
              </w:rPr>
            </w:pPr>
          </w:p>
        </w:tc>
        <w:tc>
          <w:tcPr>
            <w:tcW w:w="900" w:type="dxa"/>
            <w:vMerge/>
            <w:tcBorders>
              <w:top w:val="nil"/>
            </w:tcBorders>
          </w:tcPr>
          <w:p w:rsidR="00D436A3" w:rsidRDefault="00D436A3">
            <w:pPr>
              <w:rPr>
                <w:sz w:val="2"/>
                <w:szCs w:val="2"/>
              </w:rPr>
            </w:pPr>
          </w:p>
        </w:tc>
        <w:tc>
          <w:tcPr>
            <w:tcW w:w="910" w:type="dxa"/>
          </w:tcPr>
          <w:p w:rsidR="00D436A3" w:rsidRDefault="008C31BA">
            <w:pPr>
              <w:pStyle w:val="TableParagraph"/>
              <w:spacing w:before="33"/>
              <w:ind w:left="330"/>
              <w:jc w:val="left"/>
              <w:rPr>
                <w:sz w:val="18"/>
              </w:rPr>
            </w:pPr>
            <w:r>
              <w:rPr>
                <w:sz w:val="18"/>
              </w:rPr>
              <w:t>F/7</w:t>
            </w:r>
          </w:p>
        </w:tc>
        <w:tc>
          <w:tcPr>
            <w:tcW w:w="708" w:type="dxa"/>
          </w:tcPr>
          <w:p w:rsidR="00D436A3" w:rsidRDefault="008C31BA">
            <w:pPr>
              <w:pStyle w:val="TableParagraph"/>
              <w:spacing w:before="33"/>
              <w:ind w:left="217"/>
              <w:jc w:val="left"/>
              <w:rPr>
                <w:sz w:val="18"/>
              </w:rPr>
            </w:pPr>
            <w:r>
              <w:rPr>
                <w:sz w:val="18"/>
              </w:rPr>
              <w:t>795</w:t>
            </w:r>
          </w:p>
        </w:tc>
        <w:tc>
          <w:tcPr>
            <w:tcW w:w="708" w:type="dxa"/>
          </w:tcPr>
          <w:p w:rsidR="00D436A3" w:rsidRDefault="008C31BA">
            <w:pPr>
              <w:pStyle w:val="TableParagraph"/>
              <w:spacing w:before="33"/>
              <w:ind w:left="126" w:right="119"/>
              <w:rPr>
                <w:sz w:val="18"/>
              </w:rPr>
            </w:pPr>
            <w:r>
              <w:rPr>
                <w:sz w:val="18"/>
              </w:rPr>
              <w:t>1540</w:t>
            </w:r>
          </w:p>
        </w:tc>
        <w:tc>
          <w:tcPr>
            <w:tcW w:w="710" w:type="dxa"/>
          </w:tcPr>
          <w:p w:rsidR="00D436A3" w:rsidRDefault="008C31BA">
            <w:pPr>
              <w:pStyle w:val="TableParagraph"/>
              <w:spacing w:before="33"/>
              <w:ind w:left="127" w:right="119"/>
              <w:rPr>
                <w:sz w:val="18"/>
              </w:rPr>
            </w:pPr>
            <w:r>
              <w:rPr>
                <w:sz w:val="18"/>
              </w:rPr>
              <w:t>77</w:t>
            </w:r>
          </w:p>
        </w:tc>
        <w:tc>
          <w:tcPr>
            <w:tcW w:w="710" w:type="dxa"/>
          </w:tcPr>
          <w:p w:rsidR="00D436A3" w:rsidRDefault="008C31BA">
            <w:pPr>
              <w:pStyle w:val="TableParagraph"/>
              <w:spacing w:before="33"/>
              <w:ind w:left="127" w:right="118"/>
              <w:rPr>
                <w:sz w:val="18"/>
              </w:rPr>
            </w:pPr>
            <w:r>
              <w:rPr>
                <w:sz w:val="18"/>
              </w:rPr>
              <w:t>150</w:t>
            </w:r>
          </w:p>
        </w:tc>
        <w:tc>
          <w:tcPr>
            <w:tcW w:w="842" w:type="dxa"/>
          </w:tcPr>
          <w:p w:rsidR="00D436A3" w:rsidRDefault="008C31BA">
            <w:pPr>
              <w:pStyle w:val="TableParagraph"/>
              <w:spacing w:before="33"/>
              <w:ind w:left="175" w:right="166"/>
              <w:rPr>
                <w:sz w:val="18"/>
              </w:rPr>
            </w:pPr>
            <w:r>
              <w:rPr>
                <w:sz w:val="18"/>
              </w:rPr>
              <w:t>72000</w:t>
            </w:r>
          </w:p>
        </w:tc>
        <w:tc>
          <w:tcPr>
            <w:tcW w:w="859" w:type="dxa"/>
          </w:tcPr>
          <w:p w:rsidR="00D436A3" w:rsidRDefault="008C31BA">
            <w:pPr>
              <w:pStyle w:val="TableParagraph"/>
              <w:spacing w:before="33"/>
              <w:ind w:left="139" w:right="130"/>
              <w:rPr>
                <w:sz w:val="18"/>
              </w:rPr>
            </w:pPr>
            <w:r>
              <w:rPr>
                <w:sz w:val="18"/>
              </w:rPr>
              <w:t>165000</w:t>
            </w:r>
          </w:p>
        </w:tc>
        <w:tc>
          <w:tcPr>
            <w:tcW w:w="708" w:type="dxa"/>
          </w:tcPr>
          <w:p w:rsidR="00D436A3" w:rsidRDefault="008C31BA">
            <w:pPr>
              <w:pStyle w:val="TableParagraph"/>
              <w:spacing w:before="33"/>
              <w:ind w:left="126" w:right="118"/>
              <w:rPr>
                <w:sz w:val="18"/>
              </w:rPr>
            </w:pPr>
            <w:r>
              <w:rPr>
                <w:sz w:val="18"/>
              </w:rPr>
              <w:t>155</w:t>
            </w:r>
          </w:p>
        </w:tc>
        <w:tc>
          <w:tcPr>
            <w:tcW w:w="708" w:type="dxa"/>
          </w:tcPr>
          <w:p w:rsidR="00D436A3" w:rsidRDefault="008C31BA">
            <w:pPr>
              <w:pStyle w:val="TableParagraph"/>
              <w:spacing w:before="33"/>
              <w:ind w:right="207"/>
              <w:jc w:val="right"/>
              <w:rPr>
                <w:sz w:val="18"/>
              </w:rPr>
            </w:pPr>
            <w:r>
              <w:rPr>
                <w:sz w:val="18"/>
              </w:rPr>
              <w:t>356</w:t>
            </w:r>
          </w:p>
        </w:tc>
      </w:tr>
    </w:tbl>
    <w:p w:rsidR="00D436A3" w:rsidRDefault="008C31BA">
      <w:pPr>
        <w:spacing w:before="54"/>
        <w:ind w:left="232"/>
        <w:rPr>
          <w:sz w:val="20"/>
        </w:rPr>
      </w:pPr>
      <w:r>
        <w:rPr>
          <w:sz w:val="20"/>
        </w:rPr>
        <w:t>F: female; M: male; NOAEL: no-observed-adverse-effect level.</w:t>
      </w:r>
    </w:p>
    <w:p w:rsidR="00D436A3" w:rsidRDefault="008C31BA">
      <w:pPr>
        <w:spacing w:before="60"/>
        <w:ind w:left="232"/>
        <w:rPr>
          <w:sz w:val="20"/>
        </w:rPr>
      </w:pPr>
      <w:r>
        <w:rPr>
          <w:sz w:val="20"/>
        </w:rPr>
        <w:t>† The underlined dose represents the NOAEL.</w:t>
      </w:r>
    </w:p>
    <w:p w:rsidR="00D436A3" w:rsidRDefault="008C31BA">
      <w:pPr>
        <w:spacing w:before="58"/>
        <w:ind w:left="232" w:right="1634"/>
        <w:rPr>
          <w:sz w:val="20"/>
        </w:rPr>
      </w:pPr>
      <w:r>
        <w:rPr>
          <w:sz w:val="20"/>
        </w:rPr>
        <w:t>‡ The exposure ratios were calculated as [AUC</w:t>
      </w:r>
      <w:r>
        <w:rPr>
          <w:sz w:val="20"/>
          <w:vertAlign w:val="subscript"/>
        </w:rPr>
        <w:t>168</w:t>
      </w:r>
      <w:r>
        <w:rPr>
          <w:sz w:val="20"/>
        </w:rPr>
        <w:t xml:space="preserve"> x4] or [</w:t>
      </w:r>
      <w:proofErr w:type="spellStart"/>
      <w:r>
        <w:rPr>
          <w:sz w:val="20"/>
        </w:rPr>
        <w:t>C</w:t>
      </w:r>
      <w:r>
        <w:rPr>
          <w:sz w:val="20"/>
          <w:vertAlign w:val="subscript"/>
        </w:rPr>
        <w:t>max</w:t>
      </w:r>
      <w:proofErr w:type="spellEnd"/>
      <w:r>
        <w:rPr>
          <w:sz w:val="20"/>
        </w:rPr>
        <w:t xml:space="preserve">] / [estimated human systemic exposure level at the efficacious dose]. The estimated human systemic exposure level of </w:t>
      </w:r>
      <w:proofErr w:type="spellStart"/>
      <w:r>
        <w:rPr>
          <w:sz w:val="20"/>
        </w:rPr>
        <w:t>C</w:t>
      </w:r>
      <w:r>
        <w:rPr>
          <w:sz w:val="20"/>
          <w:vertAlign w:val="subscript"/>
        </w:rPr>
        <w:t>max</w:t>
      </w:r>
      <w:proofErr w:type="spellEnd"/>
      <w:r>
        <w:rPr>
          <w:sz w:val="20"/>
        </w:rPr>
        <w:t xml:space="preserve"> or AUC</w:t>
      </w:r>
      <w:r>
        <w:rPr>
          <w:sz w:val="20"/>
          <w:vertAlign w:val="subscript"/>
        </w:rPr>
        <w:t>672</w:t>
      </w:r>
      <w:r>
        <w:rPr>
          <w:sz w:val="20"/>
        </w:rPr>
        <w:t xml:space="preserve"> was 10.3 µg/mL or 1855.2 µ</w:t>
      </w:r>
      <w:proofErr w:type="spellStart"/>
      <w:r>
        <w:rPr>
          <w:sz w:val="20"/>
        </w:rPr>
        <w:t>g∙h</w:t>
      </w:r>
      <w:proofErr w:type="spellEnd"/>
      <w:r>
        <w:rPr>
          <w:sz w:val="20"/>
        </w:rPr>
        <w:t xml:space="preserve">/mL, respectively, at the estimated efficacious dose of 0.4 mg/kg, which would be needed to maintain the target trough concentration of 0.21 </w:t>
      </w:r>
      <w:proofErr w:type="spellStart"/>
      <w:r>
        <w:rPr>
          <w:sz w:val="20"/>
        </w:rPr>
        <w:t>μg</w:t>
      </w:r>
      <w:proofErr w:type="spellEnd"/>
      <w:r>
        <w:rPr>
          <w:sz w:val="20"/>
        </w:rPr>
        <w:t xml:space="preserve">/mL for 28 days [Study </w:t>
      </w:r>
      <w:r w:rsidR="004C24C6">
        <w:rPr>
          <w:sz w:val="20"/>
        </w:rPr>
        <w:t>Project 9</w:t>
      </w:r>
      <w:r>
        <w:rPr>
          <w:sz w:val="20"/>
        </w:rPr>
        <w:t>-ME-9001].</w:t>
      </w:r>
    </w:p>
    <w:p w:rsidR="00D436A3" w:rsidRDefault="00D436A3">
      <w:pPr>
        <w:pStyle w:val="a3"/>
        <w:rPr>
          <w:sz w:val="22"/>
        </w:rPr>
      </w:pPr>
    </w:p>
    <w:p w:rsidR="00D436A3" w:rsidRDefault="008C31BA">
      <w:pPr>
        <w:pStyle w:val="a3"/>
        <w:spacing w:before="184" w:line="261" w:lineRule="auto"/>
        <w:ind w:left="232" w:right="1634"/>
      </w:pPr>
      <w:r>
        <w:t>A summary of potential risks is listed in [</w:t>
      </w:r>
      <w:hyperlink w:anchor="_bookmark63" w:history="1">
        <w:r>
          <w:t>Table 2</w:t>
        </w:r>
      </w:hyperlink>
      <w:r>
        <w:t>] and discussed further below. In the first in human (FIH) study, these risks will be managed through selection of inclusion/exclusion criteria, use of sentinel dosing, use of pre-defined stopping rules and dose escalation rules, adverse event assessment, and monitoring of clinical laboratory tests.</w:t>
      </w:r>
    </w:p>
    <w:p w:rsidR="00D436A3" w:rsidRPr="004C24C6" w:rsidRDefault="008C31BA">
      <w:pPr>
        <w:pStyle w:val="3"/>
        <w:numPr>
          <w:ilvl w:val="3"/>
          <w:numId w:val="11"/>
        </w:numPr>
        <w:tabs>
          <w:tab w:val="left" w:pos="1085"/>
        </w:tabs>
        <w:spacing w:before="122"/>
        <w:rPr>
          <w:highlight w:val="magenta"/>
        </w:rPr>
      </w:pPr>
      <w:bookmarkStart w:id="44" w:name="4.4.2.3_Effects_on_Blood_Cells_and_Hemat"/>
      <w:bookmarkStart w:id="45" w:name="_bookmark55"/>
      <w:bookmarkEnd w:id="44"/>
      <w:bookmarkEnd w:id="45"/>
      <w:r w:rsidRPr="004C24C6">
        <w:rPr>
          <w:highlight w:val="magenta"/>
        </w:rPr>
        <w:t>Effects on Blood Cells and Hematopoietic</w:t>
      </w:r>
      <w:r w:rsidRPr="004C24C6">
        <w:rPr>
          <w:spacing w:val="-2"/>
          <w:highlight w:val="magenta"/>
        </w:rPr>
        <w:t xml:space="preserve"> </w:t>
      </w:r>
      <w:r w:rsidRPr="004C24C6">
        <w:rPr>
          <w:highlight w:val="magenta"/>
        </w:rPr>
        <w:t>System</w:t>
      </w:r>
    </w:p>
    <w:p w:rsidR="00D436A3" w:rsidRDefault="008C31BA">
      <w:pPr>
        <w:pStyle w:val="a3"/>
        <w:spacing w:before="139" w:line="261" w:lineRule="auto"/>
        <w:ind w:left="232" w:right="1702"/>
      </w:pPr>
      <w:r w:rsidRPr="004C24C6">
        <w:rPr>
          <w:highlight w:val="magenta"/>
        </w:rPr>
        <w:t>In the 4-week repeated dose study, hematologic changes including increased reticulocyte ratio, increased eosinophil count, and decreased platelet count, and possibly relevant histopathological finding of increased hematopoiesis in the femoral bone marrow were observed at the 30 mg/kg dose level. Similar changes were observed in the preliminary non- GLP 4-week dose study.</w:t>
      </w:r>
      <w:r>
        <w:t xml:space="preserve"> The mechanism of these changes has not been identified, however, it is possible that these hematologic findings may be associated with the immunogenicity of </w:t>
      </w:r>
      <w:r w:rsidR="004C24C6">
        <w:t>PROJECT 9</w:t>
      </w:r>
      <w:r>
        <w:t xml:space="preserve"> (i.e., ADA-related changes). It has been reported in the literature that immune complex clearance can be accompanied by changes in erythrocyte, neutrophil and platelet counts [</w:t>
      </w:r>
      <w:proofErr w:type="spellStart"/>
      <w:r>
        <w:t>Rojko</w:t>
      </w:r>
      <w:proofErr w:type="spellEnd"/>
      <w:r>
        <w:t xml:space="preserve"> et al, 2014] as were noted in the 4-week study with </w:t>
      </w:r>
      <w:r w:rsidR="004C24C6">
        <w:t>PROJECT 9</w:t>
      </w:r>
      <w:r>
        <w:t xml:space="preserve">. </w:t>
      </w:r>
      <w:r w:rsidRPr="004C24C6">
        <w:rPr>
          <w:highlight w:val="magenta"/>
        </w:rPr>
        <w:t>These changes were reversible by the end of 6-week recovery period</w:t>
      </w:r>
      <w:r>
        <w:t xml:space="preserve"> and were monitorable by a standard assessment of hematology parameters; and therefore, these findings are considered to be of minimal clinical concern.</w:t>
      </w:r>
    </w:p>
    <w:p w:rsidR="00D436A3" w:rsidRDefault="008C31BA" w:rsidP="008C31BA">
      <w:pPr>
        <w:pStyle w:val="a3"/>
        <w:spacing w:before="110" w:line="261" w:lineRule="auto"/>
        <w:ind w:left="232" w:right="1763"/>
        <w:rPr>
          <w:sz w:val="20"/>
        </w:rPr>
      </w:pPr>
      <w:r w:rsidRPr="004C24C6">
        <w:rPr>
          <w:highlight w:val="magenta"/>
        </w:rPr>
        <w:t>Additionally, a reduction of B-cell (CD3</w:t>
      </w:r>
      <w:r w:rsidRPr="004C24C6">
        <w:rPr>
          <w:highlight w:val="magenta"/>
          <w:vertAlign w:val="superscript"/>
        </w:rPr>
        <w:t>-</w:t>
      </w:r>
      <w:r w:rsidRPr="004C24C6">
        <w:rPr>
          <w:highlight w:val="magenta"/>
        </w:rPr>
        <w:t>CD20</w:t>
      </w:r>
      <w:r w:rsidRPr="004C24C6">
        <w:rPr>
          <w:highlight w:val="magenta"/>
          <w:vertAlign w:val="superscript"/>
        </w:rPr>
        <w:t>+</w:t>
      </w:r>
      <w:r w:rsidRPr="004C24C6">
        <w:rPr>
          <w:highlight w:val="magenta"/>
        </w:rPr>
        <w:t>) counts was also observed at doses equal to or greater than 0.3 mg/kg.</w:t>
      </w:r>
      <w:r>
        <w:t xml:space="preserve"> This was considered to be a pharmacological effect of </w:t>
      </w:r>
      <w:r w:rsidR="004C24C6">
        <w:t>PROJECT 9</w:t>
      </w:r>
      <w:r>
        <w:t>, and there was a trend toward reversibility by the end of the 6-week recovery period. These data suggest B cell counts should be monitored in the clinical study.</w:t>
      </w:r>
    </w:p>
    <w:p w:rsidR="00D436A3" w:rsidRPr="004C24C6" w:rsidRDefault="008C31BA">
      <w:pPr>
        <w:pStyle w:val="3"/>
        <w:numPr>
          <w:ilvl w:val="3"/>
          <w:numId w:val="11"/>
        </w:numPr>
        <w:tabs>
          <w:tab w:val="left" w:pos="1085"/>
        </w:tabs>
        <w:spacing w:before="232"/>
        <w:rPr>
          <w:highlight w:val="magenta"/>
        </w:rPr>
      </w:pPr>
      <w:bookmarkStart w:id="46" w:name="4.4.2.4_Effects_on_the_Phagocytic_System"/>
      <w:bookmarkStart w:id="47" w:name="_bookmark56"/>
      <w:bookmarkEnd w:id="46"/>
      <w:bookmarkEnd w:id="47"/>
      <w:r w:rsidRPr="004C24C6">
        <w:rPr>
          <w:highlight w:val="magenta"/>
        </w:rPr>
        <w:t>Effects on the Phagocytic</w:t>
      </w:r>
      <w:r w:rsidRPr="004C24C6">
        <w:rPr>
          <w:spacing w:val="-1"/>
          <w:highlight w:val="magenta"/>
        </w:rPr>
        <w:t xml:space="preserve"> </w:t>
      </w:r>
      <w:r w:rsidRPr="004C24C6">
        <w:rPr>
          <w:highlight w:val="magenta"/>
        </w:rPr>
        <w:t>System</w:t>
      </w:r>
    </w:p>
    <w:p w:rsidR="00D436A3" w:rsidRDefault="008C31BA">
      <w:pPr>
        <w:pStyle w:val="a3"/>
        <w:spacing w:before="139" w:line="261" w:lineRule="auto"/>
        <w:ind w:left="232" w:right="1704"/>
      </w:pPr>
      <w:r w:rsidRPr="004C24C6">
        <w:rPr>
          <w:highlight w:val="magenta"/>
        </w:rPr>
        <w:t>In the 4-week repeated dose study, enlargement of the spleen and increased splenic organ weight with congestion and hyperplasia of the red pulp were noted. In addition, hypertrophy of liver Kupffer cells and hypertrophy of the submandibular lymph node sinus histiocytes were observed at the 30 mg/kg dose level. These changes were reversible by the end of the 6-week recovery period.</w:t>
      </w:r>
      <w:r>
        <w:t xml:space="preserve"> The mechanism of these changes has not been identified; however, </w:t>
      </w:r>
      <w:r>
        <w:lastRenderedPageBreak/>
        <w:t>since almost all of these changes were seen in the animals that were ADA positive, these findings were considered to be secondary to the processing of immune complexes.</w:t>
      </w:r>
    </w:p>
    <w:p w:rsidR="00D436A3" w:rsidRPr="004C24C6" w:rsidRDefault="008C31BA">
      <w:pPr>
        <w:pStyle w:val="3"/>
        <w:numPr>
          <w:ilvl w:val="3"/>
          <w:numId w:val="11"/>
        </w:numPr>
        <w:tabs>
          <w:tab w:val="left" w:pos="1085"/>
        </w:tabs>
        <w:spacing w:before="119"/>
        <w:rPr>
          <w:highlight w:val="magenta"/>
        </w:rPr>
      </w:pPr>
      <w:bookmarkStart w:id="48" w:name="4.4.2.5_Effects_on_the_Thymus"/>
      <w:bookmarkStart w:id="49" w:name="_bookmark57"/>
      <w:bookmarkEnd w:id="48"/>
      <w:bookmarkEnd w:id="49"/>
      <w:r w:rsidRPr="004C24C6">
        <w:rPr>
          <w:highlight w:val="magenta"/>
        </w:rPr>
        <w:t>Effects on the</w:t>
      </w:r>
      <w:r w:rsidRPr="004C24C6">
        <w:rPr>
          <w:spacing w:val="-2"/>
          <w:highlight w:val="magenta"/>
        </w:rPr>
        <w:t xml:space="preserve"> </w:t>
      </w:r>
      <w:r w:rsidRPr="004C24C6">
        <w:rPr>
          <w:highlight w:val="magenta"/>
        </w:rPr>
        <w:t>Thymus</w:t>
      </w:r>
    </w:p>
    <w:p w:rsidR="00D436A3" w:rsidRDefault="008C31BA">
      <w:pPr>
        <w:pStyle w:val="a3"/>
        <w:spacing w:before="140" w:line="261" w:lineRule="auto"/>
        <w:ind w:left="232" w:right="1617"/>
      </w:pPr>
      <w:r w:rsidRPr="004C24C6">
        <w:rPr>
          <w:highlight w:val="magenta"/>
        </w:rPr>
        <w:t>In the 4-week repeated dose study, 3 male animals showed slight to moderate atrophy in the thymus at the 30 mg/kg dose level. This histological finding was reversible by the end of the 6-week recovery period.</w:t>
      </w:r>
      <w:r>
        <w:t xml:space="preserve"> The cause of this finding has not been identified, however, it was speculated that it might be associated with prolonged inhibition of B cell mediated immune responses by </w:t>
      </w:r>
      <w:r w:rsidR="004C24C6">
        <w:t>PROJECT 9</w:t>
      </w:r>
      <w:r>
        <w:t>, since similar changes have been observed with other immuno- suppressive drugs. In addition, the thymic atrophy occurred at systemic exposures that are estimated to be 154-fold higher than the estimated human systemic exposure at the clinically efficacious dose. Accordingly, the risk of adverse effect on the thymus in the clinical study is considered minimal.</w:t>
      </w:r>
    </w:p>
    <w:p w:rsidR="00D436A3" w:rsidRPr="004C24C6" w:rsidRDefault="008C31BA">
      <w:pPr>
        <w:pStyle w:val="3"/>
        <w:numPr>
          <w:ilvl w:val="3"/>
          <w:numId w:val="11"/>
        </w:numPr>
        <w:tabs>
          <w:tab w:val="left" w:pos="1085"/>
        </w:tabs>
        <w:spacing w:before="117"/>
        <w:rPr>
          <w:highlight w:val="magenta"/>
        </w:rPr>
      </w:pPr>
      <w:bookmarkStart w:id="50" w:name="4.4.2.6_Effects_on_the_Gallbladder"/>
      <w:bookmarkStart w:id="51" w:name="_bookmark58"/>
      <w:bookmarkEnd w:id="50"/>
      <w:bookmarkEnd w:id="51"/>
      <w:r w:rsidRPr="004C24C6">
        <w:rPr>
          <w:highlight w:val="magenta"/>
        </w:rPr>
        <w:t>Effects on the Gallbladder</w:t>
      </w:r>
    </w:p>
    <w:p w:rsidR="00D436A3" w:rsidRDefault="008C31BA">
      <w:pPr>
        <w:pStyle w:val="a3"/>
        <w:spacing w:before="139" w:line="261" w:lineRule="auto"/>
        <w:ind w:left="232" w:right="1708"/>
      </w:pPr>
      <w:r w:rsidRPr="004C24C6">
        <w:rPr>
          <w:highlight w:val="magenta"/>
        </w:rPr>
        <w:t>In the 4-week repeated dose study, 1 male animal showed very slight to moderate edema and mixed inflammatory cell infiltration in the subserosa and lamina propria of the gallbladder at the 30 mg/kg dose level. These histological findings were reversible prior to the end of the 6-week recovery period.</w:t>
      </w:r>
      <w:r>
        <w:t xml:space="preserve"> The cause of this finding has not been identified, however, it was speculated that these changes may be immunogenicity-related since they were only seen in the animal that was ADA-positive.</w:t>
      </w:r>
    </w:p>
    <w:p w:rsidR="00D436A3" w:rsidRPr="004C24C6" w:rsidRDefault="008C31BA">
      <w:pPr>
        <w:pStyle w:val="3"/>
        <w:numPr>
          <w:ilvl w:val="3"/>
          <w:numId w:val="11"/>
        </w:numPr>
        <w:tabs>
          <w:tab w:val="left" w:pos="1085"/>
        </w:tabs>
        <w:spacing w:before="120"/>
        <w:rPr>
          <w:highlight w:val="magenta"/>
        </w:rPr>
      </w:pPr>
      <w:bookmarkStart w:id="52" w:name="4.4.2.7_Effects_on_the_Urinary_Bladder"/>
      <w:bookmarkStart w:id="53" w:name="_bookmark59"/>
      <w:bookmarkEnd w:id="52"/>
      <w:bookmarkEnd w:id="53"/>
      <w:r w:rsidRPr="004C24C6">
        <w:rPr>
          <w:highlight w:val="magenta"/>
        </w:rPr>
        <w:t>Effects on the Urinary</w:t>
      </w:r>
      <w:r w:rsidRPr="004C24C6">
        <w:rPr>
          <w:spacing w:val="-1"/>
          <w:highlight w:val="magenta"/>
        </w:rPr>
        <w:t xml:space="preserve"> </w:t>
      </w:r>
      <w:r w:rsidRPr="004C24C6">
        <w:rPr>
          <w:highlight w:val="magenta"/>
        </w:rPr>
        <w:t>Bladder</w:t>
      </w:r>
    </w:p>
    <w:p w:rsidR="00D436A3" w:rsidRDefault="008C31BA" w:rsidP="004C24C6">
      <w:pPr>
        <w:pStyle w:val="a3"/>
        <w:spacing w:before="140" w:line="261" w:lineRule="auto"/>
        <w:ind w:left="232" w:right="2282"/>
      </w:pPr>
      <w:r w:rsidRPr="004C24C6">
        <w:rPr>
          <w:highlight w:val="magenta"/>
        </w:rPr>
        <w:t>In the 4-week repeated dose study, vacuolation in the urothelium was observed at the 30 mg/kg dose level. This histological finding was reversible by the end of the 6-week</w:t>
      </w:r>
      <w:r w:rsidR="004C24C6">
        <w:rPr>
          <w:highlight w:val="magenta"/>
        </w:rPr>
        <w:t xml:space="preserve"> </w:t>
      </w:r>
      <w:r w:rsidRPr="004C24C6">
        <w:rPr>
          <w:highlight w:val="magenta"/>
        </w:rPr>
        <w:t>recovery period.</w:t>
      </w:r>
      <w:r>
        <w:t xml:space="preserve"> The cause of this finding has not been identified; however, the absence of histological findings in the kidney, coupled with no detectable red blood cells in the urine and no increase in urinary protein suggests that the urothelial barrier was not compromised by </w:t>
      </w:r>
      <w:r w:rsidR="004C24C6">
        <w:t>PROJECT 9</w:t>
      </w:r>
      <w:r>
        <w:t>.</w:t>
      </w:r>
    </w:p>
    <w:p w:rsidR="00D436A3" w:rsidRPr="004C24C6" w:rsidRDefault="008C31BA">
      <w:pPr>
        <w:pStyle w:val="3"/>
        <w:numPr>
          <w:ilvl w:val="3"/>
          <w:numId w:val="11"/>
        </w:numPr>
        <w:tabs>
          <w:tab w:val="left" w:pos="1085"/>
        </w:tabs>
        <w:spacing w:before="119"/>
        <w:rPr>
          <w:highlight w:val="magenta"/>
        </w:rPr>
      </w:pPr>
      <w:bookmarkStart w:id="54" w:name="4.4.2.8_Effects_on_the_Spleen"/>
      <w:bookmarkStart w:id="55" w:name="_bookmark60"/>
      <w:bookmarkEnd w:id="54"/>
      <w:bookmarkEnd w:id="55"/>
      <w:r w:rsidRPr="004C24C6">
        <w:rPr>
          <w:highlight w:val="magenta"/>
        </w:rPr>
        <w:t>Effects on the</w:t>
      </w:r>
      <w:r w:rsidRPr="004C24C6">
        <w:rPr>
          <w:spacing w:val="-2"/>
          <w:highlight w:val="magenta"/>
        </w:rPr>
        <w:t xml:space="preserve"> </w:t>
      </w:r>
      <w:r w:rsidRPr="004C24C6">
        <w:rPr>
          <w:highlight w:val="magenta"/>
        </w:rPr>
        <w:t>Spleen</w:t>
      </w:r>
    </w:p>
    <w:p w:rsidR="00D436A3" w:rsidRDefault="008C31BA" w:rsidP="004C24C6">
      <w:pPr>
        <w:pStyle w:val="a3"/>
        <w:spacing w:before="140" w:line="261" w:lineRule="auto"/>
        <w:ind w:left="232" w:right="1603"/>
      </w:pPr>
      <w:r w:rsidRPr="004C24C6">
        <w:rPr>
          <w:highlight w:val="magenta"/>
        </w:rPr>
        <w:t>In the 4-week repeated dose study, one male animal showed very slight histological changes including fibrosis, hemorrhage and brown pigmentation in the capsule in the spleen at the end of the recovery period at the 30 mg/kg dose level.</w:t>
      </w:r>
      <w:r>
        <w:t xml:space="preserve"> The mechanism of these changes has not been identified. However, it was suggested based on the study pathologist’s experience that the enlarged spleen seen during the dosing phase could have increased capsular tension or friction against the surrounding organs, and this might explain the capsular lesions observed</w:t>
      </w:r>
      <w:r w:rsidR="004C24C6">
        <w:t xml:space="preserve"> </w:t>
      </w:r>
      <w:r>
        <w:t>at the end of recovery period. This possible mechanism is also supported by the literature [</w:t>
      </w:r>
      <w:proofErr w:type="spellStart"/>
      <w:r>
        <w:t>Fujitani</w:t>
      </w:r>
      <w:proofErr w:type="spellEnd"/>
      <w:r>
        <w:t xml:space="preserve"> et al, 2004]. While the reversibility of these findings was not confirmed in this study, the findings showed features consistent with repair processes. In addition, the severity and the incidence of this change was minimal and it occurred only in the recovery period and at high systemic exposures (154-fold higher than the estimated human systemic exposure at the clinically efficacious dose). There were no findings in the recovery period in animals dosed at 3 mg/kg. Therefore, it is considered that </w:t>
      </w:r>
      <w:r w:rsidR="004C24C6">
        <w:t>PROJECT 9</w:t>
      </w:r>
      <w:r>
        <w:t xml:space="preserve"> poses a minimal risk of spleen injury to the human subjects.</w:t>
      </w:r>
    </w:p>
    <w:p w:rsidR="00D436A3" w:rsidRPr="004C24C6" w:rsidRDefault="008C31BA">
      <w:pPr>
        <w:pStyle w:val="3"/>
        <w:numPr>
          <w:ilvl w:val="3"/>
          <w:numId w:val="11"/>
        </w:numPr>
        <w:tabs>
          <w:tab w:val="left" w:pos="1085"/>
        </w:tabs>
        <w:spacing w:before="119"/>
        <w:rPr>
          <w:highlight w:val="magenta"/>
        </w:rPr>
      </w:pPr>
      <w:bookmarkStart w:id="56" w:name="4.4.2.9_Effect_on_the_Vasculature_of_the"/>
      <w:bookmarkStart w:id="57" w:name="_bookmark61"/>
      <w:bookmarkEnd w:id="56"/>
      <w:bookmarkEnd w:id="57"/>
      <w:r w:rsidRPr="004C24C6">
        <w:rPr>
          <w:highlight w:val="magenta"/>
        </w:rPr>
        <w:t>Effect on the Vasculature of the Liver and</w:t>
      </w:r>
      <w:r w:rsidRPr="004C24C6">
        <w:rPr>
          <w:spacing w:val="-3"/>
          <w:highlight w:val="magenta"/>
        </w:rPr>
        <w:t xml:space="preserve"> </w:t>
      </w:r>
      <w:r w:rsidRPr="004C24C6">
        <w:rPr>
          <w:highlight w:val="magenta"/>
        </w:rPr>
        <w:t>Gallbladder</w:t>
      </w:r>
    </w:p>
    <w:p w:rsidR="00D436A3" w:rsidRDefault="008C31BA">
      <w:pPr>
        <w:pStyle w:val="a3"/>
        <w:spacing w:before="139" w:line="261" w:lineRule="auto"/>
        <w:ind w:left="232" w:right="1625"/>
      </w:pPr>
      <w:r w:rsidRPr="004C24C6">
        <w:rPr>
          <w:highlight w:val="magenta"/>
        </w:rPr>
        <w:lastRenderedPageBreak/>
        <w:t xml:space="preserve">In the 4-week repeated dose study, very slight to slight histological changes including intimal thickening and perivascular fibrosis in the artery of the liver and in the </w:t>
      </w:r>
      <w:proofErr w:type="spellStart"/>
      <w:r w:rsidRPr="004C24C6">
        <w:rPr>
          <w:highlight w:val="magenta"/>
        </w:rPr>
        <w:t>subserosal</w:t>
      </w:r>
      <w:proofErr w:type="spellEnd"/>
      <w:r w:rsidRPr="004C24C6">
        <w:rPr>
          <w:highlight w:val="magenta"/>
        </w:rPr>
        <w:t xml:space="preserve"> artery of the gallbladder were observed in one male animal that was ADA-positive at the end of recovery period.</w:t>
      </w:r>
      <w:r>
        <w:t xml:space="preserve"> </w:t>
      </w:r>
      <w:r>
        <w:rPr>
          <w:spacing w:val="-3"/>
        </w:rPr>
        <w:t xml:space="preserve">It </w:t>
      </w:r>
      <w:r>
        <w:t xml:space="preserve">has been reported that small to medium-sized arteries or arterioles in submucosal or </w:t>
      </w:r>
      <w:proofErr w:type="spellStart"/>
      <w:r>
        <w:t>subserosal</w:t>
      </w:r>
      <w:proofErr w:type="spellEnd"/>
      <w:r>
        <w:t xml:space="preserve"> vessels in multiple organs including the gallbladder are the most common sites for immune complex-related vascular/perivascular lesion in monkeys [</w:t>
      </w:r>
      <w:proofErr w:type="spellStart"/>
      <w:r>
        <w:t>Rojko</w:t>
      </w:r>
      <w:proofErr w:type="spellEnd"/>
      <w:r>
        <w:t xml:space="preserve"> et al, 2014]. Therefore, it is possible that these findings may be the result of immunogenicity (immune complex-related) changes to </w:t>
      </w:r>
      <w:r w:rsidR="004C24C6">
        <w:t>PROJECT 9</w:t>
      </w:r>
      <w:r>
        <w:t xml:space="preserve"> in cynomolgus monkeys. The risk of a severe immunogenic response clinically appears unlikely since the humanized monoclonal antibody will likely be less immunogenic in</w:t>
      </w:r>
      <w:r>
        <w:rPr>
          <w:spacing w:val="-10"/>
        </w:rPr>
        <w:t xml:space="preserve"> </w:t>
      </w:r>
      <w:r>
        <w:t>humans.</w:t>
      </w:r>
    </w:p>
    <w:p w:rsidR="00D436A3" w:rsidRDefault="008C31BA">
      <w:pPr>
        <w:pStyle w:val="3"/>
        <w:numPr>
          <w:ilvl w:val="3"/>
          <w:numId w:val="11"/>
        </w:numPr>
        <w:tabs>
          <w:tab w:val="left" w:pos="1085"/>
        </w:tabs>
        <w:spacing w:before="117"/>
      </w:pPr>
      <w:bookmarkStart w:id="58" w:name="4.4.2.10_Others"/>
      <w:bookmarkStart w:id="59" w:name="_bookmark62"/>
      <w:bookmarkEnd w:id="58"/>
      <w:bookmarkEnd w:id="59"/>
      <w:r>
        <w:t>Others</w:t>
      </w:r>
    </w:p>
    <w:p w:rsidR="00D436A3" w:rsidRDefault="008C31BA" w:rsidP="008C31BA">
      <w:pPr>
        <w:pStyle w:val="a3"/>
        <w:spacing w:before="139" w:line="261" w:lineRule="auto"/>
        <w:ind w:left="232" w:right="1621"/>
        <w:rPr>
          <w:sz w:val="20"/>
        </w:rPr>
      </w:pPr>
      <w:r>
        <w:t xml:space="preserve">In the in vitro tissue cross-reactivity study in human tissues, unanticipated cross-reactivity of </w:t>
      </w:r>
      <w:r w:rsidR="004C24C6">
        <w:t>PROJECT 9</w:t>
      </w:r>
      <w:r>
        <w:t xml:space="preserve"> was observed in the membrane of ductal epithelium of the salivary gland. This cross-reactivity was not observed in the study using cynomolgus monkey tissues. Monitoring of clinical signs such as excess salivation or dry mouth should be considered in the first-in- human study.</w:t>
      </w:r>
    </w:p>
    <w:p w:rsidR="00D436A3" w:rsidRDefault="008C31BA">
      <w:pPr>
        <w:pStyle w:val="3"/>
        <w:tabs>
          <w:tab w:val="left" w:pos="1651"/>
        </w:tabs>
        <w:spacing w:before="206"/>
        <w:ind w:left="232" w:firstLine="0"/>
      </w:pPr>
      <w:bookmarkStart w:id="60" w:name="_bookmark63"/>
      <w:bookmarkEnd w:id="60"/>
      <w:r>
        <w:t>Table</w:t>
      </w:r>
      <w:r>
        <w:rPr>
          <w:spacing w:val="-1"/>
        </w:rPr>
        <w:t xml:space="preserve"> </w:t>
      </w:r>
      <w:r>
        <w:t>2</w:t>
      </w:r>
      <w:r>
        <w:tab/>
        <w:t>Potential Safety Concerns of</w:t>
      </w:r>
      <w:r>
        <w:rPr>
          <w:spacing w:val="-2"/>
        </w:rPr>
        <w:t xml:space="preserve"> </w:t>
      </w:r>
      <w:r w:rsidR="004C24C6">
        <w:t>PROJECT 9</w:t>
      </w:r>
    </w:p>
    <w:p w:rsidR="00D436A3" w:rsidRDefault="00D436A3">
      <w:pPr>
        <w:pStyle w:val="a3"/>
        <w:spacing w:before="5"/>
        <w:rPr>
          <w:b/>
          <w:sz w:val="5"/>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94"/>
        <w:gridCol w:w="4118"/>
        <w:gridCol w:w="3720"/>
      </w:tblGrid>
      <w:tr w:rsidR="00D436A3">
        <w:trPr>
          <w:trHeight w:val="520"/>
        </w:trPr>
        <w:tc>
          <w:tcPr>
            <w:tcW w:w="1394" w:type="dxa"/>
          </w:tcPr>
          <w:p w:rsidR="00D436A3" w:rsidRDefault="008C31BA">
            <w:pPr>
              <w:pStyle w:val="TableParagraph"/>
              <w:ind w:left="107" w:right="319"/>
              <w:jc w:val="left"/>
              <w:rPr>
                <w:b/>
                <w:sz w:val="20"/>
              </w:rPr>
            </w:pPr>
            <w:r>
              <w:rPr>
                <w:b/>
                <w:sz w:val="20"/>
              </w:rPr>
              <w:t>Key Safety Targets</w:t>
            </w:r>
          </w:p>
        </w:tc>
        <w:tc>
          <w:tcPr>
            <w:tcW w:w="4118" w:type="dxa"/>
          </w:tcPr>
          <w:p w:rsidR="00D436A3" w:rsidRDefault="008C31BA">
            <w:pPr>
              <w:pStyle w:val="TableParagraph"/>
              <w:spacing w:line="228" w:lineRule="exact"/>
              <w:ind w:left="1293"/>
              <w:jc w:val="left"/>
              <w:rPr>
                <w:b/>
                <w:sz w:val="20"/>
              </w:rPr>
            </w:pPr>
            <w:r>
              <w:rPr>
                <w:b/>
                <w:sz w:val="20"/>
              </w:rPr>
              <w:t>Key Observations</w:t>
            </w:r>
          </w:p>
        </w:tc>
        <w:tc>
          <w:tcPr>
            <w:tcW w:w="3720" w:type="dxa"/>
          </w:tcPr>
          <w:p w:rsidR="00D436A3" w:rsidRDefault="008C31BA">
            <w:pPr>
              <w:pStyle w:val="TableParagraph"/>
              <w:spacing w:line="228" w:lineRule="exact"/>
              <w:ind w:left="108"/>
              <w:jc w:val="left"/>
              <w:rPr>
                <w:b/>
                <w:sz w:val="20"/>
              </w:rPr>
            </w:pPr>
            <w:r>
              <w:rPr>
                <w:b/>
                <w:sz w:val="20"/>
              </w:rPr>
              <w:t>Relevance to Human Usage</w:t>
            </w:r>
          </w:p>
        </w:tc>
      </w:tr>
      <w:tr w:rsidR="00D436A3">
        <w:trPr>
          <w:trHeight w:val="4312"/>
        </w:trPr>
        <w:tc>
          <w:tcPr>
            <w:tcW w:w="1394" w:type="dxa"/>
          </w:tcPr>
          <w:p w:rsidR="00D436A3" w:rsidRDefault="008C31BA">
            <w:pPr>
              <w:pStyle w:val="TableParagraph"/>
              <w:ind w:left="107" w:right="580"/>
              <w:jc w:val="left"/>
              <w:rPr>
                <w:sz w:val="20"/>
              </w:rPr>
            </w:pPr>
            <w:r>
              <w:rPr>
                <w:sz w:val="20"/>
              </w:rPr>
              <w:t>Immune</w:t>
            </w:r>
            <w:r>
              <w:rPr>
                <w:w w:val="99"/>
                <w:sz w:val="20"/>
              </w:rPr>
              <w:t xml:space="preserve"> </w:t>
            </w:r>
            <w:r>
              <w:rPr>
                <w:sz w:val="20"/>
              </w:rPr>
              <w:t>System</w:t>
            </w:r>
          </w:p>
        </w:tc>
        <w:tc>
          <w:tcPr>
            <w:tcW w:w="4118" w:type="dxa"/>
          </w:tcPr>
          <w:p w:rsidR="00D436A3" w:rsidRDefault="008C31BA">
            <w:pPr>
              <w:pStyle w:val="TableParagraph"/>
              <w:spacing w:line="228" w:lineRule="exact"/>
              <w:ind w:left="107"/>
              <w:jc w:val="left"/>
              <w:rPr>
                <w:b/>
                <w:sz w:val="20"/>
              </w:rPr>
            </w:pPr>
            <w:r>
              <w:rPr>
                <w:b/>
                <w:sz w:val="20"/>
              </w:rPr>
              <w:t>30 mg/kg:</w:t>
            </w:r>
          </w:p>
          <w:p w:rsidR="00D436A3" w:rsidRDefault="008C31BA">
            <w:pPr>
              <w:pStyle w:val="TableParagraph"/>
              <w:numPr>
                <w:ilvl w:val="0"/>
                <w:numId w:val="10"/>
              </w:numPr>
              <w:tabs>
                <w:tab w:val="left" w:pos="467"/>
                <w:tab w:val="left" w:pos="468"/>
              </w:tabs>
              <w:spacing w:before="56"/>
              <w:jc w:val="left"/>
              <w:rPr>
                <w:sz w:val="20"/>
              </w:rPr>
            </w:pPr>
            <w:r>
              <w:rPr>
                <w:sz w:val="20"/>
              </w:rPr>
              <w:t>Atrophy in the</w:t>
            </w:r>
            <w:r>
              <w:rPr>
                <w:spacing w:val="-1"/>
                <w:sz w:val="20"/>
              </w:rPr>
              <w:t xml:space="preserve"> </w:t>
            </w:r>
            <w:r>
              <w:rPr>
                <w:sz w:val="20"/>
              </w:rPr>
              <w:t>thymus</w:t>
            </w:r>
          </w:p>
          <w:p w:rsidR="00D436A3" w:rsidRDefault="008C31BA">
            <w:pPr>
              <w:pStyle w:val="TableParagraph"/>
              <w:numPr>
                <w:ilvl w:val="0"/>
                <w:numId w:val="10"/>
              </w:numPr>
              <w:tabs>
                <w:tab w:val="left" w:pos="467"/>
                <w:tab w:val="left" w:pos="468"/>
              </w:tabs>
              <w:spacing w:before="56" w:line="235" w:lineRule="auto"/>
              <w:ind w:right="514"/>
              <w:jc w:val="left"/>
              <w:rPr>
                <w:sz w:val="20"/>
              </w:rPr>
            </w:pPr>
            <w:r>
              <w:rPr>
                <w:sz w:val="20"/>
              </w:rPr>
              <w:t>Edema and mixed inflammatory cell infiltration in the subserosa and</w:t>
            </w:r>
            <w:r>
              <w:rPr>
                <w:spacing w:val="-11"/>
                <w:sz w:val="20"/>
              </w:rPr>
              <w:t xml:space="preserve"> </w:t>
            </w:r>
            <w:r>
              <w:rPr>
                <w:sz w:val="20"/>
              </w:rPr>
              <w:t>lamina propria in the</w:t>
            </w:r>
            <w:r>
              <w:rPr>
                <w:spacing w:val="-1"/>
                <w:sz w:val="20"/>
              </w:rPr>
              <w:t xml:space="preserve"> </w:t>
            </w:r>
            <w:r>
              <w:rPr>
                <w:sz w:val="20"/>
              </w:rPr>
              <w:t>gallbladder</w:t>
            </w:r>
          </w:p>
          <w:p w:rsidR="00D436A3" w:rsidRDefault="008C31BA">
            <w:pPr>
              <w:pStyle w:val="TableParagraph"/>
              <w:numPr>
                <w:ilvl w:val="0"/>
                <w:numId w:val="10"/>
              </w:numPr>
              <w:tabs>
                <w:tab w:val="left" w:pos="467"/>
                <w:tab w:val="left" w:pos="468"/>
              </w:tabs>
              <w:spacing w:before="63" w:line="237" w:lineRule="auto"/>
              <w:ind w:right="234"/>
              <w:jc w:val="left"/>
              <w:rPr>
                <w:sz w:val="20"/>
              </w:rPr>
            </w:pPr>
            <w:r>
              <w:rPr>
                <w:sz w:val="20"/>
              </w:rPr>
              <w:t>Enlargement of the spleen, high organ weight with congestion and hyperplasia of the red pulp in the spleen, hypertrophy of Kupffer cells in the liver, and hypertrophy of sinus histiocytes in the submandibular lymph</w:t>
            </w:r>
            <w:r>
              <w:rPr>
                <w:spacing w:val="-1"/>
                <w:sz w:val="20"/>
              </w:rPr>
              <w:t xml:space="preserve"> </w:t>
            </w:r>
            <w:r>
              <w:rPr>
                <w:sz w:val="20"/>
              </w:rPr>
              <w:t>node</w:t>
            </w:r>
          </w:p>
          <w:p w:rsidR="00D436A3" w:rsidRDefault="008C31BA">
            <w:pPr>
              <w:pStyle w:val="TableParagraph"/>
              <w:numPr>
                <w:ilvl w:val="0"/>
                <w:numId w:val="10"/>
              </w:numPr>
              <w:tabs>
                <w:tab w:val="left" w:pos="467"/>
                <w:tab w:val="left" w:pos="468"/>
              </w:tabs>
              <w:spacing w:before="75" w:line="228" w:lineRule="auto"/>
              <w:ind w:right="364"/>
              <w:jc w:val="left"/>
              <w:rPr>
                <w:sz w:val="20"/>
              </w:rPr>
            </w:pPr>
            <w:r>
              <w:rPr>
                <w:sz w:val="20"/>
              </w:rPr>
              <w:t>Fibrosis, hemorrhage, and brown pigmentation in the capsule in the</w:t>
            </w:r>
            <w:r>
              <w:rPr>
                <w:spacing w:val="-12"/>
                <w:sz w:val="20"/>
              </w:rPr>
              <w:t xml:space="preserve"> </w:t>
            </w:r>
            <w:r>
              <w:rPr>
                <w:sz w:val="20"/>
              </w:rPr>
              <w:t>spleen</w:t>
            </w:r>
          </w:p>
          <w:p w:rsidR="00D436A3" w:rsidRDefault="008C31BA">
            <w:pPr>
              <w:pStyle w:val="TableParagraph"/>
              <w:numPr>
                <w:ilvl w:val="0"/>
                <w:numId w:val="10"/>
              </w:numPr>
              <w:tabs>
                <w:tab w:val="left" w:pos="467"/>
                <w:tab w:val="left" w:pos="468"/>
              </w:tabs>
              <w:spacing w:before="69" w:line="235" w:lineRule="auto"/>
              <w:ind w:right="142"/>
              <w:jc w:val="left"/>
              <w:rPr>
                <w:sz w:val="20"/>
              </w:rPr>
            </w:pPr>
            <w:r>
              <w:rPr>
                <w:sz w:val="20"/>
              </w:rPr>
              <w:t>Intimal thickening and perivascular</w:t>
            </w:r>
            <w:r>
              <w:rPr>
                <w:spacing w:val="-13"/>
                <w:sz w:val="20"/>
              </w:rPr>
              <w:t xml:space="preserve"> </w:t>
            </w:r>
            <w:r>
              <w:rPr>
                <w:sz w:val="20"/>
              </w:rPr>
              <w:t xml:space="preserve">fibrosis in the artery of the liver and in the </w:t>
            </w:r>
            <w:proofErr w:type="spellStart"/>
            <w:r>
              <w:rPr>
                <w:sz w:val="20"/>
              </w:rPr>
              <w:t>subserosal</w:t>
            </w:r>
            <w:proofErr w:type="spellEnd"/>
            <w:r>
              <w:rPr>
                <w:sz w:val="20"/>
              </w:rPr>
              <w:t xml:space="preserve"> artery of the</w:t>
            </w:r>
            <w:r>
              <w:rPr>
                <w:spacing w:val="-3"/>
                <w:sz w:val="20"/>
              </w:rPr>
              <w:t xml:space="preserve"> </w:t>
            </w:r>
            <w:r>
              <w:rPr>
                <w:sz w:val="20"/>
              </w:rPr>
              <w:t>gallbladder</w:t>
            </w:r>
          </w:p>
        </w:tc>
        <w:tc>
          <w:tcPr>
            <w:tcW w:w="3720" w:type="dxa"/>
          </w:tcPr>
          <w:p w:rsidR="00D436A3" w:rsidRDefault="008C31BA">
            <w:pPr>
              <w:pStyle w:val="TableParagraph"/>
              <w:spacing w:line="223" w:lineRule="exact"/>
              <w:ind w:left="108"/>
              <w:jc w:val="left"/>
              <w:rPr>
                <w:sz w:val="20"/>
              </w:rPr>
            </w:pPr>
            <w:r>
              <w:rPr>
                <w:sz w:val="20"/>
              </w:rPr>
              <w:t>Possible</w:t>
            </w:r>
          </w:p>
          <w:p w:rsidR="00D436A3" w:rsidRDefault="008C31BA">
            <w:pPr>
              <w:pStyle w:val="TableParagraph"/>
              <w:numPr>
                <w:ilvl w:val="0"/>
                <w:numId w:val="9"/>
              </w:numPr>
              <w:tabs>
                <w:tab w:val="left" w:pos="444"/>
                <w:tab w:val="left" w:pos="445"/>
              </w:tabs>
              <w:spacing w:before="63" w:line="237" w:lineRule="auto"/>
              <w:ind w:right="365"/>
              <w:jc w:val="left"/>
              <w:rPr>
                <w:sz w:val="20"/>
              </w:rPr>
            </w:pPr>
            <w:r>
              <w:rPr>
                <w:sz w:val="20"/>
              </w:rPr>
              <w:t>Potential risk of infection/decreased ability to fight infections potentially associated with B cell reduction/inhibition and changes in thymus.</w:t>
            </w:r>
          </w:p>
          <w:p w:rsidR="00D436A3" w:rsidRDefault="008C31BA">
            <w:pPr>
              <w:pStyle w:val="TableParagraph"/>
              <w:ind w:left="444" w:right="597"/>
              <w:jc w:val="left"/>
              <w:rPr>
                <w:sz w:val="20"/>
              </w:rPr>
            </w:pPr>
            <w:r>
              <w:rPr>
                <w:sz w:val="20"/>
              </w:rPr>
              <w:t>Possible immunogenicity-related responses:</w:t>
            </w:r>
          </w:p>
          <w:p w:rsidR="00D436A3" w:rsidRDefault="008C31BA">
            <w:pPr>
              <w:pStyle w:val="TableParagraph"/>
              <w:numPr>
                <w:ilvl w:val="0"/>
                <w:numId w:val="9"/>
              </w:numPr>
              <w:tabs>
                <w:tab w:val="left" w:pos="468"/>
                <w:tab w:val="left" w:pos="469"/>
              </w:tabs>
              <w:spacing w:before="62"/>
              <w:ind w:left="468" w:hanging="360"/>
              <w:jc w:val="left"/>
              <w:rPr>
                <w:sz w:val="20"/>
              </w:rPr>
            </w:pPr>
            <w:r>
              <w:rPr>
                <w:sz w:val="20"/>
              </w:rPr>
              <w:t>Increased</w:t>
            </w:r>
            <w:r>
              <w:rPr>
                <w:spacing w:val="-1"/>
                <w:sz w:val="20"/>
              </w:rPr>
              <w:t xml:space="preserve"> </w:t>
            </w:r>
            <w:r>
              <w:rPr>
                <w:sz w:val="20"/>
              </w:rPr>
              <w:t>globulin</w:t>
            </w:r>
          </w:p>
          <w:p w:rsidR="00D436A3" w:rsidRDefault="008C31BA">
            <w:pPr>
              <w:pStyle w:val="TableParagraph"/>
              <w:numPr>
                <w:ilvl w:val="0"/>
                <w:numId w:val="9"/>
              </w:numPr>
              <w:tabs>
                <w:tab w:val="left" w:pos="468"/>
                <w:tab w:val="left" w:pos="469"/>
              </w:tabs>
              <w:spacing w:before="58" w:line="230" w:lineRule="auto"/>
              <w:ind w:left="468" w:right="652" w:hanging="360"/>
              <w:jc w:val="left"/>
              <w:rPr>
                <w:sz w:val="20"/>
              </w:rPr>
            </w:pPr>
            <w:r>
              <w:rPr>
                <w:sz w:val="20"/>
              </w:rPr>
              <w:t>Potential risk of infusion related reactions</w:t>
            </w:r>
          </w:p>
          <w:p w:rsidR="00D436A3" w:rsidRDefault="008C31BA">
            <w:pPr>
              <w:pStyle w:val="TableParagraph"/>
              <w:numPr>
                <w:ilvl w:val="0"/>
                <w:numId w:val="9"/>
              </w:numPr>
              <w:tabs>
                <w:tab w:val="left" w:pos="468"/>
                <w:tab w:val="left" w:pos="469"/>
              </w:tabs>
              <w:spacing w:before="69" w:line="235" w:lineRule="auto"/>
              <w:ind w:left="468" w:right="419" w:hanging="360"/>
              <w:jc w:val="left"/>
              <w:rPr>
                <w:sz w:val="20"/>
              </w:rPr>
            </w:pPr>
            <w:r>
              <w:rPr>
                <w:sz w:val="20"/>
              </w:rPr>
              <w:t>Other phagocytic system related findings in spleen, lymph node and Kupffer cells on the</w:t>
            </w:r>
            <w:r>
              <w:rPr>
                <w:spacing w:val="-2"/>
                <w:sz w:val="20"/>
              </w:rPr>
              <w:t xml:space="preserve"> </w:t>
            </w:r>
            <w:r>
              <w:rPr>
                <w:sz w:val="20"/>
              </w:rPr>
              <w:t>liver</w:t>
            </w:r>
          </w:p>
          <w:p w:rsidR="00D436A3" w:rsidRDefault="008C31BA">
            <w:pPr>
              <w:pStyle w:val="TableParagraph"/>
              <w:numPr>
                <w:ilvl w:val="0"/>
                <w:numId w:val="9"/>
              </w:numPr>
              <w:tabs>
                <w:tab w:val="left" w:pos="468"/>
                <w:tab w:val="left" w:pos="469"/>
              </w:tabs>
              <w:spacing w:before="60"/>
              <w:ind w:left="468" w:hanging="360"/>
              <w:jc w:val="left"/>
              <w:rPr>
                <w:sz w:val="20"/>
              </w:rPr>
            </w:pPr>
            <w:r>
              <w:rPr>
                <w:sz w:val="20"/>
              </w:rPr>
              <w:t>Increased serum total IgG and</w:t>
            </w:r>
            <w:r>
              <w:rPr>
                <w:spacing w:val="-4"/>
                <w:sz w:val="20"/>
              </w:rPr>
              <w:t xml:space="preserve"> </w:t>
            </w:r>
            <w:r>
              <w:rPr>
                <w:sz w:val="20"/>
              </w:rPr>
              <w:t>IgM</w:t>
            </w:r>
          </w:p>
        </w:tc>
      </w:tr>
      <w:tr w:rsidR="00D436A3">
        <w:trPr>
          <w:trHeight w:val="2399"/>
        </w:trPr>
        <w:tc>
          <w:tcPr>
            <w:tcW w:w="1394" w:type="dxa"/>
          </w:tcPr>
          <w:p w:rsidR="00D436A3" w:rsidRDefault="008C31BA">
            <w:pPr>
              <w:pStyle w:val="TableParagraph"/>
              <w:ind w:left="107"/>
              <w:jc w:val="left"/>
              <w:rPr>
                <w:sz w:val="20"/>
              </w:rPr>
            </w:pPr>
            <w:r>
              <w:rPr>
                <w:w w:val="95"/>
                <w:sz w:val="20"/>
              </w:rPr>
              <w:t xml:space="preserve">Hematopoietic </w:t>
            </w:r>
            <w:r>
              <w:rPr>
                <w:sz w:val="20"/>
              </w:rPr>
              <w:t>System</w:t>
            </w:r>
          </w:p>
        </w:tc>
        <w:tc>
          <w:tcPr>
            <w:tcW w:w="4118" w:type="dxa"/>
          </w:tcPr>
          <w:p w:rsidR="00D436A3" w:rsidRDefault="008C31BA">
            <w:pPr>
              <w:pStyle w:val="TableParagraph"/>
              <w:spacing w:line="228" w:lineRule="exact"/>
              <w:ind w:left="107"/>
              <w:jc w:val="left"/>
              <w:rPr>
                <w:b/>
                <w:sz w:val="20"/>
              </w:rPr>
            </w:pPr>
            <w:r>
              <w:rPr>
                <w:b/>
                <w:sz w:val="20"/>
              </w:rPr>
              <w:t>30</w:t>
            </w:r>
            <w:r>
              <w:rPr>
                <w:b/>
                <w:spacing w:val="-6"/>
                <w:sz w:val="20"/>
              </w:rPr>
              <w:t xml:space="preserve"> </w:t>
            </w:r>
            <w:r>
              <w:rPr>
                <w:b/>
                <w:sz w:val="20"/>
              </w:rPr>
              <w:t>mg/kg:</w:t>
            </w:r>
          </w:p>
          <w:p w:rsidR="00D436A3" w:rsidRDefault="008C31BA">
            <w:pPr>
              <w:pStyle w:val="TableParagraph"/>
              <w:numPr>
                <w:ilvl w:val="0"/>
                <w:numId w:val="8"/>
              </w:numPr>
              <w:tabs>
                <w:tab w:val="left" w:pos="467"/>
                <w:tab w:val="left" w:pos="468"/>
              </w:tabs>
              <w:spacing w:before="55"/>
              <w:ind w:right="591"/>
              <w:jc w:val="left"/>
              <w:rPr>
                <w:sz w:val="20"/>
              </w:rPr>
            </w:pPr>
            <w:r>
              <w:rPr>
                <w:sz w:val="20"/>
              </w:rPr>
              <w:t>B-cell reduction (likely mediated by</w:t>
            </w:r>
            <w:r>
              <w:rPr>
                <w:spacing w:val="-9"/>
                <w:sz w:val="20"/>
              </w:rPr>
              <w:t xml:space="preserve"> </w:t>
            </w:r>
            <w:r>
              <w:rPr>
                <w:sz w:val="20"/>
              </w:rPr>
              <w:t>a pharmacological</w:t>
            </w:r>
            <w:r>
              <w:rPr>
                <w:spacing w:val="-1"/>
                <w:sz w:val="20"/>
              </w:rPr>
              <w:t xml:space="preserve"> </w:t>
            </w:r>
            <w:r>
              <w:rPr>
                <w:sz w:val="20"/>
              </w:rPr>
              <w:t>effect)</w:t>
            </w:r>
          </w:p>
          <w:p w:rsidR="00D436A3" w:rsidRDefault="008C31BA">
            <w:pPr>
              <w:pStyle w:val="TableParagraph"/>
              <w:numPr>
                <w:ilvl w:val="0"/>
                <w:numId w:val="8"/>
              </w:numPr>
              <w:tabs>
                <w:tab w:val="left" w:pos="467"/>
                <w:tab w:val="left" w:pos="468"/>
              </w:tabs>
              <w:spacing w:before="61"/>
              <w:jc w:val="left"/>
              <w:rPr>
                <w:sz w:val="20"/>
              </w:rPr>
            </w:pPr>
            <w:r>
              <w:rPr>
                <w:sz w:val="20"/>
              </w:rPr>
              <w:t>Possible immunogenicity-related</w:t>
            </w:r>
            <w:r>
              <w:rPr>
                <w:spacing w:val="-5"/>
                <w:sz w:val="20"/>
              </w:rPr>
              <w:t xml:space="preserve"> </w:t>
            </w:r>
            <w:r>
              <w:rPr>
                <w:sz w:val="20"/>
              </w:rPr>
              <w:t>changes</w:t>
            </w:r>
          </w:p>
          <w:p w:rsidR="00D436A3" w:rsidRDefault="008C31BA">
            <w:pPr>
              <w:pStyle w:val="TableParagraph"/>
              <w:numPr>
                <w:ilvl w:val="1"/>
                <w:numId w:val="8"/>
              </w:numPr>
              <w:tabs>
                <w:tab w:val="left" w:pos="1187"/>
                <w:tab w:val="left" w:pos="1188"/>
              </w:tabs>
              <w:spacing w:before="66" w:line="230" w:lineRule="auto"/>
              <w:ind w:right="434"/>
              <w:jc w:val="left"/>
              <w:rPr>
                <w:sz w:val="20"/>
              </w:rPr>
            </w:pPr>
            <w:r>
              <w:rPr>
                <w:sz w:val="20"/>
              </w:rPr>
              <w:t>Increased reticulocyte ratio, increased eosinophil count and decreased platelet</w:t>
            </w:r>
            <w:r>
              <w:rPr>
                <w:spacing w:val="-2"/>
                <w:sz w:val="20"/>
              </w:rPr>
              <w:t xml:space="preserve"> </w:t>
            </w:r>
            <w:r>
              <w:rPr>
                <w:sz w:val="20"/>
              </w:rPr>
              <w:t>count</w:t>
            </w:r>
          </w:p>
          <w:p w:rsidR="00D436A3" w:rsidRDefault="008C31BA">
            <w:pPr>
              <w:pStyle w:val="TableParagraph"/>
              <w:numPr>
                <w:ilvl w:val="1"/>
                <w:numId w:val="8"/>
              </w:numPr>
              <w:tabs>
                <w:tab w:val="left" w:pos="1187"/>
                <w:tab w:val="left" w:pos="1188"/>
              </w:tabs>
              <w:spacing w:before="75" w:line="223" w:lineRule="auto"/>
              <w:ind w:right="447"/>
              <w:jc w:val="left"/>
              <w:rPr>
                <w:sz w:val="20"/>
              </w:rPr>
            </w:pPr>
            <w:r>
              <w:rPr>
                <w:sz w:val="20"/>
              </w:rPr>
              <w:t>Increased hematopoiesis in the femoral bone</w:t>
            </w:r>
            <w:r>
              <w:rPr>
                <w:spacing w:val="-1"/>
                <w:sz w:val="20"/>
              </w:rPr>
              <w:t xml:space="preserve"> </w:t>
            </w:r>
            <w:r>
              <w:rPr>
                <w:sz w:val="20"/>
              </w:rPr>
              <w:t>marrow</w:t>
            </w:r>
          </w:p>
        </w:tc>
        <w:tc>
          <w:tcPr>
            <w:tcW w:w="3720" w:type="dxa"/>
          </w:tcPr>
          <w:p w:rsidR="00D436A3" w:rsidRDefault="008C31BA">
            <w:pPr>
              <w:pStyle w:val="TableParagraph"/>
              <w:spacing w:line="223" w:lineRule="exact"/>
              <w:ind w:left="108"/>
              <w:jc w:val="left"/>
              <w:rPr>
                <w:sz w:val="20"/>
              </w:rPr>
            </w:pPr>
            <w:r>
              <w:rPr>
                <w:sz w:val="20"/>
              </w:rPr>
              <w:t>Possible</w:t>
            </w:r>
          </w:p>
          <w:p w:rsidR="00D436A3" w:rsidRDefault="008C31BA">
            <w:pPr>
              <w:pStyle w:val="TableParagraph"/>
              <w:numPr>
                <w:ilvl w:val="0"/>
                <w:numId w:val="7"/>
              </w:numPr>
              <w:tabs>
                <w:tab w:val="left" w:pos="468"/>
                <w:tab w:val="left" w:pos="469"/>
              </w:tabs>
              <w:spacing w:before="61"/>
              <w:jc w:val="left"/>
              <w:rPr>
                <w:sz w:val="20"/>
              </w:rPr>
            </w:pPr>
            <w:r>
              <w:rPr>
                <w:sz w:val="20"/>
              </w:rPr>
              <w:t>Increased reticulocyte</w:t>
            </w:r>
            <w:r>
              <w:rPr>
                <w:spacing w:val="-9"/>
                <w:sz w:val="20"/>
              </w:rPr>
              <w:t xml:space="preserve"> </w:t>
            </w:r>
            <w:r>
              <w:rPr>
                <w:sz w:val="20"/>
              </w:rPr>
              <w:t>ratio</w:t>
            </w:r>
          </w:p>
          <w:p w:rsidR="00D436A3" w:rsidRDefault="008C31BA">
            <w:pPr>
              <w:pStyle w:val="TableParagraph"/>
              <w:numPr>
                <w:ilvl w:val="0"/>
                <w:numId w:val="7"/>
              </w:numPr>
              <w:tabs>
                <w:tab w:val="left" w:pos="468"/>
                <w:tab w:val="left" w:pos="469"/>
              </w:tabs>
              <w:spacing w:before="51"/>
              <w:jc w:val="left"/>
              <w:rPr>
                <w:sz w:val="20"/>
              </w:rPr>
            </w:pPr>
            <w:r>
              <w:rPr>
                <w:sz w:val="20"/>
              </w:rPr>
              <w:t>Increased eosinophil</w:t>
            </w:r>
            <w:r>
              <w:rPr>
                <w:spacing w:val="-11"/>
                <w:sz w:val="20"/>
              </w:rPr>
              <w:t xml:space="preserve"> </w:t>
            </w:r>
            <w:r>
              <w:rPr>
                <w:sz w:val="20"/>
              </w:rPr>
              <w:t>count</w:t>
            </w:r>
          </w:p>
          <w:p w:rsidR="00D436A3" w:rsidRDefault="008C31BA">
            <w:pPr>
              <w:pStyle w:val="TableParagraph"/>
              <w:numPr>
                <w:ilvl w:val="0"/>
                <w:numId w:val="7"/>
              </w:numPr>
              <w:tabs>
                <w:tab w:val="left" w:pos="468"/>
                <w:tab w:val="left" w:pos="469"/>
              </w:tabs>
              <w:spacing w:before="50"/>
              <w:jc w:val="left"/>
              <w:rPr>
                <w:sz w:val="20"/>
              </w:rPr>
            </w:pPr>
            <w:r>
              <w:rPr>
                <w:sz w:val="20"/>
              </w:rPr>
              <w:t>Decreased platelet</w:t>
            </w:r>
            <w:r>
              <w:rPr>
                <w:spacing w:val="-1"/>
                <w:sz w:val="20"/>
              </w:rPr>
              <w:t xml:space="preserve"> </w:t>
            </w:r>
            <w:r>
              <w:rPr>
                <w:sz w:val="20"/>
              </w:rPr>
              <w:t>count</w:t>
            </w:r>
          </w:p>
          <w:p w:rsidR="00D436A3" w:rsidRDefault="008C31BA">
            <w:pPr>
              <w:pStyle w:val="TableParagraph"/>
              <w:numPr>
                <w:ilvl w:val="0"/>
                <w:numId w:val="7"/>
              </w:numPr>
              <w:tabs>
                <w:tab w:val="left" w:pos="468"/>
                <w:tab w:val="left" w:pos="469"/>
              </w:tabs>
              <w:spacing w:before="61" w:line="230" w:lineRule="auto"/>
              <w:ind w:right="625"/>
              <w:jc w:val="left"/>
              <w:rPr>
                <w:sz w:val="20"/>
              </w:rPr>
            </w:pPr>
            <w:r>
              <w:rPr>
                <w:sz w:val="20"/>
              </w:rPr>
              <w:t>Increased hematopoiesis in bone marrow</w:t>
            </w:r>
          </w:p>
        </w:tc>
      </w:tr>
      <w:tr w:rsidR="00D436A3">
        <w:trPr>
          <w:trHeight w:val="863"/>
        </w:trPr>
        <w:tc>
          <w:tcPr>
            <w:tcW w:w="1394" w:type="dxa"/>
          </w:tcPr>
          <w:p w:rsidR="00D436A3" w:rsidRDefault="008C31BA">
            <w:pPr>
              <w:pStyle w:val="TableParagraph"/>
              <w:spacing w:line="223" w:lineRule="exact"/>
              <w:ind w:left="36" w:right="87"/>
              <w:rPr>
                <w:sz w:val="20"/>
              </w:rPr>
            </w:pPr>
            <w:r>
              <w:rPr>
                <w:sz w:val="20"/>
              </w:rPr>
              <w:t>Renal System</w:t>
            </w:r>
          </w:p>
        </w:tc>
        <w:tc>
          <w:tcPr>
            <w:tcW w:w="4118" w:type="dxa"/>
          </w:tcPr>
          <w:p w:rsidR="00D436A3" w:rsidRDefault="008C31BA">
            <w:pPr>
              <w:pStyle w:val="TableParagraph"/>
              <w:spacing w:line="228" w:lineRule="exact"/>
              <w:ind w:left="107"/>
              <w:jc w:val="left"/>
              <w:rPr>
                <w:b/>
                <w:sz w:val="20"/>
              </w:rPr>
            </w:pPr>
            <w:r>
              <w:rPr>
                <w:b/>
                <w:sz w:val="20"/>
              </w:rPr>
              <w:t>30 mg/kg:</w:t>
            </w:r>
          </w:p>
          <w:p w:rsidR="00D436A3" w:rsidRDefault="008C31BA">
            <w:pPr>
              <w:pStyle w:val="TableParagraph"/>
              <w:numPr>
                <w:ilvl w:val="0"/>
                <w:numId w:val="6"/>
              </w:numPr>
              <w:tabs>
                <w:tab w:val="left" w:pos="467"/>
                <w:tab w:val="left" w:pos="468"/>
              </w:tabs>
              <w:spacing w:before="66" w:line="230" w:lineRule="auto"/>
              <w:ind w:right="98"/>
              <w:jc w:val="left"/>
              <w:rPr>
                <w:sz w:val="20"/>
              </w:rPr>
            </w:pPr>
            <w:r>
              <w:rPr>
                <w:sz w:val="20"/>
              </w:rPr>
              <w:t>Vacuolation in the urothelium in the</w:t>
            </w:r>
            <w:r>
              <w:rPr>
                <w:spacing w:val="-13"/>
                <w:sz w:val="20"/>
              </w:rPr>
              <w:t xml:space="preserve"> </w:t>
            </w:r>
            <w:r>
              <w:rPr>
                <w:sz w:val="20"/>
              </w:rPr>
              <w:t>urinary bladder</w:t>
            </w:r>
          </w:p>
        </w:tc>
        <w:tc>
          <w:tcPr>
            <w:tcW w:w="3720" w:type="dxa"/>
          </w:tcPr>
          <w:p w:rsidR="00D436A3" w:rsidRDefault="008C31BA">
            <w:pPr>
              <w:pStyle w:val="TableParagraph"/>
              <w:spacing w:line="223" w:lineRule="exact"/>
              <w:ind w:left="108"/>
              <w:jc w:val="left"/>
              <w:rPr>
                <w:sz w:val="20"/>
              </w:rPr>
            </w:pPr>
            <w:r>
              <w:rPr>
                <w:sz w:val="20"/>
              </w:rPr>
              <w:t>Possible</w:t>
            </w:r>
          </w:p>
          <w:p w:rsidR="00D436A3" w:rsidRDefault="008C31BA">
            <w:pPr>
              <w:pStyle w:val="TableParagraph"/>
              <w:numPr>
                <w:ilvl w:val="0"/>
                <w:numId w:val="5"/>
              </w:numPr>
              <w:tabs>
                <w:tab w:val="left" w:pos="540"/>
                <w:tab w:val="left" w:pos="541"/>
              </w:tabs>
              <w:spacing w:before="70" w:line="230" w:lineRule="auto"/>
              <w:ind w:right="555"/>
              <w:jc w:val="left"/>
              <w:rPr>
                <w:sz w:val="20"/>
              </w:rPr>
            </w:pPr>
            <w:r>
              <w:rPr>
                <w:sz w:val="20"/>
              </w:rPr>
              <w:t>Findings in urinalysis</w:t>
            </w:r>
            <w:r>
              <w:rPr>
                <w:spacing w:val="-11"/>
                <w:sz w:val="20"/>
              </w:rPr>
              <w:t xml:space="preserve"> </w:t>
            </w:r>
            <w:r>
              <w:rPr>
                <w:sz w:val="20"/>
              </w:rPr>
              <w:t>(including proteinuria, blood urea,</w:t>
            </w:r>
            <w:r>
              <w:rPr>
                <w:spacing w:val="-3"/>
                <w:sz w:val="20"/>
              </w:rPr>
              <w:t xml:space="preserve"> </w:t>
            </w:r>
            <w:r>
              <w:rPr>
                <w:sz w:val="20"/>
              </w:rPr>
              <w:t>etc.)</w:t>
            </w:r>
          </w:p>
        </w:tc>
      </w:tr>
      <w:tr w:rsidR="00D436A3">
        <w:trPr>
          <w:trHeight w:val="1326"/>
        </w:trPr>
        <w:tc>
          <w:tcPr>
            <w:tcW w:w="1394" w:type="dxa"/>
          </w:tcPr>
          <w:p w:rsidR="00D436A3" w:rsidRDefault="008C31BA">
            <w:pPr>
              <w:pStyle w:val="TableParagraph"/>
              <w:spacing w:line="225" w:lineRule="exact"/>
              <w:ind w:left="86" w:right="87"/>
              <w:rPr>
                <w:sz w:val="20"/>
              </w:rPr>
            </w:pPr>
            <w:r>
              <w:rPr>
                <w:sz w:val="20"/>
              </w:rPr>
              <w:lastRenderedPageBreak/>
              <w:t>Salivary gland</w:t>
            </w:r>
          </w:p>
        </w:tc>
        <w:tc>
          <w:tcPr>
            <w:tcW w:w="4118" w:type="dxa"/>
          </w:tcPr>
          <w:p w:rsidR="00D436A3" w:rsidRDefault="008C31BA">
            <w:pPr>
              <w:pStyle w:val="TableParagraph"/>
              <w:ind w:left="107" w:right="99"/>
              <w:jc w:val="left"/>
              <w:rPr>
                <w:b/>
                <w:sz w:val="20"/>
              </w:rPr>
            </w:pPr>
            <w:r>
              <w:rPr>
                <w:b/>
                <w:sz w:val="20"/>
              </w:rPr>
              <w:t>Tissue cross-reactivity study in human tissues:</w:t>
            </w:r>
          </w:p>
          <w:p w:rsidR="00D436A3" w:rsidRDefault="008C31BA">
            <w:pPr>
              <w:pStyle w:val="TableParagraph"/>
              <w:numPr>
                <w:ilvl w:val="0"/>
                <w:numId w:val="4"/>
              </w:numPr>
              <w:tabs>
                <w:tab w:val="left" w:pos="467"/>
                <w:tab w:val="left" w:pos="468"/>
              </w:tabs>
              <w:spacing w:before="64" w:line="230" w:lineRule="auto"/>
              <w:ind w:right="246"/>
              <w:jc w:val="left"/>
              <w:rPr>
                <w:sz w:val="20"/>
              </w:rPr>
            </w:pPr>
            <w:r>
              <w:rPr>
                <w:sz w:val="20"/>
              </w:rPr>
              <w:t>Unanticipated cross-reactivity observed</w:t>
            </w:r>
            <w:r>
              <w:rPr>
                <w:spacing w:val="-15"/>
                <w:sz w:val="20"/>
              </w:rPr>
              <w:t xml:space="preserve"> </w:t>
            </w:r>
            <w:r>
              <w:rPr>
                <w:sz w:val="20"/>
              </w:rPr>
              <w:t>in ductal epithelium of the salivary</w:t>
            </w:r>
            <w:r>
              <w:rPr>
                <w:spacing w:val="-6"/>
                <w:sz w:val="20"/>
              </w:rPr>
              <w:t xml:space="preserve"> </w:t>
            </w:r>
            <w:r>
              <w:rPr>
                <w:sz w:val="20"/>
              </w:rPr>
              <w:t>gland.</w:t>
            </w:r>
          </w:p>
        </w:tc>
        <w:tc>
          <w:tcPr>
            <w:tcW w:w="3720" w:type="dxa"/>
          </w:tcPr>
          <w:p w:rsidR="00D436A3" w:rsidRDefault="008C31BA">
            <w:pPr>
              <w:pStyle w:val="TableParagraph"/>
              <w:spacing w:line="225" w:lineRule="exact"/>
              <w:ind w:left="108"/>
              <w:jc w:val="left"/>
              <w:rPr>
                <w:sz w:val="20"/>
              </w:rPr>
            </w:pPr>
            <w:r>
              <w:rPr>
                <w:sz w:val="20"/>
              </w:rPr>
              <w:t>Possible</w:t>
            </w:r>
          </w:p>
          <w:p w:rsidR="00D436A3" w:rsidRDefault="008C31BA">
            <w:pPr>
              <w:pStyle w:val="TableParagraph"/>
              <w:numPr>
                <w:ilvl w:val="0"/>
                <w:numId w:val="3"/>
              </w:numPr>
              <w:tabs>
                <w:tab w:val="left" w:pos="451"/>
                <w:tab w:val="left" w:pos="452"/>
              </w:tabs>
              <w:spacing w:before="66" w:line="235" w:lineRule="auto"/>
              <w:ind w:right="431" w:hanging="343"/>
              <w:jc w:val="left"/>
              <w:rPr>
                <w:sz w:val="20"/>
              </w:rPr>
            </w:pPr>
            <w:r>
              <w:rPr>
                <w:sz w:val="20"/>
              </w:rPr>
              <w:t>Potential risk of salivary related adverse effect suggested from the unanticipated binding to this site</w:t>
            </w:r>
            <w:r>
              <w:rPr>
                <w:spacing w:val="-10"/>
                <w:sz w:val="20"/>
              </w:rPr>
              <w:t xml:space="preserve"> </w:t>
            </w:r>
            <w:r>
              <w:rPr>
                <w:sz w:val="20"/>
              </w:rPr>
              <w:t>in human</w:t>
            </w:r>
            <w:r>
              <w:rPr>
                <w:spacing w:val="-1"/>
                <w:sz w:val="20"/>
              </w:rPr>
              <w:t xml:space="preserve"> </w:t>
            </w:r>
            <w:r>
              <w:rPr>
                <w:sz w:val="20"/>
              </w:rPr>
              <w:t>tissues</w:t>
            </w:r>
          </w:p>
        </w:tc>
      </w:tr>
    </w:tbl>
    <w:p w:rsidR="00D436A3" w:rsidRDefault="008C31BA">
      <w:pPr>
        <w:spacing w:before="54"/>
        <w:ind w:left="232"/>
        <w:rPr>
          <w:sz w:val="20"/>
        </w:rPr>
      </w:pPr>
      <w:r>
        <w:rPr>
          <w:sz w:val="20"/>
        </w:rPr>
        <w:t>Ig: immunoglobulin</w:t>
      </w:r>
    </w:p>
    <w:p w:rsidR="00D436A3" w:rsidRDefault="00D436A3">
      <w:pPr>
        <w:pStyle w:val="a3"/>
        <w:rPr>
          <w:sz w:val="22"/>
        </w:rPr>
      </w:pPr>
    </w:p>
    <w:p w:rsidR="00D436A3" w:rsidRDefault="008C31BA">
      <w:pPr>
        <w:pStyle w:val="2"/>
        <w:numPr>
          <w:ilvl w:val="1"/>
          <w:numId w:val="11"/>
        </w:numPr>
        <w:tabs>
          <w:tab w:val="left" w:pos="1084"/>
          <w:tab w:val="left" w:pos="1085"/>
        </w:tabs>
        <w:spacing w:before="162"/>
      </w:pPr>
      <w:bookmarkStart w:id="61" w:name="4.5_Conclusions"/>
      <w:bookmarkStart w:id="62" w:name="_bookmark64"/>
      <w:bookmarkEnd w:id="61"/>
      <w:bookmarkEnd w:id="62"/>
      <w:r>
        <w:t>Conclusions</w:t>
      </w:r>
    </w:p>
    <w:p w:rsidR="00D436A3" w:rsidRDefault="008C31BA" w:rsidP="008C31BA">
      <w:pPr>
        <w:pStyle w:val="a3"/>
        <w:spacing w:before="140" w:line="261" w:lineRule="auto"/>
        <w:ind w:left="232" w:right="1605"/>
        <w:rPr>
          <w:sz w:val="20"/>
        </w:rPr>
      </w:pPr>
      <w:r>
        <w:t xml:space="preserve">The currently available nonclinical pharmacology data and safety data support further clinical development of </w:t>
      </w:r>
      <w:r w:rsidR="004C24C6">
        <w:t>PROJECT 9</w:t>
      </w:r>
      <w:r>
        <w:t>. Monitoring for declines in circulating B cell counts, as well as for immunogenic side effects secondary to anti-</w:t>
      </w:r>
      <w:r w:rsidR="004C24C6">
        <w:t>PROJECT 9</w:t>
      </w:r>
      <w:r>
        <w:t xml:space="preserve"> antibody formation, and effects on salivary glands (excess salivation or dry mouth) should be considered in the clinical studies.</w:t>
      </w:r>
    </w:p>
    <w:p w:rsidR="00D436A3" w:rsidRDefault="008C31BA">
      <w:pPr>
        <w:pStyle w:val="3"/>
        <w:spacing w:before="232"/>
        <w:ind w:left="232" w:firstLine="0"/>
      </w:pPr>
      <w:r>
        <w:t>List of References</w:t>
      </w:r>
    </w:p>
    <w:p w:rsidR="00D436A3" w:rsidRDefault="008C31BA">
      <w:pPr>
        <w:spacing w:before="115" w:line="252" w:lineRule="exact"/>
        <w:ind w:left="232"/>
      </w:pPr>
      <w:r>
        <w:t>Davies B, Morris T. Physiological parameters in laboratory animals and humans. Pharm Res.</w:t>
      </w:r>
    </w:p>
    <w:p w:rsidR="00D436A3" w:rsidRDefault="008C31BA">
      <w:pPr>
        <w:spacing w:line="252" w:lineRule="exact"/>
        <w:ind w:left="799"/>
      </w:pPr>
      <w:r>
        <w:t>1993;10(7):1093-5.</w:t>
      </w:r>
    </w:p>
    <w:p w:rsidR="00D436A3" w:rsidRDefault="00D436A3">
      <w:pPr>
        <w:pStyle w:val="a3"/>
        <w:rPr>
          <w:sz w:val="21"/>
        </w:rPr>
      </w:pPr>
    </w:p>
    <w:p w:rsidR="00D436A3" w:rsidRDefault="008C31BA">
      <w:pPr>
        <w:spacing w:line="252" w:lineRule="exact"/>
        <w:ind w:left="232"/>
      </w:pPr>
      <w:proofErr w:type="spellStart"/>
      <w:r>
        <w:t>Fujitani</w:t>
      </w:r>
      <w:proofErr w:type="spellEnd"/>
      <w:r>
        <w:t xml:space="preserve"> T, Tada Y, </w:t>
      </w:r>
      <w:proofErr w:type="spellStart"/>
      <w:r>
        <w:t>Yoneyama</w:t>
      </w:r>
      <w:proofErr w:type="spellEnd"/>
      <w:r>
        <w:t xml:space="preserve"> M. </w:t>
      </w:r>
      <w:proofErr w:type="spellStart"/>
      <w:r>
        <w:t>Chlorpropham</w:t>
      </w:r>
      <w:proofErr w:type="spellEnd"/>
      <w:r>
        <w:t xml:space="preserve">-induced </w:t>
      </w:r>
      <w:proofErr w:type="spellStart"/>
      <w:r>
        <w:t>splenotoxicity</w:t>
      </w:r>
      <w:proofErr w:type="spellEnd"/>
      <w:r>
        <w:t xml:space="preserve"> and its recovery in rats.</w:t>
      </w:r>
    </w:p>
    <w:p w:rsidR="00D436A3" w:rsidRDefault="008C31BA">
      <w:pPr>
        <w:spacing w:line="252" w:lineRule="exact"/>
        <w:ind w:left="799"/>
      </w:pPr>
      <w:r>
        <w:t xml:space="preserve">Food Chem </w:t>
      </w:r>
      <w:proofErr w:type="spellStart"/>
      <w:r>
        <w:t>Toxicol</w:t>
      </w:r>
      <w:proofErr w:type="spellEnd"/>
      <w:r>
        <w:t>. 2004;42(9):1469-77.</w:t>
      </w:r>
    </w:p>
    <w:p w:rsidR="00D436A3" w:rsidRDefault="00D436A3">
      <w:pPr>
        <w:pStyle w:val="a3"/>
        <w:rPr>
          <w:sz w:val="21"/>
        </w:rPr>
      </w:pPr>
    </w:p>
    <w:p w:rsidR="00D436A3" w:rsidRDefault="008C31BA" w:rsidP="008C31BA">
      <w:pPr>
        <w:ind w:left="799" w:right="1626" w:hanging="567"/>
        <w:rPr>
          <w:sz w:val="20"/>
        </w:rPr>
      </w:pPr>
      <w:proofErr w:type="spellStart"/>
      <w:r>
        <w:t>Rojko</w:t>
      </w:r>
      <w:proofErr w:type="spellEnd"/>
      <w:r>
        <w:t xml:space="preserve"> JL, Evans MG, Price SA, Han B, </w:t>
      </w:r>
      <w:proofErr w:type="spellStart"/>
      <w:r>
        <w:t>Waine</w:t>
      </w:r>
      <w:proofErr w:type="spellEnd"/>
      <w:r>
        <w:t xml:space="preserve"> G, </w:t>
      </w:r>
      <w:proofErr w:type="spellStart"/>
      <w:r>
        <w:t>DeWitte</w:t>
      </w:r>
      <w:proofErr w:type="spellEnd"/>
      <w:r>
        <w:t xml:space="preserve"> M, et al. Formation, clearance, deposition, pathogenicity, and identification of biopharmaceutical-related immune complexes: review and case studies. </w:t>
      </w:r>
      <w:proofErr w:type="spellStart"/>
      <w:r>
        <w:t>Toxicol</w:t>
      </w:r>
      <w:proofErr w:type="spellEnd"/>
      <w:r>
        <w:t xml:space="preserve"> </w:t>
      </w:r>
      <w:proofErr w:type="spellStart"/>
      <w:r>
        <w:t>Pathol</w:t>
      </w:r>
      <w:proofErr w:type="spellEnd"/>
      <w:r>
        <w:t>. 2014;42(4):725-64.</w:t>
      </w:r>
    </w:p>
    <w:p w:rsidR="00D436A3" w:rsidRDefault="00D436A3">
      <w:pPr>
        <w:spacing w:before="92"/>
        <w:ind w:right="195"/>
        <w:jc w:val="right"/>
        <w:rPr>
          <w:sz w:val="20"/>
        </w:rPr>
      </w:pPr>
      <w:bookmarkStart w:id="63" w:name="5_EFFECTS_IN_HUMANS"/>
      <w:bookmarkStart w:id="64" w:name="_bookmark65"/>
      <w:bookmarkEnd w:id="63"/>
      <w:bookmarkEnd w:id="64"/>
    </w:p>
    <w:sectPr w:rsidR="00D436A3">
      <w:headerReference w:type="default" r:id="rId7"/>
      <w:footerReference w:type="default" r:id="rId8"/>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D14" w:rsidRDefault="00B71D14">
      <w:r>
        <w:separator/>
      </w:r>
    </w:p>
  </w:endnote>
  <w:endnote w:type="continuationSeparator" w:id="0">
    <w:p w:rsidR="00B71D14" w:rsidRDefault="00B71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6A3" w:rsidRDefault="00D436A3">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D14" w:rsidRDefault="00B71D14">
      <w:r>
        <w:separator/>
      </w:r>
    </w:p>
  </w:footnote>
  <w:footnote w:type="continuationSeparator" w:id="0">
    <w:p w:rsidR="00B71D14" w:rsidRDefault="00B71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6A3" w:rsidRDefault="00D436A3">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84C"/>
    <w:multiLevelType w:val="multilevel"/>
    <w:tmpl w:val="219CBA20"/>
    <w:lvl w:ilvl="0">
      <w:start w:val="6"/>
      <w:numFmt w:val="decimal"/>
      <w:lvlText w:val="%1"/>
      <w:lvlJc w:val="left"/>
      <w:pPr>
        <w:ind w:left="1365" w:hanging="850"/>
      </w:pPr>
      <w:rPr>
        <w:rFonts w:hint="default"/>
      </w:rPr>
    </w:lvl>
    <w:lvl w:ilvl="1">
      <w:start w:val="1"/>
      <w:numFmt w:val="decimal"/>
      <w:lvlText w:val="%1.%2"/>
      <w:lvlJc w:val="left"/>
      <w:pPr>
        <w:ind w:left="1365" w:hanging="850"/>
      </w:pPr>
      <w:rPr>
        <w:rFonts w:ascii="Times New Roman" w:eastAsia="Times New Roman" w:hAnsi="Times New Roman" w:cs="Times New Roman" w:hint="default"/>
        <w:w w:val="100"/>
        <w:sz w:val="22"/>
        <w:szCs w:val="22"/>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numFmt w:val="bullet"/>
      <w:lvlText w:val="•"/>
      <w:lvlJc w:val="left"/>
      <w:pPr>
        <w:ind w:left="3813" w:hanging="994"/>
      </w:pPr>
      <w:rPr>
        <w:rFonts w:hint="default"/>
      </w:rPr>
    </w:lvl>
    <w:lvl w:ilvl="4">
      <w:numFmt w:val="bullet"/>
      <w:lvlText w:val="•"/>
      <w:lvlJc w:val="left"/>
      <w:pPr>
        <w:ind w:left="4820" w:hanging="994"/>
      </w:pPr>
      <w:rPr>
        <w:rFonts w:hint="default"/>
      </w:rPr>
    </w:lvl>
    <w:lvl w:ilvl="5">
      <w:numFmt w:val="bullet"/>
      <w:lvlText w:val="•"/>
      <w:lvlJc w:val="left"/>
      <w:pPr>
        <w:ind w:left="5826" w:hanging="994"/>
      </w:pPr>
      <w:rPr>
        <w:rFonts w:hint="default"/>
      </w:rPr>
    </w:lvl>
    <w:lvl w:ilvl="6">
      <w:numFmt w:val="bullet"/>
      <w:lvlText w:val="•"/>
      <w:lvlJc w:val="left"/>
      <w:pPr>
        <w:ind w:left="6833" w:hanging="994"/>
      </w:pPr>
      <w:rPr>
        <w:rFonts w:hint="default"/>
      </w:rPr>
    </w:lvl>
    <w:lvl w:ilvl="7">
      <w:numFmt w:val="bullet"/>
      <w:lvlText w:val="•"/>
      <w:lvlJc w:val="left"/>
      <w:pPr>
        <w:ind w:left="7840" w:hanging="994"/>
      </w:pPr>
      <w:rPr>
        <w:rFonts w:hint="default"/>
      </w:rPr>
    </w:lvl>
    <w:lvl w:ilvl="8">
      <w:numFmt w:val="bullet"/>
      <w:lvlText w:val="•"/>
      <w:lvlJc w:val="left"/>
      <w:pPr>
        <w:ind w:left="8846" w:hanging="994"/>
      </w:pPr>
      <w:rPr>
        <w:rFonts w:hint="default"/>
      </w:rPr>
    </w:lvl>
  </w:abstractNum>
  <w:abstractNum w:abstractNumId="1" w15:restartNumberingAfterBreak="0">
    <w:nsid w:val="0458478B"/>
    <w:multiLevelType w:val="multilevel"/>
    <w:tmpl w:val="E094181A"/>
    <w:lvl w:ilvl="0">
      <w:start w:val="4"/>
      <w:numFmt w:val="decimal"/>
      <w:lvlText w:val="%1"/>
      <w:lvlJc w:val="left"/>
      <w:pPr>
        <w:ind w:left="1084" w:hanging="852"/>
      </w:pPr>
      <w:rPr>
        <w:rFonts w:hint="default"/>
      </w:rPr>
    </w:lvl>
    <w:lvl w:ilvl="1">
      <w:start w:val="1"/>
      <w:numFmt w:val="decimal"/>
      <w:lvlText w:val="%1.%2"/>
      <w:lvlJc w:val="left"/>
      <w:pPr>
        <w:ind w:left="1084" w:hanging="852"/>
      </w:pPr>
      <w:rPr>
        <w:rFonts w:hint="default"/>
      </w:rPr>
    </w:lvl>
    <w:lvl w:ilvl="2">
      <w:start w:val="1"/>
      <w:numFmt w:val="decimal"/>
      <w:lvlText w:val="%1.%2.%3"/>
      <w:lvlJc w:val="left"/>
      <w:pPr>
        <w:ind w:left="1084" w:hanging="852"/>
      </w:pPr>
      <w:rPr>
        <w:rFonts w:hint="default"/>
      </w:rPr>
    </w:lvl>
    <w:lvl w:ilvl="3">
      <w:start w:val="2"/>
      <w:numFmt w:val="decimal"/>
      <w:lvlText w:val="%1.%2.%3.%4"/>
      <w:lvlJc w:val="left"/>
      <w:pPr>
        <w:ind w:left="1084"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pPr>
      <w:rPr>
        <w:rFonts w:ascii="Times New Roman" w:eastAsia="Times New Roman" w:hAnsi="Times New Roman" w:cs="Times New Roman" w:hint="default"/>
        <w:b/>
        <w:bCs/>
        <w:spacing w:val="-3"/>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2" w15:restartNumberingAfterBreak="0">
    <w:nsid w:val="04CA585E"/>
    <w:multiLevelType w:val="hybridMultilevel"/>
    <w:tmpl w:val="96140116"/>
    <w:lvl w:ilvl="0" w:tplc="EDD253CA">
      <w:numFmt w:val="bullet"/>
      <w:lvlText w:val=""/>
      <w:lvlJc w:val="left"/>
      <w:pPr>
        <w:ind w:left="468" w:hanging="360"/>
      </w:pPr>
      <w:rPr>
        <w:rFonts w:ascii="Symbol" w:eastAsia="Symbol" w:hAnsi="Symbol" w:cs="Symbol" w:hint="default"/>
        <w:w w:val="100"/>
        <w:sz w:val="24"/>
        <w:szCs w:val="24"/>
      </w:rPr>
    </w:lvl>
    <w:lvl w:ilvl="1" w:tplc="BBAA2392">
      <w:numFmt w:val="bullet"/>
      <w:lvlText w:val="•"/>
      <w:lvlJc w:val="left"/>
      <w:pPr>
        <w:ind w:left="823" w:hanging="360"/>
      </w:pPr>
      <w:rPr>
        <w:rFonts w:hint="default"/>
      </w:rPr>
    </w:lvl>
    <w:lvl w:ilvl="2" w:tplc="F4120B62">
      <w:numFmt w:val="bullet"/>
      <w:lvlText w:val="•"/>
      <w:lvlJc w:val="left"/>
      <w:pPr>
        <w:ind w:left="1187" w:hanging="360"/>
      </w:pPr>
      <w:rPr>
        <w:rFonts w:hint="default"/>
      </w:rPr>
    </w:lvl>
    <w:lvl w:ilvl="3" w:tplc="0F3CF082">
      <w:numFmt w:val="bullet"/>
      <w:lvlText w:val="•"/>
      <w:lvlJc w:val="left"/>
      <w:pPr>
        <w:ind w:left="1551" w:hanging="360"/>
      </w:pPr>
      <w:rPr>
        <w:rFonts w:hint="default"/>
      </w:rPr>
    </w:lvl>
    <w:lvl w:ilvl="4" w:tplc="5F04A59A">
      <w:numFmt w:val="bullet"/>
      <w:lvlText w:val="•"/>
      <w:lvlJc w:val="left"/>
      <w:pPr>
        <w:ind w:left="1915" w:hanging="360"/>
      </w:pPr>
      <w:rPr>
        <w:rFonts w:hint="default"/>
      </w:rPr>
    </w:lvl>
    <w:lvl w:ilvl="5" w:tplc="6F62A0AC">
      <w:numFmt w:val="bullet"/>
      <w:lvlText w:val="•"/>
      <w:lvlJc w:val="left"/>
      <w:pPr>
        <w:ind w:left="2279" w:hanging="360"/>
      </w:pPr>
      <w:rPr>
        <w:rFonts w:hint="default"/>
      </w:rPr>
    </w:lvl>
    <w:lvl w:ilvl="6" w:tplc="52C6ED18">
      <w:numFmt w:val="bullet"/>
      <w:lvlText w:val="•"/>
      <w:lvlJc w:val="left"/>
      <w:pPr>
        <w:ind w:left="2642" w:hanging="360"/>
      </w:pPr>
      <w:rPr>
        <w:rFonts w:hint="default"/>
      </w:rPr>
    </w:lvl>
    <w:lvl w:ilvl="7" w:tplc="494C71A4">
      <w:numFmt w:val="bullet"/>
      <w:lvlText w:val="•"/>
      <w:lvlJc w:val="left"/>
      <w:pPr>
        <w:ind w:left="3006" w:hanging="360"/>
      </w:pPr>
      <w:rPr>
        <w:rFonts w:hint="default"/>
      </w:rPr>
    </w:lvl>
    <w:lvl w:ilvl="8" w:tplc="1A184CCA">
      <w:numFmt w:val="bullet"/>
      <w:lvlText w:val="•"/>
      <w:lvlJc w:val="left"/>
      <w:pPr>
        <w:ind w:left="3370" w:hanging="360"/>
      </w:pPr>
      <w:rPr>
        <w:rFonts w:hint="default"/>
      </w:rPr>
    </w:lvl>
  </w:abstractNum>
  <w:abstractNum w:abstractNumId="3" w15:restartNumberingAfterBreak="0">
    <w:nsid w:val="144718D6"/>
    <w:multiLevelType w:val="multilevel"/>
    <w:tmpl w:val="EE8C02F0"/>
    <w:lvl w:ilvl="0">
      <w:start w:val="6"/>
      <w:numFmt w:val="decimal"/>
      <w:lvlText w:val="%1"/>
      <w:lvlJc w:val="left"/>
      <w:pPr>
        <w:ind w:left="1084" w:hanging="852"/>
      </w:pPr>
      <w:rPr>
        <w:rFonts w:hint="default"/>
      </w:rPr>
    </w:lvl>
    <w:lvl w:ilvl="1">
      <w:start w:val="1"/>
      <w:numFmt w:val="decimal"/>
      <w:lvlText w:val="%1.%2"/>
      <w:lvlJc w:val="left"/>
      <w:pPr>
        <w:ind w:left="1084"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4" w15:restartNumberingAfterBreak="0">
    <w:nsid w:val="195762B6"/>
    <w:multiLevelType w:val="multilevel"/>
    <w:tmpl w:val="0DF49110"/>
    <w:lvl w:ilvl="0">
      <w:start w:val="4"/>
      <w:numFmt w:val="decimal"/>
      <w:lvlText w:val="%1"/>
      <w:lvlJc w:val="left"/>
      <w:pPr>
        <w:ind w:left="1792" w:hanging="994"/>
      </w:pPr>
      <w:rPr>
        <w:rFonts w:hint="default"/>
      </w:rPr>
    </w:lvl>
    <w:lvl w:ilvl="1">
      <w:start w:val="2"/>
      <w:numFmt w:val="decimal"/>
      <w:lvlText w:val="%1.%2"/>
      <w:lvlJc w:val="left"/>
      <w:pPr>
        <w:ind w:left="1792" w:hanging="994"/>
        <w:jc w:val="right"/>
      </w:pPr>
      <w:rPr>
        <w:rFonts w:hint="default"/>
      </w:rPr>
    </w:lvl>
    <w:lvl w:ilvl="2">
      <w:start w:val="5"/>
      <w:numFmt w:val="decimal"/>
      <w:lvlText w:val="%1.%2.%3"/>
      <w:lvlJc w:val="left"/>
      <w:pPr>
        <w:ind w:left="1792" w:hanging="994"/>
      </w:pPr>
      <w:rPr>
        <w:rFonts w:ascii="Times New Roman" w:eastAsia="Times New Roman" w:hAnsi="Times New Roman" w:cs="Times New Roman" w:hint="default"/>
        <w:w w:val="100"/>
        <w:sz w:val="22"/>
        <w:szCs w:val="22"/>
      </w:rPr>
    </w:lvl>
    <w:lvl w:ilvl="3">
      <w:numFmt w:val="bullet"/>
      <w:lvlText w:val="•"/>
      <w:lvlJc w:val="left"/>
      <w:pPr>
        <w:ind w:left="4518" w:hanging="994"/>
      </w:pPr>
      <w:rPr>
        <w:rFonts w:hint="default"/>
      </w:rPr>
    </w:lvl>
    <w:lvl w:ilvl="4">
      <w:numFmt w:val="bullet"/>
      <w:lvlText w:val="•"/>
      <w:lvlJc w:val="left"/>
      <w:pPr>
        <w:ind w:left="5424" w:hanging="994"/>
      </w:pPr>
      <w:rPr>
        <w:rFonts w:hint="default"/>
      </w:rPr>
    </w:lvl>
    <w:lvl w:ilvl="5">
      <w:numFmt w:val="bullet"/>
      <w:lvlText w:val="•"/>
      <w:lvlJc w:val="left"/>
      <w:pPr>
        <w:ind w:left="6330" w:hanging="994"/>
      </w:pPr>
      <w:rPr>
        <w:rFonts w:hint="default"/>
      </w:rPr>
    </w:lvl>
    <w:lvl w:ilvl="6">
      <w:numFmt w:val="bullet"/>
      <w:lvlText w:val="•"/>
      <w:lvlJc w:val="left"/>
      <w:pPr>
        <w:ind w:left="7236" w:hanging="994"/>
      </w:pPr>
      <w:rPr>
        <w:rFonts w:hint="default"/>
      </w:rPr>
    </w:lvl>
    <w:lvl w:ilvl="7">
      <w:numFmt w:val="bullet"/>
      <w:lvlText w:val="•"/>
      <w:lvlJc w:val="left"/>
      <w:pPr>
        <w:ind w:left="8142" w:hanging="994"/>
      </w:pPr>
      <w:rPr>
        <w:rFonts w:hint="default"/>
      </w:rPr>
    </w:lvl>
    <w:lvl w:ilvl="8">
      <w:numFmt w:val="bullet"/>
      <w:lvlText w:val="•"/>
      <w:lvlJc w:val="left"/>
      <w:pPr>
        <w:ind w:left="9048" w:hanging="994"/>
      </w:pPr>
      <w:rPr>
        <w:rFonts w:hint="default"/>
      </w:rPr>
    </w:lvl>
  </w:abstractNum>
  <w:abstractNum w:abstractNumId="5" w15:restartNumberingAfterBreak="0">
    <w:nsid w:val="1C674BB7"/>
    <w:multiLevelType w:val="multilevel"/>
    <w:tmpl w:val="842ABBCC"/>
    <w:lvl w:ilvl="0">
      <w:start w:val="1"/>
      <w:numFmt w:val="decimal"/>
      <w:lvlText w:val="%1"/>
      <w:lvlJc w:val="left"/>
      <w:pPr>
        <w:ind w:left="940" w:hanging="708"/>
      </w:pPr>
      <w:rPr>
        <w:rFonts w:ascii="Times New Roman" w:eastAsia="Times New Roman" w:hAnsi="Times New Roman" w:cs="Times New Roman" w:hint="default"/>
        <w:b/>
        <w:bCs/>
        <w:w w:val="100"/>
        <w:sz w:val="22"/>
        <w:szCs w:val="22"/>
      </w:rPr>
    </w:lvl>
    <w:lvl w:ilvl="1">
      <w:start w:val="1"/>
      <w:numFmt w:val="decimal"/>
      <w:lvlText w:val="%1.%2"/>
      <w:lvlJc w:val="left"/>
      <w:pPr>
        <w:ind w:left="1365" w:hanging="850"/>
      </w:pPr>
      <w:rPr>
        <w:rFonts w:ascii="Times New Roman" w:eastAsia="Times New Roman" w:hAnsi="Times New Roman" w:cs="Times New Roman" w:hint="default"/>
        <w:w w:val="100"/>
        <w:sz w:val="22"/>
        <w:szCs w:val="22"/>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start w:val="1"/>
      <w:numFmt w:val="decimal"/>
      <w:lvlText w:val="%1.%2.%3.%4"/>
      <w:lvlJc w:val="left"/>
      <w:pPr>
        <w:ind w:left="2217" w:hanging="1133"/>
      </w:pPr>
      <w:rPr>
        <w:rFonts w:ascii="Times New Roman" w:eastAsia="Times New Roman" w:hAnsi="Times New Roman" w:cs="Times New Roman" w:hint="default"/>
        <w:w w:val="100"/>
        <w:sz w:val="22"/>
        <w:szCs w:val="22"/>
      </w:rPr>
    </w:lvl>
    <w:lvl w:ilvl="4">
      <w:numFmt w:val="bullet"/>
      <w:lvlText w:val="•"/>
      <w:lvlJc w:val="left"/>
      <w:pPr>
        <w:ind w:left="3454" w:hanging="1133"/>
      </w:pPr>
      <w:rPr>
        <w:rFonts w:hint="default"/>
      </w:rPr>
    </w:lvl>
    <w:lvl w:ilvl="5">
      <w:numFmt w:val="bullet"/>
      <w:lvlText w:val="•"/>
      <w:lvlJc w:val="left"/>
      <w:pPr>
        <w:ind w:left="4688" w:hanging="1133"/>
      </w:pPr>
      <w:rPr>
        <w:rFonts w:hint="default"/>
      </w:rPr>
    </w:lvl>
    <w:lvl w:ilvl="6">
      <w:numFmt w:val="bullet"/>
      <w:lvlText w:val="•"/>
      <w:lvlJc w:val="left"/>
      <w:pPr>
        <w:ind w:left="5922" w:hanging="1133"/>
      </w:pPr>
      <w:rPr>
        <w:rFonts w:hint="default"/>
      </w:rPr>
    </w:lvl>
    <w:lvl w:ilvl="7">
      <w:numFmt w:val="bullet"/>
      <w:lvlText w:val="•"/>
      <w:lvlJc w:val="left"/>
      <w:pPr>
        <w:ind w:left="7157" w:hanging="1133"/>
      </w:pPr>
      <w:rPr>
        <w:rFonts w:hint="default"/>
      </w:rPr>
    </w:lvl>
    <w:lvl w:ilvl="8">
      <w:numFmt w:val="bullet"/>
      <w:lvlText w:val="•"/>
      <w:lvlJc w:val="left"/>
      <w:pPr>
        <w:ind w:left="8391" w:hanging="1133"/>
      </w:pPr>
      <w:rPr>
        <w:rFonts w:hint="default"/>
      </w:rPr>
    </w:lvl>
  </w:abstractNum>
  <w:abstractNum w:abstractNumId="6" w15:restartNumberingAfterBreak="0">
    <w:nsid w:val="1D6853F7"/>
    <w:multiLevelType w:val="hybridMultilevel"/>
    <w:tmpl w:val="FFDC679C"/>
    <w:lvl w:ilvl="0" w:tplc="530437D8">
      <w:numFmt w:val="bullet"/>
      <w:lvlText w:val=""/>
      <w:lvlJc w:val="left"/>
      <w:pPr>
        <w:ind w:left="468" w:hanging="360"/>
      </w:pPr>
      <w:rPr>
        <w:rFonts w:ascii="Symbol" w:eastAsia="Symbol" w:hAnsi="Symbol" w:cs="Symbol" w:hint="default"/>
        <w:w w:val="100"/>
        <w:sz w:val="24"/>
        <w:szCs w:val="24"/>
      </w:rPr>
    </w:lvl>
    <w:lvl w:ilvl="1" w:tplc="DDB89EDC">
      <w:numFmt w:val="bullet"/>
      <w:lvlText w:val="•"/>
      <w:lvlJc w:val="left"/>
      <w:pPr>
        <w:ind w:left="823" w:hanging="360"/>
      </w:pPr>
      <w:rPr>
        <w:rFonts w:hint="default"/>
      </w:rPr>
    </w:lvl>
    <w:lvl w:ilvl="2" w:tplc="0BD44800">
      <w:numFmt w:val="bullet"/>
      <w:lvlText w:val="•"/>
      <w:lvlJc w:val="left"/>
      <w:pPr>
        <w:ind w:left="1187" w:hanging="360"/>
      </w:pPr>
      <w:rPr>
        <w:rFonts w:hint="default"/>
      </w:rPr>
    </w:lvl>
    <w:lvl w:ilvl="3" w:tplc="95882EEC">
      <w:numFmt w:val="bullet"/>
      <w:lvlText w:val="•"/>
      <w:lvlJc w:val="left"/>
      <w:pPr>
        <w:ind w:left="1551" w:hanging="360"/>
      </w:pPr>
      <w:rPr>
        <w:rFonts w:hint="default"/>
      </w:rPr>
    </w:lvl>
    <w:lvl w:ilvl="4" w:tplc="84506192">
      <w:numFmt w:val="bullet"/>
      <w:lvlText w:val="•"/>
      <w:lvlJc w:val="left"/>
      <w:pPr>
        <w:ind w:left="1915" w:hanging="360"/>
      </w:pPr>
      <w:rPr>
        <w:rFonts w:hint="default"/>
      </w:rPr>
    </w:lvl>
    <w:lvl w:ilvl="5" w:tplc="8BAE1100">
      <w:numFmt w:val="bullet"/>
      <w:lvlText w:val="•"/>
      <w:lvlJc w:val="left"/>
      <w:pPr>
        <w:ind w:left="2279" w:hanging="360"/>
      </w:pPr>
      <w:rPr>
        <w:rFonts w:hint="default"/>
      </w:rPr>
    </w:lvl>
    <w:lvl w:ilvl="6" w:tplc="6CD8FF3A">
      <w:numFmt w:val="bullet"/>
      <w:lvlText w:val="•"/>
      <w:lvlJc w:val="left"/>
      <w:pPr>
        <w:ind w:left="2642" w:hanging="360"/>
      </w:pPr>
      <w:rPr>
        <w:rFonts w:hint="default"/>
      </w:rPr>
    </w:lvl>
    <w:lvl w:ilvl="7" w:tplc="E9D65B72">
      <w:numFmt w:val="bullet"/>
      <w:lvlText w:val="•"/>
      <w:lvlJc w:val="left"/>
      <w:pPr>
        <w:ind w:left="3006" w:hanging="360"/>
      </w:pPr>
      <w:rPr>
        <w:rFonts w:hint="default"/>
      </w:rPr>
    </w:lvl>
    <w:lvl w:ilvl="8" w:tplc="AC04A104">
      <w:numFmt w:val="bullet"/>
      <w:lvlText w:val="•"/>
      <w:lvlJc w:val="left"/>
      <w:pPr>
        <w:ind w:left="3370" w:hanging="360"/>
      </w:pPr>
      <w:rPr>
        <w:rFonts w:hint="default"/>
      </w:rPr>
    </w:lvl>
  </w:abstractNum>
  <w:abstractNum w:abstractNumId="7" w15:restartNumberingAfterBreak="0">
    <w:nsid w:val="1EC92EDC"/>
    <w:multiLevelType w:val="hybridMultilevel"/>
    <w:tmpl w:val="E8B4DAAC"/>
    <w:lvl w:ilvl="0" w:tplc="8156558C">
      <w:numFmt w:val="bullet"/>
      <w:lvlText w:val=""/>
      <w:lvlJc w:val="left"/>
      <w:pPr>
        <w:ind w:left="468" w:hanging="360"/>
      </w:pPr>
      <w:rPr>
        <w:rFonts w:ascii="Symbol" w:eastAsia="Symbol" w:hAnsi="Symbol" w:cs="Symbol" w:hint="default"/>
        <w:w w:val="99"/>
        <w:sz w:val="20"/>
        <w:szCs w:val="20"/>
      </w:rPr>
    </w:lvl>
    <w:lvl w:ilvl="1" w:tplc="7040A4B0">
      <w:numFmt w:val="bullet"/>
      <w:lvlText w:val="o"/>
      <w:lvlJc w:val="left"/>
      <w:pPr>
        <w:ind w:left="1188" w:hanging="360"/>
      </w:pPr>
      <w:rPr>
        <w:rFonts w:ascii="Courier New" w:eastAsia="Courier New" w:hAnsi="Courier New" w:cs="Courier New" w:hint="default"/>
        <w:w w:val="99"/>
        <w:sz w:val="20"/>
        <w:szCs w:val="20"/>
      </w:rPr>
    </w:lvl>
    <w:lvl w:ilvl="2" w:tplc="8EF492EC">
      <w:numFmt w:val="bullet"/>
      <w:lvlText w:val="•"/>
      <w:lvlJc w:val="left"/>
      <w:pPr>
        <w:ind w:left="1504" w:hanging="360"/>
      </w:pPr>
      <w:rPr>
        <w:rFonts w:hint="default"/>
      </w:rPr>
    </w:lvl>
    <w:lvl w:ilvl="3" w:tplc="F14216FA">
      <w:numFmt w:val="bullet"/>
      <w:lvlText w:val="•"/>
      <w:lvlJc w:val="left"/>
      <w:pPr>
        <w:ind w:left="1828" w:hanging="360"/>
      </w:pPr>
      <w:rPr>
        <w:rFonts w:hint="default"/>
      </w:rPr>
    </w:lvl>
    <w:lvl w:ilvl="4" w:tplc="FAE6FCEE">
      <w:numFmt w:val="bullet"/>
      <w:lvlText w:val="•"/>
      <w:lvlJc w:val="left"/>
      <w:pPr>
        <w:ind w:left="2152" w:hanging="360"/>
      </w:pPr>
      <w:rPr>
        <w:rFonts w:hint="default"/>
      </w:rPr>
    </w:lvl>
    <w:lvl w:ilvl="5" w:tplc="E1FC043E">
      <w:numFmt w:val="bullet"/>
      <w:lvlText w:val="•"/>
      <w:lvlJc w:val="left"/>
      <w:pPr>
        <w:ind w:left="2476" w:hanging="360"/>
      </w:pPr>
      <w:rPr>
        <w:rFonts w:hint="default"/>
      </w:rPr>
    </w:lvl>
    <w:lvl w:ilvl="6" w:tplc="271A8AFC">
      <w:numFmt w:val="bullet"/>
      <w:lvlText w:val="•"/>
      <w:lvlJc w:val="left"/>
      <w:pPr>
        <w:ind w:left="2801" w:hanging="360"/>
      </w:pPr>
      <w:rPr>
        <w:rFonts w:hint="default"/>
      </w:rPr>
    </w:lvl>
    <w:lvl w:ilvl="7" w:tplc="620A7806">
      <w:numFmt w:val="bullet"/>
      <w:lvlText w:val="•"/>
      <w:lvlJc w:val="left"/>
      <w:pPr>
        <w:ind w:left="3125" w:hanging="360"/>
      </w:pPr>
      <w:rPr>
        <w:rFonts w:hint="default"/>
      </w:rPr>
    </w:lvl>
    <w:lvl w:ilvl="8" w:tplc="1CE6F0C8">
      <w:numFmt w:val="bullet"/>
      <w:lvlText w:val="•"/>
      <w:lvlJc w:val="left"/>
      <w:pPr>
        <w:ind w:left="3449" w:hanging="360"/>
      </w:pPr>
      <w:rPr>
        <w:rFonts w:hint="default"/>
      </w:rPr>
    </w:lvl>
  </w:abstractNum>
  <w:abstractNum w:abstractNumId="8" w15:restartNumberingAfterBreak="0">
    <w:nsid w:val="24C54F59"/>
    <w:multiLevelType w:val="multilevel"/>
    <w:tmpl w:val="3536BB2E"/>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1"/>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9" w15:restartNumberingAfterBreak="0">
    <w:nsid w:val="2C894B6A"/>
    <w:multiLevelType w:val="hybridMultilevel"/>
    <w:tmpl w:val="B2B68E24"/>
    <w:lvl w:ilvl="0" w:tplc="735AAE4E">
      <w:numFmt w:val="bullet"/>
      <w:lvlText w:val=""/>
      <w:lvlJc w:val="left"/>
      <w:pPr>
        <w:ind w:left="468" w:hanging="360"/>
      </w:pPr>
      <w:rPr>
        <w:rFonts w:ascii="Symbol" w:eastAsia="Symbol" w:hAnsi="Symbol" w:cs="Symbol" w:hint="default"/>
        <w:w w:val="100"/>
        <w:sz w:val="24"/>
        <w:szCs w:val="24"/>
      </w:rPr>
    </w:lvl>
    <w:lvl w:ilvl="1" w:tplc="99328DAE">
      <w:numFmt w:val="bullet"/>
      <w:lvlText w:val="•"/>
      <w:lvlJc w:val="left"/>
      <w:pPr>
        <w:ind w:left="784" w:hanging="360"/>
      </w:pPr>
      <w:rPr>
        <w:rFonts w:hint="default"/>
      </w:rPr>
    </w:lvl>
    <w:lvl w:ilvl="2" w:tplc="BE1E05EA">
      <w:numFmt w:val="bullet"/>
      <w:lvlText w:val="•"/>
      <w:lvlJc w:val="left"/>
      <w:pPr>
        <w:ind w:left="1108" w:hanging="360"/>
      </w:pPr>
      <w:rPr>
        <w:rFonts w:hint="default"/>
      </w:rPr>
    </w:lvl>
    <w:lvl w:ilvl="3" w:tplc="2FC61C44">
      <w:numFmt w:val="bullet"/>
      <w:lvlText w:val="•"/>
      <w:lvlJc w:val="left"/>
      <w:pPr>
        <w:ind w:left="1432" w:hanging="360"/>
      </w:pPr>
      <w:rPr>
        <w:rFonts w:hint="default"/>
      </w:rPr>
    </w:lvl>
    <w:lvl w:ilvl="4" w:tplc="AB009EBC">
      <w:numFmt w:val="bullet"/>
      <w:lvlText w:val="•"/>
      <w:lvlJc w:val="left"/>
      <w:pPr>
        <w:ind w:left="1756" w:hanging="360"/>
      </w:pPr>
      <w:rPr>
        <w:rFonts w:hint="default"/>
      </w:rPr>
    </w:lvl>
    <w:lvl w:ilvl="5" w:tplc="3F38CEB0">
      <w:numFmt w:val="bullet"/>
      <w:lvlText w:val="•"/>
      <w:lvlJc w:val="left"/>
      <w:pPr>
        <w:ind w:left="2080" w:hanging="360"/>
      </w:pPr>
      <w:rPr>
        <w:rFonts w:hint="default"/>
      </w:rPr>
    </w:lvl>
    <w:lvl w:ilvl="6" w:tplc="AEF8D7EE">
      <w:numFmt w:val="bullet"/>
      <w:lvlText w:val="•"/>
      <w:lvlJc w:val="left"/>
      <w:pPr>
        <w:ind w:left="2404" w:hanging="360"/>
      </w:pPr>
      <w:rPr>
        <w:rFonts w:hint="default"/>
      </w:rPr>
    </w:lvl>
    <w:lvl w:ilvl="7" w:tplc="4AC0FEFA">
      <w:numFmt w:val="bullet"/>
      <w:lvlText w:val="•"/>
      <w:lvlJc w:val="left"/>
      <w:pPr>
        <w:ind w:left="2728" w:hanging="360"/>
      </w:pPr>
      <w:rPr>
        <w:rFonts w:hint="default"/>
      </w:rPr>
    </w:lvl>
    <w:lvl w:ilvl="8" w:tplc="609477B8">
      <w:numFmt w:val="bullet"/>
      <w:lvlText w:val="•"/>
      <w:lvlJc w:val="left"/>
      <w:pPr>
        <w:ind w:left="3052" w:hanging="360"/>
      </w:pPr>
      <w:rPr>
        <w:rFonts w:hint="default"/>
      </w:rPr>
    </w:lvl>
  </w:abstractNum>
  <w:abstractNum w:abstractNumId="10" w15:restartNumberingAfterBreak="0">
    <w:nsid w:val="3778392F"/>
    <w:multiLevelType w:val="hybridMultilevel"/>
    <w:tmpl w:val="E2BA8CB4"/>
    <w:lvl w:ilvl="0" w:tplc="3F8EBA02">
      <w:numFmt w:val="bullet"/>
      <w:lvlText w:val=""/>
      <w:lvlJc w:val="left"/>
      <w:pPr>
        <w:ind w:left="451" w:hanging="344"/>
      </w:pPr>
      <w:rPr>
        <w:rFonts w:ascii="Symbol" w:eastAsia="Symbol" w:hAnsi="Symbol" w:cs="Symbol" w:hint="default"/>
        <w:w w:val="100"/>
        <w:sz w:val="24"/>
        <w:szCs w:val="24"/>
      </w:rPr>
    </w:lvl>
    <w:lvl w:ilvl="1" w:tplc="8D5216B4">
      <w:numFmt w:val="bullet"/>
      <w:lvlText w:val="•"/>
      <w:lvlJc w:val="left"/>
      <w:pPr>
        <w:ind w:left="784" w:hanging="344"/>
      </w:pPr>
      <w:rPr>
        <w:rFonts w:hint="default"/>
      </w:rPr>
    </w:lvl>
    <w:lvl w:ilvl="2" w:tplc="3EE2DB02">
      <w:numFmt w:val="bullet"/>
      <w:lvlText w:val="•"/>
      <w:lvlJc w:val="left"/>
      <w:pPr>
        <w:ind w:left="1108" w:hanging="344"/>
      </w:pPr>
      <w:rPr>
        <w:rFonts w:hint="default"/>
      </w:rPr>
    </w:lvl>
    <w:lvl w:ilvl="3" w:tplc="8BC209D8">
      <w:numFmt w:val="bullet"/>
      <w:lvlText w:val="•"/>
      <w:lvlJc w:val="left"/>
      <w:pPr>
        <w:ind w:left="1432" w:hanging="344"/>
      </w:pPr>
      <w:rPr>
        <w:rFonts w:hint="default"/>
      </w:rPr>
    </w:lvl>
    <w:lvl w:ilvl="4" w:tplc="142637A0">
      <w:numFmt w:val="bullet"/>
      <w:lvlText w:val="•"/>
      <w:lvlJc w:val="left"/>
      <w:pPr>
        <w:ind w:left="1756" w:hanging="344"/>
      </w:pPr>
      <w:rPr>
        <w:rFonts w:hint="default"/>
      </w:rPr>
    </w:lvl>
    <w:lvl w:ilvl="5" w:tplc="88269EE2">
      <w:numFmt w:val="bullet"/>
      <w:lvlText w:val="•"/>
      <w:lvlJc w:val="left"/>
      <w:pPr>
        <w:ind w:left="2080" w:hanging="344"/>
      </w:pPr>
      <w:rPr>
        <w:rFonts w:hint="default"/>
      </w:rPr>
    </w:lvl>
    <w:lvl w:ilvl="6" w:tplc="C4D6D004">
      <w:numFmt w:val="bullet"/>
      <w:lvlText w:val="•"/>
      <w:lvlJc w:val="left"/>
      <w:pPr>
        <w:ind w:left="2404" w:hanging="344"/>
      </w:pPr>
      <w:rPr>
        <w:rFonts w:hint="default"/>
      </w:rPr>
    </w:lvl>
    <w:lvl w:ilvl="7" w:tplc="B8A040A8">
      <w:numFmt w:val="bullet"/>
      <w:lvlText w:val="•"/>
      <w:lvlJc w:val="left"/>
      <w:pPr>
        <w:ind w:left="2728" w:hanging="344"/>
      </w:pPr>
      <w:rPr>
        <w:rFonts w:hint="default"/>
      </w:rPr>
    </w:lvl>
    <w:lvl w:ilvl="8" w:tplc="E7DA1564">
      <w:numFmt w:val="bullet"/>
      <w:lvlText w:val="•"/>
      <w:lvlJc w:val="left"/>
      <w:pPr>
        <w:ind w:left="3052" w:hanging="344"/>
      </w:pPr>
      <w:rPr>
        <w:rFonts w:hint="default"/>
      </w:rPr>
    </w:lvl>
  </w:abstractNum>
  <w:abstractNum w:abstractNumId="11" w15:restartNumberingAfterBreak="0">
    <w:nsid w:val="47280506"/>
    <w:multiLevelType w:val="multilevel"/>
    <w:tmpl w:val="6A7C9404"/>
    <w:lvl w:ilvl="0">
      <w:start w:val="4"/>
      <w:numFmt w:val="decimal"/>
      <w:lvlText w:val="%1"/>
      <w:lvlJc w:val="left"/>
      <w:pPr>
        <w:ind w:left="1084" w:hanging="852"/>
      </w:pPr>
      <w:rPr>
        <w:rFonts w:hint="default"/>
      </w:rPr>
    </w:lvl>
    <w:lvl w:ilvl="1">
      <w:start w:val="4"/>
      <w:numFmt w:val="decimal"/>
      <w:lvlText w:val="%1.%2"/>
      <w:lvlJc w:val="left"/>
      <w:pPr>
        <w:ind w:left="1084" w:hanging="852"/>
      </w:pPr>
      <w:rPr>
        <w:rFonts w:hint="default"/>
      </w:rPr>
    </w:lvl>
    <w:lvl w:ilvl="2">
      <w:start w:val="2"/>
      <w:numFmt w:val="decimal"/>
      <w:lvlText w:val="%1.%2.%3"/>
      <w:lvlJc w:val="left"/>
      <w:pPr>
        <w:ind w:left="1084" w:hanging="852"/>
      </w:pPr>
      <w:rPr>
        <w:rFonts w:ascii="Times New Roman" w:eastAsia="Times New Roman" w:hAnsi="Times New Roman" w:cs="Times New Roman" w:hint="default"/>
        <w:b/>
        <w:bCs/>
        <w:w w:val="100"/>
        <w:sz w:val="24"/>
        <w:szCs w:val="24"/>
      </w:rPr>
    </w:lvl>
    <w:lvl w:ilvl="3">
      <w:start w:val="1"/>
      <w:numFmt w:val="decimal"/>
      <w:lvlText w:val="%1.%2.%3.%4"/>
      <w:lvlJc w:val="left"/>
      <w:pPr>
        <w:ind w:left="1084" w:hanging="852"/>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2" w15:restartNumberingAfterBreak="0">
    <w:nsid w:val="497F44F3"/>
    <w:multiLevelType w:val="multilevel"/>
    <w:tmpl w:val="D11E1CB2"/>
    <w:lvl w:ilvl="0">
      <w:start w:val="4"/>
      <w:numFmt w:val="decimal"/>
      <w:lvlText w:val="%1"/>
      <w:lvlJc w:val="left"/>
      <w:pPr>
        <w:ind w:left="1365" w:hanging="1133"/>
      </w:pPr>
      <w:rPr>
        <w:rFonts w:hint="default"/>
      </w:rPr>
    </w:lvl>
    <w:lvl w:ilvl="1">
      <w:start w:val="1"/>
      <w:numFmt w:val="decimal"/>
      <w:lvlText w:val="%1.%2"/>
      <w:lvlJc w:val="left"/>
      <w:pPr>
        <w:ind w:left="1365" w:hanging="1133"/>
      </w:pPr>
      <w:rPr>
        <w:rFonts w:hint="default"/>
      </w:rPr>
    </w:lvl>
    <w:lvl w:ilvl="2">
      <w:start w:val="2"/>
      <w:numFmt w:val="decimal"/>
      <w:lvlText w:val="%1.%2.%3"/>
      <w:lvlJc w:val="left"/>
      <w:pPr>
        <w:ind w:left="1365" w:hanging="1133"/>
      </w:pPr>
      <w:rPr>
        <w:rFonts w:hint="default"/>
      </w:rPr>
    </w:lvl>
    <w:lvl w:ilvl="3">
      <w:start w:val="1"/>
      <w:numFmt w:val="decimal"/>
      <w:lvlText w:val="%1.%2.%3.%4"/>
      <w:lvlJc w:val="left"/>
      <w:pPr>
        <w:ind w:left="1365" w:hanging="1133"/>
      </w:pPr>
      <w:rPr>
        <w:rFonts w:hint="default"/>
      </w:rPr>
    </w:lvl>
    <w:lvl w:ilvl="4">
      <w:start w:val="2"/>
      <w:numFmt w:val="decimal"/>
      <w:lvlText w:val="%1.%2.%3.%4.%5"/>
      <w:lvlJc w:val="left"/>
      <w:pPr>
        <w:ind w:left="1365" w:hanging="1133"/>
      </w:pPr>
      <w:rPr>
        <w:rFonts w:ascii="Times New Roman" w:eastAsia="Times New Roman" w:hAnsi="Times New Roman" w:cs="Times New Roman" w:hint="default"/>
        <w:b/>
        <w:bCs/>
        <w:spacing w:val="-4"/>
        <w:w w:val="100"/>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13" w15:restartNumberingAfterBreak="0">
    <w:nsid w:val="4EF84C08"/>
    <w:multiLevelType w:val="multilevel"/>
    <w:tmpl w:val="5C383F24"/>
    <w:lvl w:ilvl="0">
      <w:start w:val="4"/>
      <w:numFmt w:val="decimal"/>
      <w:lvlText w:val="%1"/>
      <w:lvlJc w:val="left"/>
      <w:pPr>
        <w:ind w:left="2217" w:hanging="1133"/>
        <w:jc w:val="right"/>
      </w:pPr>
      <w:rPr>
        <w:rFonts w:hint="default"/>
      </w:rPr>
    </w:lvl>
    <w:lvl w:ilvl="1">
      <w:start w:val="4"/>
      <w:numFmt w:val="decimal"/>
      <w:lvlText w:val="%1.%2"/>
      <w:lvlJc w:val="left"/>
      <w:pPr>
        <w:ind w:left="2217" w:hanging="1133"/>
        <w:jc w:val="right"/>
      </w:pPr>
      <w:rPr>
        <w:rFonts w:hint="default"/>
      </w:rPr>
    </w:lvl>
    <w:lvl w:ilvl="2">
      <w:start w:val="2"/>
      <w:numFmt w:val="decimal"/>
      <w:lvlText w:val="%1.%2.%3"/>
      <w:lvlJc w:val="left"/>
      <w:pPr>
        <w:ind w:left="2217" w:hanging="1133"/>
      </w:pPr>
      <w:rPr>
        <w:rFonts w:hint="default"/>
      </w:rPr>
    </w:lvl>
    <w:lvl w:ilvl="3">
      <w:start w:val="3"/>
      <w:numFmt w:val="decimal"/>
      <w:lvlText w:val="%1.%2.%3.%4"/>
      <w:lvlJc w:val="left"/>
      <w:pPr>
        <w:ind w:left="2217" w:hanging="1133"/>
      </w:pPr>
      <w:rPr>
        <w:rFonts w:ascii="Times New Roman" w:eastAsia="Times New Roman" w:hAnsi="Times New Roman" w:cs="Times New Roman" w:hint="default"/>
        <w:w w:val="100"/>
        <w:sz w:val="22"/>
        <w:szCs w:val="22"/>
      </w:rPr>
    </w:lvl>
    <w:lvl w:ilvl="4">
      <w:numFmt w:val="bullet"/>
      <w:lvlText w:val="•"/>
      <w:lvlJc w:val="left"/>
      <w:pPr>
        <w:ind w:left="5676" w:hanging="1133"/>
      </w:pPr>
      <w:rPr>
        <w:rFonts w:hint="default"/>
      </w:rPr>
    </w:lvl>
    <w:lvl w:ilvl="5">
      <w:numFmt w:val="bullet"/>
      <w:lvlText w:val="•"/>
      <w:lvlJc w:val="left"/>
      <w:pPr>
        <w:ind w:left="6540" w:hanging="1133"/>
      </w:pPr>
      <w:rPr>
        <w:rFonts w:hint="default"/>
      </w:rPr>
    </w:lvl>
    <w:lvl w:ilvl="6">
      <w:numFmt w:val="bullet"/>
      <w:lvlText w:val="•"/>
      <w:lvlJc w:val="left"/>
      <w:pPr>
        <w:ind w:left="7404" w:hanging="1133"/>
      </w:pPr>
      <w:rPr>
        <w:rFonts w:hint="default"/>
      </w:rPr>
    </w:lvl>
    <w:lvl w:ilvl="7">
      <w:numFmt w:val="bullet"/>
      <w:lvlText w:val="•"/>
      <w:lvlJc w:val="left"/>
      <w:pPr>
        <w:ind w:left="8268" w:hanging="1133"/>
      </w:pPr>
      <w:rPr>
        <w:rFonts w:hint="default"/>
      </w:rPr>
    </w:lvl>
    <w:lvl w:ilvl="8">
      <w:numFmt w:val="bullet"/>
      <w:lvlText w:val="•"/>
      <w:lvlJc w:val="left"/>
      <w:pPr>
        <w:ind w:left="9132" w:hanging="1133"/>
      </w:pPr>
      <w:rPr>
        <w:rFonts w:hint="default"/>
      </w:rPr>
    </w:lvl>
  </w:abstractNum>
  <w:abstractNum w:abstractNumId="14" w15:restartNumberingAfterBreak="0">
    <w:nsid w:val="506A40E7"/>
    <w:multiLevelType w:val="multilevel"/>
    <w:tmpl w:val="A9E435AA"/>
    <w:lvl w:ilvl="0">
      <w:start w:val="4"/>
      <w:numFmt w:val="decimal"/>
      <w:lvlText w:val="%1"/>
      <w:lvlJc w:val="left"/>
      <w:pPr>
        <w:ind w:left="1087" w:hanging="852"/>
      </w:pPr>
      <w:rPr>
        <w:rFonts w:hint="default"/>
      </w:rPr>
    </w:lvl>
    <w:lvl w:ilvl="1">
      <w:start w:val="1"/>
      <w:numFmt w:val="decimal"/>
      <w:lvlText w:val="%1.%2"/>
      <w:lvlJc w:val="left"/>
      <w:pPr>
        <w:ind w:left="1087" w:hanging="852"/>
      </w:pPr>
      <w:rPr>
        <w:rFonts w:hint="default"/>
      </w:rPr>
    </w:lvl>
    <w:lvl w:ilvl="2">
      <w:start w:val="3"/>
      <w:numFmt w:val="decimal"/>
      <w:lvlText w:val="%1.%2.%3"/>
      <w:lvlJc w:val="left"/>
      <w:pPr>
        <w:ind w:left="1087" w:hanging="852"/>
      </w:pPr>
      <w:rPr>
        <w:rFonts w:ascii="Times New Roman" w:eastAsia="Times New Roman" w:hAnsi="Times New Roman" w:cs="Times New Roman" w:hint="default"/>
        <w:b/>
        <w:bCs/>
        <w:w w:val="99"/>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5" w15:restartNumberingAfterBreak="0">
    <w:nsid w:val="549652C2"/>
    <w:multiLevelType w:val="multilevel"/>
    <w:tmpl w:val="2326BF3E"/>
    <w:lvl w:ilvl="0">
      <w:start w:val="4"/>
      <w:numFmt w:val="decimal"/>
      <w:lvlText w:val="%1"/>
      <w:lvlJc w:val="left"/>
      <w:pPr>
        <w:ind w:left="1792" w:hanging="994"/>
      </w:pPr>
      <w:rPr>
        <w:rFonts w:hint="default"/>
      </w:rPr>
    </w:lvl>
    <w:lvl w:ilvl="1">
      <w:start w:val="4"/>
      <w:numFmt w:val="decimal"/>
      <w:lvlText w:val="%1.%2"/>
      <w:lvlJc w:val="left"/>
      <w:pPr>
        <w:ind w:left="1792" w:hanging="994"/>
      </w:pPr>
      <w:rPr>
        <w:rFonts w:hint="default"/>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numFmt w:val="bullet"/>
      <w:lvlText w:val="•"/>
      <w:lvlJc w:val="left"/>
      <w:pPr>
        <w:ind w:left="4140" w:hanging="994"/>
      </w:pPr>
      <w:rPr>
        <w:rFonts w:hint="default"/>
      </w:rPr>
    </w:lvl>
    <w:lvl w:ilvl="4">
      <w:numFmt w:val="bullet"/>
      <w:lvlText w:val="•"/>
      <w:lvlJc w:val="left"/>
      <w:pPr>
        <w:ind w:left="5100" w:hanging="994"/>
      </w:pPr>
      <w:rPr>
        <w:rFonts w:hint="default"/>
      </w:rPr>
    </w:lvl>
    <w:lvl w:ilvl="5">
      <w:numFmt w:val="bullet"/>
      <w:lvlText w:val="•"/>
      <w:lvlJc w:val="left"/>
      <w:pPr>
        <w:ind w:left="6060" w:hanging="994"/>
      </w:pPr>
      <w:rPr>
        <w:rFonts w:hint="default"/>
      </w:rPr>
    </w:lvl>
    <w:lvl w:ilvl="6">
      <w:numFmt w:val="bullet"/>
      <w:lvlText w:val="•"/>
      <w:lvlJc w:val="left"/>
      <w:pPr>
        <w:ind w:left="7020" w:hanging="994"/>
      </w:pPr>
      <w:rPr>
        <w:rFonts w:hint="default"/>
      </w:rPr>
    </w:lvl>
    <w:lvl w:ilvl="7">
      <w:numFmt w:val="bullet"/>
      <w:lvlText w:val="•"/>
      <w:lvlJc w:val="left"/>
      <w:pPr>
        <w:ind w:left="7980" w:hanging="994"/>
      </w:pPr>
      <w:rPr>
        <w:rFonts w:hint="default"/>
      </w:rPr>
    </w:lvl>
    <w:lvl w:ilvl="8">
      <w:numFmt w:val="bullet"/>
      <w:lvlText w:val="•"/>
      <w:lvlJc w:val="left"/>
      <w:pPr>
        <w:ind w:left="8940" w:hanging="994"/>
      </w:pPr>
      <w:rPr>
        <w:rFonts w:hint="default"/>
      </w:rPr>
    </w:lvl>
  </w:abstractNum>
  <w:abstractNum w:abstractNumId="16" w15:restartNumberingAfterBreak="0">
    <w:nsid w:val="590B4272"/>
    <w:multiLevelType w:val="multilevel"/>
    <w:tmpl w:val="624A3060"/>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2"/>
      <w:numFmt w:val="decimal"/>
      <w:lvlText w:val="%1.%2.%3"/>
      <w:lvlJc w:val="left"/>
      <w:pPr>
        <w:ind w:left="1084" w:hanging="852"/>
      </w:pPr>
      <w:rPr>
        <w:rFonts w:ascii="Times New Roman" w:eastAsia="ＭＳ 明朝" w:hAnsi="Times New Roman" w:cs="Times New Roman" w:hint="default"/>
        <w:b/>
        <w:bCs/>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7" w15:restartNumberingAfterBreak="0">
    <w:nsid w:val="5B675439"/>
    <w:multiLevelType w:val="multilevel"/>
    <w:tmpl w:val="47FE5110"/>
    <w:lvl w:ilvl="0">
      <w:start w:val="4"/>
      <w:numFmt w:val="decimal"/>
      <w:lvlText w:val="%1"/>
      <w:lvlJc w:val="left"/>
      <w:pPr>
        <w:ind w:left="1792" w:hanging="994"/>
      </w:pPr>
      <w:rPr>
        <w:rFonts w:hint="default"/>
      </w:rPr>
    </w:lvl>
    <w:lvl w:ilvl="1">
      <w:start w:val="3"/>
      <w:numFmt w:val="decimal"/>
      <w:lvlText w:val="%1.%2"/>
      <w:lvlJc w:val="left"/>
      <w:pPr>
        <w:ind w:left="1792" w:hanging="994"/>
      </w:pPr>
      <w:rPr>
        <w:rFonts w:hint="default"/>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start w:val="1"/>
      <w:numFmt w:val="decimal"/>
      <w:lvlText w:val="%1.%2.%3.%4"/>
      <w:lvlJc w:val="left"/>
      <w:pPr>
        <w:ind w:left="2217" w:hanging="1133"/>
      </w:pPr>
      <w:rPr>
        <w:rFonts w:ascii="Times New Roman" w:eastAsia="Times New Roman" w:hAnsi="Times New Roman" w:cs="Times New Roman" w:hint="default"/>
        <w:w w:val="100"/>
        <w:sz w:val="22"/>
        <w:szCs w:val="22"/>
      </w:rPr>
    </w:lvl>
    <w:lvl w:ilvl="4">
      <w:numFmt w:val="bullet"/>
      <w:lvlText w:val="•"/>
      <w:lvlJc w:val="left"/>
      <w:pPr>
        <w:ind w:left="5100" w:hanging="1133"/>
      </w:pPr>
      <w:rPr>
        <w:rFonts w:hint="default"/>
      </w:rPr>
    </w:lvl>
    <w:lvl w:ilvl="5">
      <w:numFmt w:val="bullet"/>
      <w:lvlText w:val="•"/>
      <w:lvlJc w:val="left"/>
      <w:pPr>
        <w:ind w:left="6060" w:hanging="1133"/>
      </w:pPr>
      <w:rPr>
        <w:rFonts w:hint="default"/>
      </w:rPr>
    </w:lvl>
    <w:lvl w:ilvl="6">
      <w:numFmt w:val="bullet"/>
      <w:lvlText w:val="•"/>
      <w:lvlJc w:val="left"/>
      <w:pPr>
        <w:ind w:left="7020" w:hanging="1133"/>
      </w:pPr>
      <w:rPr>
        <w:rFonts w:hint="default"/>
      </w:rPr>
    </w:lvl>
    <w:lvl w:ilvl="7">
      <w:numFmt w:val="bullet"/>
      <w:lvlText w:val="•"/>
      <w:lvlJc w:val="left"/>
      <w:pPr>
        <w:ind w:left="7980" w:hanging="1133"/>
      </w:pPr>
      <w:rPr>
        <w:rFonts w:hint="default"/>
      </w:rPr>
    </w:lvl>
    <w:lvl w:ilvl="8">
      <w:numFmt w:val="bullet"/>
      <w:lvlText w:val="•"/>
      <w:lvlJc w:val="left"/>
      <w:pPr>
        <w:ind w:left="8940" w:hanging="1133"/>
      </w:pPr>
      <w:rPr>
        <w:rFonts w:hint="default"/>
      </w:rPr>
    </w:lvl>
  </w:abstractNum>
  <w:abstractNum w:abstractNumId="18" w15:restartNumberingAfterBreak="0">
    <w:nsid w:val="5CB43B92"/>
    <w:multiLevelType w:val="multilevel"/>
    <w:tmpl w:val="57FE2CF0"/>
    <w:lvl w:ilvl="0">
      <w:start w:val="4"/>
      <w:numFmt w:val="decimal"/>
      <w:lvlText w:val="%1"/>
      <w:lvlJc w:val="left"/>
      <w:pPr>
        <w:ind w:left="1365" w:hanging="1133"/>
      </w:pPr>
      <w:rPr>
        <w:rFonts w:hint="default"/>
      </w:rPr>
    </w:lvl>
    <w:lvl w:ilvl="1">
      <w:start w:val="1"/>
      <w:numFmt w:val="decimal"/>
      <w:lvlText w:val="%1.%2"/>
      <w:lvlJc w:val="left"/>
      <w:pPr>
        <w:ind w:left="1365" w:hanging="1133"/>
      </w:pPr>
      <w:rPr>
        <w:rFonts w:hint="default"/>
      </w:rPr>
    </w:lvl>
    <w:lvl w:ilvl="2">
      <w:start w:val="1"/>
      <w:numFmt w:val="decimal"/>
      <w:lvlText w:val="%1.%2.%3"/>
      <w:lvlJc w:val="left"/>
      <w:pPr>
        <w:ind w:left="1365" w:hanging="1133"/>
      </w:pPr>
      <w:rPr>
        <w:rFonts w:hint="default"/>
      </w:rPr>
    </w:lvl>
    <w:lvl w:ilvl="3">
      <w:start w:val="1"/>
      <w:numFmt w:val="decimal"/>
      <w:lvlText w:val="%1.%2.%3.%4"/>
      <w:lvlJc w:val="left"/>
      <w:pPr>
        <w:ind w:left="1365" w:hanging="1133"/>
      </w:pPr>
      <w:rPr>
        <w:rFonts w:hint="default"/>
      </w:rPr>
    </w:lvl>
    <w:lvl w:ilvl="4">
      <w:start w:val="6"/>
      <w:numFmt w:val="decimal"/>
      <w:lvlText w:val="%1.%2.%3.%4.%5"/>
      <w:lvlJc w:val="left"/>
      <w:pPr>
        <w:ind w:left="1365" w:hanging="1133"/>
      </w:pPr>
      <w:rPr>
        <w:rFonts w:ascii="Times New Roman" w:eastAsia="Times New Roman" w:hAnsi="Times New Roman" w:cs="Times New Roman" w:hint="default"/>
        <w:b/>
        <w:bCs/>
        <w:spacing w:val="-3"/>
        <w:w w:val="100"/>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19" w15:restartNumberingAfterBreak="0">
    <w:nsid w:val="63F8730A"/>
    <w:multiLevelType w:val="multilevel"/>
    <w:tmpl w:val="50AC64D2"/>
    <w:lvl w:ilvl="0">
      <w:start w:val="1"/>
      <w:numFmt w:val="decimal"/>
      <w:lvlText w:val="%1"/>
      <w:lvlJc w:val="left"/>
      <w:pPr>
        <w:ind w:left="1076" w:hanging="850"/>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pPr>
      <w:rPr>
        <w:rFonts w:ascii="Times New Roman" w:eastAsia="Times New Roman" w:hAnsi="Times New Roman" w:cs="Times New Roman" w:hint="default"/>
        <w:b/>
        <w:bCs/>
        <w:w w:val="100"/>
        <w:sz w:val="28"/>
        <w:szCs w:val="28"/>
      </w:rPr>
    </w:lvl>
    <w:lvl w:ilvl="2">
      <w:numFmt w:val="bullet"/>
      <w:lvlText w:val="•"/>
      <w:lvlJc w:val="left"/>
      <w:pPr>
        <w:ind w:left="3964" w:hanging="852"/>
      </w:pPr>
      <w:rPr>
        <w:rFonts w:hint="default"/>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20" w15:restartNumberingAfterBreak="0">
    <w:nsid w:val="69C50B8B"/>
    <w:multiLevelType w:val="hybridMultilevel"/>
    <w:tmpl w:val="2CE0F568"/>
    <w:lvl w:ilvl="0" w:tplc="499416A4">
      <w:numFmt w:val="bullet"/>
      <w:lvlText w:val=""/>
      <w:lvlJc w:val="left"/>
      <w:pPr>
        <w:ind w:left="540" w:hanging="432"/>
      </w:pPr>
      <w:rPr>
        <w:rFonts w:ascii="Symbol" w:eastAsia="Symbol" w:hAnsi="Symbol" w:cs="Symbol" w:hint="default"/>
        <w:w w:val="100"/>
        <w:sz w:val="24"/>
        <w:szCs w:val="24"/>
      </w:rPr>
    </w:lvl>
    <w:lvl w:ilvl="1" w:tplc="FF1425DA">
      <w:numFmt w:val="bullet"/>
      <w:lvlText w:val="•"/>
      <w:lvlJc w:val="left"/>
      <w:pPr>
        <w:ind w:left="856" w:hanging="432"/>
      </w:pPr>
      <w:rPr>
        <w:rFonts w:hint="default"/>
      </w:rPr>
    </w:lvl>
    <w:lvl w:ilvl="2" w:tplc="88EAF8FA">
      <w:numFmt w:val="bullet"/>
      <w:lvlText w:val="•"/>
      <w:lvlJc w:val="left"/>
      <w:pPr>
        <w:ind w:left="1172" w:hanging="432"/>
      </w:pPr>
      <w:rPr>
        <w:rFonts w:hint="default"/>
      </w:rPr>
    </w:lvl>
    <w:lvl w:ilvl="3" w:tplc="13029F2E">
      <w:numFmt w:val="bullet"/>
      <w:lvlText w:val="•"/>
      <w:lvlJc w:val="left"/>
      <w:pPr>
        <w:ind w:left="1488" w:hanging="432"/>
      </w:pPr>
      <w:rPr>
        <w:rFonts w:hint="default"/>
      </w:rPr>
    </w:lvl>
    <w:lvl w:ilvl="4" w:tplc="4496C2DC">
      <w:numFmt w:val="bullet"/>
      <w:lvlText w:val="•"/>
      <w:lvlJc w:val="left"/>
      <w:pPr>
        <w:ind w:left="1804" w:hanging="432"/>
      </w:pPr>
      <w:rPr>
        <w:rFonts w:hint="default"/>
      </w:rPr>
    </w:lvl>
    <w:lvl w:ilvl="5" w:tplc="135640BA">
      <w:numFmt w:val="bullet"/>
      <w:lvlText w:val="•"/>
      <w:lvlJc w:val="left"/>
      <w:pPr>
        <w:ind w:left="2120" w:hanging="432"/>
      </w:pPr>
      <w:rPr>
        <w:rFonts w:hint="default"/>
      </w:rPr>
    </w:lvl>
    <w:lvl w:ilvl="6" w:tplc="A3C08D4C">
      <w:numFmt w:val="bullet"/>
      <w:lvlText w:val="•"/>
      <w:lvlJc w:val="left"/>
      <w:pPr>
        <w:ind w:left="2436" w:hanging="432"/>
      </w:pPr>
      <w:rPr>
        <w:rFonts w:hint="default"/>
      </w:rPr>
    </w:lvl>
    <w:lvl w:ilvl="7" w:tplc="14623FC6">
      <w:numFmt w:val="bullet"/>
      <w:lvlText w:val="•"/>
      <w:lvlJc w:val="left"/>
      <w:pPr>
        <w:ind w:left="2752" w:hanging="432"/>
      </w:pPr>
      <w:rPr>
        <w:rFonts w:hint="default"/>
      </w:rPr>
    </w:lvl>
    <w:lvl w:ilvl="8" w:tplc="13A4E322">
      <w:numFmt w:val="bullet"/>
      <w:lvlText w:val="•"/>
      <w:lvlJc w:val="left"/>
      <w:pPr>
        <w:ind w:left="3068" w:hanging="432"/>
      </w:pPr>
      <w:rPr>
        <w:rFonts w:hint="default"/>
      </w:rPr>
    </w:lvl>
  </w:abstractNum>
  <w:abstractNum w:abstractNumId="21" w15:restartNumberingAfterBreak="0">
    <w:nsid w:val="6B0E4AFE"/>
    <w:multiLevelType w:val="multilevel"/>
    <w:tmpl w:val="3CBC7426"/>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3"/>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22" w15:restartNumberingAfterBreak="0">
    <w:nsid w:val="6FC527EF"/>
    <w:multiLevelType w:val="multilevel"/>
    <w:tmpl w:val="53B00E80"/>
    <w:lvl w:ilvl="0">
      <w:start w:val="1"/>
      <w:numFmt w:val="decimal"/>
      <w:lvlText w:val="%1"/>
      <w:lvlJc w:val="left"/>
      <w:pPr>
        <w:ind w:left="1084" w:hanging="852"/>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pPr>
      <w:rPr>
        <w:rFonts w:ascii="Times New Roman" w:eastAsia="Times New Roman" w:hAnsi="Times New Roman" w:cs="Times New Roman" w:hint="default"/>
        <w:b/>
        <w:bCs/>
        <w:spacing w:val="-3"/>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23" w15:restartNumberingAfterBreak="0">
    <w:nsid w:val="78CE3C96"/>
    <w:multiLevelType w:val="hybridMultilevel"/>
    <w:tmpl w:val="EBF48C76"/>
    <w:lvl w:ilvl="0" w:tplc="F092CFC6">
      <w:numFmt w:val="bullet"/>
      <w:lvlText w:val=""/>
      <w:lvlJc w:val="left"/>
      <w:pPr>
        <w:ind w:left="444" w:hanging="336"/>
      </w:pPr>
      <w:rPr>
        <w:rFonts w:ascii="Symbol" w:eastAsia="Symbol" w:hAnsi="Symbol" w:cs="Symbol" w:hint="default"/>
        <w:w w:val="100"/>
        <w:sz w:val="24"/>
        <w:szCs w:val="24"/>
      </w:rPr>
    </w:lvl>
    <w:lvl w:ilvl="1" w:tplc="8BEA1CF4">
      <w:numFmt w:val="bullet"/>
      <w:lvlText w:val="•"/>
      <w:lvlJc w:val="left"/>
      <w:pPr>
        <w:ind w:left="766" w:hanging="336"/>
      </w:pPr>
      <w:rPr>
        <w:rFonts w:hint="default"/>
      </w:rPr>
    </w:lvl>
    <w:lvl w:ilvl="2" w:tplc="0134976A">
      <w:numFmt w:val="bullet"/>
      <w:lvlText w:val="•"/>
      <w:lvlJc w:val="left"/>
      <w:pPr>
        <w:ind w:left="1092" w:hanging="336"/>
      </w:pPr>
      <w:rPr>
        <w:rFonts w:hint="default"/>
      </w:rPr>
    </w:lvl>
    <w:lvl w:ilvl="3" w:tplc="53CADCAE">
      <w:numFmt w:val="bullet"/>
      <w:lvlText w:val="•"/>
      <w:lvlJc w:val="left"/>
      <w:pPr>
        <w:ind w:left="1418" w:hanging="336"/>
      </w:pPr>
      <w:rPr>
        <w:rFonts w:hint="default"/>
      </w:rPr>
    </w:lvl>
    <w:lvl w:ilvl="4" w:tplc="8B3E3872">
      <w:numFmt w:val="bullet"/>
      <w:lvlText w:val="•"/>
      <w:lvlJc w:val="left"/>
      <w:pPr>
        <w:ind w:left="1744" w:hanging="336"/>
      </w:pPr>
      <w:rPr>
        <w:rFonts w:hint="default"/>
      </w:rPr>
    </w:lvl>
    <w:lvl w:ilvl="5" w:tplc="DC1A881C">
      <w:numFmt w:val="bullet"/>
      <w:lvlText w:val="•"/>
      <w:lvlJc w:val="left"/>
      <w:pPr>
        <w:ind w:left="2070" w:hanging="336"/>
      </w:pPr>
      <w:rPr>
        <w:rFonts w:hint="default"/>
      </w:rPr>
    </w:lvl>
    <w:lvl w:ilvl="6" w:tplc="406827A2">
      <w:numFmt w:val="bullet"/>
      <w:lvlText w:val="•"/>
      <w:lvlJc w:val="left"/>
      <w:pPr>
        <w:ind w:left="2396" w:hanging="336"/>
      </w:pPr>
      <w:rPr>
        <w:rFonts w:hint="default"/>
      </w:rPr>
    </w:lvl>
    <w:lvl w:ilvl="7" w:tplc="D070F5B6">
      <w:numFmt w:val="bullet"/>
      <w:lvlText w:val="•"/>
      <w:lvlJc w:val="left"/>
      <w:pPr>
        <w:ind w:left="2722" w:hanging="336"/>
      </w:pPr>
      <w:rPr>
        <w:rFonts w:hint="default"/>
      </w:rPr>
    </w:lvl>
    <w:lvl w:ilvl="8" w:tplc="FED85236">
      <w:numFmt w:val="bullet"/>
      <w:lvlText w:val="•"/>
      <w:lvlJc w:val="left"/>
      <w:pPr>
        <w:ind w:left="3048" w:hanging="336"/>
      </w:pPr>
      <w:rPr>
        <w:rFonts w:hint="default"/>
      </w:rPr>
    </w:lvl>
  </w:abstractNum>
  <w:abstractNum w:abstractNumId="24" w15:restartNumberingAfterBreak="0">
    <w:nsid w:val="7C7576CF"/>
    <w:multiLevelType w:val="hybridMultilevel"/>
    <w:tmpl w:val="4F780A66"/>
    <w:lvl w:ilvl="0" w:tplc="30186EA4">
      <w:numFmt w:val="bullet"/>
      <w:lvlText w:val=""/>
      <w:lvlJc w:val="left"/>
      <w:pPr>
        <w:ind w:left="468" w:hanging="360"/>
      </w:pPr>
      <w:rPr>
        <w:rFonts w:ascii="Symbol" w:eastAsia="Symbol" w:hAnsi="Symbol" w:cs="Symbol" w:hint="default"/>
        <w:w w:val="100"/>
        <w:sz w:val="24"/>
        <w:szCs w:val="24"/>
      </w:rPr>
    </w:lvl>
    <w:lvl w:ilvl="1" w:tplc="10EC9AE8">
      <w:numFmt w:val="bullet"/>
      <w:lvlText w:val="•"/>
      <w:lvlJc w:val="left"/>
      <w:pPr>
        <w:ind w:left="823" w:hanging="360"/>
      </w:pPr>
      <w:rPr>
        <w:rFonts w:hint="default"/>
      </w:rPr>
    </w:lvl>
    <w:lvl w:ilvl="2" w:tplc="4296DB20">
      <w:numFmt w:val="bullet"/>
      <w:lvlText w:val="•"/>
      <w:lvlJc w:val="left"/>
      <w:pPr>
        <w:ind w:left="1187" w:hanging="360"/>
      </w:pPr>
      <w:rPr>
        <w:rFonts w:hint="default"/>
      </w:rPr>
    </w:lvl>
    <w:lvl w:ilvl="3" w:tplc="DE7E1C46">
      <w:numFmt w:val="bullet"/>
      <w:lvlText w:val="•"/>
      <w:lvlJc w:val="left"/>
      <w:pPr>
        <w:ind w:left="1551" w:hanging="360"/>
      </w:pPr>
      <w:rPr>
        <w:rFonts w:hint="default"/>
      </w:rPr>
    </w:lvl>
    <w:lvl w:ilvl="4" w:tplc="1D6E8940">
      <w:numFmt w:val="bullet"/>
      <w:lvlText w:val="•"/>
      <w:lvlJc w:val="left"/>
      <w:pPr>
        <w:ind w:left="1915" w:hanging="360"/>
      </w:pPr>
      <w:rPr>
        <w:rFonts w:hint="default"/>
      </w:rPr>
    </w:lvl>
    <w:lvl w:ilvl="5" w:tplc="F58A6B22">
      <w:numFmt w:val="bullet"/>
      <w:lvlText w:val="•"/>
      <w:lvlJc w:val="left"/>
      <w:pPr>
        <w:ind w:left="2279" w:hanging="360"/>
      </w:pPr>
      <w:rPr>
        <w:rFonts w:hint="default"/>
      </w:rPr>
    </w:lvl>
    <w:lvl w:ilvl="6" w:tplc="5C92B0B8">
      <w:numFmt w:val="bullet"/>
      <w:lvlText w:val="•"/>
      <w:lvlJc w:val="left"/>
      <w:pPr>
        <w:ind w:left="2642" w:hanging="360"/>
      </w:pPr>
      <w:rPr>
        <w:rFonts w:hint="default"/>
      </w:rPr>
    </w:lvl>
    <w:lvl w:ilvl="7" w:tplc="0E148DCE">
      <w:numFmt w:val="bullet"/>
      <w:lvlText w:val="•"/>
      <w:lvlJc w:val="left"/>
      <w:pPr>
        <w:ind w:left="3006" w:hanging="360"/>
      </w:pPr>
      <w:rPr>
        <w:rFonts w:hint="default"/>
      </w:rPr>
    </w:lvl>
    <w:lvl w:ilvl="8" w:tplc="836E8FAA">
      <w:numFmt w:val="bullet"/>
      <w:lvlText w:val="•"/>
      <w:lvlJc w:val="left"/>
      <w:pPr>
        <w:ind w:left="3370" w:hanging="360"/>
      </w:pPr>
      <w:rPr>
        <w:rFonts w:hint="default"/>
      </w:rPr>
    </w:lvl>
  </w:abstractNum>
  <w:num w:numId="1">
    <w:abstractNumId w:val="19"/>
  </w:num>
  <w:num w:numId="2">
    <w:abstractNumId w:val="3"/>
  </w:num>
  <w:num w:numId="3">
    <w:abstractNumId w:val="10"/>
  </w:num>
  <w:num w:numId="4">
    <w:abstractNumId w:val="24"/>
  </w:num>
  <w:num w:numId="5">
    <w:abstractNumId w:val="20"/>
  </w:num>
  <w:num w:numId="6">
    <w:abstractNumId w:val="2"/>
  </w:num>
  <w:num w:numId="7">
    <w:abstractNumId w:val="9"/>
  </w:num>
  <w:num w:numId="8">
    <w:abstractNumId w:val="7"/>
  </w:num>
  <w:num w:numId="9">
    <w:abstractNumId w:val="23"/>
  </w:num>
  <w:num w:numId="10">
    <w:abstractNumId w:val="6"/>
  </w:num>
  <w:num w:numId="11">
    <w:abstractNumId w:val="11"/>
  </w:num>
  <w:num w:numId="12">
    <w:abstractNumId w:val="21"/>
  </w:num>
  <w:num w:numId="13">
    <w:abstractNumId w:val="8"/>
  </w:num>
  <w:num w:numId="14">
    <w:abstractNumId w:val="16"/>
  </w:num>
  <w:num w:numId="15">
    <w:abstractNumId w:val="14"/>
  </w:num>
  <w:num w:numId="16">
    <w:abstractNumId w:val="12"/>
  </w:num>
  <w:num w:numId="17">
    <w:abstractNumId w:val="1"/>
  </w:num>
  <w:num w:numId="18">
    <w:abstractNumId w:val="18"/>
  </w:num>
  <w:num w:numId="19">
    <w:abstractNumId w:val="22"/>
  </w:num>
  <w:num w:numId="20">
    <w:abstractNumId w:val="0"/>
  </w:num>
  <w:num w:numId="21">
    <w:abstractNumId w:val="13"/>
  </w:num>
  <w:num w:numId="22">
    <w:abstractNumId w:val="15"/>
  </w:num>
  <w:num w:numId="23">
    <w:abstractNumId w:val="17"/>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436A3"/>
    <w:rsid w:val="004C24C6"/>
    <w:rsid w:val="00552F4E"/>
    <w:rsid w:val="0073433E"/>
    <w:rsid w:val="008C31BA"/>
    <w:rsid w:val="00B71D14"/>
    <w:rsid w:val="00D43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CEAAB2D9-C650-4D22-9B06-FC5986D4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983"/>
      <w:jc w:val="center"/>
      <w:outlineLvl w:val="0"/>
    </w:pPr>
    <w:rPr>
      <w:b/>
      <w:bCs/>
      <w:sz w:val="32"/>
      <w:szCs w:val="32"/>
    </w:rPr>
  </w:style>
  <w:style w:type="paragraph" w:styleId="2">
    <w:name w:val="heading 2"/>
    <w:basedOn w:val="a"/>
    <w:uiPriority w:val="9"/>
    <w:unhideWhenUsed/>
    <w:qFormat/>
    <w:pPr>
      <w:spacing w:before="89"/>
      <w:ind w:left="1084" w:hanging="852"/>
      <w:outlineLvl w:val="1"/>
    </w:pPr>
    <w:rPr>
      <w:b/>
      <w:bCs/>
      <w:sz w:val="28"/>
      <w:szCs w:val="28"/>
    </w:rPr>
  </w:style>
  <w:style w:type="paragraph" w:styleId="3">
    <w:name w:val="heading 3"/>
    <w:basedOn w:val="a"/>
    <w:uiPriority w:val="9"/>
    <w:unhideWhenUsed/>
    <w:qFormat/>
    <w:pPr>
      <w:spacing w:before="144"/>
      <w:ind w:left="1084" w:hanging="852"/>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40" w:hanging="708"/>
    </w:pPr>
    <w:rPr>
      <w:b/>
      <w:bCs/>
    </w:rPr>
  </w:style>
  <w:style w:type="paragraph" w:styleId="20">
    <w:name w:val="toc 2"/>
    <w:basedOn w:val="a"/>
    <w:uiPriority w:val="1"/>
    <w:qFormat/>
    <w:pPr>
      <w:spacing w:before="107"/>
      <w:ind w:left="1365" w:hanging="849"/>
    </w:pPr>
  </w:style>
  <w:style w:type="paragraph" w:styleId="30">
    <w:name w:val="toc 3"/>
    <w:basedOn w:val="a"/>
    <w:uiPriority w:val="1"/>
    <w:qFormat/>
    <w:pPr>
      <w:spacing w:before="107"/>
      <w:ind w:left="1792" w:hanging="993"/>
    </w:pPr>
  </w:style>
  <w:style w:type="paragraph" w:styleId="4">
    <w:name w:val="toc 4"/>
    <w:basedOn w:val="a"/>
    <w:uiPriority w:val="1"/>
    <w:qFormat/>
    <w:pPr>
      <w:spacing w:before="107"/>
      <w:ind w:left="2217" w:hanging="1133"/>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E34500-E583-48C3-B744-663AA624A9BD}"/>
</file>

<file path=customXml/itemProps2.xml><?xml version="1.0" encoding="utf-8"?>
<ds:datastoreItem xmlns:ds="http://schemas.openxmlformats.org/officeDocument/2006/customXml" ds:itemID="{6918CD13-567E-4EED-8DD3-A4711C752B55}"/>
</file>

<file path=customXml/itemProps3.xml><?xml version="1.0" encoding="utf-8"?>
<ds:datastoreItem xmlns:ds="http://schemas.openxmlformats.org/officeDocument/2006/customXml" ds:itemID="{3910BCBB-9851-4802-A508-2F82C72E53BE}"/>
</file>

<file path=docProps/app.xml><?xml version="1.0" encoding="utf-8"?>
<Properties xmlns="http://schemas.openxmlformats.org/officeDocument/2006/extended-properties" xmlns:vt="http://schemas.openxmlformats.org/officeDocument/2006/docPropsVTypes">
  <Template>Normal</Template>
  <TotalTime>9</TotalTime>
  <Pages>10</Pages>
  <Words>4232</Words>
  <Characters>24128</Characters>
  <Application>Microsoft Office Word</Application>
  <DocSecurity>0</DocSecurity>
  <Lines>201</Lines>
  <Paragraphs>56</Paragraphs>
  <ScaleCrop>false</ScaleCrop>
  <Company/>
  <LinksUpToDate>false</LinksUpToDate>
  <CharactersWithSpaces>28304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2021-06-22T01:09:00Z</dcterms:created>
  <dcterms:modified xsi:type="dcterms:W3CDTF">2021-07-08T09:31:00Z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