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92D" w:rsidRPr="006F292D" w:rsidRDefault="006F292D" w:rsidP="006F292D">
      <w:pPr>
        <w:rPr>
          <w:b/>
          <w:bCs/>
          <w:kern w:val="0"/>
          <w:sz w:val="32"/>
          <w:szCs w:val="32"/>
        </w:rPr>
      </w:pPr>
      <w:bookmarkStart w:id="0" w:name="_GoBack"/>
      <w:bookmarkEnd w:id="0"/>
      <w:r w:rsidRPr="006F292D">
        <w:rPr>
          <w:b/>
          <w:bCs/>
          <w:kern w:val="0"/>
          <w:sz w:val="32"/>
          <w:szCs w:val="32"/>
        </w:rPr>
        <w:t xml:space="preserve">A 4-Week Repeated Intravenous Dose Toxicity Study of </w:t>
      </w:r>
      <w:r w:rsidR="00D22CFC">
        <w:rPr>
          <w:b/>
          <w:bCs/>
          <w:kern w:val="0"/>
          <w:sz w:val="32"/>
          <w:szCs w:val="32"/>
        </w:rPr>
        <w:t>PROJECT 9</w:t>
      </w:r>
      <w:r w:rsidRPr="006F292D">
        <w:rPr>
          <w:b/>
          <w:bCs/>
          <w:kern w:val="0"/>
          <w:sz w:val="32"/>
          <w:szCs w:val="32"/>
        </w:rPr>
        <w:t xml:space="preserve"> in Cynomolgus Monkeys Followed by a 6-Week Recovery Period</w:t>
      </w:r>
    </w:p>
    <w:p w:rsidR="00571416" w:rsidRPr="007C6290" w:rsidRDefault="00571416" w:rsidP="003065FF">
      <w:pPr>
        <w:autoSpaceDE w:val="0"/>
        <w:autoSpaceDN w:val="0"/>
        <w:adjustRightInd w:val="0"/>
        <w:jc w:val="left"/>
        <w:rPr>
          <w:rFonts w:ascii="TimesNewRoman,Bold" w:eastAsia="TimesNewRoman,Bold" w:cs="TimesNewRoman,Bold"/>
          <w:b/>
          <w:bCs/>
          <w:kern w:val="0"/>
          <w:sz w:val="32"/>
          <w:szCs w:val="32"/>
        </w:rPr>
      </w:pPr>
    </w:p>
    <w:p w:rsidR="00C20ABD" w:rsidRDefault="00D0213C" w:rsidP="00C20ABD">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6F292D" w:rsidRDefault="00D22CFC" w:rsidP="006F292D">
      <w:r>
        <w:t>PROJECT 9</w:t>
      </w:r>
      <w:r w:rsidR="006F292D">
        <w:t xml:space="preserve"> was diluted with formulation buffer (</w:t>
      </w:r>
      <w:r>
        <w:t>PROJECT 9</w:t>
      </w:r>
      <w:r w:rsidR="006F292D">
        <w:t xml:space="preserve"> placebo) and administered intravenously once weekly for 4 weeks at dose levels of 0 (control), 0.3, 1, 3, and 30 mg/kg to 4 male and 4 female cynomolgus monkeys (age at initiation of dosing: 3 to 4 years) per group in order to investigate its toxicity. Gross pathology at the end of the dosing period was conducted 7 days after the last dosing (4th dosing). Three male and three female animals per group were added to the 3 and 30 mg/kg groups to assess the reversibility of toxic changes during a subsequent 6-week recovery period. For the control group, formulation buffer was administered in the same manner as test article. Systemic exposure to </w:t>
      </w:r>
      <w:r>
        <w:t>PROJECT 9</w:t>
      </w:r>
      <w:r w:rsidR="006F292D">
        <w:t xml:space="preserve"> and anti- </w:t>
      </w:r>
      <w:r>
        <w:t>PROJECT 9</w:t>
      </w:r>
      <w:r w:rsidR="006F292D">
        <w:t xml:space="preserve"> antibody production were also assessed.</w:t>
      </w:r>
    </w:p>
    <w:p w:rsidR="006F292D" w:rsidRDefault="006F292D" w:rsidP="006F292D">
      <w:r>
        <w:t>The following observations and examinations were performed: clinical signs, general behavior and neurobehavioral function, body weight, food consumption, ophthalmology, electrocardiography, body temperature, blood pressure, respiratory rate, urinalysis, hematology, blood chemistry, immunoglobulin analysis, peripheral blood immunophenotyping, gross pathology, organ weights, histopathology, toxicokinetics, and anti-</w:t>
      </w:r>
      <w:r w:rsidR="00D22CFC">
        <w:t>PROJECT 9</w:t>
      </w:r>
      <w:r>
        <w:t xml:space="preserve"> antibody analysis.</w:t>
      </w:r>
    </w:p>
    <w:p w:rsidR="006F292D" w:rsidRDefault="006F292D" w:rsidP="006F292D">
      <w:r>
        <w:t>No animal died or was euthanized due to moribundity.</w:t>
      </w:r>
    </w:p>
    <w:p w:rsidR="006F292D" w:rsidRDefault="006F292D" w:rsidP="006F292D">
      <w:r>
        <w:t>At 0.3, 1, and 3 mg/kg, no toxicologically significant changes were noted.</w:t>
      </w:r>
    </w:p>
    <w:p w:rsidR="006F292D" w:rsidRDefault="006F292D" w:rsidP="006F292D">
      <w:r>
        <w:t>At 30 mg/kg, the following changes were noted: increased reticulocyte ratio (male and female), eosinophil count (male and females), decreased platelet count (males), enlargement of the spleen and high spleen weights (males). Histopathology findings included congestion (males) and hyperplasia of the red pulp (male and female) in the spleen, hypertrophy of Kupffer cells in the liver (male and female), increase in hematopoiesis in the femoral bone marrow (males and female), atrophy in the thymus (males), hypertrophy of sinus histiocytes in the submandibular lymph node (male and female), edema and mixed inflammatory cell infiltration in the subserosa and lamina propria in the gallbladder (male), and vacuolation in the urothelium in the urinary bladder (males).</w:t>
      </w:r>
    </w:p>
    <w:p w:rsidR="006F292D" w:rsidRDefault="006F292D" w:rsidP="006F292D">
      <w:r>
        <w:t>All changes observed during the dosing period recovered or tended toward recovery during the 6-week recovery period.</w:t>
      </w:r>
    </w:p>
    <w:p w:rsidR="006F292D" w:rsidRDefault="006F292D" w:rsidP="006F292D">
      <w:r>
        <w:t xml:space="preserve">At the end of the recovery period, the following histopathology findings were observed at 30 mg/kg: fibrosis capsule in male, hemorrhage and brown pigment in the capsule in the spleen in male, and intimal thickening and perivascular fibrosis in the artery in the liver and intimal thickening and perivascular fibrosis in the artery of the </w:t>
      </w:r>
      <w:proofErr w:type="spellStart"/>
      <w:r>
        <w:t>subserosal</w:t>
      </w:r>
      <w:proofErr w:type="spellEnd"/>
      <w:r>
        <w:t xml:space="preserve"> in the gallbladder in male.</w:t>
      </w:r>
    </w:p>
    <w:p w:rsidR="006F292D" w:rsidRDefault="006F292D" w:rsidP="006F292D">
      <w:r>
        <w:t>Anti-</w:t>
      </w:r>
      <w:r w:rsidR="00D22CFC">
        <w:t>PROJECT 9</w:t>
      </w:r>
      <w:r>
        <w:t xml:space="preserve"> antibodies were detected at 0.3 mg/kg and greater from Day 15 until recovery Day 42. On Day 29, anti-</w:t>
      </w:r>
      <w:r w:rsidR="00D22CFC">
        <w:t>PROJECT 9</w:t>
      </w:r>
      <w:r>
        <w:t xml:space="preserve"> antibodies were detected in 4 males and 2 </w:t>
      </w:r>
      <w:proofErr w:type="gramStart"/>
      <w:r>
        <w:t>female</w:t>
      </w:r>
      <w:proofErr w:type="gramEnd"/>
      <w:r>
        <w:t xml:space="preserve"> at 0.3 mg/kg, in 2 males and 3 females at 1 mg/kg, in 2 males and 2 females at 3 mg/kg, and in 3 males and 1 female at 30 mg/kg. In toxicokinetics, the mean </w:t>
      </w:r>
      <w:proofErr w:type="spellStart"/>
      <w:r>
        <w:t>C</w:t>
      </w:r>
      <w:r>
        <w:rPr>
          <w:vertAlign w:val="subscript"/>
        </w:rPr>
        <w:t>max</w:t>
      </w:r>
      <w:proofErr w:type="spellEnd"/>
      <w:r>
        <w:t xml:space="preserve"> and AUC</w:t>
      </w:r>
      <w:r>
        <w:rPr>
          <w:vertAlign w:val="subscript"/>
        </w:rPr>
        <w:t>168</w:t>
      </w:r>
      <w:r>
        <w:t xml:space="preserve"> values of </w:t>
      </w:r>
      <w:r w:rsidR="00D22CFC">
        <w:t>PROJECT 9</w:t>
      </w:r>
      <w:r>
        <w:t xml:space="preserve"> were as shown in the </w:t>
      </w:r>
      <w:r>
        <w:lastRenderedPageBreak/>
        <w:t>following table:</w:t>
      </w:r>
    </w:p>
    <w:p w:rsidR="006F292D" w:rsidRDefault="006F292D" w:rsidP="006F292D">
      <w:pPr>
        <w:rPr>
          <w:sz w:val="8"/>
        </w:rPr>
      </w:pPr>
    </w:p>
    <w:tbl>
      <w:tblPr>
        <w:tblStyle w:val="TableNormal"/>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0"/>
        <w:gridCol w:w="850"/>
        <w:gridCol w:w="1052"/>
        <w:gridCol w:w="1539"/>
        <w:gridCol w:w="1541"/>
        <w:gridCol w:w="1541"/>
      </w:tblGrid>
      <w:tr w:rsidR="006F292D" w:rsidTr="000B66E7">
        <w:trPr>
          <w:trHeight w:val="265"/>
        </w:trPr>
        <w:tc>
          <w:tcPr>
            <w:tcW w:w="1560" w:type="dxa"/>
            <w:vMerge w:val="restart"/>
            <w:tcBorders>
              <w:bottom w:val="double" w:sz="1" w:space="0" w:color="000000"/>
            </w:tcBorders>
          </w:tcPr>
          <w:p w:rsidR="006F292D" w:rsidRDefault="006F292D" w:rsidP="006F292D">
            <w:r>
              <w:t>Dose Level</w:t>
            </w:r>
          </w:p>
          <w:p w:rsidR="006F292D" w:rsidRDefault="006F292D" w:rsidP="006F292D">
            <w:r>
              <w:t>(mg/kg)</w:t>
            </w:r>
          </w:p>
        </w:tc>
        <w:tc>
          <w:tcPr>
            <w:tcW w:w="850" w:type="dxa"/>
            <w:vMerge w:val="restart"/>
            <w:tcBorders>
              <w:bottom w:val="double" w:sz="1" w:space="0" w:color="000000"/>
            </w:tcBorders>
          </w:tcPr>
          <w:p w:rsidR="006F292D" w:rsidRDefault="006F292D" w:rsidP="006F292D">
            <w:r>
              <w:t>Day</w:t>
            </w:r>
          </w:p>
        </w:tc>
        <w:tc>
          <w:tcPr>
            <w:tcW w:w="2591" w:type="dxa"/>
            <w:gridSpan w:val="2"/>
          </w:tcPr>
          <w:p w:rsidR="006F292D" w:rsidRDefault="006F292D" w:rsidP="006F292D">
            <w:proofErr w:type="spellStart"/>
            <w:r>
              <w:t>C</w:t>
            </w:r>
            <w:r>
              <w:rPr>
                <w:vertAlign w:val="subscript"/>
              </w:rPr>
              <w:t>max</w:t>
            </w:r>
            <w:proofErr w:type="spellEnd"/>
            <w:r>
              <w:t xml:space="preserve"> (µg/mL)</w:t>
            </w:r>
          </w:p>
        </w:tc>
        <w:tc>
          <w:tcPr>
            <w:tcW w:w="3082" w:type="dxa"/>
            <w:gridSpan w:val="2"/>
          </w:tcPr>
          <w:p w:rsidR="006F292D" w:rsidRDefault="006F292D" w:rsidP="006F292D">
            <w:r>
              <w:t>AUC</w:t>
            </w:r>
            <w:r>
              <w:rPr>
                <w:vertAlign w:val="subscript"/>
              </w:rPr>
              <w:t>168</w:t>
            </w:r>
            <w:r>
              <w:t xml:space="preserve"> (µ</w:t>
            </w:r>
            <w:proofErr w:type="spellStart"/>
            <w:r>
              <w:t>g·h</w:t>
            </w:r>
            <w:proofErr w:type="spellEnd"/>
            <w:r>
              <w:t>/mL)</w:t>
            </w:r>
          </w:p>
        </w:tc>
      </w:tr>
      <w:tr w:rsidR="006F292D" w:rsidTr="000B66E7">
        <w:trPr>
          <w:trHeight w:val="265"/>
        </w:trPr>
        <w:tc>
          <w:tcPr>
            <w:tcW w:w="1560" w:type="dxa"/>
            <w:vMerge/>
            <w:tcBorders>
              <w:top w:val="nil"/>
              <w:bottom w:val="double" w:sz="1" w:space="0" w:color="000000"/>
            </w:tcBorders>
          </w:tcPr>
          <w:p w:rsidR="006F292D" w:rsidRDefault="006F292D" w:rsidP="006F292D">
            <w:pPr>
              <w:rPr>
                <w:sz w:val="2"/>
                <w:szCs w:val="2"/>
              </w:rPr>
            </w:pPr>
          </w:p>
        </w:tc>
        <w:tc>
          <w:tcPr>
            <w:tcW w:w="850" w:type="dxa"/>
            <w:vMerge/>
            <w:tcBorders>
              <w:top w:val="nil"/>
              <w:bottom w:val="double" w:sz="1" w:space="0" w:color="000000"/>
            </w:tcBorders>
          </w:tcPr>
          <w:p w:rsidR="006F292D" w:rsidRDefault="006F292D" w:rsidP="006F292D">
            <w:pPr>
              <w:rPr>
                <w:sz w:val="2"/>
                <w:szCs w:val="2"/>
              </w:rPr>
            </w:pPr>
          </w:p>
        </w:tc>
        <w:tc>
          <w:tcPr>
            <w:tcW w:w="1052" w:type="dxa"/>
            <w:tcBorders>
              <w:bottom w:val="double" w:sz="1" w:space="0" w:color="000000"/>
            </w:tcBorders>
          </w:tcPr>
          <w:p w:rsidR="006F292D" w:rsidRDefault="006F292D" w:rsidP="006F292D">
            <w:r>
              <w:t>Male</w:t>
            </w:r>
          </w:p>
        </w:tc>
        <w:tc>
          <w:tcPr>
            <w:tcW w:w="1539" w:type="dxa"/>
            <w:tcBorders>
              <w:bottom w:val="double" w:sz="1" w:space="0" w:color="000000"/>
            </w:tcBorders>
          </w:tcPr>
          <w:p w:rsidR="006F292D" w:rsidRDefault="006F292D" w:rsidP="006F292D">
            <w:r>
              <w:t>Female</w:t>
            </w:r>
          </w:p>
        </w:tc>
        <w:tc>
          <w:tcPr>
            <w:tcW w:w="1541" w:type="dxa"/>
            <w:tcBorders>
              <w:bottom w:val="double" w:sz="1" w:space="0" w:color="000000"/>
            </w:tcBorders>
          </w:tcPr>
          <w:p w:rsidR="006F292D" w:rsidRDefault="006F292D" w:rsidP="006F292D">
            <w:r>
              <w:t>Male</w:t>
            </w:r>
          </w:p>
        </w:tc>
        <w:tc>
          <w:tcPr>
            <w:tcW w:w="1541" w:type="dxa"/>
            <w:tcBorders>
              <w:bottom w:val="double" w:sz="1" w:space="0" w:color="000000"/>
            </w:tcBorders>
          </w:tcPr>
          <w:p w:rsidR="006F292D" w:rsidRDefault="006F292D" w:rsidP="006F292D">
            <w:r>
              <w:t>Female</w:t>
            </w:r>
          </w:p>
        </w:tc>
      </w:tr>
      <w:tr w:rsidR="006F292D" w:rsidTr="000B66E7">
        <w:trPr>
          <w:trHeight w:val="277"/>
        </w:trPr>
        <w:tc>
          <w:tcPr>
            <w:tcW w:w="1560" w:type="dxa"/>
            <w:vMerge w:val="restart"/>
            <w:tcBorders>
              <w:top w:val="double" w:sz="1" w:space="0" w:color="000000"/>
            </w:tcBorders>
          </w:tcPr>
          <w:p w:rsidR="006F292D" w:rsidRDefault="006F292D" w:rsidP="006F292D">
            <w:r>
              <w:t>0.3</w:t>
            </w:r>
          </w:p>
        </w:tc>
        <w:tc>
          <w:tcPr>
            <w:tcW w:w="850" w:type="dxa"/>
            <w:tcBorders>
              <w:top w:val="double" w:sz="1" w:space="0" w:color="000000"/>
            </w:tcBorders>
          </w:tcPr>
          <w:p w:rsidR="006F292D" w:rsidRDefault="006F292D" w:rsidP="006F292D">
            <w:r>
              <w:t>1*</w:t>
            </w:r>
          </w:p>
        </w:tc>
        <w:tc>
          <w:tcPr>
            <w:tcW w:w="1052" w:type="dxa"/>
            <w:tcBorders>
              <w:top w:val="double" w:sz="1" w:space="0" w:color="000000"/>
            </w:tcBorders>
          </w:tcPr>
          <w:p w:rsidR="006F292D" w:rsidRDefault="006F292D" w:rsidP="006F292D">
            <w:r>
              <w:t>7.65</w:t>
            </w:r>
          </w:p>
        </w:tc>
        <w:tc>
          <w:tcPr>
            <w:tcW w:w="1539" w:type="dxa"/>
            <w:tcBorders>
              <w:top w:val="double" w:sz="1" w:space="0" w:color="000000"/>
            </w:tcBorders>
          </w:tcPr>
          <w:p w:rsidR="006F292D" w:rsidRDefault="006F292D" w:rsidP="006F292D">
            <w:r>
              <w:t>7.99</w:t>
            </w:r>
          </w:p>
        </w:tc>
        <w:tc>
          <w:tcPr>
            <w:tcW w:w="1541" w:type="dxa"/>
            <w:tcBorders>
              <w:top w:val="double" w:sz="1" w:space="0" w:color="000000"/>
            </w:tcBorders>
          </w:tcPr>
          <w:p w:rsidR="006F292D" w:rsidRDefault="006F292D" w:rsidP="006F292D">
            <w:r>
              <w:t>626</w:t>
            </w:r>
          </w:p>
        </w:tc>
        <w:tc>
          <w:tcPr>
            <w:tcW w:w="1541" w:type="dxa"/>
            <w:tcBorders>
              <w:top w:val="double" w:sz="1" w:space="0" w:color="000000"/>
            </w:tcBorders>
          </w:tcPr>
          <w:p w:rsidR="006F292D" w:rsidRDefault="006F292D" w:rsidP="006F292D">
            <w:r>
              <w:t>704</w:t>
            </w:r>
          </w:p>
        </w:tc>
      </w:tr>
      <w:tr w:rsidR="006F292D" w:rsidTr="000B66E7">
        <w:trPr>
          <w:trHeight w:val="275"/>
        </w:trPr>
        <w:tc>
          <w:tcPr>
            <w:tcW w:w="1560" w:type="dxa"/>
            <w:vMerge/>
            <w:tcBorders>
              <w:top w:val="nil"/>
            </w:tcBorders>
          </w:tcPr>
          <w:p w:rsidR="006F292D" w:rsidRDefault="006F292D" w:rsidP="006F292D">
            <w:pPr>
              <w:rPr>
                <w:sz w:val="2"/>
                <w:szCs w:val="2"/>
              </w:rPr>
            </w:pPr>
          </w:p>
        </w:tc>
        <w:tc>
          <w:tcPr>
            <w:tcW w:w="850" w:type="dxa"/>
          </w:tcPr>
          <w:p w:rsidR="006F292D" w:rsidRDefault="006F292D" w:rsidP="006F292D">
            <w:r>
              <w:t>22**</w:t>
            </w:r>
          </w:p>
        </w:tc>
        <w:tc>
          <w:tcPr>
            <w:tcW w:w="1052" w:type="dxa"/>
          </w:tcPr>
          <w:p w:rsidR="006F292D" w:rsidRDefault="006F292D" w:rsidP="006F292D">
            <w:r>
              <w:t>2.99</w:t>
            </w:r>
          </w:p>
        </w:tc>
        <w:tc>
          <w:tcPr>
            <w:tcW w:w="1539" w:type="dxa"/>
          </w:tcPr>
          <w:p w:rsidR="006F292D" w:rsidRDefault="006F292D" w:rsidP="006F292D">
            <w:r>
              <w:t>10.1</w:t>
            </w:r>
          </w:p>
        </w:tc>
        <w:tc>
          <w:tcPr>
            <w:tcW w:w="1541" w:type="dxa"/>
          </w:tcPr>
          <w:p w:rsidR="006F292D" w:rsidRDefault="006F292D" w:rsidP="006F292D">
            <w:r>
              <w:t>135</w:t>
            </w:r>
          </w:p>
        </w:tc>
        <w:tc>
          <w:tcPr>
            <w:tcW w:w="1541" w:type="dxa"/>
          </w:tcPr>
          <w:p w:rsidR="006F292D" w:rsidRDefault="006F292D" w:rsidP="006F292D">
            <w:r>
              <w:t>1010</w:t>
            </w:r>
          </w:p>
        </w:tc>
      </w:tr>
      <w:tr w:rsidR="006F292D" w:rsidTr="000B66E7">
        <w:trPr>
          <w:trHeight w:val="275"/>
        </w:trPr>
        <w:tc>
          <w:tcPr>
            <w:tcW w:w="1560" w:type="dxa"/>
            <w:vMerge w:val="restart"/>
          </w:tcPr>
          <w:p w:rsidR="006F292D" w:rsidRDefault="006F292D" w:rsidP="006F292D">
            <w:r>
              <w:t>1</w:t>
            </w:r>
          </w:p>
        </w:tc>
        <w:tc>
          <w:tcPr>
            <w:tcW w:w="850" w:type="dxa"/>
          </w:tcPr>
          <w:p w:rsidR="006F292D" w:rsidRDefault="006F292D" w:rsidP="006F292D">
            <w:r>
              <w:t>1*</w:t>
            </w:r>
          </w:p>
        </w:tc>
        <w:tc>
          <w:tcPr>
            <w:tcW w:w="1052" w:type="dxa"/>
          </w:tcPr>
          <w:p w:rsidR="006F292D" w:rsidRDefault="006F292D" w:rsidP="006F292D">
            <w:r>
              <w:t>25.3</w:t>
            </w:r>
          </w:p>
        </w:tc>
        <w:tc>
          <w:tcPr>
            <w:tcW w:w="1539" w:type="dxa"/>
          </w:tcPr>
          <w:p w:rsidR="006F292D" w:rsidRDefault="006F292D" w:rsidP="006F292D">
            <w:r>
              <w:t>24.6</w:t>
            </w:r>
          </w:p>
        </w:tc>
        <w:tc>
          <w:tcPr>
            <w:tcW w:w="1541" w:type="dxa"/>
          </w:tcPr>
          <w:p w:rsidR="006F292D" w:rsidRDefault="006F292D" w:rsidP="006F292D">
            <w:r>
              <w:t>2230</w:t>
            </w:r>
          </w:p>
        </w:tc>
        <w:tc>
          <w:tcPr>
            <w:tcW w:w="1541" w:type="dxa"/>
          </w:tcPr>
          <w:p w:rsidR="006F292D" w:rsidRDefault="006F292D" w:rsidP="006F292D">
            <w:r>
              <w:t>2160</w:t>
            </w:r>
          </w:p>
        </w:tc>
      </w:tr>
      <w:tr w:rsidR="006F292D" w:rsidTr="000B66E7">
        <w:trPr>
          <w:trHeight w:val="275"/>
        </w:trPr>
        <w:tc>
          <w:tcPr>
            <w:tcW w:w="1560" w:type="dxa"/>
            <w:vMerge/>
            <w:tcBorders>
              <w:top w:val="nil"/>
            </w:tcBorders>
          </w:tcPr>
          <w:p w:rsidR="006F292D" w:rsidRDefault="006F292D" w:rsidP="006F292D">
            <w:pPr>
              <w:rPr>
                <w:sz w:val="2"/>
                <w:szCs w:val="2"/>
              </w:rPr>
            </w:pPr>
          </w:p>
        </w:tc>
        <w:tc>
          <w:tcPr>
            <w:tcW w:w="850" w:type="dxa"/>
          </w:tcPr>
          <w:p w:rsidR="006F292D" w:rsidRDefault="006F292D" w:rsidP="006F292D">
            <w:r>
              <w:t>22**</w:t>
            </w:r>
          </w:p>
        </w:tc>
        <w:tc>
          <w:tcPr>
            <w:tcW w:w="1052" w:type="dxa"/>
          </w:tcPr>
          <w:p w:rsidR="006F292D" w:rsidRDefault="006F292D" w:rsidP="006F292D">
            <w:r>
              <w:t>27.4</w:t>
            </w:r>
          </w:p>
        </w:tc>
        <w:tc>
          <w:tcPr>
            <w:tcW w:w="1539" w:type="dxa"/>
          </w:tcPr>
          <w:p w:rsidR="006F292D" w:rsidRDefault="006F292D" w:rsidP="006F292D">
            <w:r>
              <w:t>15.0</w:t>
            </w:r>
          </w:p>
        </w:tc>
        <w:tc>
          <w:tcPr>
            <w:tcW w:w="1541" w:type="dxa"/>
          </w:tcPr>
          <w:p w:rsidR="006F292D" w:rsidRDefault="006F292D" w:rsidP="006F292D">
            <w:r>
              <w:t>2370</w:t>
            </w:r>
          </w:p>
        </w:tc>
        <w:tc>
          <w:tcPr>
            <w:tcW w:w="1541" w:type="dxa"/>
          </w:tcPr>
          <w:p w:rsidR="006F292D" w:rsidRDefault="006F292D" w:rsidP="006F292D">
            <w:r>
              <w:t>1340</w:t>
            </w:r>
          </w:p>
        </w:tc>
      </w:tr>
      <w:tr w:rsidR="006F292D" w:rsidTr="000B66E7">
        <w:trPr>
          <w:trHeight w:val="275"/>
        </w:trPr>
        <w:tc>
          <w:tcPr>
            <w:tcW w:w="1560" w:type="dxa"/>
            <w:vMerge w:val="restart"/>
          </w:tcPr>
          <w:p w:rsidR="006F292D" w:rsidRDefault="006F292D" w:rsidP="006F292D">
            <w:r>
              <w:t>3</w:t>
            </w:r>
          </w:p>
        </w:tc>
        <w:tc>
          <w:tcPr>
            <w:tcW w:w="850" w:type="dxa"/>
          </w:tcPr>
          <w:p w:rsidR="006F292D" w:rsidRDefault="006F292D" w:rsidP="006F292D">
            <w:r>
              <w:t>1*</w:t>
            </w:r>
          </w:p>
        </w:tc>
        <w:tc>
          <w:tcPr>
            <w:tcW w:w="1052" w:type="dxa"/>
          </w:tcPr>
          <w:p w:rsidR="006F292D" w:rsidRDefault="006F292D" w:rsidP="006F292D">
            <w:r>
              <w:t>74.5</w:t>
            </w:r>
          </w:p>
        </w:tc>
        <w:tc>
          <w:tcPr>
            <w:tcW w:w="1539" w:type="dxa"/>
          </w:tcPr>
          <w:p w:rsidR="006F292D" w:rsidRDefault="006F292D" w:rsidP="006F292D">
            <w:r>
              <w:t>82.6</w:t>
            </w:r>
          </w:p>
        </w:tc>
        <w:tc>
          <w:tcPr>
            <w:tcW w:w="1541" w:type="dxa"/>
          </w:tcPr>
          <w:p w:rsidR="006F292D" w:rsidRDefault="006F292D" w:rsidP="006F292D">
            <w:r>
              <w:t>6790</w:t>
            </w:r>
          </w:p>
        </w:tc>
        <w:tc>
          <w:tcPr>
            <w:tcW w:w="1541" w:type="dxa"/>
          </w:tcPr>
          <w:p w:rsidR="006F292D" w:rsidRDefault="006F292D" w:rsidP="006F292D">
            <w:r>
              <w:t>7510</w:t>
            </w:r>
          </w:p>
        </w:tc>
      </w:tr>
      <w:tr w:rsidR="006F292D" w:rsidTr="000B66E7">
        <w:trPr>
          <w:trHeight w:val="277"/>
        </w:trPr>
        <w:tc>
          <w:tcPr>
            <w:tcW w:w="1560" w:type="dxa"/>
            <w:vMerge/>
            <w:tcBorders>
              <w:top w:val="nil"/>
            </w:tcBorders>
          </w:tcPr>
          <w:p w:rsidR="006F292D" w:rsidRDefault="006F292D" w:rsidP="006F292D">
            <w:pPr>
              <w:rPr>
                <w:sz w:val="2"/>
                <w:szCs w:val="2"/>
              </w:rPr>
            </w:pPr>
          </w:p>
        </w:tc>
        <w:tc>
          <w:tcPr>
            <w:tcW w:w="850" w:type="dxa"/>
          </w:tcPr>
          <w:p w:rsidR="006F292D" w:rsidRDefault="006F292D" w:rsidP="006F292D">
            <w:r>
              <w:t>22**</w:t>
            </w:r>
          </w:p>
        </w:tc>
        <w:tc>
          <w:tcPr>
            <w:tcW w:w="1052" w:type="dxa"/>
          </w:tcPr>
          <w:p w:rsidR="006F292D" w:rsidRDefault="006F292D" w:rsidP="006F292D">
            <w:r>
              <w:t>108</w:t>
            </w:r>
          </w:p>
        </w:tc>
        <w:tc>
          <w:tcPr>
            <w:tcW w:w="1539" w:type="dxa"/>
          </w:tcPr>
          <w:p w:rsidR="006F292D" w:rsidRDefault="006F292D" w:rsidP="006F292D">
            <w:r>
              <w:t>129</w:t>
            </w:r>
          </w:p>
        </w:tc>
        <w:tc>
          <w:tcPr>
            <w:tcW w:w="1541" w:type="dxa"/>
          </w:tcPr>
          <w:p w:rsidR="006F292D" w:rsidRDefault="006F292D" w:rsidP="006F292D">
            <w:r>
              <w:t>10800</w:t>
            </w:r>
          </w:p>
        </w:tc>
        <w:tc>
          <w:tcPr>
            <w:tcW w:w="1541" w:type="dxa"/>
          </w:tcPr>
          <w:p w:rsidR="006F292D" w:rsidRDefault="006F292D" w:rsidP="006F292D">
            <w:r>
              <w:t>12900</w:t>
            </w:r>
          </w:p>
        </w:tc>
      </w:tr>
      <w:tr w:rsidR="006F292D" w:rsidTr="000B66E7">
        <w:trPr>
          <w:trHeight w:val="275"/>
        </w:trPr>
        <w:tc>
          <w:tcPr>
            <w:tcW w:w="1560" w:type="dxa"/>
            <w:vMerge w:val="restart"/>
          </w:tcPr>
          <w:p w:rsidR="006F292D" w:rsidRDefault="006F292D" w:rsidP="006F292D">
            <w:r>
              <w:t>30</w:t>
            </w:r>
          </w:p>
        </w:tc>
        <w:tc>
          <w:tcPr>
            <w:tcW w:w="850" w:type="dxa"/>
          </w:tcPr>
          <w:p w:rsidR="006F292D" w:rsidRDefault="006F292D" w:rsidP="006F292D">
            <w:r>
              <w:t>1*</w:t>
            </w:r>
          </w:p>
        </w:tc>
        <w:tc>
          <w:tcPr>
            <w:tcW w:w="1052" w:type="dxa"/>
          </w:tcPr>
          <w:p w:rsidR="006F292D" w:rsidRDefault="006F292D" w:rsidP="006F292D">
            <w:r>
              <w:t>824</w:t>
            </w:r>
          </w:p>
        </w:tc>
        <w:tc>
          <w:tcPr>
            <w:tcW w:w="1539" w:type="dxa"/>
          </w:tcPr>
          <w:p w:rsidR="006F292D" w:rsidRDefault="006F292D" w:rsidP="006F292D">
            <w:r>
              <w:t>795</w:t>
            </w:r>
          </w:p>
        </w:tc>
        <w:tc>
          <w:tcPr>
            <w:tcW w:w="1541" w:type="dxa"/>
          </w:tcPr>
          <w:p w:rsidR="006F292D" w:rsidRDefault="006F292D" w:rsidP="006F292D">
            <w:r>
              <w:t>71500</w:t>
            </w:r>
          </w:p>
        </w:tc>
        <w:tc>
          <w:tcPr>
            <w:tcW w:w="1541" w:type="dxa"/>
          </w:tcPr>
          <w:p w:rsidR="006F292D" w:rsidRDefault="006F292D" w:rsidP="006F292D">
            <w:r>
              <w:t>72000</w:t>
            </w:r>
          </w:p>
        </w:tc>
      </w:tr>
      <w:tr w:rsidR="006F292D" w:rsidTr="000B66E7">
        <w:trPr>
          <w:trHeight w:val="275"/>
        </w:trPr>
        <w:tc>
          <w:tcPr>
            <w:tcW w:w="1560" w:type="dxa"/>
            <w:vMerge/>
            <w:tcBorders>
              <w:top w:val="nil"/>
            </w:tcBorders>
          </w:tcPr>
          <w:p w:rsidR="006F292D" w:rsidRDefault="006F292D" w:rsidP="006F292D">
            <w:pPr>
              <w:rPr>
                <w:sz w:val="2"/>
                <w:szCs w:val="2"/>
              </w:rPr>
            </w:pPr>
          </w:p>
        </w:tc>
        <w:tc>
          <w:tcPr>
            <w:tcW w:w="850" w:type="dxa"/>
          </w:tcPr>
          <w:p w:rsidR="006F292D" w:rsidRDefault="006F292D" w:rsidP="006F292D">
            <w:r>
              <w:t>22**</w:t>
            </w:r>
          </w:p>
        </w:tc>
        <w:tc>
          <w:tcPr>
            <w:tcW w:w="1052" w:type="dxa"/>
          </w:tcPr>
          <w:p w:rsidR="006F292D" w:rsidRDefault="006F292D" w:rsidP="006F292D">
            <w:r>
              <w:t>1630</w:t>
            </w:r>
          </w:p>
        </w:tc>
        <w:tc>
          <w:tcPr>
            <w:tcW w:w="1539" w:type="dxa"/>
          </w:tcPr>
          <w:p w:rsidR="006F292D" w:rsidRDefault="006F292D" w:rsidP="006F292D">
            <w:r>
              <w:t>1540</w:t>
            </w:r>
          </w:p>
        </w:tc>
        <w:tc>
          <w:tcPr>
            <w:tcW w:w="1541" w:type="dxa"/>
          </w:tcPr>
          <w:p w:rsidR="006F292D" w:rsidRDefault="006F292D" w:rsidP="006F292D">
            <w:r>
              <w:t>177000</w:t>
            </w:r>
          </w:p>
        </w:tc>
        <w:tc>
          <w:tcPr>
            <w:tcW w:w="1541" w:type="dxa"/>
          </w:tcPr>
          <w:p w:rsidR="006F292D" w:rsidRDefault="006F292D" w:rsidP="006F292D">
            <w:r>
              <w:t>165000</w:t>
            </w:r>
          </w:p>
        </w:tc>
      </w:tr>
    </w:tbl>
    <w:p w:rsidR="006F292D" w:rsidRDefault="006F292D" w:rsidP="006F292D">
      <w:pPr>
        <w:rPr>
          <w:sz w:val="20"/>
        </w:rPr>
      </w:pPr>
      <w:r>
        <w:rPr>
          <w:sz w:val="20"/>
        </w:rPr>
        <w:t>*: 1st dosing, **: 4th dosing</w:t>
      </w:r>
    </w:p>
    <w:p w:rsidR="006F292D" w:rsidRDefault="006F292D" w:rsidP="006F292D">
      <w:proofErr w:type="spellStart"/>
      <w:r>
        <w:t>C</w:t>
      </w:r>
      <w:r>
        <w:rPr>
          <w:vertAlign w:val="subscript"/>
        </w:rPr>
        <w:t>max</w:t>
      </w:r>
      <w:proofErr w:type="spellEnd"/>
      <w:r>
        <w:t xml:space="preserve"> and AUC</w:t>
      </w:r>
      <w:r>
        <w:rPr>
          <w:vertAlign w:val="subscript"/>
        </w:rPr>
        <w:t>168</w:t>
      </w:r>
      <w:r>
        <w:t xml:space="preserve"> values on Day 1 increased dose proportionally. The </w:t>
      </w:r>
      <w:proofErr w:type="spellStart"/>
      <w:r>
        <w:t>C</w:t>
      </w:r>
      <w:r>
        <w:rPr>
          <w:vertAlign w:val="subscript"/>
        </w:rPr>
        <w:t>max</w:t>
      </w:r>
      <w:proofErr w:type="spellEnd"/>
      <w:r>
        <w:t xml:space="preserve"> and AUC</w:t>
      </w:r>
      <w:r>
        <w:rPr>
          <w:vertAlign w:val="subscript"/>
        </w:rPr>
        <w:t>168</w:t>
      </w:r>
      <w:r>
        <w:t xml:space="preserve"> values on Day 22 were higher than those on Day 1 for all the animals in the 30 mg/kg group. However, the </w:t>
      </w:r>
      <w:proofErr w:type="spellStart"/>
      <w:r>
        <w:t>C</w:t>
      </w:r>
      <w:r>
        <w:rPr>
          <w:vertAlign w:val="subscript"/>
        </w:rPr>
        <w:t>max</w:t>
      </w:r>
      <w:proofErr w:type="spellEnd"/>
      <w:r>
        <w:t xml:space="preserve"> and AUC</w:t>
      </w:r>
      <w:r>
        <w:rPr>
          <w:vertAlign w:val="subscript"/>
        </w:rPr>
        <w:t>168</w:t>
      </w:r>
      <w:r>
        <w:t xml:space="preserve"> values on Day 22 were lower than those on Day 1 for anti- </w:t>
      </w:r>
      <w:r w:rsidR="00D22CFC">
        <w:t>PROJECT 9</w:t>
      </w:r>
      <w:r>
        <w:t xml:space="preserve"> antibody positive animals in the 0.3 to 3 mg/kg dosing groups. The decrease in these values after repeated dosing was considered to be related to the production of anti- </w:t>
      </w:r>
      <w:r w:rsidR="00D22CFC">
        <w:t>PROJECT 9</w:t>
      </w:r>
      <w:r>
        <w:t xml:space="preserve"> antibodies.</w:t>
      </w:r>
    </w:p>
    <w:p w:rsidR="006F292D" w:rsidRDefault="006F292D" w:rsidP="006F292D">
      <w:pPr>
        <w:rPr>
          <w:b/>
          <w:bCs/>
          <w:kern w:val="0"/>
          <w:sz w:val="28"/>
          <w:szCs w:val="28"/>
        </w:rPr>
      </w:pPr>
      <w:r>
        <w:t>It was concluded that, under the conditions of the present study, the no-observed-adverse- effect level (NOAEL) was 3 mg/kg/week for males and females since changes of toxicological significance were noted at 30 mg/kg in hematology, gross pathology, organ weights, and histopathology. All changes observed during the dosing period were considered to have recovered or tended toward recovery during the 6-week recovery period.</w:t>
      </w:r>
    </w:p>
    <w:sectPr w:rsidR="006F292D" w:rsidSect="00E62016">
      <w:footerReference w:type="default" r:id="rId7"/>
      <w:pgSz w:w="11906" w:h="16838" w:code="9"/>
      <w:pgMar w:top="1418" w:right="851" w:bottom="1418" w:left="851" w:header="851" w:footer="851" w:gutter="567"/>
      <w:cols w:space="425"/>
      <w:docGrid w:type="linesAndChars" w:linePitch="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AE0" w:rsidRDefault="00E02AE0" w:rsidP="00321748">
      <w:r>
        <w:separator/>
      </w:r>
    </w:p>
  </w:endnote>
  <w:endnote w:type="continuationSeparator" w:id="0">
    <w:p w:rsidR="00E02AE0" w:rsidRDefault="00E02AE0" w:rsidP="0032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416" w:rsidRDefault="00571416">
    <w:pPr>
      <w:pStyle w:val="a7"/>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AE0" w:rsidRDefault="00E02AE0" w:rsidP="00321748">
      <w:r>
        <w:separator/>
      </w:r>
    </w:p>
  </w:footnote>
  <w:footnote w:type="continuationSeparator" w:id="0">
    <w:p w:rsidR="00E02AE0" w:rsidRDefault="00E02AE0" w:rsidP="0032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118"/>
    <w:multiLevelType w:val="multilevel"/>
    <w:tmpl w:val="0DB2A062"/>
    <w:lvl w:ilvl="0">
      <w:start w:val="3"/>
      <w:numFmt w:val="decimal"/>
      <w:lvlText w:val="%1."/>
      <w:lvlJc w:val="left"/>
      <w:pPr>
        <w:ind w:left="637" w:hanging="396"/>
        <w:jc w:val="right"/>
      </w:pPr>
      <w:rPr>
        <w:rFonts w:ascii="Calibri" w:eastAsia="Calibri" w:hAnsi="Calibri" w:cs="Calibri" w:hint="default"/>
        <w:b/>
        <w:bCs/>
        <w:spacing w:val="-1"/>
        <w:w w:val="99"/>
        <w:sz w:val="32"/>
        <w:szCs w:val="32"/>
      </w:rPr>
    </w:lvl>
    <w:lvl w:ilvl="1">
      <w:start w:val="1"/>
      <w:numFmt w:val="decimal"/>
      <w:lvlText w:val="%1.%2."/>
      <w:lvlJc w:val="left"/>
      <w:pPr>
        <w:ind w:left="865" w:hanging="624"/>
      </w:pPr>
      <w:rPr>
        <w:rFonts w:ascii="Calibri" w:eastAsia="Calibri" w:hAnsi="Calibri" w:cs="Calibri" w:hint="default"/>
        <w:b/>
        <w:bCs/>
        <w:spacing w:val="-1"/>
        <w:w w:val="100"/>
        <w:sz w:val="28"/>
        <w:szCs w:val="28"/>
      </w:rPr>
    </w:lvl>
    <w:lvl w:ilvl="2">
      <w:start w:val="1"/>
      <w:numFmt w:val="lowerRoman"/>
      <w:lvlText w:val="(%3)"/>
      <w:lvlJc w:val="left"/>
      <w:pPr>
        <w:ind w:left="1320" w:hanging="721"/>
      </w:pPr>
      <w:rPr>
        <w:rFonts w:ascii="Calibri" w:eastAsia="Calibri" w:hAnsi="Calibri" w:cs="Calibri" w:hint="default"/>
        <w:spacing w:val="-1"/>
        <w:w w:val="100"/>
        <w:sz w:val="22"/>
        <w:szCs w:val="22"/>
      </w:rPr>
    </w:lvl>
    <w:lvl w:ilvl="3">
      <w:numFmt w:val="bullet"/>
      <w:lvlText w:val="•"/>
      <w:lvlJc w:val="left"/>
      <w:pPr>
        <w:ind w:left="1320" w:hanging="721"/>
      </w:pPr>
      <w:rPr>
        <w:rFonts w:hint="default"/>
      </w:rPr>
    </w:lvl>
    <w:lvl w:ilvl="4">
      <w:numFmt w:val="bullet"/>
      <w:lvlText w:val="•"/>
      <w:lvlJc w:val="left"/>
      <w:pPr>
        <w:ind w:left="3940" w:hanging="721"/>
      </w:pPr>
      <w:rPr>
        <w:rFonts w:hint="default"/>
      </w:rPr>
    </w:lvl>
    <w:lvl w:ilvl="5">
      <w:numFmt w:val="bullet"/>
      <w:lvlText w:val="•"/>
      <w:lvlJc w:val="left"/>
      <w:pPr>
        <w:ind w:left="3759" w:hanging="721"/>
      </w:pPr>
      <w:rPr>
        <w:rFonts w:hint="default"/>
      </w:rPr>
    </w:lvl>
    <w:lvl w:ilvl="6">
      <w:numFmt w:val="bullet"/>
      <w:lvlText w:val="•"/>
      <w:lvlJc w:val="left"/>
      <w:pPr>
        <w:ind w:left="3578" w:hanging="721"/>
      </w:pPr>
      <w:rPr>
        <w:rFonts w:hint="default"/>
      </w:rPr>
    </w:lvl>
    <w:lvl w:ilvl="7">
      <w:numFmt w:val="bullet"/>
      <w:lvlText w:val="•"/>
      <w:lvlJc w:val="left"/>
      <w:pPr>
        <w:ind w:left="3397" w:hanging="721"/>
      </w:pPr>
      <w:rPr>
        <w:rFonts w:hint="default"/>
      </w:rPr>
    </w:lvl>
    <w:lvl w:ilvl="8">
      <w:numFmt w:val="bullet"/>
      <w:lvlText w:val="•"/>
      <w:lvlJc w:val="left"/>
      <w:pPr>
        <w:ind w:left="3216"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2312A"/>
    <w:rsid w:val="000804FC"/>
    <w:rsid w:val="0009083A"/>
    <w:rsid w:val="000934E2"/>
    <w:rsid w:val="000F6409"/>
    <w:rsid w:val="0012153B"/>
    <w:rsid w:val="0015063C"/>
    <w:rsid w:val="002206D5"/>
    <w:rsid w:val="00280895"/>
    <w:rsid w:val="002C7EB3"/>
    <w:rsid w:val="002D7B26"/>
    <w:rsid w:val="00305291"/>
    <w:rsid w:val="003065FF"/>
    <w:rsid w:val="00321748"/>
    <w:rsid w:val="00361285"/>
    <w:rsid w:val="00380F69"/>
    <w:rsid w:val="003A0A7C"/>
    <w:rsid w:val="003C3D3C"/>
    <w:rsid w:val="003F667A"/>
    <w:rsid w:val="004929BD"/>
    <w:rsid w:val="00571416"/>
    <w:rsid w:val="005835E5"/>
    <w:rsid w:val="005B7D2B"/>
    <w:rsid w:val="006C2900"/>
    <w:rsid w:val="006D1EC1"/>
    <w:rsid w:val="006F292D"/>
    <w:rsid w:val="0071344D"/>
    <w:rsid w:val="00714904"/>
    <w:rsid w:val="0078042E"/>
    <w:rsid w:val="007B04E7"/>
    <w:rsid w:val="007C55F6"/>
    <w:rsid w:val="007C6290"/>
    <w:rsid w:val="008E19B0"/>
    <w:rsid w:val="009376DC"/>
    <w:rsid w:val="00950A3B"/>
    <w:rsid w:val="00953BD7"/>
    <w:rsid w:val="00977F68"/>
    <w:rsid w:val="00A13523"/>
    <w:rsid w:val="00AA621D"/>
    <w:rsid w:val="00AC22DF"/>
    <w:rsid w:val="00BC0EC2"/>
    <w:rsid w:val="00C20ABD"/>
    <w:rsid w:val="00C75423"/>
    <w:rsid w:val="00C93565"/>
    <w:rsid w:val="00D0213C"/>
    <w:rsid w:val="00D154DC"/>
    <w:rsid w:val="00D22CFC"/>
    <w:rsid w:val="00D86D90"/>
    <w:rsid w:val="00D87BA5"/>
    <w:rsid w:val="00DA3A6D"/>
    <w:rsid w:val="00E02AE0"/>
    <w:rsid w:val="00E62016"/>
    <w:rsid w:val="00E924DB"/>
    <w:rsid w:val="00ED218C"/>
    <w:rsid w:val="00EE3238"/>
    <w:rsid w:val="00F13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748"/>
    <w:pPr>
      <w:tabs>
        <w:tab w:val="center" w:pos="4252"/>
        <w:tab w:val="right" w:pos="8504"/>
      </w:tabs>
      <w:snapToGrid w:val="0"/>
    </w:pPr>
  </w:style>
  <w:style w:type="character" w:customStyle="1" w:styleId="a4">
    <w:name w:val="ヘッダー (文字)"/>
    <w:basedOn w:val="a0"/>
    <w:link w:val="a3"/>
    <w:uiPriority w:val="99"/>
    <w:rsid w:val="00321748"/>
    <w:rPr>
      <w:sz w:val="24"/>
    </w:rPr>
  </w:style>
  <w:style w:type="paragraph" w:styleId="a5">
    <w:name w:val="footer"/>
    <w:basedOn w:val="a"/>
    <w:link w:val="a6"/>
    <w:uiPriority w:val="99"/>
    <w:unhideWhenUsed/>
    <w:rsid w:val="00321748"/>
    <w:pPr>
      <w:tabs>
        <w:tab w:val="center" w:pos="4252"/>
        <w:tab w:val="right" w:pos="8504"/>
      </w:tabs>
      <w:snapToGrid w:val="0"/>
    </w:pPr>
  </w:style>
  <w:style w:type="character" w:customStyle="1" w:styleId="a6">
    <w:name w:val="フッター (文字)"/>
    <w:basedOn w:val="a0"/>
    <w:link w:val="a5"/>
    <w:uiPriority w:val="99"/>
    <w:rsid w:val="00321748"/>
    <w:rPr>
      <w:sz w:val="24"/>
    </w:rPr>
  </w:style>
  <w:style w:type="paragraph" w:styleId="a7">
    <w:name w:val="Body Text"/>
    <w:basedOn w:val="a"/>
    <w:link w:val="a8"/>
    <w:uiPriority w:val="1"/>
    <w:qFormat/>
    <w:rsid w:val="00321748"/>
    <w:pPr>
      <w:autoSpaceDE w:val="0"/>
      <w:autoSpaceDN w:val="0"/>
      <w:jc w:val="left"/>
    </w:pPr>
    <w:rPr>
      <w:rFonts w:eastAsia="Times New Roman"/>
      <w:kern w:val="0"/>
      <w:szCs w:val="24"/>
      <w:lang w:eastAsia="en-US"/>
    </w:rPr>
  </w:style>
  <w:style w:type="character" w:customStyle="1" w:styleId="a8">
    <w:name w:val="本文 (文字)"/>
    <w:basedOn w:val="a0"/>
    <w:link w:val="a7"/>
    <w:uiPriority w:val="1"/>
    <w:rsid w:val="00321748"/>
    <w:rPr>
      <w:rFonts w:eastAsia="Times New Roman"/>
      <w:kern w:val="0"/>
      <w:sz w:val="24"/>
      <w:szCs w:val="24"/>
      <w:lang w:eastAsia="en-US"/>
    </w:rPr>
  </w:style>
  <w:style w:type="table" w:customStyle="1" w:styleId="TableNormal">
    <w:name w:val="Table Normal"/>
    <w:uiPriority w:val="2"/>
    <w:semiHidden/>
    <w:unhideWhenUsed/>
    <w:qFormat/>
    <w:rsid w:val="00950A3B"/>
    <w:pPr>
      <w:widowControl w:val="0"/>
      <w:autoSpaceDE w:val="0"/>
      <w:autoSpaceDN w:val="0"/>
    </w:pPr>
    <w:rPr>
      <w:rFonts w:asciiTheme="minorHAnsi" w:eastAsiaTheme="minorEastAsia" w:hAnsiTheme="minorHAnsi" w:cstheme="minorBidi"/>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50A3B"/>
    <w:pPr>
      <w:autoSpaceDE w:val="0"/>
      <w:autoSpaceDN w:val="0"/>
      <w:jc w:val="left"/>
    </w:pPr>
    <w:rPr>
      <w:rFonts w:ascii="Courier New" w:eastAsia="Courier New" w:hAnsi="Courier New" w:cs="Courier New"/>
      <w:kern w:val="0"/>
      <w:sz w:val="22"/>
      <w:lang w:eastAsia="en-US"/>
    </w:rPr>
  </w:style>
  <w:style w:type="table" w:customStyle="1" w:styleId="TableNormal1">
    <w:name w:val="Table Normal1"/>
    <w:uiPriority w:val="2"/>
    <w:semiHidden/>
    <w:unhideWhenUsed/>
    <w:qFormat/>
    <w:rsid w:val="003065FF"/>
    <w:pPr>
      <w:widowControl w:val="0"/>
      <w:autoSpaceDE w:val="0"/>
      <w:autoSpaceDN w:val="0"/>
    </w:pPr>
    <w:rPr>
      <w:rFonts w:ascii="Calibri" w:hAnsi="Calibri"/>
      <w:kern w:val="0"/>
      <w:sz w:val="22"/>
      <w:lang w:eastAsia="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71416"/>
    <w:pPr>
      <w:widowControl w:val="0"/>
      <w:autoSpaceDE w:val="0"/>
      <w:autoSpaceDN w:val="0"/>
    </w:pPr>
    <w:rPr>
      <w:rFonts w:ascii="Calibri" w:hAnsi="Calibri"/>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B5470B-0AE9-4C7D-A480-181121B695C0}"/>
</file>

<file path=customXml/itemProps2.xml><?xml version="1.0" encoding="utf-8"?>
<ds:datastoreItem xmlns:ds="http://schemas.openxmlformats.org/officeDocument/2006/customXml" ds:itemID="{828A9824-1F64-42A9-AEC6-11C554D7D689}"/>
</file>

<file path=customXml/itemProps3.xml><?xml version="1.0" encoding="utf-8"?>
<ds:datastoreItem xmlns:ds="http://schemas.openxmlformats.org/officeDocument/2006/customXml" ds:itemID="{23C0B5C3-A5BF-4CA2-9A61-A13A1AEB4087}"/>
</file>

<file path=docProps/app.xml><?xml version="1.0" encoding="utf-8"?>
<Properties xmlns="http://schemas.openxmlformats.org/officeDocument/2006/extended-properties" xmlns:vt="http://schemas.openxmlformats.org/officeDocument/2006/docPropsVTypes">
  <Template>Normal</Template>
  <TotalTime>37</TotalTime>
  <Pages>1</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26</cp:revision>
  <dcterms:created xsi:type="dcterms:W3CDTF">2021-06-23T13:15:00Z</dcterms:created>
  <dcterms:modified xsi:type="dcterms:W3CDTF">2021-07-01T03:06:00Z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