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F68" w:rsidRDefault="003C3D3C" w:rsidP="0071344D">
      <w:pPr>
        <w:autoSpaceDE w:val="0"/>
        <w:autoSpaceDN w:val="0"/>
        <w:adjustRightInd w:val="0"/>
        <w:jc w:val="left"/>
        <w:rPr>
          <w:b/>
          <w:bCs/>
          <w:kern w:val="0"/>
          <w:sz w:val="32"/>
          <w:szCs w:val="32"/>
        </w:rPr>
      </w:pPr>
      <w:r w:rsidRPr="003C3D3C">
        <w:rPr>
          <w:b/>
          <w:bCs/>
          <w:kern w:val="0"/>
          <w:sz w:val="32"/>
          <w:szCs w:val="32"/>
        </w:rPr>
        <w:t xml:space="preserve">A 4-Week Repeated Oral Dose Toxicity Study of </w:t>
      </w:r>
      <w:r w:rsidR="00AA2716">
        <w:rPr>
          <w:b/>
          <w:bCs/>
          <w:kern w:val="0"/>
          <w:sz w:val="32"/>
          <w:szCs w:val="32"/>
        </w:rPr>
        <w:t>PROJECT B</w:t>
      </w:r>
      <w:r w:rsidRPr="003C3D3C">
        <w:rPr>
          <w:b/>
          <w:bCs/>
          <w:kern w:val="0"/>
          <w:sz w:val="32"/>
          <w:szCs w:val="32"/>
        </w:rPr>
        <w:t xml:space="preserve"> in Dogs Followed by a 4-Week Recovery Period</w:t>
      </w:r>
    </w:p>
    <w:p w:rsidR="003C3D3C" w:rsidRPr="00AA621D" w:rsidRDefault="003C3D3C"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11 SUMMARY</w:t>
      </w:r>
    </w:p>
    <w:p w:rsidR="003C3D3C" w:rsidRPr="003C3D3C" w:rsidRDefault="00AA2716" w:rsidP="003C3D3C">
      <w:pPr>
        <w:autoSpaceDE w:val="0"/>
        <w:autoSpaceDN w:val="0"/>
        <w:adjustRightInd w:val="0"/>
        <w:jc w:val="left"/>
        <w:rPr>
          <w:szCs w:val="24"/>
        </w:rPr>
      </w:pPr>
      <w:r>
        <w:rPr>
          <w:szCs w:val="24"/>
        </w:rPr>
        <w:t>PROJECT B</w:t>
      </w:r>
      <w:r w:rsidR="003C3D3C" w:rsidRPr="003C3D3C">
        <w:rPr>
          <w:szCs w:val="24"/>
        </w:rPr>
        <w:t xml:space="preserve"> (Lot No. 001WKM) was suspended in 10 w/v% TC-5E solution and orally administered once daily for 4 weeks at dose levels of 0 (vehicle control), 3, 10, 30, and 300 mg/kg as </w:t>
      </w:r>
      <w:r>
        <w:rPr>
          <w:szCs w:val="24"/>
        </w:rPr>
        <w:t>PROJECT B</w:t>
      </w:r>
      <w:r w:rsidR="003C3D3C" w:rsidRPr="003C3D3C">
        <w:rPr>
          <w:szCs w:val="24"/>
        </w:rPr>
        <w:t xml:space="preserve"> to 4 male and 4 female beagle dogs per group in order to investigate its potential toxicity. Three males and two females were added to the 300 mg/kg group in order to assess the reversibility of toxicity during a subsequent 4-week recovery period.</w:t>
      </w:r>
    </w:p>
    <w:p w:rsidR="003C3D3C" w:rsidRPr="003C3D3C" w:rsidRDefault="003C3D3C" w:rsidP="003C3D3C">
      <w:pPr>
        <w:autoSpaceDE w:val="0"/>
        <w:autoSpaceDN w:val="0"/>
        <w:adjustRightInd w:val="0"/>
        <w:jc w:val="left"/>
        <w:rPr>
          <w:szCs w:val="24"/>
        </w:rPr>
      </w:pPr>
      <w:r w:rsidRPr="003C3D3C">
        <w:rPr>
          <w:szCs w:val="24"/>
        </w:rPr>
        <w:t>The following observations and examinations were performed in this study: clinical signs, body weight, food consumption, ophthalmology, electrocardiography, urinalysis, hematology, blood chemistry, gross pathology, organ weights, histopathology, and toxicokinetics.</w:t>
      </w:r>
    </w:p>
    <w:p w:rsidR="003C3D3C" w:rsidRPr="003C3D3C" w:rsidRDefault="003C3D3C" w:rsidP="003C3D3C">
      <w:pPr>
        <w:autoSpaceDE w:val="0"/>
        <w:autoSpaceDN w:val="0"/>
        <w:adjustRightInd w:val="0"/>
        <w:jc w:val="left"/>
        <w:rPr>
          <w:szCs w:val="24"/>
        </w:rPr>
      </w:pPr>
      <w:r w:rsidRPr="003C3D3C">
        <w:rPr>
          <w:szCs w:val="24"/>
        </w:rPr>
        <w:t>One female at 300 mg/kg was sacrificed due to moribundity on Day 11 of dosing, and</w:t>
      </w:r>
      <w:r>
        <w:rPr>
          <w:szCs w:val="24"/>
        </w:rPr>
        <w:t xml:space="preserve"> </w:t>
      </w:r>
      <w:r w:rsidRPr="003C3D3C">
        <w:rPr>
          <w:szCs w:val="24"/>
        </w:rPr>
        <w:t xml:space="preserve">1 female at 300 mg/kg was found dead in the morning (before dosing) on Day 13 of dosing. Tachypnea and lateral position, and loss of food consumption were observed before sacrifice in the moribund female. In the dead female, deteriorated conditions in clinical signs were not observed on the day before death. In these females, soft stool, diarrhea, vomiting, and salivation were occasionally observed. In hematology and blood chemistry, the following changes were noted at sacrifice in the moribund female: increased counts of leukocyte, neutrophil, and monocyte, increased fibrinogen, troponin I, troponin T, creatine kinase, total bilirubin, total protein, albumin, glucose, urea nitrogen, creatinine, calcium, and creatine kinase-MM type, and decreased eosinophil count, inorganic phosphorus, sodium, potassium, and chloride. In gross pathology, the following changes were observed in dead and/or sacrificed animals: red focus in the endocardium at the left ventricle and right atrium in the heart, red focus in the lung, and brown discoloration in the esophagus, pleural fluid, and red discoloration in the ileum. High lung weight and low thymus weight were noted. In histopathology, the following changes were observed: multifocal arteritis, multifocal inflammatory cell infiltration with hemorrhage, multifocal myocardial necrosis in the heart, atrophy of the thymus, spleen, submandibular and mesenteric lymph node, and mucosal necrosis with edema in the esophagus, inflammatory cell infiltration in the lamina propria and submucosa, subepithelial edema in the ileum, focal peribronchiolar inflammatory cell infiltration, focal inflammatory cell infiltration in the bronchiolar lumen and </w:t>
      </w:r>
      <w:proofErr w:type="spellStart"/>
      <w:r w:rsidRPr="003C3D3C">
        <w:rPr>
          <w:szCs w:val="24"/>
        </w:rPr>
        <w:t>intraepithelium</w:t>
      </w:r>
      <w:proofErr w:type="spellEnd"/>
      <w:r w:rsidRPr="003C3D3C">
        <w:rPr>
          <w:szCs w:val="24"/>
        </w:rPr>
        <w:t xml:space="preserve">, hypertrophy of the bronchiole epithelium, and congestion and edema in the lung. Therefore, it was considered that, the cardiovascular system was one of the main target organs of toxicity of </w:t>
      </w:r>
      <w:r w:rsidR="00AA2716">
        <w:rPr>
          <w:szCs w:val="24"/>
        </w:rPr>
        <w:t>PROJECT B</w:t>
      </w:r>
      <w:r w:rsidRPr="003C3D3C">
        <w:rPr>
          <w:szCs w:val="24"/>
        </w:rPr>
        <w:t>, and that effects on the cardiovascular system possibly caused deterioration in general condition or death in 2 females.</w:t>
      </w:r>
    </w:p>
    <w:p w:rsidR="003C3D3C" w:rsidRPr="003C3D3C" w:rsidRDefault="003C3D3C" w:rsidP="003C3D3C">
      <w:pPr>
        <w:autoSpaceDE w:val="0"/>
        <w:autoSpaceDN w:val="0"/>
        <w:adjustRightInd w:val="0"/>
        <w:jc w:val="left"/>
        <w:rPr>
          <w:szCs w:val="24"/>
        </w:rPr>
      </w:pPr>
      <w:r w:rsidRPr="003C3D3C">
        <w:rPr>
          <w:szCs w:val="24"/>
        </w:rPr>
        <w:t>No test article-related changes were noted at 3 mg/kg.</w:t>
      </w:r>
    </w:p>
    <w:p w:rsidR="003C3D3C" w:rsidRPr="003C3D3C" w:rsidRDefault="003C3D3C" w:rsidP="003C3D3C">
      <w:pPr>
        <w:autoSpaceDE w:val="0"/>
        <w:autoSpaceDN w:val="0"/>
        <w:adjustRightInd w:val="0"/>
        <w:jc w:val="left"/>
        <w:rPr>
          <w:szCs w:val="24"/>
        </w:rPr>
      </w:pPr>
      <w:r w:rsidRPr="003C3D3C">
        <w:rPr>
          <w:szCs w:val="24"/>
        </w:rPr>
        <w:t>At 10 mg/kg and more, soft stool and vomiting were observed in males and females.</w:t>
      </w:r>
    </w:p>
    <w:p w:rsidR="003C3D3C" w:rsidRPr="003C3D3C" w:rsidRDefault="003C3D3C" w:rsidP="003C3D3C">
      <w:pPr>
        <w:autoSpaceDE w:val="0"/>
        <w:autoSpaceDN w:val="0"/>
        <w:adjustRightInd w:val="0"/>
        <w:jc w:val="left"/>
        <w:rPr>
          <w:szCs w:val="24"/>
        </w:rPr>
      </w:pPr>
      <w:r w:rsidRPr="003C3D3C">
        <w:rPr>
          <w:szCs w:val="24"/>
        </w:rPr>
        <w:t>At 30 mg/kg, high lung weight was noted in a male.</w:t>
      </w:r>
    </w:p>
    <w:p w:rsidR="003C3D3C" w:rsidRPr="003C3D3C" w:rsidRDefault="003C3D3C" w:rsidP="003C3D3C">
      <w:pPr>
        <w:autoSpaceDE w:val="0"/>
        <w:autoSpaceDN w:val="0"/>
        <w:adjustRightInd w:val="0"/>
        <w:jc w:val="left"/>
        <w:rPr>
          <w:szCs w:val="24"/>
        </w:rPr>
      </w:pPr>
      <w:r w:rsidRPr="003C3D3C">
        <w:rPr>
          <w:szCs w:val="24"/>
        </w:rPr>
        <w:lastRenderedPageBreak/>
        <w:t>At 30 mg/kg and more, diarrhea was observed in males and females. Focal peribronchiolar inflammatory cell infiltration in the lung in histopathology was observed in males at 30 mg/kg, and in males and females at 300 mg/kg. Hypertrophy of the bronchiole epithelium, and foam cell accumulation in the lung in histopathology were observed in males at 30 and 300 mg/kg.</w:t>
      </w:r>
    </w:p>
    <w:p w:rsidR="003C3D3C" w:rsidRPr="003C3D3C" w:rsidRDefault="003C3D3C" w:rsidP="003C3D3C">
      <w:pPr>
        <w:autoSpaceDE w:val="0"/>
        <w:autoSpaceDN w:val="0"/>
        <w:adjustRightInd w:val="0"/>
        <w:jc w:val="left"/>
        <w:rPr>
          <w:szCs w:val="24"/>
        </w:rPr>
      </w:pPr>
      <w:r w:rsidRPr="003C3D3C">
        <w:rPr>
          <w:szCs w:val="24"/>
        </w:rPr>
        <w:t xml:space="preserve">At 300 mg/kg in the survived animals, the following changes were noted in males and females: salivation, increased heart rate, shortened QT, PR, and QTc in </w:t>
      </w:r>
      <w:proofErr w:type="spellStart"/>
      <w:r w:rsidRPr="003C3D3C">
        <w:rPr>
          <w:szCs w:val="24"/>
        </w:rPr>
        <w:t>electrocardiogaphy</w:t>
      </w:r>
      <w:proofErr w:type="spellEnd"/>
      <w:r w:rsidRPr="003C3D3C">
        <w:rPr>
          <w:szCs w:val="24"/>
        </w:rPr>
        <w:t xml:space="preserve">, decreased erythrocyte count, hematocrit value, hemoglobin concentration, eosinophil count, prolonged activated partial thromboplastin time, increased troponin I and urea nitrogen in hematology and blood chemistry, red focus in the endocardium at the right atrium in the heart in gross pathology, multifocal arteritis, multifocal inflammatory cell infiltration with hemorrhage in the heart, and atrophy of the thymus in histopathology. In males in addition to above changes, red focus in the lung in gross pathology, focal inflammatory cell infiltration in the bronchiolar lumen, and </w:t>
      </w:r>
      <w:proofErr w:type="spellStart"/>
      <w:r w:rsidRPr="003C3D3C">
        <w:rPr>
          <w:szCs w:val="24"/>
        </w:rPr>
        <w:t>intraepithelium</w:t>
      </w:r>
      <w:proofErr w:type="spellEnd"/>
      <w:r w:rsidRPr="003C3D3C">
        <w:rPr>
          <w:szCs w:val="24"/>
        </w:rPr>
        <w:t xml:space="preserve"> in the lung were observed in histopathology. And in females, increased fibrinogen, troponin T, sodium, and chloride, and decreased potassium in hematology and blood chemistry, red focus in the stomach body serosa in gross pathology, high heart weight and low thymus weight, multifocal myocardial necrosis, and thickening of the artery tunica intima in the heart, and perivascular hemorrhage in the muscle and serosa in the stomach body were noted in histopathology.</w:t>
      </w:r>
    </w:p>
    <w:p w:rsidR="003C3D3C" w:rsidRPr="003C3D3C" w:rsidRDefault="003C3D3C" w:rsidP="003C3D3C">
      <w:pPr>
        <w:autoSpaceDE w:val="0"/>
        <w:autoSpaceDN w:val="0"/>
        <w:adjustRightInd w:val="0"/>
        <w:jc w:val="left"/>
        <w:rPr>
          <w:szCs w:val="24"/>
        </w:rPr>
      </w:pPr>
      <w:r w:rsidRPr="003C3D3C">
        <w:rPr>
          <w:szCs w:val="24"/>
        </w:rPr>
        <w:t>No test article-related changes were observed in body weight, ophthalmology, or urinalysis at any dose level.</w:t>
      </w:r>
    </w:p>
    <w:p w:rsidR="003C3D3C" w:rsidRPr="003C3D3C" w:rsidRDefault="003C3D3C" w:rsidP="003C3D3C">
      <w:pPr>
        <w:autoSpaceDE w:val="0"/>
        <w:autoSpaceDN w:val="0"/>
        <w:adjustRightInd w:val="0"/>
        <w:jc w:val="left"/>
        <w:rPr>
          <w:szCs w:val="24"/>
        </w:rPr>
      </w:pPr>
      <w:r w:rsidRPr="003C3D3C">
        <w:rPr>
          <w:szCs w:val="24"/>
        </w:rPr>
        <w:t>After a 4-week recovery period, the only histopathological changes in the heart and lung were observed at 300 mg/kg as follows: thickening of the artery tunica intima, and lymph vessel dilatation in the heart accompanied by gross lesions, and fibrosis and brown pigment deposition in the lung. Thickening of the artery tunica intima that were observed in the heart were considered to be a state of repair process of the arteritis that were observed at the end of the dosing period, and lymph vessel dilatation in the heart might be caused the lymph vessel obstruction accompanied with arteritis or myocardial damage. Changes in the lung were considered to be a scarring related to the change of focal peribronchiolar inflammatory cell infiltration in the lung at the end of the dosing period. Accordingly, all test article-related changes noted at the end of the dosing period, except for histopathological change of repair process or scarring accompanied by gross lesions, showed full recovery during the 4-week recovery period.</w:t>
      </w:r>
    </w:p>
    <w:p w:rsidR="003C3D3C" w:rsidRPr="003C3D3C" w:rsidRDefault="003C3D3C" w:rsidP="003C3D3C">
      <w:pPr>
        <w:autoSpaceDE w:val="0"/>
        <w:autoSpaceDN w:val="0"/>
        <w:adjustRightInd w:val="0"/>
        <w:jc w:val="left"/>
        <w:rPr>
          <w:szCs w:val="24"/>
        </w:rPr>
      </w:pPr>
      <w:proofErr w:type="spellStart"/>
      <w:r w:rsidRPr="003C3D3C">
        <w:rPr>
          <w:szCs w:val="24"/>
        </w:rPr>
        <w:t>t</w:t>
      </w:r>
      <w:r w:rsidRPr="003C3D3C">
        <w:rPr>
          <w:szCs w:val="24"/>
          <w:vertAlign w:val="subscript"/>
        </w:rPr>
        <w:t>max</w:t>
      </w:r>
      <w:proofErr w:type="spellEnd"/>
      <w:r w:rsidRPr="003C3D3C">
        <w:rPr>
          <w:szCs w:val="24"/>
        </w:rPr>
        <w:t xml:space="preserve">, </w:t>
      </w:r>
      <w:proofErr w:type="spellStart"/>
      <w:r w:rsidRPr="003C3D3C">
        <w:rPr>
          <w:szCs w:val="24"/>
        </w:rPr>
        <w:t>C</w:t>
      </w:r>
      <w:r w:rsidRPr="003C3D3C">
        <w:rPr>
          <w:szCs w:val="24"/>
          <w:vertAlign w:val="subscript"/>
        </w:rPr>
        <w:t>max</w:t>
      </w:r>
      <w:proofErr w:type="spellEnd"/>
      <w:r w:rsidRPr="003C3D3C">
        <w:rPr>
          <w:szCs w:val="24"/>
        </w:rPr>
        <w:t>, and AUC</w:t>
      </w:r>
      <w:r w:rsidRPr="003C3D3C">
        <w:rPr>
          <w:szCs w:val="24"/>
          <w:vertAlign w:val="subscript"/>
        </w:rPr>
        <w:t>24</w:t>
      </w:r>
      <w:r w:rsidRPr="003C3D3C">
        <w:rPr>
          <w:szCs w:val="24"/>
        </w:rPr>
        <w:t xml:space="preserve"> values for </w:t>
      </w:r>
      <w:r w:rsidR="00AA2716">
        <w:rPr>
          <w:szCs w:val="24"/>
        </w:rPr>
        <w:t>PROJECT B</w:t>
      </w:r>
      <w:r w:rsidRPr="003C3D3C">
        <w:rPr>
          <w:szCs w:val="24"/>
        </w:rPr>
        <w:t xml:space="preserve"> are shown in the table below.</w:t>
      </w:r>
    </w:p>
    <w:p w:rsidR="003C3D3C" w:rsidRPr="003C3D3C" w:rsidRDefault="003C3D3C" w:rsidP="003C3D3C">
      <w:pPr>
        <w:autoSpaceDE w:val="0"/>
        <w:autoSpaceDN w:val="0"/>
        <w:adjustRightInd w:val="0"/>
        <w:jc w:val="left"/>
        <w:rPr>
          <w:szCs w:val="24"/>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849"/>
        <w:gridCol w:w="849"/>
        <w:gridCol w:w="851"/>
        <w:gridCol w:w="849"/>
        <w:gridCol w:w="851"/>
        <w:gridCol w:w="849"/>
        <w:gridCol w:w="851"/>
        <w:gridCol w:w="849"/>
        <w:gridCol w:w="849"/>
      </w:tblGrid>
      <w:tr w:rsidR="003C3D3C" w:rsidRPr="003C3D3C" w:rsidTr="00153E6F">
        <w:trPr>
          <w:trHeight w:val="289"/>
        </w:trPr>
        <w:tc>
          <w:tcPr>
            <w:tcW w:w="1984" w:type="dxa"/>
            <w:gridSpan w:val="2"/>
            <w:vMerge w:val="restart"/>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Dose Level (mg/kg/day)</w:t>
            </w:r>
          </w:p>
        </w:tc>
        <w:tc>
          <w:tcPr>
            <w:tcW w:w="1700" w:type="dxa"/>
            <w:gridSpan w:val="2"/>
          </w:tcPr>
          <w:p w:rsidR="003C3D3C" w:rsidRPr="003C3D3C" w:rsidRDefault="003C3D3C" w:rsidP="003C3D3C">
            <w:pPr>
              <w:autoSpaceDE w:val="0"/>
              <w:autoSpaceDN w:val="0"/>
              <w:adjustRightInd w:val="0"/>
              <w:jc w:val="left"/>
              <w:rPr>
                <w:szCs w:val="24"/>
              </w:rPr>
            </w:pPr>
            <w:r w:rsidRPr="003C3D3C">
              <w:rPr>
                <w:szCs w:val="24"/>
              </w:rPr>
              <w:t>3</w:t>
            </w:r>
          </w:p>
        </w:tc>
        <w:tc>
          <w:tcPr>
            <w:tcW w:w="1700" w:type="dxa"/>
            <w:gridSpan w:val="2"/>
          </w:tcPr>
          <w:p w:rsidR="003C3D3C" w:rsidRPr="003C3D3C" w:rsidRDefault="003C3D3C" w:rsidP="003C3D3C">
            <w:pPr>
              <w:autoSpaceDE w:val="0"/>
              <w:autoSpaceDN w:val="0"/>
              <w:adjustRightInd w:val="0"/>
              <w:jc w:val="left"/>
              <w:rPr>
                <w:szCs w:val="24"/>
              </w:rPr>
            </w:pPr>
            <w:r w:rsidRPr="003C3D3C">
              <w:rPr>
                <w:szCs w:val="24"/>
              </w:rPr>
              <w:t>10</w:t>
            </w:r>
          </w:p>
        </w:tc>
        <w:tc>
          <w:tcPr>
            <w:tcW w:w="1700" w:type="dxa"/>
            <w:gridSpan w:val="2"/>
          </w:tcPr>
          <w:p w:rsidR="003C3D3C" w:rsidRPr="003C3D3C" w:rsidRDefault="003C3D3C" w:rsidP="003C3D3C">
            <w:pPr>
              <w:autoSpaceDE w:val="0"/>
              <w:autoSpaceDN w:val="0"/>
              <w:adjustRightInd w:val="0"/>
              <w:jc w:val="left"/>
              <w:rPr>
                <w:szCs w:val="24"/>
              </w:rPr>
            </w:pPr>
            <w:r w:rsidRPr="003C3D3C">
              <w:rPr>
                <w:szCs w:val="24"/>
              </w:rPr>
              <w:t>30</w:t>
            </w:r>
          </w:p>
        </w:tc>
        <w:tc>
          <w:tcPr>
            <w:tcW w:w="1698" w:type="dxa"/>
            <w:gridSpan w:val="2"/>
          </w:tcPr>
          <w:p w:rsidR="003C3D3C" w:rsidRPr="003C3D3C" w:rsidRDefault="003C3D3C" w:rsidP="003C3D3C">
            <w:pPr>
              <w:autoSpaceDE w:val="0"/>
              <w:autoSpaceDN w:val="0"/>
              <w:adjustRightInd w:val="0"/>
              <w:jc w:val="left"/>
              <w:rPr>
                <w:szCs w:val="24"/>
              </w:rPr>
            </w:pPr>
            <w:r w:rsidRPr="003C3D3C">
              <w:rPr>
                <w:szCs w:val="24"/>
              </w:rPr>
              <w:t>300</w:t>
            </w:r>
          </w:p>
        </w:tc>
      </w:tr>
      <w:tr w:rsidR="003C3D3C" w:rsidRPr="003C3D3C" w:rsidTr="00153E6F">
        <w:trPr>
          <w:trHeight w:val="289"/>
        </w:trPr>
        <w:tc>
          <w:tcPr>
            <w:tcW w:w="1984" w:type="dxa"/>
            <w:gridSpan w:val="2"/>
            <w:vMerge/>
            <w:tcBorders>
              <w:top w:val="nil"/>
              <w:bottom w:val="double" w:sz="1" w:space="0" w:color="000000"/>
            </w:tcBorders>
          </w:tcPr>
          <w:p w:rsidR="003C3D3C" w:rsidRPr="003C3D3C" w:rsidRDefault="003C3D3C" w:rsidP="003C3D3C">
            <w:pPr>
              <w:autoSpaceDE w:val="0"/>
              <w:autoSpaceDN w:val="0"/>
              <w:adjustRightInd w:val="0"/>
              <w:jc w:val="left"/>
              <w:rPr>
                <w:szCs w:val="24"/>
              </w:rPr>
            </w:pPr>
          </w:p>
        </w:tc>
        <w:tc>
          <w:tcPr>
            <w:tcW w:w="849"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Males</w:t>
            </w:r>
          </w:p>
        </w:tc>
        <w:tc>
          <w:tcPr>
            <w:tcW w:w="851"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Females</w:t>
            </w:r>
          </w:p>
        </w:tc>
        <w:tc>
          <w:tcPr>
            <w:tcW w:w="849"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Males</w:t>
            </w:r>
          </w:p>
        </w:tc>
        <w:tc>
          <w:tcPr>
            <w:tcW w:w="851"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Females</w:t>
            </w:r>
          </w:p>
        </w:tc>
        <w:tc>
          <w:tcPr>
            <w:tcW w:w="849"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Males</w:t>
            </w:r>
          </w:p>
        </w:tc>
        <w:tc>
          <w:tcPr>
            <w:tcW w:w="851"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Females</w:t>
            </w:r>
          </w:p>
        </w:tc>
        <w:tc>
          <w:tcPr>
            <w:tcW w:w="849"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Males</w:t>
            </w:r>
          </w:p>
        </w:tc>
        <w:tc>
          <w:tcPr>
            <w:tcW w:w="849" w:type="dxa"/>
            <w:tcBorders>
              <w:bottom w:val="double" w:sz="1" w:space="0" w:color="000000"/>
            </w:tcBorders>
          </w:tcPr>
          <w:p w:rsidR="003C3D3C" w:rsidRPr="003C3D3C" w:rsidRDefault="003C3D3C" w:rsidP="003C3D3C">
            <w:pPr>
              <w:autoSpaceDE w:val="0"/>
              <w:autoSpaceDN w:val="0"/>
              <w:adjustRightInd w:val="0"/>
              <w:jc w:val="left"/>
              <w:rPr>
                <w:szCs w:val="24"/>
              </w:rPr>
            </w:pPr>
            <w:r w:rsidRPr="003C3D3C">
              <w:rPr>
                <w:szCs w:val="24"/>
              </w:rPr>
              <w:t>Females</w:t>
            </w:r>
          </w:p>
        </w:tc>
      </w:tr>
      <w:tr w:rsidR="003C3D3C" w:rsidRPr="003C3D3C" w:rsidTr="00153E6F">
        <w:trPr>
          <w:trHeight w:val="298"/>
        </w:trPr>
        <w:tc>
          <w:tcPr>
            <w:tcW w:w="1135" w:type="dxa"/>
            <w:vMerge w:val="restart"/>
            <w:tcBorders>
              <w:top w:val="double" w:sz="1" w:space="0" w:color="000000"/>
            </w:tcBorders>
          </w:tcPr>
          <w:p w:rsidR="003C3D3C" w:rsidRPr="003C3D3C" w:rsidRDefault="003C3D3C" w:rsidP="003C3D3C">
            <w:pPr>
              <w:autoSpaceDE w:val="0"/>
              <w:autoSpaceDN w:val="0"/>
              <w:adjustRightInd w:val="0"/>
              <w:jc w:val="left"/>
              <w:rPr>
                <w:szCs w:val="24"/>
              </w:rPr>
            </w:pPr>
            <w:proofErr w:type="spellStart"/>
            <w:r w:rsidRPr="003C3D3C">
              <w:rPr>
                <w:szCs w:val="24"/>
              </w:rPr>
              <w:t>tmax</w:t>
            </w:r>
            <w:proofErr w:type="spellEnd"/>
            <w:r w:rsidRPr="003C3D3C">
              <w:rPr>
                <w:szCs w:val="24"/>
              </w:rPr>
              <w:t xml:space="preserve"> (h)</w:t>
            </w:r>
          </w:p>
        </w:tc>
        <w:tc>
          <w:tcPr>
            <w:tcW w:w="849"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Day 1</w:t>
            </w:r>
          </w:p>
        </w:tc>
        <w:tc>
          <w:tcPr>
            <w:tcW w:w="849"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1.75</w:t>
            </w:r>
          </w:p>
        </w:tc>
        <w:tc>
          <w:tcPr>
            <w:tcW w:w="851"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1.00</w:t>
            </w:r>
          </w:p>
        </w:tc>
        <w:tc>
          <w:tcPr>
            <w:tcW w:w="849"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0.88</w:t>
            </w:r>
          </w:p>
        </w:tc>
        <w:tc>
          <w:tcPr>
            <w:tcW w:w="851"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0.88</w:t>
            </w:r>
          </w:p>
        </w:tc>
        <w:tc>
          <w:tcPr>
            <w:tcW w:w="849"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0.69</w:t>
            </w:r>
          </w:p>
        </w:tc>
        <w:tc>
          <w:tcPr>
            <w:tcW w:w="851"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0.63</w:t>
            </w:r>
          </w:p>
        </w:tc>
        <w:tc>
          <w:tcPr>
            <w:tcW w:w="849"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2.86</w:t>
            </w:r>
          </w:p>
        </w:tc>
        <w:tc>
          <w:tcPr>
            <w:tcW w:w="849" w:type="dxa"/>
            <w:tcBorders>
              <w:top w:val="double" w:sz="1" w:space="0" w:color="000000"/>
            </w:tcBorders>
          </w:tcPr>
          <w:p w:rsidR="003C3D3C" w:rsidRPr="003C3D3C" w:rsidRDefault="003C3D3C" w:rsidP="003C3D3C">
            <w:pPr>
              <w:autoSpaceDE w:val="0"/>
              <w:autoSpaceDN w:val="0"/>
              <w:adjustRightInd w:val="0"/>
              <w:jc w:val="left"/>
              <w:rPr>
                <w:szCs w:val="24"/>
              </w:rPr>
            </w:pPr>
            <w:r w:rsidRPr="003C3D3C">
              <w:rPr>
                <w:szCs w:val="24"/>
              </w:rPr>
              <w:t>2.43</w:t>
            </w:r>
          </w:p>
        </w:tc>
      </w:tr>
      <w:tr w:rsidR="003C3D3C" w:rsidRPr="003C3D3C" w:rsidTr="00153E6F">
        <w:trPr>
          <w:trHeight w:val="299"/>
        </w:trPr>
        <w:tc>
          <w:tcPr>
            <w:tcW w:w="1135" w:type="dxa"/>
            <w:vMerge/>
            <w:tcBorders>
              <w:top w:val="nil"/>
            </w:tcBorders>
          </w:tcPr>
          <w:p w:rsidR="003C3D3C" w:rsidRPr="003C3D3C" w:rsidRDefault="003C3D3C" w:rsidP="003C3D3C">
            <w:pPr>
              <w:autoSpaceDE w:val="0"/>
              <w:autoSpaceDN w:val="0"/>
              <w:adjustRightInd w:val="0"/>
              <w:jc w:val="left"/>
              <w:rPr>
                <w:szCs w:val="24"/>
              </w:rPr>
            </w:pPr>
          </w:p>
        </w:tc>
        <w:tc>
          <w:tcPr>
            <w:tcW w:w="849" w:type="dxa"/>
          </w:tcPr>
          <w:p w:rsidR="003C3D3C" w:rsidRPr="003C3D3C" w:rsidRDefault="003C3D3C" w:rsidP="003C3D3C">
            <w:pPr>
              <w:autoSpaceDE w:val="0"/>
              <w:autoSpaceDN w:val="0"/>
              <w:adjustRightInd w:val="0"/>
              <w:jc w:val="left"/>
              <w:rPr>
                <w:szCs w:val="24"/>
              </w:rPr>
            </w:pPr>
            <w:r w:rsidRPr="003C3D3C">
              <w:rPr>
                <w:szCs w:val="24"/>
              </w:rPr>
              <w:t>Day 14</w:t>
            </w:r>
          </w:p>
        </w:tc>
        <w:tc>
          <w:tcPr>
            <w:tcW w:w="849" w:type="dxa"/>
          </w:tcPr>
          <w:p w:rsidR="003C3D3C" w:rsidRPr="003C3D3C" w:rsidRDefault="003C3D3C" w:rsidP="003C3D3C">
            <w:pPr>
              <w:autoSpaceDE w:val="0"/>
              <w:autoSpaceDN w:val="0"/>
              <w:adjustRightInd w:val="0"/>
              <w:jc w:val="left"/>
              <w:rPr>
                <w:szCs w:val="24"/>
              </w:rPr>
            </w:pPr>
            <w:r w:rsidRPr="003C3D3C">
              <w:rPr>
                <w:szCs w:val="24"/>
              </w:rPr>
              <w:t>1.00</w:t>
            </w:r>
          </w:p>
        </w:tc>
        <w:tc>
          <w:tcPr>
            <w:tcW w:w="851" w:type="dxa"/>
          </w:tcPr>
          <w:p w:rsidR="003C3D3C" w:rsidRPr="003C3D3C" w:rsidRDefault="003C3D3C" w:rsidP="003C3D3C">
            <w:pPr>
              <w:autoSpaceDE w:val="0"/>
              <w:autoSpaceDN w:val="0"/>
              <w:adjustRightInd w:val="0"/>
              <w:jc w:val="left"/>
              <w:rPr>
                <w:szCs w:val="24"/>
              </w:rPr>
            </w:pPr>
            <w:r w:rsidRPr="003C3D3C">
              <w:rPr>
                <w:szCs w:val="24"/>
              </w:rPr>
              <w:t>1.00</w:t>
            </w:r>
          </w:p>
        </w:tc>
        <w:tc>
          <w:tcPr>
            <w:tcW w:w="849" w:type="dxa"/>
          </w:tcPr>
          <w:p w:rsidR="003C3D3C" w:rsidRPr="003C3D3C" w:rsidRDefault="003C3D3C" w:rsidP="003C3D3C">
            <w:pPr>
              <w:autoSpaceDE w:val="0"/>
              <w:autoSpaceDN w:val="0"/>
              <w:adjustRightInd w:val="0"/>
              <w:jc w:val="left"/>
              <w:rPr>
                <w:szCs w:val="24"/>
              </w:rPr>
            </w:pPr>
            <w:r w:rsidRPr="003C3D3C">
              <w:rPr>
                <w:szCs w:val="24"/>
              </w:rPr>
              <w:t>0.75</w:t>
            </w:r>
          </w:p>
        </w:tc>
        <w:tc>
          <w:tcPr>
            <w:tcW w:w="851" w:type="dxa"/>
          </w:tcPr>
          <w:p w:rsidR="003C3D3C" w:rsidRPr="003C3D3C" w:rsidRDefault="003C3D3C" w:rsidP="003C3D3C">
            <w:pPr>
              <w:autoSpaceDE w:val="0"/>
              <w:autoSpaceDN w:val="0"/>
              <w:adjustRightInd w:val="0"/>
              <w:jc w:val="left"/>
              <w:rPr>
                <w:szCs w:val="24"/>
              </w:rPr>
            </w:pPr>
            <w:r w:rsidRPr="003C3D3C">
              <w:rPr>
                <w:szCs w:val="24"/>
              </w:rPr>
              <w:t>0.75</w:t>
            </w:r>
          </w:p>
        </w:tc>
        <w:tc>
          <w:tcPr>
            <w:tcW w:w="849" w:type="dxa"/>
          </w:tcPr>
          <w:p w:rsidR="003C3D3C" w:rsidRPr="003C3D3C" w:rsidRDefault="003C3D3C" w:rsidP="003C3D3C">
            <w:pPr>
              <w:autoSpaceDE w:val="0"/>
              <w:autoSpaceDN w:val="0"/>
              <w:adjustRightInd w:val="0"/>
              <w:jc w:val="left"/>
              <w:rPr>
                <w:szCs w:val="24"/>
              </w:rPr>
            </w:pPr>
            <w:r w:rsidRPr="003C3D3C">
              <w:rPr>
                <w:szCs w:val="24"/>
              </w:rPr>
              <w:t>0.56</w:t>
            </w:r>
          </w:p>
        </w:tc>
        <w:tc>
          <w:tcPr>
            <w:tcW w:w="851" w:type="dxa"/>
          </w:tcPr>
          <w:p w:rsidR="003C3D3C" w:rsidRPr="003C3D3C" w:rsidRDefault="003C3D3C" w:rsidP="003C3D3C">
            <w:pPr>
              <w:autoSpaceDE w:val="0"/>
              <w:autoSpaceDN w:val="0"/>
              <w:adjustRightInd w:val="0"/>
              <w:jc w:val="left"/>
              <w:rPr>
                <w:szCs w:val="24"/>
              </w:rPr>
            </w:pPr>
            <w:r w:rsidRPr="003C3D3C">
              <w:rPr>
                <w:szCs w:val="24"/>
              </w:rPr>
              <w:t>0.50</w:t>
            </w:r>
          </w:p>
        </w:tc>
        <w:tc>
          <w:tcPr>
            <w:tcW w:w="849" w:type="dxa"/>
          </w:tcPr>
          <w:p w:rsidR="003C3D3C" w:rsidRPr="003C3D3C" w:rsidRDefault="003C3D3C" w:rsidP="003C3D3C">
            <w:pPr>
              <w:autoSpaceDE w:val="0"/>
              <w:autoSpaceDN w:val="0"/>
              <w:adjustRightInd w:val="0"/>
              <w:jc w:val="left"/>
              <w:rPr>
                <w:szCs w:val="24"/>
              </w:rPr>
            </w:pPr>
            <w:r w:rsidRPr="003C3D3C">
              <w:rPr>
                <w:szCs w:val="24"/>
              </w:rPr>
              <w:t>1.86</w:t>
            </w:r>
          </w:p>
        </w:tc>
        <w:tc>
          <w:tcPr>
            <w:tcW w:w="849" w:type="dxa"/>
          </w:tcPr>
          <w:p w:rsidR="003C3D3C" w:rsidRPr="003C3D3C" w:rsidRDefault="003C3D3C" w:rsidP="003C3D3C">
            <w:pPr>
              <w:autoSpaceDE w:val="0"/>
              <w:autoSpaceDN w:val="0"/>
              <w:adjustRightInd w:val="0"/>
              <w:jc w:val="left"/>
              <w:rPr>
                <w:szCs w:val="24"/>
              </w:rPr>
            </w:pPr>
            <w:r w:rsidRPr="003C3D3C">
              <w:rPr>
                <w:szCs w:val="24"/>
              </w:rPr>
              <w:t>2.40</w:t>
            </w:r>
          </w:p>
        </w:tc>
      </w:tr>
      <w:tr w:rsidR="003C3D3C" w:rsidRPr="003C3D3C" w:rsidTr="00153E6F">
        <w:trPr>
          <w:trHeight w:val="299"/>
        </w:trPr>
        <w:tc>
          <w:tcPr>
            <w:tcW w:w="1135" w:type="dxa"/>
            <w:vMerge/>
            <w:tcBorders>
              <w:top w:val="nil"/>
            </w:tcBorders>
          </w:tcPr>
          <w:p w:rsidR="003C3D3C" w:rsidRPr="003C3D3C" w:rsidRDefault="003C3D3C" w:rsidP="003C3D3C">
            <w:pPr>
              <w:autoSpaceDE w:val="0"/>
              <w:autoSpaceDN w:val="0"/>
              <w:adjustRightInd w:val="0"/>
              <w:jc w:val="left"/>
              <w:rPr>
                <w:szCs w:val="24"/>
              </w:rPr>
            </w:pPr>
          </w:p>
        </w:tc>
        <w:tc>
          <w:tcPr>
            <w:tcW w:w="849" w:type="dxa"/>
          </w:tcPr>
          <w:p w:rsidR="003C3D3C" w:rsidRPr="003C3D3C" w:rsidRDefault="003C3D3C" w:rsidP="003C3D3C">
            <w:pPr>
              <w:autoSpaceDE w:val="0"/>
              <w:autoSpaceDN w:val="0"/>
              <w:adjustRightInd w:val="0"/>
              <w:jc w:val="left"/>
              <w:rPr>
                <w:szCs w:val="24"/>
              </w:rPr>
            </w:pPr>
            <w:r w:rsidRPr="003C3D3C">
              <w:rPr>
                <w:szCs w:val="24"/>
              </w:rPr>
              <w:t>Day 28</w:t>
            </w:r>
          </w:p>
        </w:tc>
        <w:tc>
          <w:tcPr>
            <w:tcW w:w="849" w:type="dxa"/>
          </w:tcPr>
          <w:p w:rsidR="003C3D3C" w:rsidRPr="003C3D3C" w:rsidRDefault="003C3D3C" w:rsidP="003C3D3C">
            <w:pPr>
              <w:autoSpaceDE w:val="0"/>
              <w:autoSpaceDN w:val="0"/>
              <w:adjustRightInd w:val="0"/>
              <w:jc w:val="left"/>
              <w:rPr>
                <w:szCs w:val="24"/>
              </w:rPr>
            </w:pPr>
            <w:r w:rsidRPr="003C3D3C">
              <w:rPr>
                <w:szCs w:val="24"/>
              </w:rPr>
              <w:t>1.00</w:t>
            </w:r>
          </w:p>
        </w:tc>
        <w:tc>
          <w:tcPr>
            <w:tcW w:w="851" w:type="dxa"/>
          </w:tcPr>
          <w:p w:rsidR="003C3D3C" w:rsidRPr="003C3D3C" w:rsidRDefault="003C3D3C" w:rsidP="003C3D3C">
            <w:pPr>
              <w:autoSpaceDE w:val="0"/>
              <w:autoSpaceDN w:val="0"/>
              <w:adjustRightInd w:val="0"/>
              <w:jc w:val="left"/>
              <w:rPr>
                <w:szCs w:val="24"/>
              </w:rPr>
            </w:pPr>
            <w:r w:rsidRPr="003C3D3C">
              <w:rPr>
                <w:szCs w:val="24"/>
              </w:rPr>
              <w:t>1.00</w:t>
            </w:r>
          </w:p>
        </w:tc>
        <w:tc>
          <w:tcPr>
            <w:tcW w:w="849" w:type="dxa"/>
          </w:tcPr>
          <w:p w:rsidR="003C3D3C" w:rsidRPr="003C3D3C" w:rsidRDefault="003C3D3C" w:rsidP="003C3D3C">
            <w:pPr>
              <w:autoSpaceDE w:val="0"/>
              <w:autoSpaceDN w:val="0"/>
              <w:adjustRightInd w:val="0"/>
              <w:jc w:val="left"/>
              <w:rPr>
                <w:szCs w:val="24"/>
              </w:rPr>
            </w:pPr>
            <w:r w:rsidRPr="003C3D3C">
              <w:rPr>
                <w:szCs w:val="24"/>
              </w:rPr>
              <w:t>1.00</w:t>
            </w:r>
          </w:p>
        </w:tc>
        <w:tc>
          <w:tcPr>
            <w:tcW w:w="851" w:type="dxa"/>
          </w:tcPr>
          <w:p w:rsidR="003C3D3C" w:rsidRPr="003C3D3C" w:rsidRDefault="003C3D3C" w:rsidP="003C3D3C">
            <w:pPr>
              <w:autoSpaceDE w:val="0"/>
              <w:autoSpaceDN w:val="0"/>
              <w:adjustRightInd w:val="0"/>
              <w:jc w:val="left"/>
              <w:rPr>
                <w:szCs w:val="24"/>
              </w:rPr>
            </w:pPr>
            <w:r w:rsidRPr="003C3D3C">
              <w:rPr>
                <w:szCs w:val="24"/>
              </w:rPr>
              <w:t>0.88</w:t>
            </w:r>
          </w:p>
        </w:tc>
        <w:tc>
          <w:tcPr>
            <w:tcW w:w="849" w:type="dxa"/>
          </w:tcPr>
          <w:p w:rsidR="003C3D3C" w:rsidRPr="003C3D3C" w:rsidRDefault="003C3D3C" w:rsidP="003C3D3C">
            <w:pPr>
              <w:autoSpaceDE w:val="0"/>
              <w:autoSpaceDN w:val="0"/>
              <w:adjustRightInd w:val="0"/>
              <w:jc w:val="left"/>
              <w:rPr>
                <w:szCs w:val="24"/>
              </w:rPr>
            </w:pPr>
            <w:r w:rsidRPr="003C3D3C">
              <w:rPr>
                <w:szCs w:val="24"/>
              </w:rPr>
              <w:t>0.56</w:t>
            </w:r>
          </w:p>
        </w:tc>
        <w:tc>
          <w:tcPr>
            <w:tcW w:w="851" w:type="dxa"/>
          </w:tcPr>
          <w:p w:rsidR="003C3D3C" w:rsidRPr="003C3D3C" w:rsidRDefault="003C3D3C" w:rsidP="003C3D3C">
            <w:pPr>
              <w:autoSpaceDE w:val="0"/>
              <w:autoSpaceDN w:val="0"/>
              <w:adjustRightInd w:val="0"/>
              <w:jc w:val="left"/>
              <w:rPr>
                <w:szCs w:val="24"/>
              </w:rPr>
            </w:pPr>
            <w:r w:rsidRPr="003C3D3C">
              <w:rPr>
                <w:szCs w:val="24"/>
              </w:rPr>
              <w:t>0.69</w:t>
            </w:r>
          </w:p>
        </w:tc>
        <w:tc>
          <w:tcPr>
            <w:tcW w:w="849" w:type="dxa"/>
          </w:tcPr>
          <w:p w:rsidR="003C3D3C" w:rsidRPr="003C3D3C" w:rsidRDefault="003C3D3C" w:rsidP="003C3D3C">
            <w:pPr>
              <w:autoSpaceDE w:val="0"/>
              <w:autoSpaceDN w:val="0"/>
              <w:adjustRightInd w:val="0"/>
              <w:jc w:val="left"/>
              <w:rPr>
                <w:szCs w:val="24"/>
              </w:rPr>
            </w:pPr>
            <w:r w:rsidRPr="003C3D3C">
              <w:rPr>
                <w:szCs w:val="24"/>
              </w:rPr>
              <w:t>1.14</w:t>
            </w:r>
          </w:p>
        </w:tc>
        <w:tc>
          <w:tcPr>
            <w:tcW w:w="849" w:type="dxa"/>
          </w:tcPr>
          <w:p w:rsidR="003C3D3C" w:rsidRPr="003C3D3C" w:rsidRDefault="003C3D3C" w:rsidP="003C3D3C">
            <w:pPr>
              <w:autoSpaceDE w:val="0"/>
              <w:autoSpaceDN w:val="0"/>
              <w:adjustRightInd w:val="0"/>
              <w:jc w:val="left"/>
              <w:rPr>
                <w:szCs w:val="24"/>
              </w:rPr>
            </w:pPr>
            <w:r w:rsidRPr="003C3D3C">
              <w:rPr>
                <w:szCs w:val="24"/>
              </w:rPr>
              <w:t>1.20</w:t>
            </w:r>
          </w:p>
        </w:tc>
      </w:tr>
      <w:tr w:rsidR="003C3D3C" w:rsidRPr="003C3D3C" w:rsidTr="00153E6F">
        <w:trPr>
          <w:trHeight w:val="299"/>
        </w:trPr>
        <w:tc>
          <w:tcPr>
            <w:tcW w:w="1135" w:type="dxa"/>
            <w:vMerge w:val="restart"/>
          </w:tcPr>
          <w:p w:rsidR="003C3D3C" w:rsidRPr="003C3D3C" w:rsidRDefault="003C3D3C" w:rsidP="003C3D3C">
            <w:pPr>
              <w:autoSpaceDE w:val="0"/>
              <w:autoSpaceDN w:val="0"/>
              <w:adjustRightInd w:val="0"/>
              <w:jc w:val="left"/>
              <w:rPr>
                <w:szCs w:val="24"/>
              </w:rPr>
            </w:pPr>
            <w:proofErr w:type="spellStart"/>
            <w:r w:rsidRPr="003C3D3C">
              <w:rPr>
                <w:szCs w:val="24"/>
              </w:rPr>
              <w:t>Cmax</w:t>
            </w:r>
            <w:proofErr w:type="spellEnd"/>
            <w:r w:rsidRPr="003C3D3C">
              <w:rPr>
                <w:szCs w:val="24"/>
              </w:rPr>
              <w:t xml:space="preserve"> (ng/mL)</w:t>
            </w:r>
          </w:p>
        </w:tc>
        <w:tc>
          <w:tcPr>
            <w:tcW w:w="849" w:type="dxa"/>
          </w:tcPr>
          <w:p w:rsidR="003C3D3C" w:rsidRPr="003C3D3C" w:rsidRDefault="003C3D3C" w:rsidP="003C3D3C">
            <w:pPr>
              <w:autoSpaceDE w:val="0"/>
              <w:autoSpaceDN w:val="0"/>
              <w:adjustRightInd w:val="0"/>
              <w:jc w:val="left"/>
              <w:rPr>
                <w:szCs w:val="24"/>
              </w:rPr>
            </w:pPr>
            <w:r w:rsidRPr="003C3D3C">
              <w:rPr>
                <w:szCs w:val="24"/>
              </w:rPr>
              <w:t>Day 1</w:t>
            </w:r>
          </w:p>
        </w:tc>
        <w:tc>
          <w:tcPr>
            <w:tcW w:w="849" w:type="dxa"/>
          </w:tcPr>
          <w:p w:rsidR="003C3D3C" w:rsidRPr="003C3D3C" w:rsidRDefault="003C3D3C" w:rsidP="003C3D3C">
            <w:pPr>
              <w:autoSpaceDE w:val="0"/>
              <w:autoSpaceDN w:val="0"/>
              <w:adjustRightInd w:val="0"/>
              <w:jc w:val="left"/>
              <w:rPr>
                <w:szCs w:val="24"/>
              </w:rPr>
            </w:pPr>
            <w:r w:rsidRPr="003C3D3C">
              <w:rPr>
                <w:szCs w:val="24"/>
              </w:rPr>
              <w:t>311</w:t>
            </w:r>
          </w:p>
        </w:tc>
        <w:tc>
          <w:tcPr>
            <w:tcW w:w="851" w:type="dxa"/>
          </w:tcPr>
          <w:p w:rsidR="003C3D3C" w:rsidRPr="003C3D3C" w:rsidRDefault="003C3D3C" w:rsidP="003C3D3C">
            <w:pPr>
              <w:autoSpaceDE w:val="0"/>
              <w:autoSpaceDN w:val="0"/>
              <w:adjustRightInd w:val="0"/>
              <w:jc w:val="left"/>
              <w:rPr>
                <w:szCs w:val="24"/>
              </w:rPr>
            </w:pPr>
            <w:r w:rsidRPr="003C3D3C">
              <w:rPr>
                <w:szCs w:val="24"/>
              </w:rPr>
              <w:t>377</w:t>
            </w:r>
          </w:p>
        </w:tc>
        <w:tc>
          <w:tcPr>
            <w:tcW w:w="849" w:type="dxa"/>
          </w:tcPr>
          <w:p w:rsidR="003C3D3C" w:rsidRPr="003C3D3C" w:rsidRDefault="003C3D3C" w:rsidP="003C3D3C">
            <w:pPr>
              <w:autoSpaceDE w:val="0"/>
              <w:autoSpaceDN w:val="0"/>
              <w:adjustRightInd w:val="0"/>
              <w:jc w:val="left"/>
              <w:rPr>
                <w:szCs w:val="24"/>
              </w:rPr>
            </w:pPr>
            <w:r w:rsidRPr="003C3D3C">
              <w:rPr>
                <w:szCs w:val="24"/>
              </w:rPr>
              <w:t>1660</w:t>
            </w:r>
          </w:p>
        </w:tc>
        <w:tc>
          <w:tcPr>
            <w:tcW w:w="851" w:type="dxa"/>
          </w:tcPr>
          <w:p w:rsidR="003C3D3C" w:rsidRPr="003C3D3C" w:rsidRDefault="003C3D3C" w:rsidP="003C3D3C">
            <w:pPr>
              <w:autoSpaceDE w:val="0"/>
              <w:autoSpaceDN w:val="0"/>
              <w:adjustRightInd w:val="0"/>
              <w:jc w:val="left"/>
              <w:rPr>
                <w:szCs w:val="24"/>
              </w:rPr>
            </w:pPr>
            <w:r w:rsidRPr="003C3D3C">
              <w:rPr>
                <w:szCs w:val="24"/>
              </w:rPr>
              <w:t>1440</w:t>
            </w:r>
          </w:p>
        </w:tc>
        <w:tc>
          <w:tcPr>
            <w:tcW w:w="849" w:type="dxa"/>
          </w:tcPr>
          <w:p w:rsidR="003C3D3C" w:rsidRPr="003C3D3C" w:rsidRDefault="003C3D3C" w:rsidP="003C3D3C">
            <w:pPr>
              <w:autoSpaceDE w:val="0"/>
              <w:autoSpaceDN w:val="0"/>
              <w:adjustRightInd w:val="0"/>
              <w:jc w:val="left"/>
              <w:rPr>
                <w:szCs w:val="24"/>
              </w:rPr>
            </w:pPr>
            <w:r w:rsidRPr="003C3D3C">
              <w:rPr>
                <w:szCs w:val="24"/>
              </w:rPr>
              <w:t>6460</w:t>
            </w:r>
          </w:p>
        </w:tc>
        <w:tc>
          <w:tcPr>
            <w:tcW w:w="851" w:type="dxa"/>
          </w:tcPr>
          <w:p w:rsidR="003C3D3C" w:rsidRPr="003C3D3C" w:rsidRDefault="003C3D3C" w:rsidP="003C3D3C">
            <w:pPr>
              <w:autoSpaceDE w:val="0"/>
              <w:autoSpaceDN w:val="0"/>
              <w:adjustRightInd w:val="0"/>
              <w:jc w:val="left"/>
              <w:rPr>
                <w:szCs w:val="24"/>
              </w:rPr>
            </w:pPr>
            <w:r w:rsidRPr="003C3D3C">
              <w:rPr>
                <w:szCs w:val="24"/>
              </w:rPr>
              <w:t>10400</w:t>
            </w:r>
          </w:p>
        </w:tc>
        <w:tc>
          <w:tcPr>
            <w:tcW w:w="849" w:type="dxa"/>
          </w:tcPr>
          <w:p w:rsidR="003C3D3C" w:rsidRPr="003C3D3C" w:rsidRDefault="003C3D3C" w:rsidP="003C3D3C">
            <w:pPr>
              <w:autoSpaceDE w:val="0"/>
              <w:autoSpaceDN w:val="0"/>
              <w:adjustRightInd w:val="0"/>
              <w:jc w:val="left"/>
              <w:rPr>
                <w:szCs w:val="24"/>
              </w:rPr>
            </w:pPr>
            <w:r w:rsidRPr="003C3D3C">
              <w:rPr>
                <w:szCs w:val="24"/>
              </w:rPr>
              <w:t>16000</w:t>
            </w:r>
          </w:p>
        </w:tc>
        <w:tc>
          <w:tcPr>
            <w:tcW w:w="849" w:type="dxa"/>
          </w:tcPr>
          <w:p w:rsidR="003C3D3C" w:rsidRPr="003C3D3C" w:rsidRDefault="003C3D3C" w:rsidP="003C3D3C">
            <w:pPr>
              <w:autoSpaceDE w:val="0"/>
              <w:autoSpaceDN w:val="0"/>
              <w:adjustRightInd w:val="0"/>
              <w:jc w:val="left"/>
              <w:rPr>
                <w:szCs w:val="24"/>
              </w:rPr>
            </w:pPr>
            <w:r w:rsidRPr="003C3D3C">
              <w:rPr>
                <w:szCs w:val="24"/>
              </w:rPr>
              <w:t>18200</w:t>
            </w:r>
          </w:p>
        </w:tc>
      </w:tr>
      <w:tr w:rsidR="003C3D3C" w:rsidRPr="003C3D3C" w:rsidTr="00153E6F">
        <w:trPr>
          <w:trHeight w:val="299"/>
        </w:trPr>
        <w:tc>
          <w:tcPr>
            <w:tcW w:w="1135" w:type="dxa"/>
            <w:vMerge/>
            <w:tcBorders>
              <w:top w:val="nil"/>
            </w:tcBorders>
          </w:tcPr>
          <w:p w:rsidR="003C3D3C" w:rsidRPr="003C3D3C" w:rsidRDefault="003C3D3C" w:rsidP="003C3D3C">
            <w:pPr>
              <w:autoSpaceDE w:val="0"/>
              <w:autoSpaceDN w:val="0"/>
              <w:adjustRightInd w:val="0"/>
              <w:jc w:val="left"/>
              <w:rPr>
                <w:szCs w:val="24"/>
              </w:rPr>
            </w:pPr>
          </w:p>
        </w:tc>
        <w:tc>
          <w:tcPr>
            <w:tcW w:w="849" w:type="dxa"/>
          </w:tcPr>
          <w:p w:rsidR="003C3D3C" w:rsidRPr="003C3D3C" w:rsidRDefault="003C3D3C" w:rsidP="003C3D3C">
            <w:pPr>
              <w:autoSpaceDE w:val="0"/>
              <w:autoSpaceDN w:val="0"/>
              <w:adjustRightInd w:val="0"/>
              <w:jc w:val="left"/>
              <w:rPr>
                <w:szCs w:val="24"/>
              </w:rPr>
            </w:pPr>
            <w:r w:rsidRPr="003C3D3C">
              <w:rPr>
                <w:szCs w:val="24"/>
              </w:rPr>
              <w:t>Day 14</w:t>
            </w:r>
          </w:p>
        </w:tc>
        <w:tc>
          <w:tcPr>
            <w:tcW w:w="849" w:type="dxa"/>
          </w:tcPr>
          <w:p w:rsidR="003C3D3C" w:rsidRPr="003C3D3C" w:rsidRDefault="003C3D3C" w:rsidP="003C3D3C">
            <w:pPr>
              <w:autoSpaceDE w:val="0"/>
              <w:autoSpaceDN w:val="0"/>
              <w:adjustRightInd w:val="0"/>
              <w:jc w:val="left"/>
              <w:rPr>
                <w:szCs w:val="24"/>
              </w:rPr>
            </w:pPr>
            <w:r w:rsidRPr="003C3D3C">
              <w:rPr>
                <w:szCs w:val="24"/>
              </w:rPr>
              <w:t>373</w:t>
            </w:r>
          </w:p>
        </w:tc>
        <w:tc>
          <w:tcPr>
            <w:tcW w:w="851" w:type="dxa"/>
          </w:tcPr>
          <w:p w:rsidR="003C3D3C" w:rsidRPr="003C3D3C" w:rsidRDefault="003C3D3C" w:rsidP="003C3D3C">
            <w:pPr>
              <w:autoSpaceDE w:val="0"/>
              <w:autoSpaceDN w:val="0"/>
              <w:adjustRightInd w:val="0"/>
              <w:jc w:val="left"/>
              <w:rPr>
                <w:szCs w:val="24"/>
              </w:rPr>
            </w:pPr>
            <w:r w:rsidRPr="003C3D3C">
              <w:rPr>
                <w:szCs w:val="24"/>
              </w:rPr>
              <w:t>262</w:t>
            </w:r>
          </w:p>
        </w:tc>
        <w:tc>
          <w:tcPr>
            <w:tcW w:w="849" w:type="dxa"/>
          </w:tcPr>
          <w:p w:rsidR="003C3D3C" w:rsidRPr="003C3D3C" w:rsidRDefault="003C3D3C" w:rsidP="003C3D3C">
            <w:pPr>
              <w:autoSpaceDE w:val="0"/>
              <w:autoSpaceDN w:val="0"/>
              <w:adjustRightInd w:val="0"/>
              <w:jc w:val="left"/>
              <w:rPr>
                <w:szCs w:val="24"/>
              </w:rPr>
            </w:pPr>
            <w:r w:rsidRPr="003C3D3C">
              <w:rPr>
                <w:szCs w:val="24"/>
              </w:rPr>
              <w:t>1950</w:t>
            </w:r>
          </w:p>
        </w:tc>
        <w:tc>
          <w:tcPr>
            <w:tcW w:w="851" w:type="dxa"/>
          </w:tcPr>
          <w:p w:rsidR="003C3D3C" w:rsidRPr="003C3D3C" w:rsidRDefault="003C3D3C" w:rsidP="003C3D3C">
            <w:pPr>
              <w:autoSpaceDE w:val="0"/>
              <w:autoSpaceDN w:val="0"/>
              <w:adjustRightInd w:val="0"/>
              <w:jc w:val="left"/>
              <w:rPr>
                <w:szCs w:val="24"/>
              </w:rPr>
            </w:pPr>
            <w:r w:rsidRPr="003C3D3C">
              <w:rPr>
                <w:szCs w:val="24"/>
              </w:rPr>
              <w:t>1460</w:t>
            </w:r>
          </w:p>
        </w:tc>
        <w:tc>
          <w:tcPr>
            <w:tcW w:w="849" w:type="dxa"/>
          </w:tcPr>
          <w:p w:rsidR="003C3D3C" w:rsidRPr="003C3D3C" w:rsidRDefault="003C3D3C" w:rsidP="003C3D3C">
            <w:pPr>
              <w:autoSpaceDE w:val="0"/>
              <w:autoSpaceDN w:val="0"/>
              <w:adjustRightInd w:val="0"/>
              <w:jc w:val="left"/>
              <w:rPr>
                <w:szCs w:val="24"/>
              </w:rPr>
            </w:pPr>
            <w:r w:rsidRPr="003C3D3C">
              <w:rPr>
                <w:szCs w:val="24"/>
              </w:rPr>
              <w:t>8130</w:t>
            </w:r>
          </w:p>
        </w:tc>
        <w:tc>
          <w:tcPr>
            <w:tcW w:w="851" w:type="dxa"/>
          </w:tcPr>
          <w:p w:rsidR="003C3D3C" w:rsidRPr="003C3D3C" w:rsidRDefault="003C3D3C" w:rsidP="003C3D3C">
            <w:pPr>
              <w:autoSpaceDE w:val="0"/>
              <w:autoSpaceDN w:val="0"/>
              <w:adjustRightInd w:val="0"/>
              <w:jc w:val="left"/>
              <w:rPr>
                <w:szCs w:val="24"/>
              </w:rPr>
            </w:pPr>
            <w:r w:rsidRPr="003C3D3C">
              <w:rPr>
                <w:szCs w:val="24"/>
              </w:rPr>
              <w:t>9200</w:t>
            </w:r>
          </w:p>
        </w:tc>
        <w:tc>
          <w:tcPr>
            <w:tcW w:w="849" w:type="dxa"/>
          </w:tcPr>
          <w:p w:rsidR="003C3D3C" w:rsidRPr="003C3D3C" w:rsidRDefault="003C3D3C" w:rsidP="003C3D3C">
            <w:pPr>
              <w:autoSpaceDE w:val="0"/>
              <w:autoSpaceDN w:val="0"/>
              <w:adjustRightInd w:val="0"/>
              <w:jc w:val="left"/>
              <w:rPr>
                <w:szCs w:val="24"/>
              </w:rPr>
            </w:pPr>
            <w:r w:rsidRPr="003C3D3C">
              <w:rPr>
                <w:szCs w:val="24"/>
              </w:rPr>
              <w:t>21900</w:t>
            </w:r>
          </w:p>
        </w:tc>
        <w:tc>
          <w:tcPr>
            <w:tcW w:w="849" w:type="dxa"/>
          </w:tcPr>
          <w:p w:rsidR="003C3D3C" w:rsidRPr="003C3D3C" w:rsidRDefault="003C3D3C" w:rsidP="003C3D3C">
            <w:pPr>
              <w:autoSpaceDE w:val="0"/>
              <w:autoSpaceDN w:val="0"/>
              <w:adjustRightInd w:val="0"/>
              <w:jc w:val="left"/>
              <w:rPr>
                <w:szCs w:val="24"/>
              </w:rPr>
            </w:pPr>
            <w:r w:rsidRPr="003C3D3C">
              <w:rPr>
                <w:szCs w:val="24"/>
              </w:rPr>
              <w:t>24100</w:t>
            </w:r>
          </w:p>
        </w:tc>
      </w:tr>
      <w:tr w:rsidR="003C3D3C" w:rsidRPr="003C3D3C" w:rsidTr="00153E6F">
        <w:trPr>
          <w:trHeight w:val="302"/>
        </w:trPr>
        <w:tc>
          <w:tcPr>
            <w:tcW w:w="1135" w:type="dxa"/>
            <w:vMerge/>
            <w:tcBorders>
              <w:top w:val="nil"/>
            </w:tcBorders>
          </w:tcPr>
          <w:p w:rsidR="003C3D3C" w:rsidRPr="003C3D3C" w:rsidRDefault="003C3D3C" w:rsidP="003C3D3C">
            <w:pPr>
              <w:autoSpaceDE w:val="0"/>
              <w:autoSpaceDN w:val="0"/>
              <w:adjustRightInd w:val="0"/>
              <w:jc w:val="left"/>
              <w:rPr>
                <w:szCs w:val="24"/>
              </w:rPr>
            </w:pPr>
          </w:p>
        </w:tc>
        <w:tc>
          <w:tcPr>
            <w:tcW w:w="849" w:type="dxa"/>
          </w:tcPr>
          <w:p w:rsidR="003C3D3C" w:rsidRPr="003C3D3C" w:rsidRDefault="003C3D3C" w:rsidP="003C3D3C">
            <w:pPr>
              <w:autoSpaceDE w:val="0"/>
              <w:autoSpaceDN w:val="0"/>
              <w:adjustRightInd w:val="0"/>
              <w:jc w:val="left"/>
              <w:rPr>
                <w:szCs w:val="24"/>
              </w:rPr>
            </w:pPr>
            <w:r w:rsidRPr="003C3D3C">
              <w:rPr>
                <w:szCs w:val="24"/>
              </w:rPr>
              <w:t>Day 28</w:t>
            </w:r>
          </w:p>
        </w:tc>
        <w:tc>
          <w:tcPr>
            <w:tcW w:w="849" w:type="dxa"/>
          </w:tcPr>
          <w:p w:rsidR="003C3D3C" w:rsidRPr="003C3D3C" w:rsidRDefault="003C3D3C" w:rsidP="003C3D3C">
            <w:pPr>
              <w:autoSpaceDE w:val="0"/>
              <w:autoSpaceDN w:val="0"/>
              <w:adjustRightInd w:val="0"/>
              <w:jc w:val="left"/>
              <w:rPr>
                <w:szCs w:val="24"/>
              </w:rPr>
            </w:pPr>
            <w:r w:rsidRPr="003C3D3C">
              <w:rPr>
                <w:szCs w:val="24"/>
              </w:rPr>
              <w:t>323</w:t>
            </w:r>
          </w:p>
        </w:tc>
        <w:tc>
          <w:tcPr>
            <w:tcW w:w="851" w:type="dxa"/>
          </w:tcPr>
          <w:p w:rsidR="003C3D3C" w:rsidRPr="003C3D3C" w:rsidRDefault="003C3D3C" w:rsidP="003C3D3C">
            <w:pPr>
              <w:autoSpaceDE w:val="0"/>
              <w:autoSpaceDN w:val="0"/>
              <w:adjustRightInd w:val="0"/>
              <w:jc w:val="left"/>
              <w:rPr>
                <w:szCs w:val="24"/>
              </w:rPr>
            </w:pPr>
            <w:r w:rsidRPr="003C3D3C">
              <w:rPr>
                <w:szCs w:val="24"/>
              </w:rPr>
              <w:t>276</w:t>
            </w:r>
          </w:p>
        </w:tc>
        <w:tc>
          <w:tcPr>
            <w:tcW w:w="849" w:type="dxa"/>
          </w:tcPr>
          <w:p w:rsidR="003C3D3C" w:rsidRPr="003C3D3C" w:rsidRDefault="003C3D3C" w:rsidP="003C3D3C">
            <w:pPr>
              <w:autoSpaceDE w:val="0"/>
              <w:autoSpaceDN w:val="0"/>
              <w:adjustRightInd w:val="0"/>
              <w:jc w:val="left"/>
              <w:rPr>
                <w:szCs w:val="24"/>
              </w:rPr>
            </w:pPr>
            <w:r w:rsidRPr="003C3D3C">
              <w:rPr>
                <w:szCs w:val="24"/>
              </w:rPr>
              <w:t>1710</w:t>
            </w:r>
          </w:p>
        </w:tc>
        <w:tc>
          <w:tcPr>
            <w:tcW w:w="851" w:type="dxa"/>
          </w:tcPr>
          <w:p w:rsidR="003C3D3C" w:rsidRPr="003C3D3C" w:rsidRDefault="003C3D3C" w:rsidP="003C3D3C">
            <w:pPr>
              <w:autoSpaceDE w:val="0"/>
              <w:autoSpaceDN w:val="0"/>
              <w:adjustRightInd w:val="0"/>
              <w:jc w:val="left"/>
              <w:rPr>
                <w:szCs w:val="24"/>
              </w:rPr>
            </w:pPr>
            <w:r w:rsidRPr="003C3D3C">
              <w:rPr>
                <w:szCs w:val="24"/>
              </w:rPr>
              <w:t>1400</w:t>
            </w:r>
          </w:p>
        </w:tc>
        <w:tc>
          <w:tcPr>
            <w:tcW w:w="849" w:type="dxa"/>
          </w:tcPr>
          <w:p w:rsidR="003C3D3C" w:rsidRPr="003C3D3C" w:rsidRDefault="003C3D3C" w:rsidP="003C3D3C">
            <w:pPr>
              <w:autoSpaceDE w:val="0"/>
              <w:autoSpaceDN w:val="0"/>
              <w:adjustRightInd w:val="0"/>
              <w:jc w:val="left"/>
              <w:rPr>
                <w:szCs w:val="24"/>
              </w:rPr>
            </w:pPr>
            <w:r w:rsidRPr="003C3D3C">
              <w:rPr>
                <w:szCs w:val="24"/>
              </w:rPr>
              <w:t>7330</w:t>
            </w:r>
          </w:p>
        </w:tc>
        <w:tc>
          <w:tcPr>
            <w:tcW w:w="851" w:type="dxa"/>
          </w:tcPr>
          <w:p w:rsidR="003C3D3C" w:rsidRPr="003C3D3C" w:rsidRDefault="003C3D3C" w:rsidP="003C3D3C">
            <w:pPr>
              <w:autoSpaceDE w:val="0"/>
              <w:autoSpaceDN w:val="0"/>
              <w:adjustRightInd w:val="0"/>
              <w:jc w:val="left"/>
              <w:rPr>
                <w:szCs w:val="24"/>
              </w:rPr>
            </w:pPr>
            <w:r w:rsidRPr="003C3D3C">
              <w:rPr>
                <w:szCs w:val="24"/>
              </w:rPr>
              <w:t>9910</w:t>
            </w:r>
          </w:p>
        </w:tc>
        <w:tc>
          <w:tcPr>
            <w:tcW w:w="849" w:type="dxa"/>
          </w:tcPr>
          <w:p w:rsidR="003C3D3C" w:rsidRPr="003C3D3C" w:rsidRDefault="003C3D3C" w:rsidP="003C3D3C">
            <w:pPr>
              <w:autoSpaceDE w:val="0"/>
              <w:autoSpaceDN w:val="0"/>
              <w:adjustRightInd w:val="0"/>
              <w:jc w:val="left"/>
              <w:rPr>
                <w:szCs w:val="24"/>
              </w:rPr>
            </w:pPr>
            <w:r w:rsidRPr="003C3D3C">
              <w:rPr>
                <w:szCs w:val="24"/>
              </w:rPr>
              <w:t>21800</w:t>
            </w:r>
          </w:p>
        </w:tc>
        <w:tc>
          <w:tcPr>
            <w:tcW w:w="849" w:type="dxa"/>
          </w:tcPr>
          <w:p w:rsidR="003C3D3C" w:rsidRPr="003C3D3C" w:rsidRDefault="003C3D3C" w:rsidP="003C3D3C">
            <w:pPr>
              <w:autoSpaceDE w:val="0"/>
              <w:autoSpaceDN w:val="0"/>
              <w:adjustRightInd w:val="0"/>
              <w:jc w:val="left"/>
              <w:rPr>
                <w:szCs w:val="24"/>
              </w:rPr>
            </w:pPr>
            <w:r w:rsidRPr="003C3D3C">
              <w:rPr>
                <w:szCs w:val="24"/>
              </w:rPr>
              <w:t>25700</w:t>
            </w:r>
          </w:p>
        </w:tc>
      </w:tr>
      <w:tr w:rsidR="003C3D3C" w:rsidRPr="003C3D3C" w:rsidTr="00153E6F">
        <w:trPr>
          <w:trHeight w:val="299"/>
        </w:trPr>
        <w:tc>
          <w:tcPr>
            <w:tcW w:w="1135" w:type="dxa"/>
            <w:vMerge w:val="restart"/>
          </w:tcPr>
          <w:p w:rsidR="003C3D3C" w:rsidRPr="003C3D3C" w:rsidRDefault="003C3D3C" w:rsidP="003C3D3C">
            <w:pPr>
              <w:autoSpaceDE w:val="0"/>
              <w:autoSpaceDN w:val="0"/>
              <w:adjustRightInd w:val="0"/>
              <w:jc w:val="left"/>
              <w:rPr>
                <w:szCs w:val="24"/>
              </w:rPr>
            </w:pPr>
            <w:r w:rsidRPr="003C3D3C">
              <w:rPr>
                <w:szCs w:val="24"/>
              </w:rPr>
              <w:t>AUC</w:t>
            </w:r>
            <w:r w:rsidRPr="003C3D3C">
              <w:rPr>
                <w:szCs w:val="24"/>
                <w:vertAlign w:val="subscript"/>
              </w:rPr>
              <w:t>24</w:t>
            </w:r>
          </w:p>
          <w:p w:rsidR="003C3D3C" w:rsidRPr="003C3D3C" w:rsidRDefault="003C3D3C" w:rsidP="003C3D3C">
            <w:pPr>
              <w:autoSpaceDE w:val="0"/>
              <w:autoSpaceDN w:val="0"/>
              <w:adjustRightInd w:val="0"/>
              <w:jc w:val="left"/>
              <w:rPr>
                <w:szCs w:val="24"/>
              </w:rPr>
            </w:pPr>
            <w:r w:rsidRPr="003C3D3C">
              <w:rPr>
                <w:szCs w:val="24"/>
              </w:rPr>
              <w:t>(</w:t>
            </w:r>
            <w:proofErr w:type="spellStart"/>
            <w:r w:rsidRPr="003C3D3C">
              <w:rPr>
                <w:szCs w:val="24"/>
              </w:rPr>
              <w:t>ng·h</w:t>
            </w:r>
            <w:proofErr w:type="spellEnd"/>
            <w:r w:rsidRPr="003C3D3C">
              <w:rPr>
                <w:szCs w:val="24"/>
              </w:rPr>
              <w:t>/mL)</w:t>
            </w:r>
          </w:p>
        </w:tc>
        <w:tc>
          <w:tcPr>
            <w:tcW w:w="849" w:type="dxa"/>
          </w:tcPr>
          <w:p w:rsidR="003C3D3C" w:rsidRPr="003C3D3C" w:rsidRDefault="003C3D3C" w:rsidP="003C3D3C">
            <w:pPr>
              <w:autoSpaceDE w:val="0"/>
              <w:autoSpaceDN w:val="0"/>
              <w:adjustRightInd w:val="0"/>
              <w:jc w:val="left"/>
              <w:rPr>
                <w:szCs w:val="24"/>
              </w:rPr>
            </w:pPr>
            <w:r w:rsidRPr="003C3D3C">
              <w:rPr>
                <w:szCs w:val="24"/>
              </w:rPr>
              <w:t>Day 1</w:t>
            </w:r>
          </w:p>
        </w:tc>
        <w:tc>
          <w:tcPr>
            <w:tcW w:w="849" w:type="dxa"/>
          </w:tcPr>
          <w:p w:rsidR="003C3D3C" w:rsidRPr="003C3D3C" w:rsidRDefault="003C3D3C" w:rsidP="003C3D3C">
            <w:pPr>
              <w:autoSpaceDE w:val="0"/>
              <w:autoSpaceDN w:val="0"/>
              <w:adjustRightInd w:val="0"/>
              <w:jc w:val="left"/>
              <w:rPr>
                <w:szCs w:val="24"/>
              </w:rPr>
            </w:pPr>
            <w:r w:rsidRPr="003C3D3C">
              <w:rPr>
                <w:szCs w:val="24"/>
              </w:rPr>
              <w:t>1330</w:t>
            </w:r>
          </w:p>
        </w:tc>
        <w:tc>
          <w:tcPr>
            <w:tcW w:w="851" w:type="dxa"/>
          </w:tcPr>
          <w:p w:rsidR="003C3D3C" w:rsidRPr="003C3D3C" w:rsidRDefault="003C3D3C" w:rsidP="003C3D3C">
            <w:pPr>
              <w:autoSpaceDE w:val="0"/>
              <w:autoSpaceDN w:val="0"/>
              <w:adjustRightInd w:val="0"/>
              <w:jc w:val="left"/>
              <w:rPr>
                <w:szCs w:val="24"/>
              </w:rPr>
            </w:pPr>
            <w:r w:rsidRPr="003C3D3C">
              <w:rPr>
                <w:szCs w:val="24"/>
              </w:rPr>
              <w:t>1070</w:t>
            </w:r>
          </w:p>
        </w:tc>
        <w:tc>
          <w:tcPr>
            <w:tcW w:w="849" w:type="dxa"/>
          </w:tcPr>
          <w:p w:rsidR="003C3D3C" w:rsidRPr="003C3D3C" w:rsidRDefault="003C3D3C" w:rsidP="003C3D3C">
            <w:pPr>
              <w:autoSpaceDE w:val="0"/>
              <w:autoSpaceDN w:val="0"/>
              <w:adjustRightInd w:val="0"/>
              <w:jc w:val="left"/>
              <w:rPr>
                <w:szCs w:val="24"/>
              </w:rPr>
            </w:pPr>
            <w:r w:rsidRPr="003C3D3C">
              <w:rPr>
                <w:szCs w:val="24"/>
              </w:rPr>
              <w:t>5390</w:t>
            </w:r>
          </w:p>
        </w:tc>
        <w:tc>
          <w:tcPr>
            <w:tcW w:w="851" w:type="dxa"/>
          </w:tcPr>
          <w:p w:rsidR="003C3D3C" w:rsidRPr="003C3D3C" w:rsidRDefault="003C3D3C" w:rsidP="003C3D3C">
            <w:pPr>
              <w:autoSpaceDE w:val="0"/>
              <w:autoSpaceDN w:val="0"/>
              <w:adjustRightInd w:val="0"/>
              <w:jc w:val="left"/>
              <w:rPr>
                <w:szCs w:val="24"/>
              </w:rPr>
            </w:pPr>
            <w:r w:rsidRPr="003C3D3C">
              <w:rPr>
                <w:szCs w:val="24"/>
              </w:rPr>
              <w:t>4810</w:t>
            </w:r>
          </w:p>
        </w:tc>
        <w:tc>
          <w:tcPr>
            <w:tcW w:w="849" w:type="dxa"/>
          </w:tcPr>
          <w:p w:rsidR="003C3D3C" w:rsidRPr="003C3D3C" w:rsidRDefault="003C3D3C" w:rsidP="003C3D3C">
            <w:pPr>
              <w:autoSpaceDE w:val="0"/>
              <w:autoSpaceDN w:val="0"/>
              <w:adjustRightInd w:val="0"/>
              <w:jc w:val="left"/>
              <w:rPr>
                <w:szCs w:val="24"/>
              </w:rPr>
            </w:pPr>
            <w:r w:rsidRPr="003C3D3C">
              <w:rPr>
                <w:szCs w:val="24"/>
              </w:rPr>
              <w:t>18500</w:t>
            </w:r>
          </w:p>
        </w:tc>
        <w:tc>
          <w:tcPr>
            <w:tcW w:w="851" w:type="dxa"/>
          </w:tcPr>
          <w:p w:rsidR="003C3D3C" w:rsidRPr="003C3D3C" w:rsidRDefault="003C3D3C" w:rsidP="003C3D3C">
            <w:pPr>
              <w:autoSpaceDE w:val="0"/>
              <w:autoSpaceDN w:val="0"/>
              <w:adjustRightInd w:val="0"/>
              <w:jc w:val="left"/>
              <w:rPr>
                <w:szCs w:val="24"/>
              </w:rPr>
            </w:pPr>
            <w:r w:rsidRPr="003C3D3C">
              <w:rPr>
                <w:szCs w:val="24"/>
              </w:rPr>
              <w:t>25500</w:t>
            </w:r>
          </w:p>
        </w:tc>
        <w:tc>
          <w:tcPr>
            <w:tcW w:w="849" w:type="dxa"/>
          </w:tcPr>
          <w:p w:rsidR="003C3D3C" w:rsidRPr="003C3D3C" w:rsidRDefault="003C3D3C" w:rsidP="003C3D3C">
            <w:pPr>
              <w:autoSpaceDE w:val="0"/>
              <w:autoSpaceDN w:val="0"/>
              <w:adjustRightInd w:val="0"/>
              <w:jc w:val="left"/>
              <w:rPr>
                <w:szCs w:val="24"/>
              </w:rPr>
            </w:pPr>
            <w:r w:rsidRPr="003C3D3C">
              <w:rPr>
                <w:szCs w:val="24"/>
              </w:rPr>
              <w:t>136000</w:t>
            </w:r>
          </w:p>
        </w:tc>
        <w:tc>
          <w:tcPr>
            <w:tcW w:w="849" w:type="dxa"/>
          </w:tcPr>
          <w:p w:rsidR="003C3D3C" w:rsidRPr="003C3D3C" w:rsidRDefault="003C3D3C" w:rsidP="003C3D3C">
            <w:pPr>
              <w:autoSpaceDE w:val="0"/>
              <w:autoSpaceDN w:val="0"/>
              <w:adjustRightInd w:val="0"/>
              <w:jc w:val="left"/>
              <w:rPr>
                <w:szCs w:val="24"/>
              </w:rPr>
            </w:pPr>
            <w:r w:rsidRPr="003C3D3C">
              <w:rPr>
                <w:szCs w:val="24"/>
              </w:rPr>
              <w:t>143000</w:t>
            </w:r>
          </w:p>
        </w:tc>
      </w:tr>
      <w:tr w:rsidR="003C3D3C" w:rsidRPr="003C3D3C" w:rsidTr="00153E6F">
        <w:trPr>
          <w:trHeight w:val="299"/>
        </w:trPr>
        <w:tc>
          <w:tcPr>
            <w:tcW w:w="1135" w:type="dxa"/>
            <w:vMerge/>
            <w:tcBorders>
              <w:top w:val="nil"/>
            </w:tcBorders>
          </w:tcPr>
          <w:p w:rsidR="003C3D3C" w:rsidRPr="003C3D3C" w:rsidRDefault="003C3D3C" w:rsidP="003C3D3C">
            <w:pPr>
              <w:autoSpaceDE w:val="0"/>
              <w:autoSpaceDN w:val="0"/>
              <w:adjustRightInd w:val="0"/>
              <w:jc w:val="left"/>
              <w:rPr>
                <w:szCs w:val="24"/>
              </w:rPr>
            </w:pPr>
          </w:p>
        </w:tc>
        <w:tc>
          <w:tcPr>
            <w:tcW w:w="849" w:type="dxa"/>
          </w:tcPr>
          <w:p w:rsidR="003C3D3C" w:rsidRPr="003C3D3C" w:rsidRDefault="003C3D3C" w:rsidP="003C3D3C">
            <w:pPr>
              <w:autoSpaceDE w:val="0"/>
              <w:autoSpaceDN w:val="0"/>
              <w:adjustRightInd w:val="0"/>
              <w:jc w:val="left"/>
              <w:rPr>
                <w:szCs w:val="24"/>
              </w:rPr>
            </w:pPr>
            <w:r w:rsidRPr="003C3D3C">
              <w:rPr>
                <w:szCs w:val="24"/>
              </w:rPr>
              <w:t>Day 14</w:t>
            </w:r>
          </w:p>
        </w:tc>
        <w:tc>
          <w:tcPr>
            <w:tcW w:w="849" w:type="dxa"/>
          </w:tcPr>
          <w:p w:rsidR="003C3D3C" w:rsidRPr="003C3D3C" w:rsidRDefault="003C3D3C" w:rsidP="003C3D3C">
            <w:pPr>
              <w:autoSpaceDE w:val="0"/>
              <w:autoSpaceDN w:val="0"/>
              <w:adjustRightInd w:val="0"/>
              <w:jc w:val="left"/>
              <w:rPr>
                <w:szCs w:val="24"/>
              </w:rPr>
            </w:pPr>
            <w:r w:rsidRPr="003C3D3C">
              <w:rPr>
                <w:szCs w:val="24"/>
              </w:rPr>
              <w:t>1500</w:t>
            </w:r>
          </w:p>
        </w:tc>
        <w:tc>
          <w:tcPr>
            <w:tcW w:w="851" w:type="dxa"/>
          </w:tcPr>
          <w:p w:rsidR="003C3D3C" w:rsidRPr="003C3D3C" w:rsidRDefault="003C3D3C" w:rsidP="003C3D3C">
            <w:pPr>
              <w:autoSpaceDE w:val="0"/>
              <w:autoSpaceDN w:val="0"/>
              <w:adjustRightInd w:val="0"/>
              <w:jc w:val="left"/>
              <w:rPr>
                <w:szCs w:val="24"/>
              </w:rPr>
            </w:pPr>
            <w:r w:rsidRPr="003C3D3C">
              <w:rPr>
                <w:szCs w:val="24"/>
              </w:rPr>
              <w:t>859</w:t>
            </w:r>
          </w:p>
        </w:tc>
        <w:tc>
          <w:tcPr>
            <w:tcW w:w="849" w:type="dxa"/>
          </w:tcPr>
          <w:p w:rsidR="003C3D3C" w:rsidRPr="003C3D3C" w:rsidRDefault="003C3D3C" w:rsidP="003C3D3C">
            <w:pPr>
              <w:autoSpaceDE w:val="0"/>
              <w:autoSpaceDN w:val="0"/>
              <w:adjustRightInd w:val="0"/>
              <w:jc w:val="left"/>
              <w:rPr>
                <w:szCs w:val="24"/>
              </w:rPr>
            </w:pPr>
            <w:r w:rsidRPr="003C3D3C">
              <w:rPr>
                <w:szCs w:val="24"/>
              </w:rPr>
              <w:t>5750</w:t>
            </w:r>
          </w:p>
        </w:tc>
        <w:tc>
          <w:tcPr>
            <w:tcW w:w="851" w:type="dxa"/>
          </w:tcPr>
          <w:p w:rsidR="003C3D3C" w:rsidRPr="003C3D3C" w:rsidRDefault="003C3D3C" w:rsidP="003C3D3C">
            <w:pPr>
              <w:autoSpaceDE w:val="0"/>
              <w:autoSpaceDN w:val="0"/>
              <w:adjustRightInd w:val="0"/>
              <w:jc w:val="left"/>
              <w:rPr>
                <w:szCs w:val="24"/>
              </w:rPr>
            </w:pPr>
            <w:r w:rsidRPr="003C3D3C">
              <w:rPr>
                <w:szCs w:val="24"/>
              </w:rPr>
              <w:t>4890</w:t>
            </w:r>
          </w:p>
        </w:tc>
        <w:tc>
          <w:tcPr>
            <w:tcW w:w="849" w:type="dxa"/>
          </w:tcPr>
          <w:p w:rsidR="003C3D3C" w:rsidRPr="003C3D3C" w:rsidRDefault="003C3D3C" w:rsidP="003C3D3C">
            <w:pPr>
              <w:autoSpaceDE w:val="0"/>
              <w:autoSpaceDN w:val="0"/>
              <w:adjustRightInd w:val="0"/>
              <w:jc w:val="left"/>
              <w:rPr>
                <w:szCs w:val="24"/>
              </w:rPr>
            </w:pPr>
            <w:r w:rsidRPr="003C3D3C">
              <w:rPr>
                <w:szCs w:val="24"/>
              </w:rPr>
              <w:t>19500</w:t>
            </w:r>
          </w:p>
        </w:tc>
        <w:tc>
          <w:tcPr>
            <w:tcW w:w="851" w:type="dxa"/>
          </w:tcPr>
          <w:p w:rsidR="003C3D3C" w:rsidRPr="003C3D3C" w:rsidRDefault="003C3D3C" w:rsidP="003C3D3C">
            <w:pPr>
              <w:autoSpaceDE w:val="0"/>
              <w:autoSpaceDN w:val="0"/>
              <w:adjustRightInd w:val="0"/>
              <w:jc w:val="left"/>
              <w:rPr>
                <w:szCs w:val="24"/>
              </w:rPr>
            </w:pPr>
            <w:r w:rsidRPr="003C3D3C">
              <w:rPr>
                <w:szCs w:val="24"/>
              </w:rPr>
              <w:t>25300</w:t>
            </w:r>
          </w:p>
        </w:tc>
        <w:tc>
          <w:tcPr>
            <w:tcW w:w="849" w:type="dxa"/>
          </w:tcPr>
          <w:p w:rsidR="003C3D3C" w:rsidRPr="003C3D3C" w:rsidRDefault="003C3D3C" w:rsidP="003C3D3C">
            <w:pPr>
              <w:autoSpaceDE w:val="0"/>
              <w:autoSpaceDN w:val="0"/>
              <w:adjustRightInd w:val="0"/>
              <w:jc w:val="left"/>
              <w:rPr>
                <w:szCs w:val="24"/>
              </w:rPr>
            </w:pPr>
            <w:r w:rsidRPr="003C3D3C">
              <w:rPr>
                <w:szCs w:val="24"/>
              </w:rPr>
              <w:t>146000</w:t>
            </w:r>
          </w:p>
        </w:tc>
        <w:tc>
          <w:tcPr>
            <w:tcW w:w="849" w:type="dxa"/>
          </w:tcPr>
          <w:p w:rsidR="003C3D3C" w:rsidRPr="003C3D3C" w:rsidRDefault="003C3D3C" w:rsidP="003C3D3C">
            <w:pPr>
              <w:autoSpaceDE w:val="0"/>
              <w:autoSpaceDN w:val="0"/>
              <w:adjustRightInd w:val="0"/>
              <w:jc w:val="left"/>
              <w:rPr>
                <w:szCs w:val="24"/>
              </w:rPr>
            </w:pPr>
            <w:r w:rsidRPr="003C3D3C">
              <w:rPr>
                <w:szCs w:val="24"/>
              </w:rPr>
              <w:t>184000</w:t>
            </w:r>
          </w:p>
        </w:tc>
      </w:tr>
      <w:tr w:rsidR="003C3D3C" w:rsidRPr="003C3D3C" w:rsidTr="00153E6F">
        <w:trPr>
          <w:trHeight w:val="299"/>
        </w:trPr>
        <w:tc>
          <w:tcPr>
            <w:tcW w:w="1135" w:type="dxa"/>
            <w:vMerge/>
            <w:tcBorders>
              <w:top w:val="nil"/>
            </w:tcBorders>
          </w:tcPr>
          <w:p w:rsidR="003C3D3C" w:rsidRPr="003C3D3C" w:rsidRDefault="003C3D3C" w:rsidP="003C3D3C">
            <w:pPr>
              <w:autoSpaceDE w:val="0"/>
              <w:autoSpaceDN w:val="0"/>
              <w:adjustRightInd w:val="0"/>
              <w:jc w:val="left"/>
              <w:rPr>
                <w:szCs w:val="24"/>
              </w:rPr>
            </w:pPr>
          </w:p>
        </w:tc>
        <w:tc>
          <w:tcPr>
            <w:tcW w:w="849" w:type="dxa"/>
          </w:tcPr>
          <w:p w:rsidR="003C3D3C" w:rsidRPr="003C3D3C" w:rsidRDefault="003C3D3C" w:rsidP="003C3D3C">
            <w:pPr>
              <w:autoSpaceDE w:val="0"/>
              <w:autoSpaceDN w:val="0"/>
              <w:adjustRightInd w:val="0"/>
              <w:jc w:val="left"/>
              <w:rPr>
                <w:szCs w:val="24"/>
              </w:rPr>
            </w:pPr>
            <w:r w:rsidRPr="003C3D3C">
              <w:rPr>
                <w:szCs w:val="24"/>
              </w:rPr>
              <w:t>Day 28</w:t>
            </w:r>
          </w:p>
        </w:tc>
        <w:tc>
          <w:tcPr>
            <w:tcW w:w="849" w:type="dxa"/>
          </w:tcPr>
          <w:p w:rsidR="003C3D3C" w:rsidRPr="003C3D3C" w:rsidRDefault="003C3D3C" w:rsidP="003C3D3C">
            <w:pPr>
              <w:autoSpaceDE w:val="0"/>
              <w:autoSpaceDN w:val="0"/>
              <w:adjustRightInd w:val="0"/>
              <w:jc w:val="left"/>
              <w:rPr>
                <w:szCs w:val="24"/>
              </w:rPr>
            </w:pPr>
            <w:r w:rsidRPr="003C3D3C">
              <w:rPr>
                <w:szCs w:val="24"/>
              </w:rPr>
              <w:t>1250</w:t>
            </w:r>
          </w:p>
        </w:tc>
        <w:tc>
          <w:tcPr>
            <w:tcW w:w="851" w:type="dxa"/>
          </w:tcPr>
          <w:p w:rsidR="003C3D3C" w:rsidRPr="003C3D3C" w:rsidRDefault="003C3D3C" w:rsidP="003C3D3C">
            <w:pPr>
              <w:autoSpaceDE w:val="0"/>
              <w:autoSpaceDN w:val="0"/>
              <w:adjustRightInd w:val="0"/>
              <w:jc w:val="left"/>
              <w:rPr>
                <w:szCs w:val="24"/>
              </w:rPr>
            </w:pPr>
            <w:r w:rsidRPr="003C3D3C">
              <w:rPr>
                <w:szCs w:val="24"/>
              </w:rPr>
              <w:t>849</w:t>
            </w:r>
          </w:p>
        </w:tc>
        <w:tc>
          <w:tcPr>
            <w:tcW w:w="849" w:type="dxa"/>
          </w:tcPr>
          <w:p w:rsidR="003C3D3C" w:rsidRPr="003C3D3C" w:rsidRDefault="003C3D3C" w:rsidP="003C3D3C">
            <w:pPr>
              <w:autoSpaceDE w:val="0"/>
              <w:autoSpaceDN w:val="0"/>
              <w:adjustRightInd w:val="0"/>
              <w:jc w:val="left"/>
              <w:rPr>
                <w:szCs w:val="24"/>
              </w:rPr>
            </w:pPr>
            <w:r w:rsidRPr="003C3D3C">
              <w:rPr>
                <w:szCs w:val="24"/>
              </w:rPr>
              <w:t>5630</w:t>
            </w:r>
          </w:p>
        </w:tc>
        <w:tc>
          <w:tcPr>
            <w:tcW w:w="851" w:type="dxa"/>
          </w:tcPr>
          <w:p w:rsidR="003C3D3C" w:rsidRPr="003C3D3C" w:rsidRDefault="003C3D3C" w:rsidP="003C3D3C">
            <w:pPr>
              <w:autoSpaceDE w:val="0"/>
              <w:autoSpaceDN w:val="0"/>
              <w:adjustRightInd w:val="0"/>
              <w:jc w:val="left"/>
              <w:rPr>
                <w:szCs w:val="24"/>
              </w:rPr>
            </w:pPr>
            <w:r w:rsidRPr="003C3D3C">
              <w:rPr>
                <w:szCs w:val="24"/>
              </w:rPr>
              <w:t>4200</w:t>
            </w:r>
          </w:p>
        </w:tc>
        <w:tc>
          <w:tcPr>
            <w:tcW w:w="849" w:type="dxa"/>
          </w:tcPr>
          <w:p w:rsidR="003C3D3C" w:rsidRPr="003C3D3C" w:rsidRDefault="003C3D3C" w:rsidP="003C3D3C">
            <w:pPr>
              <w:autoSpaceDE w:val="0"/>
              <w:autoSpaceDN w:val="0"/>
              <w:adjustRightInd w:val="0"/>
              <w:jc w:val="left"/>
              <w:rPr>
                <w:szCs w:val="24"/>
              </w:rPr>
            </w:pPr>
            <w:r w:rsidRPr="003C3D3C">
              <w:rPr>
                <w:szCs w:val="24"/>
              </w:rPr>
              <w:t>16900</w:t>
            </w:r>
          </w:p>
        </w:tc>
        <w:tc>
          <w:tcPr>
            <w:tcW w:w="851" w:type="dxa"/>
          </w:tcPr>
          <w:p w:rsidR="003C3D3C" w:rsidRPr="003C3D3C" w:rsidRDefault="003C3D3C" w:rsidP="003C3D3C">
            <w:pPr>
              <w:autoSpaceDE w:val="0"/>
              <w:autoSpaceDN w:val="0"/>
              <w:adjustRightInd w:val="0"/>
              <w:jc w:val="left"/>
              <w:rPr>
                <w:szCs w:val="24"/>
              </w:rPr>
            </w:pPr>
            <w:r w:rsidRPr="003C3D3C">
              <w:rPr>
                <w:szCs w:val="24"/>
              </w:rPr>
              <w:t>22900</w:t>
            </w:r>
          </w:p>
        </w:tc>
        <w:tc>
          <w:tcPr>
            <w:tcW w:w="849" w:type="dxa"/>
          </w:tcPr>
          <w:p w:rsidR="003C3D3C" w:rsidRPr="003C3D3C" w:rsidRDefault="003C3D3C" w:rsidP="003C3D3C">
            <w:pPr>
              <w:autoSpaceDE w:val="0"/>
              <w:autoSpaceDN w:val="0"/>
              <w:adjustRightInd w:val="0"/>
              <w:jc w:val="left"/>
              <w:rPr>
                <w:szCs w:val="24"/>
              </w:rPr>
            </w:pPr>
            <w:r w:rsidRPr="003C3D3C">
              <w:rPr>
                <w:szCs w:val="24"/>
              </w:rPr>
              <w:t>127000</w:t>
            </w:r>
          </w:p>
        </w:tc>
        <w:tc>
          <w:tcPr>
            <w:tcW w:w="849" w:type="dxa"/>
          </w:tcPr>
          <w:p w:rsidR="003C3D3C" w:rsidRPr="003C3D3C" w:rsidRDefault="003C3D3C" w:rsidP="003C3D3C">
            <w:pPr>
              <w:autoSpaceDE w:val="0"/>
              <w:autoSpaceDN w:val="0"/>
              <w:adjustRightInd w:val="0"/>
              <w:jc w:val="left"/>
              <w:rPr>
                <w:szCs w:val="24"/>
              </w:rPr>
            </w:pPr>
            <w:r w:rsidRPr="003C3D3C">
              <w:rPr>
                <w:szCs w:val="24"/>
              </w:rPr>
              <w:t>149000</w:t>
            </w:r>
          </w:p>
        </w:tc>
      </w:tr>
    </w:tbl>
    <w:p w:rsidR="003C3D3C" w:rsidRPr="003C3D3C" w:rsidRDefault="003C3D3C" w:rsidP="003C3D3C">
      <w:pPr>
        <w:autoSpaceDE w:val="0"/>
        <w:autoSpaceDN w:val="0"/>
        <w:adjustRightInd w:val="0"/>
        <w:jc w:val="left"/>
        <w:rPr>
          <w:szCs w:val="24"/>
        </w:rPr>
      </w:pPr>
      <w:r w:rsidRPr="003C3D3C">
        <w:rPr>
          <w:szCs w:val="24"/>
        </w:rPr>
        <w:t xml:space="preserve">In toxicokinetics, mean </w:t>
      </w:r>
      <w:proofErr w:type="spellStart"/>
      <w:r w:rsidRPr="003C3D3C">
        <w:rPr>
          <w:szCs w:val="24"/>
        </w:rPr>
        <w:t>t</w:t>
      </w:r>
      <w:r w:rsidRPr="003C3D3C">
        <w:rPr>
          <w:szCs w:val="24"/>
          <w:vertAlign w:val="subscript"/>
        </w:rPr>
        <w:t>max</w:t>
      </w:r>
      <w:proofErr w:type="spellEnd"/>
      <w:r w:rsidRPr="003C3D3C">
        <w:rPr>
          <w:szCs w:val="24"/>
        </w:rPr>
        <w:t xml:space="preserve"> in all groups was 0.50 to 2.86 h (Individual values of </w:t>
      </w:r>
      <w:proofErr w:type="spellStart"/>
      <w:r w:rsidRPr="003C3D3C">
        <w:rPr>
          <w:szCs w:val="24"/>
        </w:rPr>
        <w:t>t</w:t>
      </w:r>
      <w:r w:rsidRPr="003C3D3C">
        <w:rPr>
          <w:szCs w:val="24"/>
          <w:vertAlign w:val="subscript"/>
        </w:rPr>
        <w:t>max</w:t>
      </w:r>
      <w:proofErr w:type="spellEnd"/>
      <w:r w:rsidRPr="003C3D3C">
        <w:rPr>
          <w:szCs w:val="24"/>
        </w:rPr>
        <w:t xml:space="preserve"> was</w:t>
      </w:r>
      <w:r>
        <w:rPr>
          <w:szCs w:val="24"/>
        </w:rPr>
        <w:t xml:space="preserve"> </w:t>
      </w:r>
      <w:r w:rsidRPr="003C3D3C">
        <w:rPr>
          <w:szCs w:val="24"/>
        </w:rPr>
        <w:t xml:space="preserve">0.25 to 8.00 h). </w:t>
      </w:r>
      <w:proofErr w:type="spellStart"/>
      <w:r w:rsidRPr="003C3D3C">
        <w:rPr>
          <w:szCs w:val="24"/>
        </w:rPr>
        <w:t>C</w:t>
      </w:r>
      <w:r w:rsidRPr="003C3D3C">
        <w:rPr>
          <w:szCs w:val="24"/>
          <w:vertAlign w:val="subscript"/>
        </w:rPr>
        <w:t>max</w:t>
      </w:r>
      <w:proofErr w:type="spellEnd"/>
      <w:r w:rsidRPr="003C3D3C">
        <w:rPr>
          <w:szCs w:val="24"/>
        </w:rPr>
        <w:t xml:space="preserve"> and AUC</w:t>
      </w:r>
      <w:r w:rsidRPr="003C3D3C">
        <w:rPr>
          <w:szCs w:val="24"/>
          <w:vertAlign w:val="subscript"/>
        </w:rPr>
        <w:t>24</w:t>
      </w:r>
      <w:r w:rsidRPr="003C3D3C">
        <w:rPr>
          <w:szCs w:val="24"/>
        </w:rPr>
        <w:t xml:space="preserve"> of </w:t>
      </w:r>
      <w:r w:rsidR="00AA2716">
        <w:rPr>
          <w:szCs w:val="24"/>
        </w:rPr>
        <w:t>PROJECT B</w:t>
      </w:r>
      <w:r w:rsidRPr="003C3D3C">
        <w:rPr>
          <w:szCs w:val="24"/>
        </w:rPr>
        <w:t xml:space="preserve"> increased more than dose-proportional from 3 to 30 mg/kg/day, and increased less than dose-proportional from 30 to 300 mg/kg/day in both sexes on each day. There was no apparent sex difference and no apparent change by repeated dose.</w:t>
      </w:r>
    </w:p>
    <w:p w:rsidR="003C3D3C" w:rsidRPr="003C3D3C" w:rsidRDefault="003C3D3C" w:rsidP="003C3D3C">
      <w:pPr>
        <w:autoSpaceDE w:val="0"/>
        <w:autoSpaceDN w:val="0"/>
        <w:adjustRightInd w:val="0"/>
        <w:jc w:val="left"/>
        <w:rPr>
          <w:szCs w:val="24"/>
        </w:rPr>
      </w:pPr>
      <w:r w:rsidRPr="003C3D3C">
        <w:rPr>
          <w:szCs w:val="24"/>
        </w:rPr>
        <w:t xml:space="preserve">It was concluded that, under the conditions of this study, the no-observed-adverse-effect level of </w:t>
      </w:r>
      <w:r w:rsidR="00AA2716">
        <w:rPr>
          <w:szCs w:val="24"/>
        </w:rPr>
        <w:t>PROJECT B</w:t>
      </w:r>
      <w:bookmarkStart w:id="0" w:name="_GoBack"/>
      <w:bookmarkEnd w:id="0"/>
      <w:r w:rsidRPr="003C3D3C">
        <w:rPr>
          <w:szCs w:val="24"/>
        </w:rPr>
        <w:t xml:space="preserve"> was 3 mg/kg/day as </w:t>
      </w:r>
      <w:r w:rsidR="00AA2716">
        <w:rPr>
          <w:szCs w:val="24"/>
        </w:rPr>
        <w:t>PROJECT B</w:t>
      </w:r>
      <w:r w:rsidRPr="003C3D3C">
        <w:rPr>
          <w:szCs w:val="24"/>
        </w:rPr>
        <w:t xml:space="preserve"> for males and females because soft stool and vomiting were observed at 10 mg/kg/day and more. Moreover, moribund sacrifice and death were noted at 300 mg/kg/day. The test article-related changes noted during the dosing period, except for histopathological change of repair process or scarring accompanied by gross lesions, showed full recovery during the 4-week recovery period.</w:t>
      </w:r>
    </w:p>
    <w:p w:rsidR="00380F69" w:rsidRPr="003C3D3C" w:rsidRDefault="00380F69" w:rsidP="00380F69">
      <w:pPr>
        <w:autoSpaceDE w:val="0"/>
        <w:autoSpaceDN w:val="0"/>
        <w:adjustRightInd w:val="0"/>
        <w:jc w:val="left"/>
        <w:rPr>
          <w:szCs w:val="24"/>
        </w:rPr>
      </w:pPr>
    </w:p>
    <w:sectPr w:rsidR="00380F69" w:rsidRPr="003C3D3C"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B78" w:rsidRDefault="00985B78" w:rsidP="00321748">
      <w:r>
        <w:separator/>
      </w:r>
    </w:p>
  </w:endnote>
  <w:endnote w:type="continuationSeparator" w:id="0">
    <w:p w:rsidR="00985B78" w:rsidRDefault="00985B78"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B78" w:rsidRDefault="00985B78" w:rsidP="00321748">
      <w:r>
        <w:separator/>
      </w:r>
    </w:p>
  </w:footnote>
  <w:footnote w:type="continuationSeparator" w:id="0">
    <w:p w:rsidR="00985B78" w:rsidRDefault="00985B78"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0A4573"/>
    <w:rsid w:val="002206D5"/>
    <w:rsid w:val="00280895"/>
    <w:rsid w:val="002C7EB3"/>
    <w:rsid w:val="002D7B26"/>
    <w:rsid w:val="00305291"/>
    <w:rsid w:val="00321748"/>
    <w:rsid w:val="00361285"/>
    <w:rsid w:val="00380F69"/>
    <w:rsid w:val="003A0A7C"/>
    <w:rsid w:val="003C3D3C"/>
    <w:rsid w:val="003F667A"/>
    <w:rsid w:val="0043013C"/>
    <w:rsid w:val="005835E5"/>
    <w:rsid w:val="005B7D2B"/>
    <w:rsid w:val="006C2900"/>
    <w:rsid w:val="0071344D"/>
    <w:rsid w:val="00714904"/>
    <w:rsid w:val="0078042E"/>
    <w:rsid w:val="007C55F6"/>
    <w:rsid w:val="008E19B0"/>
    <w:rsid w:val="009376DC"/>
    <w:rsid w:val="00953BD7"/>
    <w:rsid w:val="00977F68"/>
    <w:rsid w:val="00985B78"/>
    <w:rsid w:val="00AA2716"/>
    <w:rsid w:val="00AA621D"/>
    <w:rsid w:val="00AC22DF"/>
    <w:rsid w:val="00BC0EC2"/>
    <w:rsid w:val="00C75423"/>
    <w:rsid w:val="00D0213C"/>
    <w:rsid w:val="00D87BA5"/>
    <w:rsid w:val="00DA3A6D"/>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3342DA"/>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77272-AD9D-4ACC-9F23-BFA0DCBD39BF}"/>
</file>

<file path=customXml/itemProps2.xml><?xml version="1.0" encoding="utf-8"?>
<ds:datastoreItem xmlns:ds="http://schemas.openxmlformats.org/officeDocument/2006/customXml" ds:itemID="{AEE24A35-18FD-4CC5-A56D-81745AF90FCA}"/>
</file>

<file path=customXml/itemProps3.xml><?xml version="1.0" encoding="utf-8"?>
<ds:datastoreItem xmlns:ds="http://schemas.openxmlformats.org/officeDocument/2006/customXml" ds:itemID="{F80869F4-0429-466E-9691-F59581E72689}"/>
</file>

<file path=docProps/app.xml><?xml version="1.0" encoding="utf-8"?>
<Properties xmlns="http://schemas.openxmlformats.org/officeDocument/2006/extended-properties" xmlns:vt="http://schemas.openxmlformats.org/officeDocument/2006/docPropsVTypes">
  <Template>Normal</Template>
  <TotalTime>26</TotalTime>
  <Pages>3</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17</cp:revision>
  <dcterms:created xsi:type="dcterms:W3CDTF">2021-06-23T13:15:00Z</dcterms:created>
  <dcterms:modified xsi:type="dcterms:W3CDTF">2021-06-30T11:27:00Z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