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5A48" w:rsidRDefault="0006778F">
      <w:pPr>
        <w:pStyle w:val="3"/>
        <w:numPr>
          <w:ilvl w:val="2"/>
          <w:numId w:val="8"/>
        </w:numPr>
        <w:tabs>
          <w:tab w:val="left" w:pos="1067"/>
          <w:tab w:val="left" w:pos="1068"/>
        </w:tabs>
        <w:spacing w:before="122"/>
      </w:pPr>
      <w:bookmarkStart w:id="0" w:name="4.1.3_Safety_Pharmacology"/>
      <w:bookmarkStart w:id="1" w:name="_bookmark20"/>
      <w:bookmarkEnd w:id="0"/>
      <w:bookmarkEnd w:id="1"/>
      <w:r>
        <w:t>Safety</w:t>
      </w:r>
      <w:r>
        <w:rPr>
          <w:spacing w:val="-2"/>
        </w:rPr>
        <w:t xml:space="preserve"> </w:t>
      </w:r>
      <w:r>
        <w:t>Pharmacology</w:t>
      </w:r>
    </w:p>
    <w:p w:rsidR="00D95A48" w:rsidRDefault="0006778F">
      <w:pPr>
        <w:pStyle w:val="a3"/>
        <w:spacing w:before="139" w:line="261" w:lineRule="auto"/>
        <w:ind w:left="215" w:right="1714"/>
      </w:pPr>
      <w:r>
        <w:t xml:space="preserve">A total of 4 safety pharmacology studies were performed in Japan, an </w:t>
      </w:r>
      <w:proofErr w:type="spellStart"/>
      <w:r>
        <w:t>Organisation</w:t>
      </w:r>
      <w:proofErr w:type="spellEnd"/>
      <w:r>
        <w:t xml:space="preserve"> for Economic Cooperation and Development (OECD) country, in accordance with Good Laboratory Practice (GLP) and guidelines of the International Conference on Harmonization of Technical Requirements for Registration of Pharmaceuticals for Human Use (ICH) (Studies </w:t>
      </w:r>
      <w:r w:rsidR="0066008F">
        <w:t>Project B</w:t>
      </w:r>
      <w:r>
        <w:t xml:space="preserve">-PT-0001, </w:t>
      </w:r>
      <w:r w:rsidR="0066008F">
        <w:t>Project B</w:t>
      </w:r>
      <w:r>
        <w:t xml:space="preserve">-PT-0002, </w:t>
      </w:r>
      <w:r w:rsidR="0066008F">
        <w:t>Project B</w:t>
      </w:r>
      <w:r>
        <w:t xml:space="preserve">-PT-0003 and </w:t>
      </w:r>
      <w:r w:rsidR="0066008F">
        <w:t>Project B</w:t>
      </w:r>
      <w:r>
        <w:t>-PT-0004).</w:t>
      </w:r>
    </w:p>
    <w:p w:rsidR="00D95A48" w:rsidRDefault="0006778F">
      <w:pPr>
        <w:pStyle w:val="3"/>
        <w:numPr>
          <w:ilvl w:val="3"/>
          <w:numId w:val="8"/>
        </w:numPr>
        <w:tabs>
          <w:tab w:val="left" w:pos="1068"/>
        </w:tabs>
        <w:spacing w:before="121"/>
      </w:pPr>
      <w:bookmarkStart w:id="2" w:name="4.1.3.1_Effects_on_CNS_in_Rats"/>
      <w:bookmarkStart w:id="3" w:name="_bookmark21"/>
      <w:bookmarkEnd w:id="2"/>
      <w:bookmarkEnd w:id="3"/>
      <w:r>
        <w:t>Effects on CNS in</w:t>
      </w:r>
      <w:r>
        <w:rPr>
          <w:spacing w:val="-2"/>
        </w:rPr>
        <w:t xml:space="preserve"> </w:t>
      </w:r>
      <w:r>
        <w:t>Rats</w:t>
      </w:r>
    </w:p>
    <w:p w:rsidR="00D95A48" w:rsidRDefault="0066008F" w:rsidP="0006778F">
      <w:pPr>
        <w:pStyle w:val="a3"/>
        <w:spacing w:before="139" w:line="261" w:lineRule="auto"/>
        <w:ind w:left="215" w:right="1681"/>
      </w:pPr>
      <w:r>
        <w:t>PROJECT B</w:t>
      </w:r>
      <w:r w:rsidR="0006778F">
        <w:t xml:space="preserve"> was orally administered once to 6 male Sprague-Dawley rats at dose levels of 10, 30 and 100 mg/kg (Study </w:t>
      </w:r>
      <w:r>
        <w:t>Project B</w:t>
      </w:r>
      <w:r w:rsidR="0006778F">
        <w:t xml:space="preserve">-PT-0001). Observations of general activity and behavior were performed using the modified Irwin’s method. </w:t>
      </w:r>
      <w:r>
        <w:t>PROJECT B</w:t>
      </w:r>
      <w:r w:rsidR="0006778F">
        <w:t xml:space="preserve"> did not affect the general activity or behavior at doses of ≤ 100 mg/kg.</w:t>
      </w:r>
    </w:p>
    <w:p w:rsidR="00D95A48" w:rsidRDefault="0006778F">
      <w:pPr>
        <w:pStyle w:val="3"/>
        <w:numPr>
          <w:ilvl w:val="3"/>
          <w:numId w:val="8"/>
        </w:numPr>
        <w:tabs>
          <w:tab w:val="left" w:pos="1068"/>
        </w:tabs>
        <w:spacing w:before="123"/>
      </w:pPr>
      <w:bookmarkStart w:id="4" w:name="4.1.3.2_Effects_on_hERG_Current"/>
      <w:bookmarkStart w:id="5" w:name="_bookmark22"/>
      <w:bookmarkEnd w:id="4"/>
      <w:bookmarkEnd w:id="5"/>
      <w:r>
        <w:t xml:space="preserve">Effects on </w:t>
      </w:r>
      <w:proofErr w:type="spellStart"/>
      <w:r>
        <w:t>hERG</w:t>
      </w:r>
      <w:proofErr w:type="spellEnd"/>
      <w:r>
        <w:rPr>
          <w:spacing w:val="-2"/>
        </w:rPr>
        <w:t xml:space="preserve"> </w:t>
      </w:r>
      <w:r>
        <w:t>Current</w:t>
      </w:r>
    </w:p>
    <w:p w:rsidR="00D95A48" w:rsidRDefault="0006778F">
      <w:pPr>
        <w:pStyle w:val="a3"/>
        <w:spacing w:before="139" w:line="261" w:lineRule="auto"/>
        <w:ind w:left="215" w:right="1636"/>
      </w:pPr>
      <w:r>
        <w:t xml:space="preserve">The effects of </w:t>
      </w:r>
      <w:r w:rsidR="0066008F">
        <w:t>PROJECT B</w:t>
      </w:r>
      <w:r>
        <w:t xml:space="preserve"> on </w:t>
      </w:r>
      <w:proofErr w:type="spellStart"/>
      <w:r>
        <w:t>hERG</w:t>
      </w:r>
      <w:proofErr w:type="spellEnd"/>
      <w:r>
        <w:t xml:space="preserve"> currents were studied in </w:t>
      </w:r>
      <w:proofErr w:type="spellStart"/>
      <w:r>
        <w:t>hERG</w:t>
      </w:r>
      <w:proofErr w:type="spellEnd"/>
      <w:r>
        <w:t xml:space="preserve"> transfected HEK293 cells by the whole-cell patch-clamp method (Study </w:t>
      </w:r>
      <w:r w:rsidR="0066008F">
        <w:t>Project B</w:t>
      </w:r>
      <w:r>
        <w:t xml:space="preserve">-PT-0002). The compensated suppression rates of </w:t>
      </w:r>
      <w:r w:rsidR="0066008F">
        <w:t>PROJECT B</w:t>
      </w:r>
      <w:r>
        <w:t xml:space="preserve"> at 3, 10 and 30 </w:t>
      </w:r>
      <w:proofErr w:type="spellStart"/>
      <w:r>
        <w:t>μmol</w:t>
      </w:r>
      <w:proofErr w:type="spellEnd"/>
      <w:r>
        <w:t xml:space="preserve">/L for tail peak currents were 9.78%, 11.00% and 25.78%, respectively. </w:t>
      </w:r>
      <w:r w:rsidR="0066008F">
        <w:t>PROJECT B</w:t>
      </w:r>
      <w:r>
        <w:t xml:space="preserve"> showed a statistically significant and concentration dependent inhibition of </w:t>
      </w:r>
      <w:proofErr w:type="spellStart"/>
      <w:r>
        <w:t>hERG</w:t>
      </w:r>
      <w:proofErr w:type="spellEnd"/>
      <w:r>
        <w:t xml:space="preserve"> currents at all concentrations in comparison with the negative control. Since the suppression rate did not reach 50% inhibition even at the highest concentration tested, an IC</w:t>
      </w:r>
      <w:r>
        <w:rPr>
          <w:vertAlign w:val="subscript"/>
        </w:rPr>
        <w:t>50</w:t>
      </w:r>
      <w:r>
        <w:t xml:space="preserve"> value could not be established and was estimated to be</w:t>
      </w:r>
    </w:p>
    <w:p w:rsidR="00D95A48" w:rsidRDefault="0006778F">
      <w:pPr>
        <w:pStyle w:val="a3"/>
        <w:spacing w:line="270" w:lineRule="exact"/>
        <w:ind w:left="215"/>
      </w:pPr>
      <w:r>
        <w:t xml:space="preserve">&gt; 30 </w:t>
      </w:r>
      <w:proofErr w:type="spellStart"/>
      <w:r>
        <w:t>μmol</w:t>
      </w:r>
      <w:proofErr w:type="spellEnd"/>
      <w:r>
        <w:t>/L (13904 ng/mL).</w:t>
      </w:r>
    </w:p>
    <w:p w:rsidR="00D95A48" w:rsidRDefault="0006778F">
      <w:pPr>
        <w:pStyle w:val="3"/>
        <w:numPr>
          <w:ilvl w:val="3"/>
          <w:numId w:val="8"/>
        </w:numPr>
        <w:tabs>
          <w:tab w:val="left" w:pos="1068"/>
        </w:tabs>
        <w:spacing w:before="149"/>
      </w:pPr>
      <w:bookmarkStart w:id="6" w:name="4.1.3.3_Cardiovascular_System_in_Rats"/>
      <w:bookmarkStart w:id="7" w:name="_bookmark23"/>
      <w:bookmarkEnd w:id="6"/>
      <w:bookmarkEnd w:id="7"/>
      <w:r>
        <w:t>Cardiovascular System in</w:t>
      </w:r>
      <w:r>
        <w:rPr>
          <w:spacing w:val="-1"/>
        </w:rPr>
        <w:t xml:space="preserve"> </w:t>
      </w:r>
      <w:r>
        <w:t>Rats</w:t>
      </w:r>
    </w:p>
    <w:p w:rsidR="00D95A48" w:rsidRDefault="0006778F">
      <w:pPr>
        <w:pStyle w:val="a3"/>
        <w:spacing w:before="139" w:line="261" w:lineRule="auto"/>
        <w:ind w:left="215" w:right="1607"/>
      </w:pPr>
      <w:r>
        <w:t xml:space="preserve">In order to investigate the effects of </w:t>
      </w:r>
      <w:r w:rsidR="0066008F">
        <w:t>PROJECT B</w:t>
      </w:r>
      <w:r>
        <w:t xml:space="preserve"> on the cardiovascular system, </w:t>
      </w:r>
      <w:r w:rsidR="0066008F">
        <w:t>PROJECT B</w:t>
      </w:r>
      <w:r>
        <w:t xml:space="preserve"> was orally administered once to male Sprague-Dawley rats at dose levels of 10, 30 and 100 mg/kg under unanesthetized conditions (Study </w:t>
      </w:r>
      <w:r w:rsidR="0066008F">
        <w:t>Project B</w:t>
      </w:r>
      <w:r>
        <w:t xml:space="preserve">-PT-0003). Using 3 to 4 catheterized animals/group, clinical signs were observed and blood pressure and heart rate were measured at </w:t>
      </w:r>
      <w:proofErr w:type="spellStart"/>
      <w:r>
        <w:t>predosing</w:t>
      </w:r>
      <w:proofErr w:type="spellEnd"/>
      <w:r>
        <w:t xml:space="preserve"> and 0.5, 1, 2, 4, 8 and 24 h postdosing. The heart was removed after measurements at 24 h </w:t>
      </w:r>
      <w:proofErr w:type="spellStart"/>
      <w:r>
        <w:t>postdose</w:t>
      </w:r>
      <w:proofErr w:type="spellEnd"/>
      <w:r>
        <w:t xml:space="preserve"> and examined </w:t>
      </w:r>
      <w:proofErr w:type="spellStart"/>
      <w:r>
        <w:t>histopathologically</w:t>
      </w:r>
      <w:proofErr w:type="spellEnd"/>
      <w:r>
        <w:t xml:space="preserve">. In addition, using satellite animals, blood samples were collected for toxicokinetic analysis and cardiac troponin assays at </w:t>
      </w:r>
      <w:proofErr w:type="spellStart"/>
      <w:r>
        <w:t>predosing</w:t>
      </w:r>
      <w:proofErr w:type="spellEnd"/>
      <w:r>
        <w:t xml:space="preserve"> and 0.5, 1, 2, 4, 8 and 24 h postdosing from 3 animals/group. Similarly, blood samples were also collected for creatine kinase and LDH assays at </w:t>
      </w:r>
      <w:proofErr w:type="spellStart"/>
      <w:r>
        <w:t>predosing</w:t>
      </w:r>
      <w:proofErr w:type="spellEnd"/>
      <w:r>
        <w:t xml:space="preserve"> and 2, 4 and</w:t>
      </w:r>
    </w:p>
    <w:p w:rsidR="00D95A48" w:rsidRDefault="0006778F">
      <w:pPr>
        <w:pStyle w:val="a3"/>
        <w:spacing w:line="269" w:lineRule="exact"/>
        <w:ind w:left="215"/>
      </w:pPr>
      <w:r>
        <w:t>24 h postdosing from the other 3 animals/group.</w:t>
      </w:r>
    </w:p>
    <w:p w:rsidR="00D95A48" w:rsidRDefault="0006778F">
      <w:pPr>
        <w:pStyle w:val="a3"/>
        <w:spacing w:line="420" w:lineRule="atLeast"/>
        <w:ind w:left="215" w:right="1734"/>
      </w:pPr>
      <w:r>
        <w:t>At doses of 10 and 30 mg/kg, there were no test article-related changes in any examinations. At doses of 100 mg/kg, a statistically significant increase in heart rate was noted at 0.5 and</w:t>
      </w:r>
    </w:p>
    <w:p w:rsidR="00D95A48" w:rsidRDefault="0006778F">
      <w:pPr>
        <w:pStyle w:val="a3"/>
        <w:spacing w:before="24" w:line="261" w:lineRule="auto"/>
        <w:ind w:left="215" w:right="1520"/>
      </w:pPr>
      <w:r>
        <w:t xml:space="preserve">1 h postdosing (maximum mean </w:t>
      </w:r>
      <w:proofErr w:type="gramStart"/>
      <w:r>
        <w:t>change</w:t>
      </w:r>
      <w:proofErr w:type="gramEnd"/>
      <w:r>
        <w:t xml:space="preserve"> in heart rate from </w:t>
      </w:r>
      <w:proofErr w:type="spellStart"/>
      <w:r>
        <w:t>predosing</w:t>
      </w:r>
      <w:proofErr w:type="spellEnd"/>
      <w:r>
        <w:t>: 51 beats/min [13.6%]), though the changes were within the physiological range. No other test article-related changes were noted in blood pressure, assays of cardiac troponin, creatine kinase and LDH and histopathology.</w:t>
      </w:r>
    </w:p>
    <w:p w:rsidR="00D95A48" w:rsidRDefault="0006778F">
      <w:pPr>
        <w:pStyle w:val="3"/>
        <w:numPr>
          <w:ilvl w:val="3"/>
          <w:numId w:val="8"/>
        </w:numPr>
        <w:tabs>
          <w:tab w:val="left" w:pos="1068"/>
        </w:tabs>
        <w:spacing w:before="122"/>
      </w:pPr>
      <w:bookmarkStart w:id="8" w:name="4.1.3.4_Cardiovascular_and_Respiratory_S"/>
      <w:bookmarkStart w:id="9" w:name="_bookmark24"/>
      <w:bookmarkEnd w:id="8"/>
      <w:bookmarkEnd w:id="9"/>
      <w:r>
        <w:t>Cardiovascular and Respiratory Systems in</w:t>
      </w:r>
      <w:r>
        <w:rPr>
          <w:spacing w:val="-2"/>
        </w:rPr>
        <w:t xml:space="preserve"> </w:t>
      </w:r>
      <w:r>
        <w:t>Dogs</w:t>
      </w:r>
    </w:p>
    <w:p w:rsidR="00D95A48" w:rsidRDefault="0006778F">
      <w:pPr>
        <w:pStyle w:val="a3"/>
        <w:spacing w:before="139" w:line="261" w:lineRule="auto"/>
        <w:ind w:left="215" w:right="1681"/>
      </w:pPr>
      <w:r>
        <w:t xml:space="preserve">In order to investigate the effects on the cardiovascular and respiratory systems, a single oral </w:t>
      </w:r>
      <w:r>
        <w:lastRenderedPageBreak/>
        <w:t xml:space="preserve">dose of </w:t>
      </w:r>
      <w:r w:rsidR="0066008F">
        <w:t>PROJECT B</w:t>
      </w:r>
      <w:r>
        <w:t xml:space="preserve"> was orally administered to 4 male beagle dogs implanted with transmitters of a telemetry system at dose levels of 3, 10, 30 and 100 mg/kg under unanesthetized conditions (Study </w:t>
      </w:r>
      <w:r w:rsidR="0066008F">
        <w:t>Project B</w:t>
      </w:r>
      <w:r>
        <w:t>-PT-0004). All animals received 5 doses in total at an interval of 7</w:t>
      </w:r>
      <w:r>
        <w:rPr>
          <w:spacing w:val="-24"/>
        </w:rPr>
        <w:t xml:space="preserve"> </w:t>
      </w:r>
      <w:r>
        <w:t>or 14 days in a dose escalation manner under fasting</w:t>
      </w:r>
      <w:r>
        <w:rPr>
          <w:spacing w:val="-3"/>
        </w:rPr>
        <w:t xml:space="preserve"> </w:t>
      </w:r>
      <w:r>
        <w:t>conditions.</w:t>
      </w:r>
    </w:p>
    <w:p w:rsidR="00D95A48" w:rsidRDefault="0006778F">
      <w:pPr>
        <w:pStyle w:val="a3"/>
        <w:spacing w:before="116"/>
        <w:ind w:left="215"/>
      </w:pPr>
      <w:r>
        <w:t>At doses of 3 mg/kg, no test article-related change was</w:t>
      </w:r>
      <w:r>
        <w:rPr>
          <w:spacing w:val="-27"/>
        </w:rPr>
        <w:t xml:space="preserve"> </w:t>
      </w:r>
      <w:r>
        <w:t>noted.</w:t>
      </w:r>
    </w:p>
    <w:p w:rsidR="0006778F" w:rsidRDefault="0006778F" w:rsidP="0006778F">
      <w:pPr>
        <w:pStyle w:val="a3"/>
        <w:spacing w:before="144" w:line="261" w:lineRule="auto"/>
        <w:ind w:left="215" w:right="1815"/>
      </w:pPr>
      <w:r>
        <w:t xml:space="preserve">At doses of 10 mg/kg, vomiting and an increase in the heart rate 0.5 h after administration were noted in 1 animal for each finding (individual variation or percent change in heart rate from </w:t>
      </w:r>
      <w:proofErr w:type="spellStart"/>
      <w:r>
        <w:t>predosing</w:t>
      </w:r>
      <w:proofErr w:type="spellEnd"/>
      <w:r>
        <w:t xml:space="preserve">: 32 beats/min or 36%). </w:t>
      </w:r>
    </w:p>
    <w:p w:rsidR="00D95A48" w:rsidRDefault="0006778F" w:rsidP="0006778F">
      <w:pPr>
        <w:pStyle w:val="a3"/>
        <w:spacing w:before="144" w:line="261" w:lineRule="auto"/>
        <w:ind w:left="215" w:right="1815"/>
      </w:pPr>
      <w:r>
        <w:t xml:space="preserve">At doses of 30 mg/kg, vomiting in 1 animal, decrease in blood pressure between 0.5 and 2 h after administration (maximum individual variation or percent change of mean blood pressure from </w:t>
      </w:r>
      <w:proofErr w:type="spellStart"/>
      <w:r>
        <w:t>predosing</w:t>
      </w:r>
      <w:proofErr w:type="spellEnd"/>
      <w:r>
        <w:t xml:space="preserve">: −17 mmHg or −18%), and increase in the heart rate in 1 animal between 0.5 and 1 h after administration were noted (maximum individual variation or percent change in heart rate from </w:t>
      </w:r>
      <w:proofErr w:type="spellStart"/>
      <w:r>
        <w:t>predosing</w:t>
      </w:r>
      <w:proofErr w:type="spellEnd"/>
      <w:r>
        <w:t>: 65 beats/min or 75%).</w:t>
      </w:r>
    </w:p>
    <w:p w:rsidR="00D95A48" w:rsidRDefault="0006778F">
      <w:pPr>
        <w:pStyle w:val="a3"/>
        <w:spacing w:before="116" w:line="261" w:lineRule="auto"/>
        <w:ind w:left="215" w:right="1840"/>
      </w:pPr>
      <w:r>
        <w:t xml:space="preserve">At doses of 100 mg/kg, vomiting in all animals between 14 min and 2 h 25 min after administration, loose stool in 1 animal 24 h after administration, decrease in blood pressure (maximum individual variation or percent change of mean blood pressure from </w:t>
      </w:r>
      <w:proofErr w:type="spellStart"/>
      <w:r>
        <w:t>predosing</w:t>
      </w:r>
      <w:proofErr w:type="spellEnd"/>
      <w:r>
        <w:t>:</w:t>
      </w:r>
    </w:p>
    <w:p w:rsidR="00D95A48" w:rsidRDefault="0006778F">
      <w:pPr>
        <w:pStyle w:val="a3"/>
        <w:spacing w:line="261" w:lineRule="auto"/>
        <w:ind w:left="215" w:right="1627"/>
      </w:pPr>
      <w:r>
        <w:t xml:space="preserve">−24 mmHg or −26%), increase in heart rate (maximum individual variation or percent change in heart rate from </w:t>
      </w:r>
      <w:proofErr w:type="spellStart"/>
      <w:r>
        <w:t>predosing</w:t>
      </w:r>
      <w:proofErr w:type="spellEnd"/>
      <w:r>
        <w:t xml:space="preserve">: 90 beats/min or 142%), and prolonged QTc interval (QT interval corrected for heart rate by </w:t>
      </w:r>
      <w:proofErr w:type="spellStart"/>
      <w:r>
        <w:t>Fridericia</w:t>
      </w:r>
      <w:proofErr w:type="spellEnd"/>
      <w:r>
        <w:t xml:space="preserve"> formula [</w:t>
      </w:r>
      <w:proofErr w:type="spellStart"/>
      <w:r>
        <w:t>QTcF</w:t>
      </w:r>
      <w:proofErr w:type="spellEnd"/>
      <w:r>
        <w:t xml:space="preserve">]) between 0.5 and 4 h after administration (maximum mean variation or percent change of QTc interval from </w:t>
      </w:r>
      <w:proofErr w:type="spellStart"/>
      <w:r>
        <w:t>predosing</w:t>
      </w:r>
      <w:proofErr w:type="spellEnd"/>
      <w:r>
        <w:t xml:space="preserve">: 25 </w:t>
      </w:r>
      <w:proofErr w:type="spellStart"/>
      <w:r>
        <w:t>msec</w:t>
      </w:r>
      <w:proofErr w:type="spellEnd"/>
      <w:r>
        <w:t xml:space="preserve"> or 11%), and decrease in the blood concentration of ionized calcium between 1 and 6 h after administration were noted (maximum mean decrease from </w:t>
      </w:r>
      <w:proofErr w:type="spellStart"/>
      <w:r>
        <w:t>predosing</w:t>
      </w:r>
      <w:proofErr w:type="spellEnd"/>
      <w:r>
        <w:t>: 0.06</w:t>
      </w:r>
      <w:r>
        <w:rPr>
          <w:spacing w:val="-21"/>
        </w:rPr>
        <w:t xml:space="preserve"> </w:t>
      </w:r>
      <w:r>
        <w:t>mmol/L).</w:t>
      </w:r>
    </w:p>
    <w:p w:rsidR="00D95A48" w:rsidRDefault="0006778F">
      <w:pPr>
        <w:pStyle w:val="2"/>
        <w:numPr>
          <w:ilvl w:val="1"/>
          <w:numId w:val="6"/>
        </w:numPr>
        <w:tabs>
          <w:tab w:val="left" w:pos="1067"/>
          <w:tab w:val="left" w:pos="1068"/>
        </w:tabs>
        <w:spacing w:before="98"/>
      </w:pPr>
      <w:bookmarkStart w:id="10" w:name="4.1.4_Pharmacodynamic_Drug_Interactions"/>
      <w:bookmarkStart w:id="11" w:name="_bookmark25"/>
      <w:bookmarkStart w:id="12" w:name="4.3_Toxicology"/>
      <w:bookmarkStart w:id="13" w:name="_bookmark34"/>
      <w:bookmarkEnd w:id="10"/>
      <w:bookmarkEnd w:id="11"/>
      <w:bookmarkEnd w:id="12"/>
      <w:bookmarkEnd w:id="13"/>
      <w:r>
        <w:t>Toxicology</w:t>
      </w:r>
    </w:p>
    <w:p w:rsidR="00D95A48" w:rsidRDefault="0006778F">
      <w:pPr>
        <w:pStyle w:val="a3"/>
        <w:spacing w:before="140" w:line="261" w:lineRule="auto"/>
        <w:ind w:left="215" w:right="1681"/>
      </w:pPr>
      <w:r>
        <w:t xml:space="preserve">A total of 10 toxicity studies were conducted (5 in rats, 2 in dogs and 3 in vitro). All pivotal studies were performed in Japan, an OECD country, in accordance with GLP and ICH guidelines. All dose levels and concentrations are expressed as </w:t>
      </w:r>
      <w:r w:rsidR="0066008F">
        <w:t>PROJECT B</w:t>
      </w:r>
      <w:r>
        <w:t xml:space="preserve"> free form. An overview of </w:t>
      </w:r>
      <w:r w:rsidR="0066008F">
        <w:t>PROJECT B</w:t>
      </w:r>
      <w:r>
        <w:t xml:space="preserve"> toxicology studies can be found in [End of-Text Table 3.1].</w:t>
      </w:r>
    </w:p>
    <w:p w:rsidR="00D95A48" w:rsidRDefault="0006778F">
      <w:pPr>
        <w:pStyle w:val="3"/>
        <w:numPr>
          <w:ilvl w:val="2"/>
          <w:numId w:val="6"/>
        </w:numPr>
        <w:tabs>
          <w:tab w:val="left" w:pos="1067"/>
          <w:tab w:val="left" w:pos="1068"/>
        </w:tabs>
        <w:spacing w:before="122"/>
      </w:pPr>
      <w:bookmarkStart w:id="14" w:name="4.3.1_Single-dose_Toxicity"/>
      <w:bookmarkStart w:id="15" w:name="_bookmark35"/>
      <w:bookmarkEnd w:id="14"/>
      <w:bookmarkEnd w:id="15"/>
      <w:r>
        <w:t>Single-dose</w:t>
      </w:r>
      <w:r>
        <w:rPr>
          <w:spacing w:val="-2"/>
        </w:rPr>
        <w:t xml:space="preserve"> </w:t>
      </w:r>
      <w:r>
        <w:t>Toxicity</w:t>
      </w:r>
    </w:p>
    <w:p w:rsidR="00D95A48" w:rsidRDefault="0006778F">
      <w:pPr>
        <w:pStyle w:val="a3"/>
        <w:spacing w:before="139" w:line="261" w:lineRule="auto"/>
        <w:ind w:left="215" w:right="1701"/>
      </w:pPr>
      <w:r>
        <w:t xml:space="preserve">No single-dose toxicity studies have been performed with </w:t>
      </w:r>
      <w:r w:rsidR="0066008F">
        <w:t>PROJECT B</w:t>
      </w:r>
      <w:r>
        <w:t xml:space="preserve">; however, there were no findings after a single dose of </w:t>
      </w:r>
      <w:r w:rsidR="0066008F">
        <w:t>PROJECT B</w:t>
      </w:r>
      <w:r>
        <w:t xml:space="preserve"> ≤ 300 mg/kg in the repeat-dose toxicity study in rats (Study </w:t>
      </w:r>
      <w:r w:rsidR="0066008F">
        <w:t>Project B</w:t>
      </w:r>
      <w:r>
        <w:t xml:space="preserve">-TX-0001). In the repeat-dose toxicity studies in dogs, vomiting and soft stool were noted after a single dose of ≥ 10 mg/kg and cardiac troponin I was increased at a dose of 300 mg/kg (Study </w:t>
      </w:r>
      <w:r w:rsidR="0066008F">
        <w:t>Project B</w:t>
      </w:r>
      <w:r>
        <w:t>-TX-0002).</w:t>
      </w:r>
    </w:p>
    <w:p w:rsidR="00D95A48" w:rsidRDefault="0006778F">
      <w:pPr>
        <w:pStyle w:val="3"/>
        <w:numPr>
          <w:ilvl w:val="2"/>
          <w:numId w:val="6"/>
        </w:numPr>
        <w:tabs>
          <w:tab w:val="left" w:pos="1067"/>
          <w:tab w:val="left" w:pos="1068"/>
        </w:tabs>
        <w:spacing w:before="121"/>
      </w:pPr>
      <w:bookmarkStart w:id="16" w:name="4.3.2_Repeat-dose_Toxicity"/>
      <w:bookmarkStart w:id="17" w:name="_bookmark36"/>
      <w:bookmarkEnd w:id="16"/>
      <w:bookmarkEnd w:id="17"/>
      <w:r>
        <w:t>Repeat-dose</w:t>
      </w:r>
      <w:r>
        <w:rPr>
          <w:spacing w:val="-2"/>
        </w:rPr>
        <w:t xml:space="preserve"> </w:t>
      </w:r>
      <w:r>
        <w:t>Toxicity</w:t>
      </w:r>
    </w:p>
    <w:p w:rsidR="00D95A48" w:rsidRDefault="0006778F">
      <w:pPr>
        <w:pStyle w:val="a3"/>
        <w:spacing w:before="139"/>
        <w:ind w:left="215"/>
      </w:pPr>
      <w:r>
        <w:t>Three preliminary 1-week oral toxicity studies in rats (2 studies) and dogs (1 study),</w:t>
      </w:r>
    </w:p>
    <w:p w:rsidR="00D95A48" w:rsidRDefault="0006778F">
      <w:pPr>
        <w:pStyle w:val="a3"/>
        <w:spacing w:before="24" w:line="261" w:lineRule="auto"/>
        <w:ind w:left="215" w:right="2287"/>
        <w:jc w:val="both"/>
      </w:pPr>
      <w:r>
        <w:t>1 preliminary 4-week oral toxicity study in rats and two 4-week definitive oral toxicity studies in rats and dogs were conducted. Tabulated summaries of the 2 pivotal 4-week toxicity studies can be found in [End-of-Text Table 3.3].</w:t>
      </w:r>
    </w:p>
    <w:p w:rsidR="00D95A48" w:rsidRDefault="0006778F">
      <w:pPr>
        <w:pStyle w:val="3"/>
        <w:numPr>
          <w:ilvl w:val="3"/>
          <w:numId w:val="5"/>
        </w:numPr>
        <w:tabs>
          <w:tab w:val="left" w:pos="1068"/>
        </w:tabs>
        <w:spacing w:before="122"/>
      </w:pPr>
      <w:bookmarkStart w:id="18" w:name="4.3.2.1_Preliminary_1-Week_Repeat-dose_O"/>
      <w:bookmarkStart w:id="19" w:name="_bookmark37"/>
      <w:bookmarkEnd w:id="18"/>
      <w:bookmarkEnd w:id="19"/>
      <w:r>
        <w:t>Preliminary 1-Week Repeat-dose Oral Toxicity in</w:t>
      </w:r>
      <w:r>
        <w:rPr>
          <w:spacing w:val="-4"/>
        </w:rPr>
        <w:t xml:space="preserve"> </w:t>
      </w:r>
      <w:r>
        <w:t>Rats</w:t>
      </w:r>
    </w:p>
    <w:p w:rsidR="00D95A48" w:rsidRDefault="0066008F">
      <w:pPr>
        <w:pStyle w:val="a3"/>
        <w:spacing w:before="139" w:line="261" w:lineRule="auto"/>
        <w:ind w:left="215" w:right="1660"/>
      </w:pPr>
      <w:r>
        <w:t>PROJECT B</w:t>
      </w:r>
      <w:r w:rsidR="0006778F">
        <w:t xml:space="preserve"> was orally administered once daily for 1 week at dose levels of 0, 10, 30, 100 </w:t>
      </w:r>
      <w:r w:rsidR="0006778F">
        <w:lastRenderedPageBreak/>
        <w:t xml:space="preserve">and 300 mg/kg to 5 male and 5 female Sprague-Dawley rats (Study </w:t>
      </w:r>
      <w:r>
        <w:t>Project B</w:t>
      </w:r>
      <w:r w:rsidR="0006778F">
        <w:t>-TX-0008). No test article-related changes were noted at doses of ≤ 30 mg/kg. At doses of ≥ 100 mg/kg per day, myocardial necrosis was observed. At a dose level of 300 mg/kg per day, effects on the male reproductive organs (seminiferous epithelial degeneration and necrosis in the testis, luminal cell debris in the epididymis, prostatitis) and other slight changes (a decrease in eosinophils, increases in blood urea nitrogen and chloride) were noted. The NOAEL was 30 mg/kg per day [End-of-Text Table 3.2].</w:t>
      </w:r>
    </w:p>
    <w:p w:rsidR="00D95A48" w:rsidRDefault="0006778F">
      <w:pPr>
        <w:pStyle w:val="3"/>
        <w:numPr>
          <w:ilvl w:val="3"/>
          <w:numId w:val="5"/>
        </w:numPr>
        <w:tabs>
          <w:tab w:val="left" w:pos="1068"/>
        </w:tabs>
        <w:spacing w:before="119"/>
      </w:pPr>
      <w:bookmarkStart w:id="20" w:name="4.3.2.2_4-Week_Repeat-dose_Oral_Toxicity"/>
      <w:bookmarkStart w:id="21" w:name="_bookmark38"/>
      <w:bookmarkEnd w:id="20"/>
      <w:bookmarkEnd w:id="21"/>
      <w:r>
        <w:t>4-Week Repeat-dose Oral Toxicity in</w:t>
      </w:r>
      <w:r>
        <w:rPr>
          <w:spacing w:val="-1"/>
        </w:rPr>
        <w:t xml:space="preserve"> </w:t>
      </w:r>
      <w:r>
        <w:t>Rats</w:t>
      </w:r>
    </w:p>
    <w:p w:rsidR="00D95A48" w:rsidRDefault="0066008F">
      <w:pPr>
        <w:pStyle w:val="a3"/>
        <w:spacing w:before="139" w:line="261" w:lineRule="auto"/>
        <w:ind w:left="215" w:right="1700"/>
      </w:pPr>
      <w:r>
        <w:t>PROJECT B</w:t>
      </w:r>
      <w:r w:rsidR="0006778F">
        <w:t xml:space="preserve"> was orally administered once daily for 4 weeks at dose levels of 0, 10, 30, 100 and 300 mg/kg per day to 10 male and 10 female Sprague-Dawley rats (Study </w:t>
      </w:r>
      <w:r>
        <w:t>Project B</w:t>
      </w:r>
      <w:r w:rsidR="0006778F">
        <w:t xml:space="preserve">-TX-0001). To evaluate reversibility of the changes, an additional 5 animals/sex per group similarly received the vehicle (control) or </w:t>
      </w:r>
      <w:r>
        <w:t>PROJECT B</w:t>
      </w:r>
      <w:r w:rsidR="0006778F">
        <w:t xml:space="preserve"> at a dose level of 300 mg/kg and were subsequently assigned to a 4-week recovery period. No test article-related changes were noted at doses of ≤ 300 mg/kg. The NOAEL was 300 mg/kg per day [End-of-Text</w:t>
      </w:r>
    </w:p>
    <w:p w:rsidR="00D95A48" w:rsidRDefault="0006778F" w:rsidP="0006778F">
      <w:pPr>
        <w:pStyle w:val="a3"/>
        <w:spacing w:line="271" w:lineRule="exact"/>
        <w:ind w:left="215"/>
        <w:rPr>
          <w:sz w:val="20"/>
        </w:rPr>
      </w:pPr>
      <w:r>
        <w:t>Table 3.3.1].</w:t>
      </w:r>
    </w:p>
    <w:p w:rsidR="00D95A48" w:rsidRDefault="00D95A48">
      <w:pPr>
        <w:pStyle w:val="a3"/>
        <w:spacing w:before="4"/>
        <w:rPr>
          <w:sz w:val="20"/>
        </w:rPr>
      </w:pPr>
    </w:p>
    <w:p w:rsidR="00D95A48" w:rsidRDefault="0006778F">
      <w:pPr>
        <w:pStyle w:val="3"/>
        <w:numPr>
          <w:ilvl w:val="3"/>
          <w:numId w:val="5"/>
        </w:numPr>
        <w:tabs>
          <w:tab w:val="left" w:pos="1068"/>
        </w:tabs>
        <w:spacing w:before="1"/>
      </w:pPr>
      <w:bookmarkStart w:id="22" w:name="4.3.2.3_Preliminary_1-Week_Repeat-dose_O"/>
      <w:bookmarkStart w:id="23" w:name="_bookmark39"/>
      <w:bookmarkEnd w:id="22"/>
      <w:bookmarkEnd w:id="23"/>
      <w:r>
        <w:t>Preliminary 1-Week Repeat-dose Oral Toxicity in</w:t>
      </w:r>
      <w:r>
        <w:rPr>
          <w:spacing w:val="-3"/>
        </w:rPr>
        <w:t xml:space="preserve"> </w:t>
      </w:r>
      <w:r>
        <w:t>Dogs</w:t>
      </w:r>
    </w:p>
    <w:p w:rsidR="00D95A48" w:rsidRDefault="0066008F">
      <w:pPr>
        <w:pStyle w:val="a3"/>
        <w:spacing w:before="139" w:line="261" w:lineRule="auto"/>
        <w:ind w:left="215" w:right="1667"/>
      </w:pPr>
      <w:r>
        <w:t>PROJECT B</w:t>
      </w:r>
      <w:r w:rsidR="0006778F">
        <w:t xml:space="preserve"> was orally administered to 1 male and 1 female beagle dogs per group at doses of 1, 10 and 300 mg/kg once daily for 1 week to evaluate toxic changes (Study </w:t>
      </w:r>
      <w:r>
        <w:t>Project B</w:t>
      </w:r>
      <w:r w:rsidR="0006778F">
        <w:t>-TX-0010). In the 1 and 10 mg/kg dose groups, no test article-related changes were observed. In the</w:t>
      </w:r>
    </w:p>
    <w:p w:rsidR="00D95A48" w:rsidRDefault="0006778F">
      <w:pPr>
        <w:pStyle w:val="a3"/>
        <w:spacing w:line="261" w:lineRule="auto"/>
        <w:ind w:left="215" w:right="1648"/>
      </w:pPr>
      <w:r>
        <w:t>300 mg/kg dose group, vomiting, salivation, watery feces, and increased heart rate were observed in the male and female, and soft feces, increased fibrinogen, white blood cell count, neutrophil count, and monocyte count, decreased red blood cell count, hemoglobin, hematocrit, and albumin, shortening of the RR, QT and QTc intervals (QT interval corrected for heart rate by Matsunaga correction [</w:t>
      </w:r>
      <w:proofErr w:type="spellStart"/>
      <w:r>
        <w:t>QTcM</w:t>
      </w:r>
      <w:proofErr w:type="spellEnd"/>
      <w:r>
        <w:t>]), multiple dark red foci in the auricle and left ventricle, arteritis with medial and adventitial hemorrhage in the heart, myocardial degeneration and necrosis in the right atrium and right ventricle, and endocarditis in the left ventricle were also observed in the male.</w:t>
      </w:r>
    </w:p>
    <w:p w:rsidR="00D95A48" w:rsidRDefault="0006778F">
      <w:pPr>
        <w:pStyle w:val="a3"/>
        <w:spacing w:before="111"/>
        <w:ind w:left="215"/>
      </w:pPr>
      <w:r>
        <w:t>The NOAEL was 10 mg/kg per day [End-of-Text Table 3.2].</w:t>
      </w:r>
    </w:p>
    <w:p w:rsidR="00D95A48" w:rsidRPr="00DD14DA" w:rsidRDefault="0006778F">
      <w:pPr>
        <w:pStyle w:val="3"/>
        <w:numPr>
          <w:ilvl w:val="3"/>
          <w:numId w:val="5"/>
        </w:numPr>
        <w:tabs>
          <w:tab w:val="left" w:pos="1068"/>
        </w:tabs>
        <w:spacing w:before="149"/>
        <w:rPr>
          <w:highlight w:val="cyan"/>
        </w:rPr>
      </w:pPr>
      <w:bookmarkStart w:id="24" w:name="4.3.2.4_4-Week_Repeat-dose_Oral_Toxicity"/>
      <w:bookmarkStart w:id="25" w:name="_bookmark40"/>
      <w:bookmarkEnd w:id="24"/>
      <w:bookmarkEnd w:id="25"/>
      <w:r w:rsidRPr="00DD14DA">
        <w:rPr>
          <w:highlight w:val="cyan"/>
        </w:rPr>
        <w:t>4-Week Repeat-dose Oral Toxicity in</w:t>
      </w:r>
      <w:r w:rsidRPr="00DD14DA">
        <w:rPr>
          <w:spacing w:val="-1"/>
          <w:highlight w:val="cyan"/>
        </w:rPr>
        <w:t xml:space="preserve"> </w:t>
      </w:r>
      <w:r w:rsidRPr="00DD14DA">
        <w:rPr>
          <w:highlight w:val="cyan"/>
        </w:rPr>
        <w:t>Dogs</w:t>
      </w:r>
    </w:p>
    <w:p w:rsidR="00D95A48" w:rsidRPr="00DD14DA" w:rsidRDefault="0066008F" w:rsidP="00DD14DA">
      <w:pPr>
        <w:pStyle w:val="a3"/>
        <w:spacing w:before="139" w:line="261" w:lineRule="auto"/>
        <w:ind w:left="215" w:right="1667"/>
        <w:rPr>
          <w:highlight w:val="cyan"/>
        </w:rPr>
      </w:pPr>
      <w:r w:rsidRPr="00DD14DA">
        <w:rPr>
          <w:highlight w:val="cyan"/>
        </w:rPr>
        <w:t>PROJECT B</w:t>
      </w:r>
      <w:r w:rsidR="0006778F" w:rsidRPr="00DD14DA">
        <w:rPr>
          <w:highlight w:val="cyan"/>
        </w:rPr>
        <w:t xml:space="preserve"> was orally administered once daily for 4 weeks at dose of 0, 3, 10, 30 and</w:t>
      </w:r>
      <w:r w:rsidR="00DD14DA" w:rsidRPr="00DD14DA">
        <w:rPr>
          <w:highlight w:val="cyan"/>
        </w:rPr>
        <w:t xml:space="preserve">  </w:t>
      </w:r>
      <w:r w:rsidR="0006778F" w:rsidRPr="00DD14DA">
        <w:rPr>
          <w:highlight w:val="cyan"/>
        </w:rPr>
        <w:t xml:space="preserve">300 mg/kg per day to 4 male and 4 female beagle dogs per group (Study </w:t>
      </w:r>
      <w:r w:rsidRPr="00DD14DA">
        <w:rPr>
          <w:highlight w:val="cyan"/>
        </w:rPr>
        <w:t>Project B</w:t>
      </w:r>
      <w:r w:rsidR="0006778F" w:rsidRPr="00DD14DA">
        <w:rPr>
          <w:highlight w:val="cyan"/>
        </w:rPr>
        <w:t>-TX-0002). Three males and 2 females were added to the 300 mg/kg dose group in order to assess the reversibility of toxicity during a subsequent 4-week recovery period.</w:t>
      </w:r>
    </w:p>
    <w:p w:rsidR="00D95A48" w:rsidRPr="00DD14DA" w:rsidRDefault="0006778F" w:rsidP="00DD14DA">
      <w:pPr>
        <w:pStyle w:val="a3"/>
        <w:spacing w:before="139" w:line="261" w:lineRule="auto"/>
        <w:ind w:left="215" w:right="1667"/>
        <w:rPr>
          <w:highlight w:val="cyan"/>
        </w:rPr>
      </w:pPr>
      <w:r w:rsidRPr="00DD14DA">
        <w:rPr>
          <w:highlight w:val="cyan"/>
        </w:rPr>
        <w:t>One female in the 300 mg/kg dose group was sacrificed due to moribundity on day 11 of dosing, and 1 female in the 300 mg/kg dose group was found dead in the morning (before dosing) on day 13 of dosing. These animals showed multifocal arteritis, multifocal inflammatory cell infiltration with hemorrhage, multifocal myocardial necrosis in the heart, severe increases in cardiac troponin I and T (only measured in moribund animal), and lung edema accompanied by pleural fluid in 1 animal indicating that effects on the cardiovascular system possibly caused deterioration in general condition or death.</w:t>
      </w:r>
    </w:p>
    <w:p w:rsidR="00D95A48" w:rsidRPr="00DD14DA" w:rsidRDefault="0006778F" w:rsidP="00DD14DA">
      <w:pPr>
        <w:pStyle w:val="a3"/>
        <w:spacing w:before="139" w:line="261" w:lineRule="auto"/>
        <w:ind w:left="215" w:right="1667"/>
        <w:rPr>
          <w:highlight w:val="cyan"/>
        </w:rPr>
      </w:pPr>
      <w:r w:rsidRPr="00DD14DA">
        <w:rPr>
          <w:highlight w:val="cyan"/>
        </w:rPr>
        <w:lastRenderedPageBreak/>
        <w:t>No test article-related changes were noted at doses of 3 mg/kg.</w:t>
      </w:r>
    </w:p>
    <w:p w:rsidR="00D95A48" w:rsidRPr="00DD14DA" w:rsidRDefault="0006778F" w:rsidP="00DD14DA">
      <w:pPr>
        <w:pStyle w:val="a3"/>
        <w:spacing w:before="139" w:line="261" w:lineRule="auto"/>
        <w:ind w:left="215" w:right="1667"/>
        <w:rPr>
          <w:highlight w:val="cyan"/>
        </w:rPr>
      </w:pPr>
      <w:r w:rsidRPr="00DD14DA">
        <w:rPr>
          <w:highlight w:val="cyan"/>
        </w:rPr>
        <w:t>At doses of ≥ 10 mg/kg, soft stool and vomiting were observed in males and females.</w:t>
      </w:r>
    </w:p>
    <w:p w:rsidR="00D95A48" w:rsidRPr="00DD14DA" w:rsidRDefault="0006778F" w:rsidP="00DD14DA">
      <w:pPr>
        <w:pStyle w:val="a3"/>
        <w:spacing w:before="139" w:line="261" w:lineRule="auto"/>
        <w:ind w:left="215" w:right="1667"/>
        <w:rPr>
          <w:highlight w:val="cyan"/>
        </w:rPr>
      </w:pPr>
      <w:r w:rsidRPr="00DD14DA">
        <w:rPr>
          <w:highlight w:val="cyan"/>
        </w:rPr>
        <w:t>At doses of 30 mg/kg, increased lung weight in males and focal cellular infiltration of inflammatory cell in lamina propria in the stomach in both sexes were found.</w:t>
      </w:r>
    </w:p>
    <w:p w:rsidR="00D95A48" w:rsidRPr="00DD14DA" w:rsidRDefault="0006778F" w:rsidP="00DD14DA">
      <w:pPr>
        <w:pStyle w:val="a3"/>
        <w:spacing w:before="139" w:line="261" w:lineRule="auto"/>
        <w:ind w:left="215" w:right="1667"/>
        <w:rPr>
          <w:highlight w:val="cyan"/>
        </w:rPr>
      </w:pPr>
      <w:r w:rsidRPr="00DD14DA">
        <w:rPr>
          <w:highlight w:val="cyan"/>
        </w:rPr>
        <w:t>At doses of ≥ 30 mg/kg, diarrhea was observed in males and females. Focal peribronchiolar inflammatory cell infiltration in the lung in histopathology was observed in males at doses of 30 and 300 mg/kg, and in 1 female at a dose of 300 mg/kg. Hypertrophy of the bronchiole epithelium and foam cell accumulation in the lung in histopathology was observed in 1 male in both the 30 and 300 mg/kg dose groups.</w:t>
      </w:r>
    </w:p>
    <w:p w:rsidR="00D95A48" w:rsidRPr="00DD14DA" w:rsidRDefault="0006778F" w:rsidP="00DD14DA">
      <w:pPr>
        <w:pStyle w:val="a3"/>
        <w:spacing w:before="139" w:line="261" w:lineRule="auto"/>
        <w:ind w:left="215" w:right="1667"/>
        <w:rPr>
          <w:highlight w:val="cyan"/>
        </w:rPr>
      </w:pPr>
      <w:r w:rsidRPr="00DD14DA">
        <w:rPr>
          <w:highlight w:val="cyan"/>
        </w:rPr>
        <w:t>In the survived animals at doses of 300 mg/kg, the following changes were noted in males and females: salivation, increased heart rate (maximum individual variation from</w:t>
      </w:r>
      <w:r w:rsidR="00DD14DA">
        <w:rPr>
          <w:rFonts w:ascii="ＭＳ 明朝" w:eastAsia="ＭＳ 明朝" w:hAnsi="ＭＳ 明朝" w:cs="ＭＳ 明朝"/>
          <w:highlight w:val="cyan"/>
          <w:lang w:eastAsia="ja-JP"/>
        </w:rPr>
        <w:t xml:space="preserve"> </w:t>
      </w:r>
      <w:r w:rsidRPr="00DD14DA">
        <w:rPr>
          <w:highlight w:val="cyan"/>
        </w:rPr>
        <w:t>time-matched value during acclimation period: 164 beats/min), shortened PR, QT and QTc interval (</w:t>
      </w:r>
      <w:proofErr w:type="spellStart"/>
      <w:r w:rsidRPr="00DD14DA">
        <w:rPr>
          <w:highlight w:val="cyan"/>
        </w:rPr>
        <w:t>QTcM</w:t>
      </w:r>
      <w:proofErr w:type="spellEnd"/>
      <w:r w:rsidRPr="00DD14DA">
        <w:rPr>
          <w:highlight w:val="cyan"/>
        </w:rPr>
        <w:t xml:space="preserve">) in electrocardiography, decreased erythrocyte count, hematocrit value, hemoglobin concentration, eosinophil count, prolonged activated partial thromboplastin time in hematology, increased troponin I (from 1 day of dosing) and urea nitrogen in blood chemistry, red focus in the endocardium at the right atrium in the heart in gross pathology, multifocal arteritis, multifocal inflammatory cell infiltration with hemorrhage in the heart, and atrophy of the thymus in histopathology. In males in addition to the above changes, red focus in the lung in gross pathology, focal inflammatory cell infiltration in the bronchiolar lumen, and </w:t>
      </w:r>
      <w:proofErr w:type="spellStart"/>
      <w:r w:rsidRPr="00DD14DA">
        <w:rPr>
          <w:highlight w:val="cyan"/>
        </w:rPr>
        <w:t>intraepithelium</w:t>
      </w:r>
      <w:proofErr w:type="spellEnd"/>
      <w:r w:rsidRPr="00DD14DA">
        <w:rPr>
          <w:highlight w:val="cyan"/>
        </w:rPr>
        <w:t xml:space="preserve"> in the lung were observed in histopathology. And in females, increased fibrinogen, troponin T (only in 1 female, 8 h after administration on day 14), sodium, and chloride, and decreased potassium in hematology and blood chemistry, red focus in the stomach body serosa in gross pathology, increased heart weight and decreased thymus</w:t>
      </w:r>
      <w:r w:rsidR="00DD14DA">
        <w:rPr>
          <w:highlight w:val="cyan"/>
        </w:rPr>
        <w:t xml:space="preserve"> </w:t>
      </w:r>
      <w:r w:rsidRPr="00DD14DA">
        <w:rPr>
          <w:highlight w:val="cyan"/>
        </w:rPr>
        <w:t>weight, multifocal myocardial necrosis, and thickening of the artery tunica intima in the heart, and perivascular hemorrhage in the muscle and serosa in the stomach were noted in histopathology.</w:t>
      </w:r>
    </w:p>
    <w:p w:rsidR="00D95A48" w:rsidRPr="00DD14DA" w:rsidRDefault="0006778F" w:rsidP="00DD14DA">
      <w:pPr>
        <w:pStyle w:val="a3"/>
        <w:spacing w:before="139" w:line="261" w:lineRule="auto"/>
        <w:ind w:left="215" w:right="1667"/>
        <w:rPr>
          <w:highlight w:val="cyan"/>
        </w:rPr>
      </w:pPr>
      <w:r w:rsidRPr="00DD14DA">
        <w:rPr>
          <w:highlight w:val="cyan"/>
        </w:rPr>
        <w:t>After a 4-week recovery period, the only histopathological changes in the heart and lung were observed at 300 mg/kg as follows: thickening of the artery tunica intima, and lymph vessel dilatation in the heart accompanied by gross lesions, and fibrosis and brown pigment deposition in the lung. Thickening of the artery tunica intima observed in the heart was considered to be a state of the repair process of the arteritis observed at the end of the dosing period, and lymph vessel dilatation in the heart might be caused by the lymph vessel obstruction accompanied with arteritis or myocardial damage. Changes in the lung were considered to be scarring related to the change of focal peribronchiolar inflammatory cell infiltration in the lung at the end of the dosing period. Accordingly, all test article-related changes noted at the end of the dosing period, except for the histopathological change of the repair process or scarring in the heart and lung, showed full recovery during the 4-week recovery period.</w:t>
      </w:r>
    </w:p>
    <w:p w:rsidR="00D95A48" w:rsidRDefault="0006778F" w:rsidP="00DD14DA">
      <w:pPr>
        <w:pStyle w:val="a3"/>
        <w:spacing w:before="139" w:line="261" w:lineRule="auto"/>
        <w:ind w:left="215" w:right="1667"/>
      </w:pPr>
      <w:r w:rsidRPr="00DD14DA">
        <w:rPr>
          <w:highlight w:val="cyan"/>
        </w:rPr>
        <w:t>The NOAEL was 3 mg/kg per day [End-of-Text Table 3.3.2].</w:t>
      </w:r>
    </w:p>
    <w:p w:rsidR="00D95A48" w:rsidRDefault="0006778F">
      <w:pPr>
        <w:pStyle w:val="3"/>
        <w:numPr>
          <w:ilvl w:val="2"/>
          <w:numId w:val="5"/>
        </w:numPr>
        <w:tabs>
          <w:tab w:val="left" w:pos="1067"/>
          <w:tab w:val="left" w:pos="1068"/>
        </w:tabs>
        <w:spacing w:before="149"/>
      </w:pPr>
      <w:bookmarkStart w:id="26" w:name="4.3.3_Genotoxicity"/>
      <w:bookmarkStart w:id="27" w:name="_bookmark41"/>
      <w:bookmarkEnd w:id="26"/>
      <w:bookmarkEnd w:id="27"/>
      <w:r>
        <w:t>Genotoxicity</w:t>
      </w:r>
    </w:p>
    <w:p w:rsidR="00D95A48" w:rsidRPr="00DD14DA" w:rsidRDefault="0006778F">
      <w:pPr>
        <w:pStyle w:val="a4"/>
        <w:numPr>
          <w:ilvl w:val="3"/>
          <w:numId w:val="5"/>
        </w:numPr>
        <w:tabs>
          <w:tab w:val="left" w:pos="1068"/>
        </w:tabs>
        <w:spacing w:before="144"/>
        <w:rPr>
          <w:b/>
          <w:sz w:val="24"/>
          <w:highlight w:val="yellow"/>
        </w:rPr>
      </w:pPr>
      <w:bookmarkStart w:id="28" w:name="4.3.3.1_In_Vitro_Reverse_Mutation"/>
      <w:bookmarkStart w:id="29" w:name="_bookmark42"/>
      <w:bookmarkEnd w:id="28"/>
      <w:bookmarkEnd w:id="29"/>
      <w:r w:rsidRPr="00DD14DA">
        <w:rPr>
          <w:b/>
          <w:sz w:val="24"/>
          <w:highlight w:val="yellow"/>
        </w:rPr>
        <w:t>In Vitro Reverse</w:t>
      </w:r>
      <w:r w:rsidRPr="00DD14DA">
        <w:rPr>
          <w:b/>
          <w:spacing w:val="-1"/>
          <w:sz w:val="24"/>
          <w:highlight w:val="yellow"/>
        </w:rPr>
        <w:t xml:space="preserve"> </w:t>
      </w:r>
      <w:r w:rsidRPr="00DD14DA">
        <w:rPr>
          <w:b/>
          <w:sz w:val="24"/>
          <w:highlight w:val="yellow"/>
        </w:rPr>
        <w:t>Mutation</w:t>
      </w:r>
    </w:p>
    <w:p w:rsidR="00D95A48" w:rsidRPr="00DD14DA" w:rsidRDefault="0006778F">
      <w:pPr>
        <w:pStyle w:val="a3"/>
        <w:spacing w:before="139" w:line="261" w:lineRule="auto"/>
        <w:ind w:left="215" w:right="1800"/>
        <w:rPr>
          <w:highlight w:val="yellow"/>
        </w:rPr>
      </w:pPr>
      <w:r w:rsidRPr="00DD14DA">
        <w:rPr>
          <w:highlight w:val="yellow"/>
        </w:rPr>
        <w:lastRenderedPageBreak/>
        <w:t xml:space="preserve">A reverse mutation test was performed with </w:t>
      </w:r>
      <w:r w:rsidRPr="00DD14DA">
        <w:rPr>
          <w:i/>
          <w:highlight w:val="yellow"/>
        </w:rPr>
        <w:t xml:space="preserve">Salmonella typhimurium </w:t>
      </w:r>
      <w:r w:rsidRPr="00DD14DA">
        <w:rPr>
          <w:highlight w:val="yellow"/>
        </w:rPr>
        <w:t xml:space="preserve">(TA100, TA1535, TA98, and TA1537) and </w:t>
      </w:r>
      <w:r w:rsidRPr="00DD14DA">
        <w:rPr>
          <w:i/>
          <w:highlight w:val="yellow"/>
        </w:rPr>
        <w:t xml:space="preserve">Escherichia coli </w:t>
      </w:r>
      <w:r w:rsidRPr="00DD14DA">
        <w:rPr>
          <w:highlight w:val="yellow"/>
        </w:rPr>
        <w:t>(WP2</w:t>
      </w:r>
      <w:r w:rsidRPr="00DD14DA">
        <w:rPr>
          <w:i/>
          <w:highlight w:val="yellow"/>
        </w:rPr>
        <w:t>uvrA</w:t>
      </w:r>
      <w:r w:rsidRPr="00DD14DA">
        <w:rPr>
          <w:highlight w:val="yellow"/>
        </w:rPr>
        <w:t xml:space="preserve">), using the preincubation method with and without metabolic activation (Study </w:t>
      </w:r>
      <w:r w:rsidR="0066008F" w:rsidRPr="00DD14DA">
        <w:rPr>
          <w:highlight w:val="yellow"/>
        </w:rPr>
        <w:t>Project B</w:t>
      </w:r>
      <w:r w:rsidRPr="00DD14DA">
        <w:rPr>
          <w:highlight w:val="yellow"/>
        </w:rPr>
        <w:t>-TX-0003).</w:t>
      </w:r>
    </w:p>
    <w:p w:rsidR="00D95A48" w:rsidRPr="00DD14DA" w:rsidRDefault="0006778F">
      <w:pPr>
        <w:pStyle w:val="a3"/>
        <w:spacing w:before="118" w:line="261" w:lineRule="auto"/>
        <w:ind w:left="215" w:right="2457"/>
        <w:rPr>
          <w:highlight w:val="yellow"/>
        </w:rPr>
      </w:pPr>
      <w:r w:rsidRPr="00DD14DA">
        <w:rPr>
          <w:highlight w:val="yellow"/>
        </w:rPr>
        <w:t xml:space="preserve">Based on the results of the dose-finding test at 15 to 5000 </w:t>
      </w:r>
      <w:proofErr w:type="spellStart"/>
      <w:r w:rsidRPr="00DD14DA">
        <w:rPr>
          <w:highlight w:val="yellow"/>
        </w:rPr>
        <w:t>μg</w:t>
      </w:r>
      <w:proofErr w:type="spellEnd"/>
      <w:r w:rsidRPr="00DD14DA">
        <w:rPr>
          <w:highlight w:val="yellow"/>
        </w:rPr>
        <w:t xml:space="preserve">/plate, the main test was performed at 156 to 5000 </w:t>
      </w:r>
      <w:proofErr w:type="spellStart"/>
      <w:r w:rsidRPr="00DD14DA">
        <w:rPr>
          <w:highlight w:val="yellow"/>
        </w:rPr>
        <w:t>μg</w:t>
      </w:r>
      <w:proofErr w:type="spellEnd"/>
      <w:r w:rsidRPr="00DD14DA">
        <w:rPr>
          <w:highlight w:val="yellow"/>
        </w:rPr>
        <w:t>/plate.</w:t>
      </w:r>
    </w:p>
    <w:p w:rsidR="00D95A48" w:rsidRPr="00DD14DA" w:rsidRDefault="0006778F">
      <w:pPr>
        <w:pStyle w:val="a3"/>
        <w:spacing w:before="118" w:line="261" w:lineRule="auto"/>
        <w:ind w:left="215" w:right="1913"/>
        <w:jc w:val="both"/>
        <w:rPr>
          <w:highlight w:val="yellow"/>
        </w:rPr>
      </w:pPr>
      <w:r w:rsidRPr="00DD14DA">
        <w:rPr>
          <w:highlight w:val="yellow"/>
        </w:rPr>
        <w:t>In comparison with the negative control, the test article induced neither a 2-fold or greater nor a dose-dependent increase in the number of revertant colonies in any test strain with or without metabolic activation.</w:t>
      </w:r>
    </w:p>
    <w:p w:rsidR="00D95A48" w:rsidRDefault="0006778F" w:rsidP="0006778F">
      <w:pPr>
        <w:pStyle w:val="a3"/>
        <w:spacing w:before="118"/>
        <w:ind w:left="215"/>
        <w:rPr>
          <w:sz w:val="20"/>
        </w:rPr>
      </w:pPr>
      <w:r w:rsidRPr="00DD14DA">
        <w:rPr>
          <w:highlight w:val="yellow"/>
        </w:rPr>
        <w:t xml:space="preserve">It was concluded that </w:t>
      </w:r>
      <w:r w:rsidR="0066008F" w:rsidRPr="00DD14DA">
        <w:rPr>
          <w:highlight w:val="yellow"/>
        </w:rPr>
        <w:t>PROJECT B</w:t>
      </w:r>
      <w:r w:rsidRPr="00DD14DA">
        <w:rPr>
          <w:highlight w:val="yellow"/>
        </w:rPr>
        <w:t xml:space="preserve"> has no potential to induce gene mutation in bacteria.</w:t>
      </w:r>
    </w:p>
    <w:p w:rsidR="00D95A48" w:rsidRDefault="00D95A48">
      <w:pPr>
        <w:pStyle w:val="a3"/>
        <w:spacing w:before="4"/>
        <w:rPr>
          <w:sz w:val="20"/>
        </w:rPr>
      </w:pPr>
    </w:p>
    <w:p w:rsidR="00D95A48" w:rsidRDefault="0006778F">
      <w:pPr>
        <w:pStyle w:val="3"/>
        <w:numPr>
          <w:ilvl w:val="3"/>
          <w:numId w:val="5"/>
        </w:numPr>
        <w:tabs>
          <w:tab w:val="left" w:pos="1068"/>
        </w:tabs>
        <w:spacing w:before="1"/>
      </w:pPr>
      <w:bookmarkStart w:id="30" w:name="4.3.3.2_In_Vitro_Chromosomal_Aberration"/>
      <w:bookmarkStart w:id="31" w:name="_bookmark43"/>
      <w:bookmarkEnd w:id="30"/>
      <w:bookmarkEnd w:id="31"/>
      <w:r>
        <w:t>In Vitro Chromosomal</w:t>
      </w:r>
      <w:r>
        <w:rPr>
          <w:spacing w:val="-4"/>
        </w:rPr>
        <w:t xml:space="preserve"> </w:t>
      </w:r>
      <w:r>
        <w:t>Aberration</w:t>
      </w:r>
    </w:p>
    <w:p w:rsidR="00D95A48" w:rsidRDefault="0006778F">
      <w:pPr>
        <w:pStyle w:val="a3"/>
        <w:spacing w:before="139" w:line="261" w:lineRule="auto"/>
        <w:ind w:left="215" w:right="1753"/>
      </w:pPr>
      <w:r>
        <w:t xml:space="preserve">A chromosomal aberration test was performed with cultured mammalian (Chinese hamster lung [CHL/IU]) cells in short-term treatments for 6 h with and without metabolic activation, and continuous treatment for 24 h without metabolic activation (Study </w:t>
      </w:r>
      <w:r w:rsidR="0066008F">
        <w:t>Project B</w:t>
      </w:r>
      <w:r>
        <w:t>-TX-0004).</w:t>
      </w:r>
    </w:p>
    <w:p w:rsidR="00D95A48" w:rsidRDefault="0006778F">
      <w:pPr>
        <w:pStyle w:val="a3"/>
        <w:spacing w:before="117" w:line="261" w:lineRule="auto"/>
        <w:ind w:left="215" w:right="1520"/>
      </w:pPr>
      <w:r>
        <w:t xml:space="preserve">Based on the results of the dose-finding test conducted at 7.81 to 500 </w:t>
      </w:r>
      <w:proofErr w:type="spellStart"/>
      <w:r>
        <w:t>μg</w:t>
      </w:r>
      <w:proofErr w:type="spellEnd"/>
      <w:r>
        <w:t xml:space="preserve">/mL, the highest dose was set at 500 </w:t>
      </w:r>
      <w:proofErr w:type="spellStart"/>
      <w:r>
        <w:t>μg</w:t>
      </w:r>
      <w:proofErr w:type="spellEnd"/>
      <w:r>
        <w:t>/mL, followed by 3 or 6 lower doses.</w:t>
      </w:r>
    </w:p>
    <w:p w:rsidR="00D95A48" w:rsidRDefault="0006778F">
      <w:pPr>
        <w:pStyle w:val="a3"/>
        <w:spacing w:before="119" w:line="261" w:lineRule="auto"/>
        <w:ind w:left="215" w:right="3059"/>
      </w:pPr>
      <w:r>
        <w:t>The cell proliferation ratio determined from the population doubling decreased dose-dependently in continuous treatment.</w:t>
      </w:r>
    </w:p>
    <w:p w:rsidR="00D95A48" w:rsidRDefault="0006778F">
      <w:pPr>
        <w:pStyle w:val="a3"/>
        <w:spacing w:before="118" w:line="261" w:lineRule="auto"/>
        <w:ind w:left="215" w:right="2434"/>
      </w:pPr>
      <w:r>
        <w:t xml:space="preserve">Based on the cell proliferation results, chromosomal aberrations were analyzed at the following doses: 125, 250 and 500 </w:t>
      </w:r>
      <w:proofErr w:type="spellStart"/>
      <w:r>
        <w:t>μg</w:t>
      </w:r>
      <w:proofErr w:type="spellEnd"/>
      <w:r>
        <w:t xml:space="preserve">/mL in short-term treatments with and without metabolic activation, and 300, 350, 400 and 450 </w:t>
      </w:r>
      <w:proofErr w:type="spellStart"/>
      <w:r>
        <w:t>μg</w:t>
      </w:r>
      <w:proofErr w:type="spellEnd"/>
      <w:r>
        <w:t>/mL in continuous treatment.</w:t>
      </w:r>
    </w:p>
    <w:p w:rsidR="00D95A48" w:rsidRDefault="0006778F">
      <w:pPr>
        <w:pStyle w:val="a3"/>
        <w:spacing w:before="118" w:line="261" w:lineRule="auto"/>
        <w:ind w:left="215" w:right="2140"/>
      </w:pPr>
      <w:r>
        <w:t>No significant increase in the number of cells with structural or numerical chromosomal aberrations was noted in any treatment group when compared with that in the negative control group.</w:t>
      </w:r>
    </w:p>
    <w:p w:rsidR="00D95A48" w:rsidRDefault="0006778F">
      <w:pPr>
        <w:pStyle w:val="a3"/>
        <w:spacing w:before="117" w:line="261" w:lineRule="auto"/>
        <w:ind w:left="215" w:right="2061"/>
      </w:pPr>
      <w:r>
        <w:t xml:space="preserve">It was concluded that, </w:t>
      </w:r>
      <w:r w:rsidR="0066008F">
        <w:t>PROJECT B</w:t>
      </w:r>
      <w:r>
        <w:t xml:space="preserve"> has no potential to induce chromosomal aberrations in CHL/IU cells, regardless of the presence or absence of metabolic activation, or treatment length.</w:t>
      </w:r>
    </w:p>
    <w:p w:rsidR="00D95A48" w:rsidRDefault="0006778F">
      <w:pPr>
        <w:pStyle w:val="3"/>
        <w:numPr>
          <w:ilvl w:val="2"/>
          <w:numId w:val="5"/>
        </w:numPr>
        <w:tabs>
          <w:tab w:val="left" w:pos="1067"/>
          <w:tab w:val="left" w:pos="1068"/>
        </w:tabs>
        <w:spacing w:before="123"/>
      </w:pPr>
      <w:bookmarkStart w:id="32" w:name="4.3.4_Carcinogenicity"/>
      <w:bookmarkStart w:id="33" w:name="_bookmark44"/>
      <w:bookmarkEnd w:id="32"/>
      <w:bookmarkEnd w:id="33"/>
      <w:r>
        <w:t>Carcinogenicity</w:t>
      </w:r>
    </w:p>
    <w:p w:rsidR="00D95A48" w:rsidRDefault="0006778F">
      <w:pPr>
        <w:pStyle w:val="a3"/>
        <w:spacing w:before="139" w:line="261" w:lineRule="auto"/>
        <w:ind w:left="215" w:right="1813"/>
      </w:pPr>
      <w:r>
        <w:t xml:space="preserve">No carcinogenicity studies have been conducted with </w:t>
      </w:r>
      <w:r w:rsidR="0066008F">
        <w:t>PROJECT B</w:t>
      </w:r>
      <w:r>
        <w:t xml:space="preserve"> as of the preparation of this investigator’s brochure.</w:t>
      </w:r>
    </w:p>
    <w:p w:rsidR="00D95A48" w:rsidRDefault="0006778F">
      <w:pPr>
        <w:pStyle w:val="3"/>
        <w:numPr>
          <w:ilvl w:val="2"/>
          <w:numId w:val="5"/>
        </w:numPr>
        <w:tabs>
          <w:tab w:val="left" w:pos="1067"/>
          <w:tab w:val="left" w:pos="1068"/>
        </w:tabs>
        <w:spacing w:before="123"/>
      </w:pPr>
      <w:bookmarkStart w:id="34" w:name="4.3.5_Reproductive_and_Developmental_Tox"/>
      <w:bookmarkStart w:id="35" w:name="_bookmark45"/>
      <w:bookmarkEnd w:id="34"/>
      <w:bookmarkEnd w:id="35"/>
      <w:r>
        <w:t>Reproductive and Developmental</w:t>
      </w:r>
      <w:r>
        <w:rPr>
          <w:spacing w:val="-5"/>
        </w:rPr>
        <w:t xml:space="preserve"> </w:t>
      </w:r>
      <w:r>
        <w:t>Toxicity</w:t>
      </w:r>
    </w:p>
    <w:p w:rsidR="00D95A48" w:rsidRDefault="0006778F">
      <w:pPr>
        <w:pStyle w:val="a4"/>
        <w:numPr>
          <w:ilvl w:val="3"/>
          <w:numId w:val="5"/>
        </w:numPr>
        <w:tabs>
          <w:tab w:val="left" w:pos="1068"/>
        </w:tabs>
        <w:spacing w:before="144"/>
        <w:rPr>
          <w:b/>
          <w:sz w:val="24"/>
        </w:rPr>
      </w:pPr>
      <w:bookmarkStart w:id="36" w:name="4.3.5.1_Effects_on_Embryo-fetal_Developm"/>
      <w:bookmarkStart w:id="37" w:name="_bookmark46"/>
      <w:bookmarkEnd w:id="36"/>
      <w:bookmarkEnd w:id="37"/>
      <w:r>
        <w:rPr>
          <w:b/>
          <w:sz w:val="24"/>
        </w:rPr>
        <w:t>Effects on Embryo-fetal</w:t>
      </w:r>
      <w:r>
        <w:rPr>
          <w:b/>
          <w:spacing w:val="-3"/>
          <w:sz w:val="24"/>
        </w:rPr>
        <w:t xml:space="preserve"> </w:t>
      </w:r>
      <w:r>
        <w:rPr>
          <w:b/>
          <w:sz w:val="24"/>
        </w:rPr>
        <w:t>Development</w:t>
      </w:r>
    </w:p>
    <w:p w:rsidR="00D95A48" w:rsidRDefault="0006778F">
      <w:pPr>
        <w:tabs>
          <w:tab w:val="left" w:pos="1347"/>
        </w:tabs>
        <w:spacing w:before="144"/>
        <w:ind w:left="215"/>
        <w:rPr>
          <w:b/>
          <w:sz w:val="24"/>
        </w:rPr>
      </w:pPr>
      <w:bookmarkStart w:id="38" w:name="4.3.5.1.1_Effects_on_Embryo-fetal_Develo"/>
      <w:bookmarkEnd w:id="38"/>
      <w:r>
        <w:rPr>
          <w:b/>
          <w:sz w:val="24"/>
        </w:rPr>
        <w:t>4.3.5.1.1</w:t>
      </w:r>
      <w:r>
        <w:rPr>
          <w:b/>
          <w:sz w:val="24"/>
        </w:rPr>
        <w:tab/>
        <w:t>Effects on Embryo-fetal Development in Rats (Dose-range</w:t>
      </w:r>
      <w:r>
        <w:rPr>
          <w:b/>
          <w:spacing w:val="-6"/>
          <w:sz w:val="24"/>
        </w:rPr>
        <w:t xml:space="preserve"> </w:t>
      </w:r>
      <w:r>
        <w:rPr>
          <w:b/>
          <w:sz w:val="24"/>
        </w:rPr>
        <w:t>Findings)</w:t>
      </w:r>
    </w:p>
    <w:p w:rsidR="00D95A48" w:rsidRDefault="0066008F">
      <w:pPr>
        <w:pStyle w:val="a3"/>
        <w:spacing w:before="139" w:line="261" w:lineRule="auto"/>
        <w:ind w:left="215" w:right="1673"/>
      </w:pPr>
      <w:r>
        <w:t>PROJECT B</w:t>
      </w:r>
      <w:r w:rsidR="0006778F">
        <w:t xml:space="preserve"> was orally administered once daily from day 7 to day 17 of gestation at dose levels of 0, 30, 100 and 1000 mg/kg per day to 6 pregnant rats (Study </w:t>
      </w:r>
      <w:r>
        <w:t>Project B</w:t>
      </w:r>
      <w:r w:rsidR="0006778F">
        <w:t>-TX-0005).</w:t>
      </w:r>
    </w:p>
    <w:p w:rsidR="00D95A48" w:rsidRDefault="0006778F">
      <w:pPr>
        <w:pStyle w:val="a3"/>
        <w:spacing w:before="119" w:line="261" w:lineRule="auto"/>
        <w:ind w:left="215" w:right="1681"/>
      </w:pPr>
      <w:r>
        <w:t xml:space="preserve">In dams at doses of 1000 mg/kg, decreased food consumption and suppressed body weight gain were noted from 1 day after initiation of dosing (day 8 of gestation) and 2 of the 6 animals in this group had died by day 11 of gestation. Due to the deaths in the 1000 mg/kg dose group, this dose level was considered to be excessive and the surviving dams in this </w:t>
      </w:r>
      <w:r>
        <w:lastRenderedPageBreak/>
        <w:t>group were prematurely necropsied by day 14 of gestation.</w:t>
      </w:r>
    </w:p>
    <w:p w:rsidR="00D95A48" w:rsidRDefault="0006778F">
      <w:pPr>
        <w:pStyle w:val="a3"/>
        <w:spacing w:before="116" w:line="261" w:lineRule="auto"/>
        <w:ind w:left="215" w:right="1664"/>
        <w:jc w:val="both"/>
      </w:pPr>
      <w:r>
        <w:t>In dams at doses of 30 and 100 mg/kg, no effects of treatment with the test article were noted in the clinical observations, body weights, food consumption, gross pathology, the number of corpora lutea and implantations or preimplantation loss (%).</w:t>
      </w:r>
    </w:p>
    <w:p w:rsidR="00D95A48" w:rsidRDefault="0006778F" w:rsidP="0006778F">
      <w:pPr>
        <w:pStyle w:val="a3"/>
        <w:spacing w:before="117" w:line="261" w:lineRule="auto"/>
        <w:ind w:left="215" w:right="1681"/>
      </w:pPr>
      <w:r>
        <w:t>In fetuses, incidence of thymic cord was increased at doses of 100 mg/kg, however it was of no statistical significance and since only a limited number of animals were available for evaluation in this preliminary study, an additional definitive study will be required to clarify the relationship to treatment with the test article. No effects of treatment with the test article were noted on the viability or development of embryos/fetuses or external or skeletal malformations of fetuses.</w:t>
      </w:r>
    </w:p>
    <w:p w:rsidR="00D95A48" w:rsidRDefault="0006778F">
      <w:pPr>
        <w:pStyle w:val="3"/>
        <w:numPr>
          <w:ilvl w:val="2"/>
          <w:numId w:val="4"/>
        </w:numPr>
        <w:tabs>
          <w:tab w:val="left" w:pos="1067"/>
          <w:tab w:val="left" w:pos="1068"/>
        </w:tabs>
        <w:spacing w:before="123"/>
      </w:pPr>
      <w:bookmarkStart w:id="39" w:name="4.3.6_Local_Tolerance"/>
      <w:bookmarkStart w:id="40" w:name="_bookmark47"/>
      <w:bookmarkEnd w:id="39"/>
      <w:bookmarkEnd w:id="40"/>
      <w:r>
        <w:t>Local</w:t>
      </w:r>
      <w:r>
        <w:rPr>
          <w:spacing w:val="-2"/>
        </w:rPr>
        <w:t xml:space="preserve"> </w:t>
      </w:r>
      <w:r>
        <w:t>Tolerance</w:t>
      </w:r>
    </w:p>
    <w:p w:rsidR="00D95A48" w:rsidRDefault="0006778F">
      <w:pPr>
        <w:pStyle w:val="a3"/>
        <w:spacing w:before="139" w:line="261" w:lineRule="auto"/>
        <w:ind w:left="215" w:right="1887"/>
      </w:pPr>
      <w:r>
        <w:t xml:space="preserve">No local tolerance studies have been conducted with </w:t>
      </w:r>
      <w:r w:rsidR="0066008F">
        <w:t>PROJECT B</w:t>
      </w:r>
      <w:r>
        <w:t xml:space="preserve"> as of the preparation of this investigator’s brochure.</w:t>
      </w:r>
    </w:p>
    <w:p w:rsidR="00D95A48" w:rsidRDefault="0006778F">
      <w:pPr>
        <w:pStyle w:val="3"/>
        <w:numPr>
          <w:ilvl w:val="2"/>
          <w:numId w:val="4"/>
        </w:numPr>
        <w:tabs>
          <w:tab w:val="left" w:pos="1067"/>
          <w:tab w:val="left" w:pos="1068"/>
        </w:tabs>
        <w:spacing w:before="123"/>
      </w:pPr>
      <w:bookmarkStart w:id="41" w:name="4.3.7_Other_Toxicity_Studies"/>
      <w:bookmarkStart w:id="42" w:name="_bookmark48"/>
      <w:bookmarkEnd w:id="41"/>
      <w:bookmarkEnd w:id="42"/>
      <w:r>
        <w:t>Other Toxicity</w:t>
      </w:r>
      <w:r>
        <w:rPr>
          <w:spacing w:val="-1"/>
        </w:rPr>
        <w:t xml:space="preserve"> </w:t>
      </w:r>
      <w:r>
        <w:t>Studies</w:t>
      </w:r>
    </w:p>
    <w:p w:rsidR="00D95A48" w:rsidRDefault="0006778F">
      <w:pPr>
        <w:spacing w:before="144"/>
        <w:ind w:left="215"/>
        <w:rPr>
          <w:b/>
          <w:sz w:val="24"/>
        </w:rPr>
      </w:pPr>
      <w:bookmarkStart w:id="43" w:name="4.3.7.1_In_Vitro_Phototoxicity"/>
      <w:bookmarkStart w:id="44" w:name="_bookmark49"/>
      <w:bookmarkEnd w:id="43"/>
      <w:bookmarkEnd w:id="44"/>
      <w:r>
        <w:rPr>
          <w:b/>
          <w:sz w:val="24"/>
        </w:rPr>
        <w:t>4.3.7.1 In Vitro Phototoxicity</w:t>
      </w:r>
    </w:p>
    <w:p w:rsidR="00D95A48" w:rsidRDefault="0006778F">
      <w:pPr>
        <w:pStyle w:val="a3"/>
        <w:spacing w:before="140" w:line="261" w:lineRule="auto"/>
        <w:ind w:left="215" w:right="1853"/>
      </w:pPr>
      <w:r>
        <w:t xml:space="preserve">In order to investigate the potential phototoxicity of </w:t>
      </w:r>
      <w:r w:rsidR="0066008F">
        <w:t>PROJECT B</w:t>
      </w:r>
      <w:r>
        <w:t>, a phototoxicity study was performed with cultured mammalian cells (</w:t>
      </w:r>
      <w:proofErr w:type="spellStart"/>
      <w:r>
        <w:t>Balb</w:t>
      </w:r>
      <w:proofErr w:type="spellEnd"/>
      <w:r>
        <w:t xml:space="preserve">/c 3T3 cells) at 9.49, 13.3, 18.6, 26.0, 36.4, 51.0, 71.4 and 100 </w:t>
      </w:r>
      <w:proofErr w:type="spellStart"/>
      <w:r>
        <w:t>μg</w:t>
      </w:r>
      <w:proofErr w:type="spellEnd"/>
      <w:r>
        <w:t>/mL in the presence and absence of UV-A irradiation</w:t>
      </w:r>
    </w:p>
    <w:p w:rsidR="00D95A48" w:rsidRDefault="0006778F">
      <w:pPr>
        <w:pStyle w:val="a3"/>
        <w:spacing w:line="274" w:lineRule="exact"/>
        <w:ind w:left="215"/>
      </w:pPr>
      <w:r>
        <w:t xml:space="preserve">(Study </w:t>
      </w:r>
      <w:r w:rsidR="0066008F">
        <w:t>Project B</w:t>
      </w:r>
      <w:r>
        <w:t>-TX-0006).</w:t>
      </w:r>
    </w:p>
    <w:p w:rsidR="00D95A48" w:rsidRDefault="0006778F">
      <w:pPr>
        <w:pStyle w:val="a3"/>
        <w:spacing w:before="144" w:line="261" w:lineRule="auto"/>
        <w:ind w:left="215" w:right="1667"/>
      </w:pPr>
      <w:r>
        <w:t>The phototoxic potential was judged from only the mean photo effect (MPE) because the IC</w:t>
      </w:r>
      <w:r>
        <w:rPr>
          <w:vertAlign w:val="subscript"/>
        </w:rPr>
        <w:t>50</w:t>
      </w:r>
      <w:r>
        <w:t xml:space="preserve"> for cell viability could not be determined in either the presence or absence of irradiation. The MPE was 0.002, which was lower than the threshold value of</w:t>
      </w:r>
      <w:r>
        <w:rPr>
          <w:spacing w:val="-8"/>
        </w:rPr>
        <w:t xml:space="preserve"> </w:t>
      </w:r>
      <w:r>
        <w:t>0.15.</w:t>
      </w:r>
    </w:p>
    <w:p w:rsidR="00D95A48" w:rsidRDefault="0006778F">
      <w:pPr>
        <w:pStyle w:val="a3"/>
        <w:spacing w:before="117" w:line="261" w:lineRule="auto"/>
        <w:ind w:left="215" w:right="2619"/>
      </w:pPr>
      <w:r>
        <w:t xml:space="preserve">It was concluded that </w:t>
      </w:r>
      <w:r w:rsidR="0066008F">
        <w:t>PROJECT B</w:t>
      </w:r>
      <w:r>
        <w:t xml:space="preserve"> has no potential to induce phototoxicity in cultured mammalian cells (</w:t>
      </w:r>
      <w:proofErr w:type="spellStart"/>
      <w:r>
        <w:t>Balb</w:t>
      </w:r>
      <w:proofErr w:type="spellEnd"/>
      <w:r>
        <w:t>/c 3T3 cells).</w:t>
      </w:r>
    </w:p>
    <w:p w:rsidR="00D95A48" w:rsidRDefault="0006778F">
      <w:pPr>
        <w:pStyle w:val="2"/>
        <w:tabs>
          <w:tab w:val="left" w:pos="1067"/>
        </w:tabs>
        <w:spacing w:before="98"/>
        <w:ind w:right="1693"/>
      </w:pPr>
      <w:bookmarkStart w:id="45" w:name="4.4_Integrated_Nonclinical_Overview_and_"/>
      <w:bookmarkStart w:id="46" w:name="_bookmark50"/>
      <w:bookmarkEnd w:id="45"/>
      <w:bookmarkEnd w:id="46"/>
      <w:r>
        <w:t>4.4</w:t>
      </w:r>
      <w:r>
        <w:tab/>
        <w:t>Integrated Nonclinical Overview and Conclusion: Potential Clinical Relevance</w:t>
      </w:r>
    </w:p>
    <w:p w:rsidR="00D95A48" w:rsidRDefault="0006778F">
      <w:pPr>
        <w:pStyle w:val="a3"/>
        <w:spacing w:before="140"/>
        <w:ind w:left="215"/>
      </w:pPr>
      <w:r>
        <w:t>Biological signaling by NO is primarily mediated by cGMP, which is synthesized by</w:t>
      </w:r>
    </w:p>
    <w:p w:rsidR="00D95A48" w:rsidRDefault="0006778F">
      <w:pPr>
        <w:pStyle w:val="a3"/>
        <w:spacing w:before="24" w:line="261" w:lineRule="auto"/>
        <w:ind w:left="215" w:right="1831"/>
      </w:pPr>
      <w:r>
        <w:t>NO-cGMP and broken down by cyclic nucleotide PDEs. PDE9 is suggested to be involved in the degradation of cGMP in urethra. Inhibition of PDE9 therefore may stimulate NO availability in the urethra and promote urethral dilatation during the voiding reflex.</w:t>
      </w:r>
    </w:p>
    <w:p w:rsidR="00D95A48" w:rsidRDefault="0066008F">
      <w:pPr>
        <w:pStyle w:val="a3"/>
        <w:spacing w:before="117" w:line="261" w:lineRule="auto"/>
        <w:ind w:left="215" w:right="1681"/>
      </w:pPr>
      <w:r>
        <w:t>PROJECT B</w:t>
      </w:r>
      <w:r w:rsidR="0006778F">
        <w:t xml:space="preserve"> is an inhibitor of PDE9, and its inhibitory potency and selectivity over other PDE isozymes has been shown in studies using human isozymes. In isolated urethra strips and an in vivo study in rats, </w:t>
      </w:r>
      <w:r>
        <w:t>PROJECT B</w:t>
      </w:r>
      <w:r w:rsidR="0006778F">
        <w:t xml:space="preserve"> prolonged the duration of urethral relaxation elicited by EFS or micturition reflex. In animal model studies that mimicked UAB conditions, </w:t>
      </w:r>
      <w:r>
        <w:t>PROJECT B</w:t>
      </w:r>
      <w:r w:rsidR="0006778F">
        <w:t xml:space="preserve"> demonstrated the potential to improve voiding deficiencies. Based on the pharmacological profile and similarities between rat and man in the regulatory mechanism of the urethra via NO and cGMP, </w:t>
      </w:r>
      <w:r>
        <w:t>PROJECT B</w:t>
      </w:r>
      <w:r w:rsidR="0006778F">
        <w:t xml:space="preserve"> is expected to facilitate bladder emptying by prolonging the duration of urethral relaxation. </w:t>
      </w:r>
      <w:r>
        <w:t>PROJECT B</w:t>
      </w:r>
      <w:r w:rsidR="0006778F">
        <w:t xml:space="preserve"> thereby may alleviate symptoms associated with incomplete bladder emptying for those patients in whom urethral resistance is hindering uncomplicated voiding.</w:t>
      </w:r>
    </w:p>
    <w:p w:rsidR="00D95A48" w:rsidRDefault="0006778F" w:rsidP="0006778F">
      <w:pPr>
        <w:pStyle w:val="a3"/>
        <w:spacing w:before="112" w:line="261" w:lineRule="auto"/>
        <w:ind w:left="215" w:right="1681"/>
      </w:pPr>
      <w:r>
        <w:lastRenderedPageBreak/>
        <w:t xml:space="preserve">In the rat 4-week toxicokinetic study at doses of 10, 30, 100 and 300 mg/kg per day, </w:t>
      </w:r>
      <w:r w:rsidR="0066008F">
        <w:t>PROJECT B</w:t>
      </w:r>
      <w:r>
        <w:t xml:space="preserve"> </w:t>
      </w:r>
      <w:proofErr w:type="spellStart"/>
      <w:r>
        <w:t>C</w:t>
      </w:r>
      <w:r>
        <w:rPr>
          <w:vertAlign w:val="subscript"/>
        </w:rPr>
        <w:t>max</w:t>
      </w:r>
      <w:proofErr w:type="spellEnd"/>
      <w:r>
        <w:t xml:space="preserve"> and AUC</w:t>
      </w:r>
      <w:r>
        <w:rPr>
          <w:vertAlign w:val="subscript"/>
        </w:rPr>
        <w:t>24</w:t>
      </w:r>
      <w:r>
        <w:t xml:space="preserve"> values increased with dose increase in both sexes. The </w:t>
      </w:r>
      <w:r w:rsidR="0066008F">
        <w:t>PROJECT B</w:t>
      </w:r>
      <w:r>
        <w:t xml:space="preserve"> </w:t>
      </w:r>
      <w:proofErr w:type="spellStart"/>
      <w:r>
        <w:t>C</w:t>
      </w:r>
      <w:r>
        <w:rPr>
          <w:vertAlign w:val="subscript"/>
        </w:rPr>
        <w:t>max</w:t>
      </w:r>
      <w:proofErr w:type="spellEnd"/>
      <w:r>
        <w:t xml:space="preserve"> and AUC</w:t>
      </w:r>
      <w:r>
        <w:rPr>
          <w:vertAlign w:val="subscript"/>
        </w:rPr>
        <w:t>24</w:t>
      </w:r>
      <w:r>
        <w:t xml:space="preserve"> values in females were higher than those in males. There were no apparent changes in any parameter by repeated dosing. In the dog 4-week toxicokinetic study at doses of 3, 10, 30 and 300 mg/kg per day, </w:t>
      </w:r>
      <w:r w:rsidR="0066008F">
        <w:t>PROJECT B</w:t>
      </w:r>
      <w:r>
        <w:t xml:space="preserve"> </w:t>
      </w:r>
      <w:proofErr w:type="spellStart"/>
      <w:r>
        <w:t>C</w:t>
      </w:r>
      <w:r>
        <w:rPr>
          <w:vertAlign w:val="subscript"/>
        </w:rPr>
        <w:t>max</w:t>
      </w:r>
      <w:proofErr w:type="spellEnd"/>
      <w:r>
        <w:t xml:space="preserve"> and AUC</w:t>
      </w:r>
      <w:r>
        <w:rPr>
          <w:vertAlign w:val="subscript"/>
        </w:rPr>
        <w:t>24</w:t>
      </w:r>
      <w:r>
        <w:t xml:space="preserve"> values increased with dose increase in both sexes. There was no apparent sex difference and no apparent change by repeated dose. The in vitro plasma protein binding ratios of </w:t>
      </w:r>
      <w:r w:rsidR="0066008F">
        <w:t>PROJECT B</w:t>
      </w:r>
      <w:r>
        <w:t xml:space="preserve"> ranged from 28.2% to 53.2% in mice, rats, rabbits and dogs and ranged from 37.2% to 39.7% in humans. CYP2A6 and CYP3A4 were capable of metabolizing </w:t>
      </w:r>
      <w:r w:rsidR="0066008F">
        <w:t>PROJECT B</w:t>
      </w:r>
      <w:r>
        <w:t xml:space="preserve">. The major metabolite in human hepatocytes was observed in hepatocytes from rats, dogs, and monkeys. It was estimated to be a dehydrogenated form, which was presumably mediated by CYP2A6 and CYP3A4. The </w:t>
      </w:r>
      <w:r w:rsidR="0066008F">
        <w:t>PROJECT B</w:t>
      </w:r>
      <w:r>
        <w:t xml:space="preserve"> IC</w:t>
      </w:r>
      <w:r>
        <w:rPr>
          <w:vertAlign w:val="subscript"/>
        </w:rPr>
        <w:t>50</w:t>
      </w:r>
      <w:r>
        <w:t xml:space="preserve"> values of direct and time-dependent inhibition were &gt; 100 </w:t>
      </w:r>
      <w:proofErr w:type="spellStart"/>
      <w:r>
        <w:t>μmol</w:t>
      </w:r>
      <w:proofErr w:type="spellEnd"/>
      <w:r>
        <w:t xml:space="preserve">/L for CYP1A2, CYP2B6, CYP2C8, CYP2C19, CYP2D6, CYP3A (midazolam and testosterone), and 16.7 and 18.1 </w:t>
      </w:r>
      <w:proofErr w:type="spellStart"/>
      <w:r>
        <w:t>μmol</w:t>
      </w:r>
      <w:proofErr w:type="spellEnd"/>
      <w:r>
        <w:t xml:space="preserve">/L for CYP2C9. The </w:t>
      </w:r>
      <w:r w:rsidR="0066008F">
        <w:t>PROJECT B</w:t>
      </w:r>
      <w:r>
        <w:t xml:space="preserve"> IC</w:t>
      </w:r>
      <w:r>
        <w:rPr>
          <w:vertAlign w:val="subscript"/>
        </w:rPr>
        <w:t>50</w:t>
      </w:r>
      <w:r>
        <w:t xml:space="preserve"> values for OATP1B1 and OATP1B3-mediated transport were estimated to be &gt; 100 </w:t>
      </w:r>
      <w:proofErr w:type="spellStart"/>
      <w:r>
        <w:t>μmol</w:t>
      </w:r>
      <w:proofErr w:type="spellEnd"/>
      <w:r>
        <w:t>/L.</w:t>
      </w:r>
    </w:p>
    <w:p w:rsidR="00D95A48" w:rsidRDefault="0006778F">
      <w:pPr>
        <w:pStyle w:val="a3"/>
        <w:spacing w:before="112" w:line="261" w:lineRule="auto"/>
        <w:ind w:left="215" w:right="1773"/>
      </w:pPr>
      <w:r>
        <w:t xml:space="preserve">In safety pharmacology studies, </w:t>
      </w:r>
      <w:r w:rsidR="0066008F">
        <w:t>PROJECT B</w:t>
      </w:r>
      <w:r>
        <w:t xml:space="preserve"> did not have an effect on the CNS in rats at doses of ≤ 100 mg/kg. </w:t>
      </w:r>
      <w:r w:rsidR="0066008F">
        <w:t>PROJECT B</w:t>
      </w:r>
      <w:r>
        <w:t xml:space="preserve"> showed statistically significant inhibition of </w:t>
      </w:r>
      <w:proofErr w:type="spellStart"/>
      <w:r>
        <w:t>hERG</w:t>
      </w:r>
      <w:proofErr w:type="spellEnd"/>
      <w:r>
        <w:t xml:space="preserve"> current at doses of ≥ 3 </w:t>
      </w:r>
      <w:proofErr w:type="spellStart"/>
      <w:r>
        <w:t>μmol</w:t>
      </w:r>
      <w:proofErr w:type="spellEnd"/>
      <w:r>
        <w:t xml:space="preserve">/L (1390 ng/mL) (up to a maximum of 25.78% inhibition as compensated rate at 30 </w:t>
      </w:r>
      <w:proofErr w:type="spellStart"/>
      <w:r>
        <w:t>μmol</w:t>
      </w:r>
      <w:proofErr w:type="spellEnd"/>
      <w:r>
        <w:t>/L [13904 ng/mL]); although an IC</w:t>
      </w:r>
      <w:r>
        <w:rPr>
          <w:vertAlign w:val="subscript"/>
        </w:rPr>
        <w:t>50</w:t>
      </w:r>
      <w:r>
        <w:t xml:space="preserve"> value could not be established, it was estimated to be &gt; 30 </w:t>
      </w:r>
      <w:proofErr w:type="spellStart"/>
      <w:r>
        <w:t>μmol</w:t>
      </w:r>
      <w:proofErr w:type="spellEnd"/>
      <w:r>
        <w:t>/L. In the dog cardiovascular and respiratory study (Study</w:t>
      </w:r>
    </w:p>
    <w:p w:rsidR="00D95A48" w:rsidRDefault="0066008F" w:rsidP="00DD14DA">
      <w:pPr>
        <w:pStyle w:val="a3"/>
        <w:spacing w:line="261" w:lineRule="auto"/>
        <w:ind w:left="215" w:right="1706"/>
      </w:pPr>
      <w:r w:rsidRPr="00DD14DA">
        <w:rPr>
          <w:highlight w:val="magenta"/>
        </w:rPr>
        <w:t>Project B</w:t>
      </w:r>
      <w:r w:rsidR="0006778F" w:rsidRPr="00DD14DA">
        <w:rPr>
          <w:highlight w:val="magenta"/>
        </w:rPr>
        <w:t xml:space="preserve">-PT-0004), </w:t>
      </w:r>
      <w:proofErr w:type="spellStart"/>
      <w:r w:rsidR="0006778F" w:rsidRPr="00DD14DA">
        <w:rPr>
          <w:highlight w:val="magenta"/>
        </w:rPr>
        <w:t>QTcF</w:t>
      </w:r>
      <w:proofErr w:type="spellEnd"/>
      <w:r w:rsidR="0006778F" w:rsidRPr="00DD14DA">
        <w:rPr>
          <w:highlight w:val="magenta"/>
        </w:rPr>
        <w:t xml:space="preserve"> prolongation was observed at doses of 100 mg/kg (</w:t>
      </w:r>
      <w:proofErr w:type="spellStart"/>
      <w:r w:rsidR="0006778F" w:rsidRPr="00DD14DA">
        <w:rPr>
          <w:highlight w:val="magenta"/>
        </w:rPr>
        <w:t>C</w:t>
      </w:r>
      <w:r w:rsidR="0006778F" w:rsidRPr="00DD14DA">
        <w:rPr>
          <w:highlight w:val="magenta"/>
          <w:vertAlign w:val="subscript"/>
        </w:rPr>
        <w:t>max,u</w:t>
      </w:r>
      <w:proofErr w:type="spellEnd"/>
      <w:r w:rsidR="0006778F" w:rsidRPr="00DD14DA">
        <w:rPr>
          <w:highlight w:val="magenta"/>
        </w:rPr>
        <w:t xml:space="preserve"> = 8896 to 9190 ng/mL, based on plasma binding protein ratio of 28.2 to 30.5% in dog), and considered to be possibly related to the </w:t>
      </w:r>
      <w:proofErr w:type="spellStart"/>
      <w:r w:rsidR="0006778F" w:rsidRPr="00DD14DA">
        <w:rPr>
          <w:highlight w:val="magenta"/>
        </w:rPr>
        <w:t>hERG</w:t>
      </w:r>
      <w:proofErr w:type="spellEnd"/>
      <w:r w:rsidR="0006778F" w:rsidRPr="00DD14DA">
        <w:rPr>
          <w:highlight w:val="magenta"/>
        </w:rPr>
        <w:t xml:space="preserve"> inhibitory effect of </w:t>
      </w:r>
      <w:r w:rsidRPr="00DD14DA">
        <w:rPr>
          <w:highlight w:val="magenta"/>
        </w:rPr>
        <w:t>PROJECT B</w:t>
      </w:r>
      <w:r w:rsidR="0006778F">
        <w:t xml:space="preserve">. However, the exposure levels are well above the intended clinical exposure, and therefore not regarded as relevant. In contrast, shortenings of PR, QT and </w:t>
      </w:r>
      <w:proofErr w:type="spellStart"/>
      <w:r w:rsidR="0006778F">
        <w:t>QTcM</w:t>
      </w:r>
      <w:proofErr w:type="spellEnd"/>
      <w:r w:rsidR="0006778F">
        <w:t xml:space="preserve"> intervals found at doses of 300 mg/kg in the dog 4-week study (Study </w:t>
      </w:r>
      <w:r>
        <w:t>Project B</w:t>
      </w:r>
      <w:r w:rsidR="0006778F">
        <w:t>-TX-0002) are considered as secondary changes to increased heart rate considering that the heart rate reached excessively high values at doses of</w:t>
      </w:r>
      <w:r w:rsidR="00DD14DA">
        <w:t xml:space="preserve"> </w:t>
      </w:r>
      <w:r w:rsidR="0006778F">
        <w:t xml:space="preserve">300 mg/kg. This study was not specifically designed to examine the effect of </w:t>
      </w:r>
      <w:r>
        <w:t>PROJECT B</w:t>
      </w:r>
      <w:r w:rsidR="0006778F">
        <w:t xml:space="preserve"> on heart rate; therefore, increases in heart rate may occur at lower doses. In dogs, moreover, an increase in heart rate and a decrease in blood pressure were observed. In the rat cardiovascular study, heart rate was increased at doses of 100 mg/kg. In vitro pharmacological study (Study </w:t>
      </w:r>
      <w:r>
        <w:t>Project B</w:t>
      </w:r>
      <w:r w:rsidR="0006778F">
        <w:t xml:space="preserve">-PH-0001) suggested that at concentrations higher than the expected therapeutic concentration, </w:t>
      </w:r>
      <w:r>
        <w:t>PROJECT B</w:t>
      </w:r>
      <w:r w:rsidR="0006778F">
        <w:t xml:space="preserve"> has inhibitory effects on other PDE subtypes in addition to PDE9. Since it is well known that inhibitory effects on PDE3 or PDE5 can cause reflex tachycardia due to vasodilation via increases in cGMP or cyclic adenosine monophosphate (cAMP) [</w:t>
      </w:r>
      <w:proofErr w:type="spellStart"/>
      <w:r w:rsidR="0006778F">
        <w:t>Kaumann</w:t>
      </w:r>
      <w:proofErr w:type="spellEnd"/>
      <w:r w:rsidR="0006778F">
        <w:t xml:space="preserve"> et al, 2009; </w:t>
      </w:r>
      <w:proofErr w:type="spellStart"/>
      <w:r w:rsidR="0006778F">
        <w:t>Kloner</w:t>
      </w:r>
      <w:proofErr w:type="spellEnd"/>
      <w:r w:rsidR="0006778F">
        <w:t xml:space="preserve">, 2004; </w:t>
      </w:r>
      <w:proofErr w:type="spellStart"/>
      <w:r w:rsidR="0006778F">
        <w:t>Brunkhorst</w:t>
      </w:r>
      <w:proofErr w:type="spellEnd"/>
      <w:r w:rsidR="0006778F">
        <w:t xml:space="preserve"> et al, 1989], changes in heart rate and blood pressure by </w:t>
      </w:r>
      <w:r>
        <w:t>PROJECT B</w:t>
      </w:r>
      <w:r w:rsidR="0006778F">
        <w:t xml:space="preserve"> are considered to be possibly related to the inhibitory effects of </w:t>
      </w:r>
      <w:r>
        <w:t>PROJECT B</w:t>
      </w:r>
      <w:r w:rsidR="0006778F">
        <w:t xml:space="preserve"> on other PDE subfamilies.</w:t>
      </w:r>
    </w:p>
    <w:p w:rsidR="00D95A48" w:rsidRDefault="0006778F" w:rsidP="0006778F">
      <w:pPr>
        <w:pStyle w:val="a3"/>
        <w:spacing w:before="102" w:line="261" w:lineRule="auto"/>
        <w:ind w:left="215" w:right="1694"/>
      </w:pPr>
      <w:r w:rsidRPr="00DD14DA">
        <w:rPr>
          <w:highlight w:val="magenta"/>
        </w:rPr>
        <w:t>Histopathological findings including arteritis and myocardial necrosis in the heart were observed in dogs at doses of 300 mg/kg after 1 and 4 weeks of dosing and such effects on</w:t>
      </w:r>
      <w:r w:rsidRPr="00DD14DA">
        <w:rPr>
          <w:spacing w:val="-41"/>
          <w:highlight w:val="magenta"/>
        </w:rPr>
        <w:t xml:space="preserve"> </w:t>
      </w:r>
      <w:r w:rsidRPr="00DD14DA">
        <w:rPr>
          <w:highlight w:val="magenta"/>
        </w:rPr>
        <w:t xml:space="preserve">the cardiovascular system were considered to cause the deterioration in general condition or death. Myocardial necrosis was not seen in the 4-week study in rats but found in a </w:t>
      </w:r>
      <w:r w:rsidRPr="00DD14DA">
        <w:rPr>
          <w:highlight w:val="magenta"/>
        </w:rPr>
        <w:lastRenderedPageBreak/>
        <w:t xml:space="preserve">preliminary 1-week study in rats (Study </w:t>
      </w:r>
      <w:r w:rsidR="0066008F" w:rsidRPr="00DD14DA">
        <w:rPr>
          <w:highlight w:val="magenta"/>
        </w:rPr>
        <w:t>Project B</w:t>
      </w:r>
      <w:r w:rsidRPr="00DD14DA">
        <w:rPr>
          <w:highlight w:val="magenta"/>
        </w:rPr>
        <w:t xml:space="preserve">-TX-0008). In dogs, cardiac troponin I increased a few hours after dosing on day 1, indicating that the effect is acute in nature. As described above, </w:t>
      </w:r>
      <w:r w:rsidR="0066008F" w:rsidRPr="00DD14DA">
        <w:rPr>
          <w:highlight w:val="magenta"/>
        </w:rPr>
        <w:t>PROJECT B</w:t>
      </w:r>
      <w:r w:rsidRPr="00DD14DA">
        <w:rPr>
          <w:highlight w:val="magenta"/>
        </w:rPr>
        <w:t xml:space="preserve"> has the potential to induce tachycardia and increased heart rate at doses of 300 mg/kg as noted in the dog 4-week study where the heart rate reached excessively high values (over 200 beats/min in some animals).</w:t>
      </w:r>
      <w:r>
        <w:t xml:space="preserve"> There have been many reports of cardiac lesions induced by vasodilator agents in preclinical studies [</w:t>
      </w:r>
      <w:proofErr w:type="spellStart"/>
      <w:r>
        <w:t>Clemo</w:t>
      </w:r>
      <w:proofErr w:type="spellEnd"/>
      <w:r>
        <w:t xml:space="preserve"> et</w:t>
      </w:r>
      <w:r>
        <w:rPr>
          <w:spacing w:val="-27"/>
        </w:rPr>
        <w:t xml:space="preserve"> </w:t>
      </w:r>
      <w:r>
        <w:t xml:space="preserve">al, 2003; </w:t>
      </w:r>
      <w:proofErr w:type="spellStart"/>
      <w:r>
        <w:t>Mesfin</w:t>
      </w:r>
      <w:proofErr w:type="spellEnd"/>
      <w:r>
        <w:t xml:space="preserve"> et al, 1995; </w:t>
      </w:r>
      <w:proofErr w:type="spellStart"/>
      <w:r>
        <w:t>Mesfin</w:t>
      </w:r>
      <w:proofErr w:type="spellEnd"/>
      <w:r>
        <w:t xml:space="preserve"> et al, 1987]. Considering that heart rate change and pathologic characteristics induced by these agents are similar to pathological changes seen with </w:t>
      </w:r>
      <w:r w:rsidR="0066008F">
        <w:t>PROJECT B</w:t>
      </w:r>
      <w:r>
        <w:t xml:space="preserve"> (e.g., hemorrhagic lesion indicated by red focus in the right atrium, coronary arteritis, inflammation with hemorrhage), effects on hemodynamics may have played a role in the development of the myocardial necrosis. Although the precise etiology of myocardial necrosis induction by </w:t>
      </w:r>
      <w:r w:rsidR="0066008F">
        <w:t>PROJECT B</w:t>
      </w:r>
      <w:r>
        <w:t xml:space="preserve"> is unclear, it is probable that cardiac damage was secondary to hemodynamic changes. The majority of vasodilator drugs have established clinical safety profiles and are not known to cause any heart damage in man [</w:t>
      </w:r>
      <w:proofErr w:type="spellStart"/>
      <w:r>
        <w:t>Bendjama</w:t>
      </w:r>
      <w:proofErr w:type="spellEnd"/>
      <w:r>
        <w:t xml:space="preserve"> et al, 2014; </w:t>
      </w:r>
      <w:proofErr w:type="spellStart"/>
      <w:r>
        <w:t>Mikaelian</w:t>
      </w:r>
      <w:proofErr w:type="spellEnd"/>
      <w:r>
        <w:t xml:space="preserve"> et al, 2014]. Cardiovascular biomarkers are considered to be necessary to monitor cardiac condition, and include troponins and creatine kinase isozymes for myocardial necrosis, and heart rate and blood pressure for cardiac function. It is well accepted that heart rate and blood pressure can be used as biomarkers of potential vascular injuries caused by vasodilatory agents, such as the ones leading to heart lesions in animals [</w:t>
      </w:r>
      <w:proofErr w:type="spellStart"/>
      <w:r>
        <w:t>Bendjama</w:t>
      </w:r>
      <w:proofErr w:type="spellEnd"/>
      <w:r>
        <w:t xml:space="preserve"> et al, 2014; </w:t>
      </w:r>
      <w:proofErr w:type="spellStart"/>
      <w:r>
        <w:t>Mikaelian</w:t>
      </w:r>
      <w:proofErr w:type="spellEnd"/>
      <w:r>
        <w:t xml:space="preserve"> et al, 2014].</w:t>
      </w:r>
    </w:p>
    <w:p w:rsidR="00D95A48" w:rsidRDefault="0006778F">
      <w:pPr>
        <w:pStyle w:val="a3"/>
        <w:spacing w:before="108" w:line="261" w:lineRule="auto"/>
        <w:ind w:left="215" w:right="1774"/>
      </w:pPr>
      <w:r w:rsidRPr="00DD14DA">
        <w:rPr>
          <w:highlight w:val="magenta"/>
        </w:rPr>
        <w:t>Effects on the gastrointestinal system were indicated as shown by findings in dogs such as vomiting, salivation, abnormal feces and inflammatory cell infiltration in the lamina propria of the stomach (in addition, only at lethal dose, perivascular hemorrhage in the muscle and serosa in the stomach were found).</w:t>
      </w:r>
      <w:r>
        <w:t xml:space="preserve"> Vomiting and abnormal feces are known to be induced by several drugs which have inhibitory effects on PDE3, 4 or 5 ([Tenor et al, 2011] FDA approval packages of milrinone, rolipram, tadalafil, sildenafil, and avanafil). In addition, indigestion and reflux are known as adverse events of PDE5 inhibitors (sildenafil, tadalafil and vardenafil), and reported to be caused by relaxation of smooth muscle [</w:t>
      </w:r>
      <w:proofErr w:type="spellStart"/>
      <w:r>
        <w:t>Rezvanfar</w:t>
      </w:r>
      <w:proofErr w:type="spellEnd"/>
      <w:r>
        <w:t xml:space="preserve"> et al, 2012].</w:t>
      </w:r>
    </w:p>
    <w:p w:rsidR="00D95A48" w:rsidRDefault="0006778F">
      <w:pPr>
        <w:pStyle w:val="a3"/>
        <w:spacing w:before="113" w:line="261" w:lineRule="auto"/>
        <w:ind w:left="215" w:right="1867"/>
      </w:pPr>
      <w:r w:rsidRPr="00DD14DA">
        <w:rPr>
          <w:highlight w:val="magenta"/>
        </w:rPr>
        <w:t xml:space="preserve">Focal peribronchiolar inflammatory cell infiltration, focal inflammatory cell infiltration in bronchiolar lumen and </w:t>
      </w:r>
      <w:proofErr w:type="spellStart"/>
      <w:r w:rsidRPr="00DD14DA">
        <w:rPr>
          <w:highlight w:val="magenta"/>
        </w:rPr>
        <w:t>intraepithelium</w:t>
      </w:r>
      <w:proofErr w:type="spellEnd"/>
      <w:r w:rsidRPr="00DD14DA">
        <w:rPr>
          <w:highlight w:val="magenta"/>
        </w:rPr>
        <w:t>, hypertrophy of the bronchiole epithelium and foam cell accumulation in the lung at doses of 30 mg/kg were found in dogs.</w:t>
      </w:r>
      <w:bookmarkStart w:id="47" w:name="_GoBack"/>
      <w:bookmarkEnd w:id="47"/>
      <w:r>
        <w:t xml:space="preserve"> Findings were possibly caused by aspiration of vomit which was noted dose-dependently; however, the detailed mechanism is unclear.</w:t>
      </w:r>
    </w:p>
    <w:p w:rsidR="00D95A48" w:rsidRDefault="0006778F">
      <w:pPr>
        <w:pStyle w:val="a3"/>
        <w:spacing w:before="116" w:line="261" w:lineRule="auto"/>
        <w:ind w:left="215" w:right="1707"/>
      </w:pPr>
      <w:r>
        <w:t>In the preliminary embryo-fetal development study in rats, thymic cord in fetus was found at doses of 100 mg/kg. Thymic cord is incidentally seen in rats and generally classified as not being an abnormality but a variation. Therefore, this finding is not considered to affect fetal mortality or physiological function (not regarded as risk of teratogenicity).</w:t>
      </w:r>
    </w:p>
    <w:p w:rsidR="00D95A48" w:rsidRDefault="0066008F">
      <w:pPr>
        <w:pStyle w:val="a3"/>
        <w:spacing w:before="117"/>
        <w:ind w:left="215"/>
      </w:pPr>
      <w:r>
        <w:t>PROJECT B</w:t>
      </w:r>
      <w:r w:rsidR="0006778F">
        <w:t xml:space="preserve"> revealed neither in vitro genotoxic nor phototoxic potential.</w:t>
      </w:r>
    </w:p>
    <w:p w:rsidR="00D95A48" w:rsidRDefault="0006778F">
      <w:pPr>
        <w:pStyle w:val="a3"/>
        <w:spacing w:before="144"/>
        <w:ind w:left="215"/>
      </w:pPr>
      <w:r>
        <w:t xml:space="preserve">Mean plasma exposure levels of </w:t>
      </w:r>
      <w:r w:rsidR="0066008F">
        <w:t>PROJECT B</w:t>
      </w:r>
      <w:r>
        <w:t xml:space="preserve"> in animals are shown in [</w:t>
      </w:r>
      <w:hyperlink w:anchor="_bookmark51" w:history="1">
        <w:r>
          <w:t>Table 3</w:t>
        </w:r>
      </w:hyperlink>
      <w:r>
        <w:t>].</w:t>
      </w:r>
    </w:p>
    <w:p w:rsidR="00D95A48" w:rsidRDefault="00D95A48">
      <w:pPr>
        <w:sectPr w:rsidR="00D95A48">
          <w:headerReference w:type="default" r:id="rId7"/>
          <w:pgSz w:w="12240" w:h="15840"/>
          <w:pgMar w:top="1240" w:right="0" w:bottom="940" w:left="1400" w:header="581" w:footer="748" w:gutter="0"/>
          <w:cols w:space="720"/>
        </w:sectPr>
      </w:pPr>
    </w:p>
    <w:p w:rsidR="00D95A48" w:rsidRDefault="00D95A48">
      <w:pPr>
        <w:pStyle w:val="a3"/>
        <w:rPr>
          <w:sz w:val="20"/>
        </w:rPr>
      </w:pPr>
    </w:p>
    <w:p w:rsidR="00D95A48" w:rsidRDefault="0006778F">
      <w:pPr>
        <w:pStyle w:val="3"/>
        <w:tabs>
          <w:tab w:val="left" w:pos="1633"/>
        </w:tabs>
        <w:spacing w:before="208"/>
        <w:ind w:left="215"/>
      </w:pPr>
      <w:bookmarkStart w:id="48" w:name="_bookmark51"/>
      <w:bookmarkEnd w:id="48"/>
      <w:r>
        <w:t>Table</w:t>
      </w:r>
      <w:r>
        <w:rPr>
          <w:spacing w:val="-1"/>
        </w:rPr>
        <w:t xml:space="preserve"> </w:t>
      </w:r>
      <w:r>
        <w:t>3</w:t>
      </w:r>
      <w:r>
        <w:tab/>
        <w:t>Mean Plasma Exposure Levels of Safety</w:t>
      </w:r>
      <w:r>
        <w:rPr>
          <w:spacing w:val="-6"/>
        </w:rPr>
        <w:t xml:space="preserve"> </w:t>
      </w:r>
      <w:r>
        <w:t>Studies</w:t>
      </w:r>
    </w:p>
    <w:p w:rsidR="00D95A48" w:rsidRDefault="00D95A48">
      <w:pPr>
        <w:pStyle w:val="a3"/>
        <w:spacing w:before="6"/>
        <w:rPr>
          <w:b/>
          <w:sz w:val="5"/>
        </w:rPr>
      </w:pPr>
    </w:p>
    <w:tbl>
      <w:tblPr>
        <w:tblStyle w:val="TableNormal"/>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71"/>
        <w:gridCol w:w="1968"/>
        <w:gridCol w:w="1325"/>
        <w:gridCol w:w="564"/>
        <w:gridCol w:w="232"/>
        <w:gridCol w:w="449"/>
        <w:gridCol w:w="1552"/>
        <w:gridCol w:w="1660"/>
      </w:tblGrid>
      <w:tr w:rsidR="00D95A48">
        <w:trPr>
          <w:trHeight w:val="880"/>
        </w:trPr>
        <w:tc>
          <w:tcPr>
            <w:tcW w:w="1471" w:type="dxa"/>
            <w:tcBorders>
              <w:bottom w:val="single" w:sz="2" w:space="0" w:color="000000"/>
              <w:right w:val="single" w:sz="2" w:space="0" w:color="000000"/>
            </w:tcBorders>
          </w:tcPr>
          <w:p w:rsidR="00D95A48" w:rsidRDefault="00D95A48">
            <w:pPr>
              <w:pStyle w:val="TableParagraph"/>
              <w:spacing w:before="2"/>
              <w:jc w:val="left"/>
              <w:rPr>
                <w:b/>
                <w:sz w:val="28"/>
              </w:rPr>
            </w:pPr>
          </w:p>
          <w:p w:rsidR="00D95A48" w:rsidRDefault="0006778F">
            <w:pPr>
              <w:pStyle w:val="TableParagraph"/>
              <w:ind w:left="107"/>
              <w:jc w:val="left"/>
              <w:rPr>
                <w:b/>
                <w:sz w:val="20"/>
              </w:rPr>
            </w:pPr>
            <w:r>
              <w:rPr>
                <w:b/>
                <w:sz w:val="20"/>
              </w:rPr>
              <w:t>Study No.</w:t>
            </w:r>
          </w:p>
        </w:tc>
        <w:tc>
          <w:tcPr>
            <w:tcW w:w="1968" w:type="dxa"/>
            <w:tcBorders>
              <w:left w:val="single" w:sz="2" w:space="0" w:color="000000"/>
              <w:bottom w:val="single" w:sz="2" w:space="0" w:color="000000"/>
              <w:right w:val="single" w:sz="2" w:space="0" w:color="000000"/>
            </w:tcBorders>
          </w:tcPr>
          <w:p w:rsidR="00D95A48" w:rsidRDefault="00D95A48">
            <w:pPr>
              <w:pStyle w:val="TableParagraph"/>
              <w:spacing w:before="2"/>
              <w:jc w:val="left"/>
              <w:rPr>
                <w:b/>
                <w:sz w:val="18"/>
              </w:rPr>
            </w:pPr>
          </w:p>
          <w:p w:rsidR="00D95A48" w:rsidRDefault="0006778F">
            <w:pPr>
              <w:pStyle w:val="TableParagraph"/>
              <w:ind w:left="319" w:firstLine="84"/>
              <w:jc w:val="left"/>
              <w:rPr>
                <w:b/>
                <w:sz w:val="20"/>
              </w:rPr>
            </w:pPr>
            <w:r>
              <w:rPr>
                <w:b/>
                <w:sz w:val="20"/>
              </w:rPr>
              <w:t xml:space="preserve">Species/Study </w:t>
            </w:r>
            <w:r>
              <w:rPr>
                <w:b/>
                <w:w w:val="95"/>
                <w:sz w:val="20"/>
              </w:rPr>
              <w:t>Duration/Route</w:t>
            </w:r>
          </w:p>
        </w:tc>
        <w:tc>
          <w:tcPr>
            <w:tcW w:w="1889" w:type="dxa"/>
            <w:gridSpan w:val="2"/>
            <w:tcBorders>
              <w:left w:val="single" w:sz="2" w:space="0" w:color="000000"/>
              <w:bottom w:val="single" w:sz="2" w:space="0" w:color="000000"/>
              <w:right w:val="single" w:sz="2" w:space="0" w:color="000000"/>
            </w:tcBorders>
          </w:tcPr>
          <w:p w:rsidR="00D95A48" w:rsidRDefault="0006778F">
            <w:pPr>
              <w:pStyle w:val="TableParagraph"/>
              <w:spacing w:before="93"/>
              <w:ind w:left="432" w:right="398" w:firstLine="312"/>
              <w:jc w:val="left"/>
              <w:rPr>
                <w:b/>
                <w:sz w:val="20"/>
              </w:rPr>
            </w:pPr>
            <w:r>
              <w:rPr>
                <w:b/>
                <w:sz w:val="20"/>
              </w:rPr>
              <w:t>Dose (mg/kg/day)</w:t>
            </w:r>
          </w:p>
        </w:tc>
        <w:tc>
          <w:tcPr>
            <w:tcW w:w="681" w:type="dxa"/>
            <w:gridSpan w:val="2"/>
            <w:tcBorders>
              <w:left w:val="single" w:sz="2" w:space="0" w:color="000000"/>
              <w:bottom w:val="single" w:sz="2" w:space="0" w:color="000000"/>
              <w:right w:val="single" w:sz="2" w:space="0" w:color="000000"/>
            </w:tcBorders>
          </w:tcPr>
          <w:p w:rsidR="00D95A48" w:rsidRDefault="00D95A48">
            <w:pPr>
              <w:pStyle w:val="TableParagraph"/>
              <w:spacing w:before="2"/>
              <w:jc w:val="left"/>
              <w:rPr>
                <w:b/>
                <w:sz w:val="28"/>
              </w:rPr>
            </w:pPr>
          </w:p>
          <w:p w:rsidR="00D95A48" w:rsidRDefault="0006778F">
            <w:pPr>
              <w:pStyle w:val="TableParagraph"/>
              <w:ind w:left="194"/>
              <w:jc w:val="left"/>
              <w:rPr>
                <w:b/>
                <w:sz w:val="20"/>
              </w:rPr>
            </w:pPr>
            <w:r>
              <w:rPr>
                <w:b/>
                <w:sz w:val="20"/>
              </w:rPr>
              <w:t>Sex</w:t>
            </w:r>
          </w:p>
        </w:tc>
        <w:tc>
          <w:tcPr>
            <w:tcW w:w="1552" w:type="dxa"/>
            <w:tcBorders>
              <w:left w:val="single" w:sz="2" w:space="0" w:color="000000"/>
              <w:bottom w:val="single" w:sz="2" w:space="0" w:color="000000"/>
              <w:right w:val="single" w:sz="2" w:space="0" w:color="000000"/>
            </w:tcBorders>
          </w:tcPr>
          <w:p w:rsidR="00D95A48" w:rsidRDefault="0006778F">
            <w:pPr>
              <w:pStyle w:val="TableParagraph"/>
              <w:spacing w:before="209"/>
              <w:ind w:left="214" w:firstLine="36"/>
              <w:jc w:val="left"/>
              <w:rPr>
                <w:b/>
                <w:sz w:val="20"/>
              </w:rPr>
            </w:pPr>
            <w:r>
              <w:rPr>
                <w:b/>
                <w:sz w:val="20"/>
              </w:rPr>
              <w:t xml:space="preserve">Steady State </w:t>
            </w:r>
            <w:proofErr w:type="spellStart"/>
            <w:r>
              <w:rPr>
                <w:b/>
                <w:sz w:val="20"/>
              </w:rPr>
              <w:t>C</w:t>
            </w:r>
            <w:r>
              <w:rPr>
                <w:b/>
                <w:sz w:val="20"/>
                <w:vertAlign w:val="subscript"/>
              </w:rPr>
              <w:t>max</w:t>
            </w:r>
            <w:proofErr w:type="spellEnd"/>
            <w:r>
              <w:rPr>
                <w:b/>
                <w:sz w:val="20"/>
              </w:rPr>
              <w:t xml:space="preserve"> (ng/mL)</w:t>
            </w:r>
          </w:p>
        </w:tc>
        <w:tc>
          <w:tcPr>
            <w:tcW w:w="1660" w:type="dxa"/>
            <w:tcBorders>
              <w:left w:val="single" w:sz="2" w:space="0" w:color="000000"/>
              <w:bottom w:val="single" w:sz="2" w:space="0" w:color="000000"/>
            </w:tcBorders>
          </w:tcPr>
          <w:p w:rsidR="00D95A48" w:rsidRDefault="0006778F">
            <w:pPr>
              <w:pStyle w:val="TableParagraph"/>
              <w:spacing w:before="93"/>
              <w:ind w:left="306" w:right="279"/>
              <w:rPr>
                <w:b/>
                <w:sz w:val="20"/>
              </w:rPr>
            </w:pPr>
            <w:r>
              <w:rPr>
                <w:b/>
                <w:sz w:val="20"/>
              </w:rPr>
              <w:t>Steady State AUC</w:t>
            </w:r>
            <w:r>
              <w:rPr>
                <w:b/>
                <w:sz w:val="20"/>
                <w:vertAlign w:val="subscript"/>
              </w:rPr>
              <w:t>24</w:t>
            </w:r>
          </w:p>
          <w:p w:rsidR="00D95A48" w:rsidRDefault="0006778F">
            <w:pPr>
              <w:pStyle w:val="TableParagraph"/>
              <w:spacing w:line="228" w:lineRule="exact"/>
              <w:ind w:left="300" w:right="279"/>
              <w:rPr>
                <w:b/>
                <w:sz w:val="20"/>
              </w:rPr>
            </w:pPr>
            <w:r>
              <w:rPr>
                <w:b/>
                <w:sz w:val="20"/>
              </w:rPr>
              <w:t>(</w:t>
            </w:r>
            <w:proofErr w:type="spellStart"/>
            <w:r>
              <w:rPr>
                <w:b/>
                <w:sz w:val="20"/>
              </w:rPr>
              <w:t>ng.h</w:t>
            </w:r>
            <w:proofErr w:type="spellEnd"/>
            <w:r>
              <w:rPr>
                <w:b/>
                <w:sz w:val="20"/>
              </w:rPr>
              <w:t>/mL)</w:t>
            </w:r>
          </w:p>
        </w:tc>
      </w:tr>
      <w:tr w:rsidR="00D95A48">
        <w:trPr>
          <w:trHeight w:val="237"/>
        </w:trPr>
        <w:tc>
          <w:tcPr>
            <w:tcW w:w="1471" w:type="dxa"/>
            <w:vMerge w:val="restart"/>
            <w:tcBorders>
              <w:top w:val="single" w:sz="2" w:space="0" w:color="000000"/>
              <w:bottom w:val="single" w:sz="2" w:space="0" w:color="000000"/>
              <w:right w:val="single" w:sz="2" w:space="0" w:color="000000"/>
            </w:tcBorders>
          </w:tcPr>
          <w:p w:rsidR="00D95A48" w:rsidRDefault="00D95A48">
            <w:pPr>
              <w:pStyle w:val="TableParagraph"/>
              <w:jc w:val="left"/>
              <w:rPr>
                <w:b/>
                <w:sz w:val="20"/>
              </w:rPr>
            </w:pPr>
          </w:p>
          <w:p w:rsidR="00D95A48" w:rsidRDefault="00D95A48">
            <w:pPr>
              <w:pStyle w:val="TableParagraph"/>
              <w:jc w:val="left"/>
              <w:rPr>
                <w:b/>
                <w:sz w:val="20"/>
              </w:rPr>
            </w:pPr>
          </w:p>
          <w:p w:rsidR="00D95A48" w:rsidRDefault="00D95A48">
            <w:pPr>
              <w:pStyle w:val="TableParagraph"/>
              <w:jc w:val="left"/>
              <w:rPr>
                <w:b/>
                <w:sz w:val="20"/>
              </w:rPr>
            </w:pPr>
          </w:p>
          <w:p w:rsidR="00D95A48" w:rsidRDefault="0066008F">
            <w:pPr>
              <w:pStyle w:val="TableParagraph"/>
              <w:spacing w:before="171"/>
              <w:ind w:left="107"/>
              <w:jc w:val="left"/>
              <w:rPr>
                <w:sz w:val="18"/>
              </w:rPr>
            </w:pPr>
            <w:r>
              <w:rPr>
                <w:sz w:val="18"/>
              </w:rPr>
              <w:t>Project B</w:t>
            </w:r>
            <w:r w:rsidR="0006778F">
              <w:rPr>
                <w:sz w:val="18"/>
              </w:rPr>
              <w:t>-TX-0001</w:t>
            </w:r>
          </w:p>
        </w:tc>
        <w:tc>
          <w:tcPr>
            <w:tcW w:w="1968" w:type="dxa"/>
            <w:vMerge w:val="restart"/>
            <w:tcBorders>
              <w:top w:val="single" w:sz="2" w:space="0" w:color="000000"/>
              <w:left w:val="single" w:sz="2" w:space="0" w:color="000000"/>
              <w:bottom w:val="single" w:sz="2" w:space="0" w:color="000000"/>
              <w:right w:val="single" w:sz="2" w:space="0" w:color="000000"/>
            </w:tcBorders>
          </w:tcPr>
          <w:p w:rsidR="00D95A48" w:rsidRDefault="00D95A48">
            <w:pPr>
              <w:pStyle w:val="TableParagraph"/>
              <w:jc w:val="left"/>
              <w:rPr>
                <w:b/>
                <w:sz w:val="20"/>
              </w:rPr>
            </w:pPr>
          </w:p>
          <w:p w:rsidR="00D95A48" w:rsidRDefault="00D95A48">
            <w:pPr>
              <w:pStyle w:val="TableParagraph"/>
              <w:jc w:val="left"/>
              <w:rPr>
                <w:b/>
                <w:sz w:val="20"/>
              </w:rPr>
            </w:pPr>
          </w:p>
          <w:p w:rsidR="00D95A48" w:rsidRDefault="00D95A48">
            <w:pPr>
              <w:pStyle w:val="TableParagraph"/>
              <w:jc w:val="left"/>
              <w:rPr>
                <w:b/>
                <w:sz w:val="20"/>
              </w:rPr>
            </w:pPr>
          </w:p>
          <w:p w:rsidR="00D95A48" w:rsidRDefault="0006778F">
            <w:pPr>
              <w:pStyle w:val="TableParagraph"/>
              <w:spacing w:before="171"/>
              <w:ind w:left="420"/>
              <w:jc w:val="left"/>
              <w:rPr>
                <w:sz w:val="18"/>
              </w:rPr>
            </w:pPr>
            <w:r>
              <w:rPr>
                <w:sz w:val="18"/>
              </w:rPr>
              <w:t>Rat, 4-week, po</w:t>
            </w:r>
          </w:p>
        </w:tc>
        <w:tc>
          <w:tcPr>
            <w:tcW w:w="1889" w:type="dxa"/>
            <w:gridSpan w:val="2"/>
            <w:vMerge w:val="restart"/>
            <w:tcBorders>
              <w:top w:val="single" w:sz="2" w:space="0" w:color="000000"/>
              <w:left w:val="single" w:sz="2" w:space="0" w:color="000000"/>
              <w:bottom w:val="single" w:sz="2" w:space="0" w:color="000000"/>
              <w:right w:val="single" w:sz="2" w:space="0" w:color="000000"/>
            </w:tcBorders>
          </w:tcPr>
          <w:p w:rsidR="00D95A48" w:rsidRDefault="0006778F">
            <w:pPr>
              <w:pStyle w:val="TableParagraph"/>
              <w:spacing w:before="132"/>
              <w:ind w:left="795" w:right="778"/>
              <w:rPr>
                <w:sz w:val="18"/>
              </w:rPr>
            </w:pPr>
            <w:r>
              <w:rPr>
                <w:sz w:val="18"/>
              </w:rPr>
              <w:t>10</w:t>
            </w:r>
          </w:p>
        </w:tc>
        <w:tc>
          <w:tcPr>
            <w:tcW w:w="681" w:type="dxa"/>
            <w:gridSpan w:val="2"/>
            <w:tcBorders>
              <w:top w:val="single" w:sz="2" w:space="0" w:color="000000"/>
              <w:left w:val="single" w:sz="2" w:space="0" w:color="000000"/>
              <w:bottom w:val="single" w:sz="2" w:space="0" w:color="000000"/>
              <w:right w:val="single" w:sz="2" w:space="0" w:color="000000"/>
            </w:tcBorders>
          </w:tcPr>
          <w:p w:rsidR="00D95A48" w:rsidRDefault="0006778F">
            <w:pPr>
              <w:pStyle w:val="TableParagraph"/>
              <w:spacing w:line="202" w:lineRule="exact"/>
              <w:ind w:left="11"/>
              <w:rPr>
                <w:sz w:val="18"/>
              </w:rPr>
            </w:pPr>
            <w:r>
              <w:rPr>
                <w:sz w:val="18"/>
              </w:rPr>
              <w:t>M</w:t>
            </w:r>
          </w:p>
        </w:tc>
        <w:tc>
          <w:tcPr>
            <w:tcW w:w="1552" w:type="dxa"/>
            <w:tcBorders>
              <w:top w:val="single" w:sz="2" w:space="0" w:color="000000"/>
              <w:left w:val="single" w:sz="2" w:space="0" w:color="000000"/>
              <w:bottom w:val="single" w:sz="2" w:space="0" w:color="000000"/>
              <w:right w:val="single" w:sz="2" w:space="0" w:color="000000"/>
            </w:tcBorders>
          </w:tcPr>
          <w:p w:rsidR="00D95A48" w:rsidRDefault="0006778F">
            <w:pPr>
              <w:pStyle w:val="TableParagraph"/>
              <w:spacing w:line="202" w:lineRule="exact"/>
              <w:ind w:left="536" w:right="518"/>
              <w:rPr>
                <w:sz w:val="18"/>
              </w:rPr>
            </w:pPr>
            <w:r>
              <w:rPr>
                <w:sz w:val="18"/>
              </w:rPr>
              <w:t>288</w:t>
            </w:r>
          </w:p>
        </w:tc>
        <w:tc>
          <w:tcPr>
            <w:tcW w:w="1660" w:type="dxa"/>
            <w:tcBorders>
              <w:top w:val="single" w:sz="2" w:space="0" w:color="000000"/>
              <w:left w:val="single" w:sz="2" w:space="0" w:color="000000"/>
              <w:bottom w:val="single" w:sz="2" w:space="0" w:color="000000"/>
            </w:tcBorders>
          </w:tcPr>
          <w:p w:rsidR="00D95A48" w:rsidRDefault="0006778F">
            <w:pPr>
              <w:pStyle w:val="TableParagraph"/>
              <w:spacing w:line="202" w:lineRule="exact"/>
              <w:ind w:left="306" w:right="279"/>
              <w:rPr>
                <w:sz w:val="18"/>
              </w:rPr>
            </w:pPr>
            <w:r>
              <w:rPr>
                <w:sz w:val="18"/>
              </w:rPr>
              <w:t>773</w:t>
            </w:r>
          </w:p>
        </w:tc>
      </w:tr>
      <w:tr w:rsidR="00D95A48">
        <w:trPr>
          <w:trHeight w:val="239"/>
        </w:trPr>
        <w:tc>
          <w:tcPr>
            <w:tcW w:w="1471" w:type="dxa"/>
            <w:vMerge/>
            <w:tcBorders>
              <w:top w:val="nil"/>
              <w:bottom w:val="single" w:sz="2" w:space="0" w:color="000000"/>
              <w:right w:val="single" w:sz="2" w:space="0" w:color="000000"/>
            </w:tcBorders>
          </w:tcPr>
          <w:p w:rsidR="00D95A48" w:rsidRDefault="00D95A48">
            <w:pPr>
              <w:rPr>
                <w:sz w:val="2"/>
                <w:szCs w:val="2"/>
              </w:rPr>
            </w:pPr>
          </w:p>
        </w:tc>
        <w:tc>
          <w:tcPr>
            <w:tcW w:w="1968" w:type="dxa"/>
            <w:vMerge/>
            <w:tcBorders>
              <w:top w:val="nil"/>
              <w:left w:val="single" w:sz="2" w:space="0" w:color="000000"/>
              <w:bottom w:val="single" w:sz="2" w:space="0" w:color="000000"/>
              <w:right w:val="single" w:sz="2" w:space="0" w:color="000000"/>
            </w:tcBorders>
          </w:tcPr>
          <w:p w:rsidR="00D95A48" w:rsidRDefault="00D95A48">
            <w:pPr>
              <w:rPr>
                <w:sz w:val="2"/>
                <w:szCs w:val="2"/>
              </w:rPr>
            </w:pPr>
          </w:p>
        </w:tc>
        <w:tc>
          <w:tcPr>
            <w:tcW w:w="1889" w:type="dxa"/>
            <w:gridSpan w:val="2"/>
            <w:vMerge/>
            <w:tcBorders>
              <w:top w:val="nil"/>
              <w:left w:val="single" w:sz="2" w:space="0" w:color="000000"/>
              <w:bottom w:val="single" w:sz="2" w:space="0" w:color="000000"/>
              <w:right w:val="single" w:sz="2" w:space="0" w:color="000000"/>
            </w:tcBorders>
          </w:tcPr>
          <w:p w:rsidR="00D95A48" w:rsidRDefault="00D95A48">
            <w:pPr>
              <w:rPr>
                <w:sz w:val="2"/>
                <w:szCs w:val="2"/>
              </w:rPr>
            </w:pPr>
          </w:p>
        </w:tc>
        <w:tc>
          <w:tcPr>
            <w:tcW w:w="681" w:type="dxa"/>
            <w:gridSpan w:val="2"/>
            <w:tcBorders>
              <w:top w:val="single" w:sz="2" w:space="0" w:color="000000"/>
              <w:left w:val="single" w:sz="2" w:space="0" w:color="000000"/>
              <w:bottom w:val="single" w:sz="2" w:space="0" w:color="000000"/>
              <w:right w:val="single" w:sz="2" w:space="0" w:color="000000"/>
            </w:tcBorders>
          </w:tcPr>
          <w:p w:rsidR="00D95A48" w:rsidRDefault="0006778F">
            <w:pPr>
              <w:pStyle w:val="TableParagraph"/>
              <w:spacing w:line="202" w:lineRule="exact"/>
              <w:ind w:left="14"/>
              <w:rPr>
                <w:sz w:val="18"/>
              </w:rPr>
            </w:pPr>
            <w:r>
              <w:rPr>
                <w:sz w:val="18"/>
              </w:rPr>
              <w:t>F</w:t>
            </w:r>
          </w:p>
        </w:tc>
        <w:tc>
          <w:tcPr>
            <w:tcW w:w="1552" w:type="dxa"/>
            <w:tcBorders>
              <w:top w:val="single" w:sz="2" w:space="0" w:color="000000"/>
              <w:left w:val="single" w:sz="2" w:space="0" w:color="000000"/>
              <w:bottom w:val="single" w:sz="2" w:space="0" w:color="000000"/>
              <w:right w:val="single" w:sz="2" w:space="0" w:color="000000"/>
            </w:tcBorders>
          </w:tcPr>
          <w:p w:rsidR="00D95A48" w:rsidRDefault="0006778F">
            <w:pPr>
              <w:pStyle w:val="TableParagraph"/>
              <w:spacing w:line="202" w:lineRule="exact"/>
              <w:ind w:left="536" w:right="518"/>
              <w:rPr>
                <w:sz w:val="18"/>
              </w:rPr>
            </w:pPr>
            <w:r>
              <w:rPr>
                <w:sz w:val="18"/>
              </w:rPr>
              <w:t>793</w:t>
            </w:r>
          </w:p>
        </w:tc>
        <w:tc>
          <w:tcPr>
            <w:tcW w:w="1660" w:type="dxa"/>
            <w:tcBorders>
              <w:top w:val="single" w:sz="2" w:space="0" w:color="000000"/>
              <w:left w:val="single" w:sz="2" w:space="0" w:color="000000"/>
              <w:bottom w:val="single" w:sz="2" w:space="0" w:color="000000"/>
            </w:tcBorders>
          </w:tcPr>
          <w:p w:rsidR="00D95A48" w:rsidRDefault="0006778F">
            <w:pPr>
              <w:pStyle w:val="TableParagraph"/>
              <w:spacing w:line="202" w:lineRule="exact"/>
              <w:ind w:left="303" w:right="279"/>
              <w:rPr>
                <w:sz w:val="18"/>
              </w:rPr>
            </w:pPr>
            <w:r>
              <w:rPr>
                <w:sz w:val="18"/>
              </w:rPr>
              <w:t>1330</w:t>
            </w:r>
          </w:p>
        </w:tc>
      </w:tr>
      <w:tr w:rsidR="00D95A48">
        <w:trPr>
          <w:trHeight w:val="237"/>
        </w:trPr>
        <w:tc>
          <w:tcPr>
            <w:tcW w:w="1471" w:type="dxa"/>
            <w:vMerge/>
            <w:tcBorders>
              <w:top w:val="nil"/>
              <w:bottom w:val="single" w:sz="2" w:space="0" w:color="000000"/>
              <w:right w:val="single" w:sz="2" w:space="0" w:color="000000"/>
            </w:tcBorders>
          </w:tcPr>
          <w:p w:rsidR="00D95A48" w:rsidRDefault="00D95A48">
            <w:pPr>
              <w:rPr>
                <w:sz w:val="2"/>
                <w:szCs w:val="2"/>
              </w:rPr>
            </w:pPr>
          </w:p>
        </w:tc>
        <w:tc>
          <w:tcPr>
            <w:tcW w:w="1968" w:type="dxa"/>
            <w:vMerge/>
            <w:tcBorders>
              <w:top w:val="nil"/>
              <w:left w:val="single" w:sz="2" w:space="0" w:color="000000"/>
              <w:bottom w:val="single" w:sz="2" w:space="0" w:color="000000"/>
              <w:right w:val="single" w:sz="2" w:space="0" w:color="000000"/>
            </w:tcBorders>
          </w:tcPr>
          <w:p w:rsidR="00D95A48" w:rsidRDefault="00D95A48">
            <w:pPr>
              <w:rPr>
                <w:sz w:val="2"/>
                <w:szCs w:val="2"/>
              </w:rPr>
            </w:pPr>
          </w:p>
        </w:tc>
        <w:tc>
          <w:tcPr>
            <w:tcW w:w="1889" w:type="dxa"/>
            <w:gridSpan w:val="2"/>
            <w:vMerge w:val="restart"/>
            <w:tcBorders>
              <w:top w:val="single" w:sz="2" w:space="0" w:color="000000"/>
              <w:left w:val="single" w:sz="2" w:space="0" w:color="000000"/>
              <w:bottom w:val="single" w:sz="2" w:space="0" w:color="000000"/>
              <w:right w:val="single" w:sz="2" w:space="0" w:color="000000"/>
            </w:tcBorders>
          </w:tcPr>
          <w:p w:rsidR="00D95A48" w:rsidRDefault="0006778F">
            <w:pPr>
              <w:pStyle w:val="TableParagraph"/>
              <w:spacing w:before="132"/>
              <w:ind w:left="795" w:right="778"/>
              <w:rPr>
                <w:sz w:val="18"/>
              </w:rPr>
            </w:pPr>
            <w:r>
              <w:rPr>
                <w:sz w:val="18"/>
              </w:rPr>
              <w:t>30</w:t>
            </w:r>
          </w:p>
        </w:tc>
        <w:tc>
          <w:tcPr>
            <w:tcW w:w="681" w:type="dxa"/>
            <w:gridSpan w:val="2"/>
            <w:tcBorders>
              <w:top w:val="single" w:sz="2" w:space="0" w:color="000000"/>
              <w:left w:val="single" w:sz="2" w:space="0" w:color="000000"/>
              <w:bottom w:val="single" w:sz="2" w:space="0" w:color="000000"/>
              <w:right w:val="single" w:sz="2" w:space="0" w:color="000000"/>
            </w:tcBorders>
          </w:tcPr>
          <w:p w:rsidR="00D95A48" w:rsidRDefault="0006778F">
            <w:pPr>
              <w:pStyle w:val="TableParagraph"/>
              <w:spacing w:line="202" w:lineRule="exact"/>
              <w:ind w:left="11"/>
              <w:rPr>
                <w:sz w:val="18"/>
              </w:rPr>
            </w:pPr>
            <w:r>
              <w:rPr>
                <w:sz w:val="18"/>
              </w:rPr>
              <w:t>M</w:t>
            </w:r>
          </w:p>
        </w:tc>
        <w:tc>
          <w:tcPr>
            <w:tcW w:w="1552" w:type="dxa"/>
            <w:tcBorders>
              <w:top w:val="single" w:sz="2" w:space="0" w:color="000000"/>
              <w:left w:val="single" w:sz="2" w:space="0" w:color="000000"/>
              <w:bottom w:val="single" w:sz="2" w:space="0" w:color="000000"/>
              <w:right w:val="single" w:sz="2" w:space="0" w:color="000000"/>
            </w:tcBorders>
          </w:tcPr>
          <w:p w:rsidR="00D95A48" w:rsidRDefault="0006778F">
            <w:pPr>
              <w:pStyle w:val="TableParagraph"/>
              <w:spacing w:line="202" w:lineRule="exact"/>
              <w:ind w:left="536" w:right="521"/>
              <w:rPr>
                <w:sz w:val="18"/>
              </w:rPr>
            </w:pPr>
            <w:r>
              <w:rPr>
                <w:sz w:val="18"/>
              </w:rPr>
              <w:t>1270</w:t>
            </w:r>
          </w:p>
        </w:tc>
        <w:tc>
          <w:tcPr>
            <w:tcW w:w="1660" w:type="dxa"/>
            <w:tcBorders>
              <w:top w:val="single" w:sz="2" w:space="0" w:color="000000"/>
              <w:left w:val="single" w:sz="2" w:space="0" w:color="000000"/>
              <w:bottom w:val="single" w:sz="2" w:space="0" w:color="000000"/>
            </w:tcBorders>
          </w:tcPr>
          <w:p w:rsidR="00D95A48" w:rsidRDefault="0006778F">
            <w:pPr>
              <w:pStyle w:val="TableParagraph"/>
              <w:spacing w:line="202" w:lineRule="exact"/>
              <w:ind w:left="303" w:right="279"/>
              <w:rPr>
                <w:sz w:val="18"/>
              </w:rPr>
            </w:pPr>
            <w:r>
              <w:rPr>
                <w:sz w:val="18"/>
              </w:rPr>
              <w:t>3020</w:t>
            </w:r>
          </w:p>
        </w:tc>
      </w:tr>
      <w:tr w:rsidR="00D95A48">
        <w:trPr>
          <w:trHeight w:val="237"/>
        </w:trPr>
        <w:tc>
          <w:tcPr>
            <w:tcW w:w="1471" w:type="dxa"/>
            <w:vMerge/>
            <w:tcBorders>
              <w:top w:val="nil"/>
              <w:bottom w:val="single" w:sz="2" w:space="0" w:color="000000"/>
              <w:right w:val="single" w:sz="2" w:space="0" w:color="000000"/>
            </w:tcBorders>
          </w:tcPr>
          <w:p w:rsidR="00D95A48" w:rsidRDefault="00D95A48">
            <w:pPr>
              <w:rPr>
                <w:sz w:val="2"/>
                <w:szCs w:val="2"/>
              </w:rPr>
            </w:pPr>
          </w:p>
        </w:tc>
        <w:tc>
          <w:tcPr>
            <w:tcW w:w="1968" w:type="dxa"/>
            <w:vMerge/>
            <w:tcBorders>
              <w:top w:val="nil"/>
              <w:left w:val="single" w:sz="2" w:space="0" w:color="000000"/>
              <w:bottom w:val="single" w:sz="2" w:space="0" w:color="000000"/>
              <w:right w:val="single" w:sz="2" w:space="0" w:color="000000"/>
            </w:tcBorders>
          </w:tcPr>
          <w:p w:rsidR="00D95A48" w:rsidRDefault="00D95A48">
            <w:pPr>
              <w:rPr>
                <w:sz w:val="2"/>
                <w:szCs w:val="2"/>
              </w:rPr>
            </w:pPr>
          </w:p>
        </w:tc>
        <w:tc>
          <w:tcPr>
            <w:tcW w:w="1889" w:type="dxa"/>
            <w:gridSpan w:val="2"/>
            <w:vMerge/>
            <w:tcBorders>
              <w:top w:val="nil"/>
              <w:left w:val="single" w:sz="2" w:space="0" w:color="000000"/>
              <w:bottom w:val="single" w:sz="2" w:space="0" w:color="000000"/>
              <w:right w:val="single" w:sz="2" w:space="0" w:color="000000"/>
            </w:tcBorders>
          </w:tcPr>
          <w:p w:rsidR="00D95A48" w:rsidRDefault="00D95A48">
            <w:pPr>
              <w:rPr>
                <w:sz w:val="2"/>
                <w:szCs w:val="2"/>
              </w:rPr>
            </w:pPr>
          </w:p>
        </w:tc>
        <w:tc>
          <w:tcPr>
            <w:tcW w:w="681" w:type="dxa"/>
            <w:gridSpan w:val="2"/>
            <w:tcBorders>
              <w:top w:val="single" w:sz="2" w:space="0" w:color="000000"/>
              <w:left w:val="single" w:sz="2" w:space="0" w:color="000000"/>
              <w:bottom w:val="single" w:sz="2" w:space="0" w:color="000000"/>
              <w:right w:val="single" w:sz="2" w:space="0" w:color="000000"/>
            </w:tcBorders>
          </w:tcPr>
          <w:p w:rsidR="00D95A48" w:rsidRDefault="0006778F">
            <w:pPr>
              <w:pStyle w:val="TableParagraph"/>
              <w:spacing w:line="202" w:lineRule="exact"/>
              <w:ind w:left="14"/>
              <w:rPr>
                <w:sz w:val="18"/>
              </w:rPr>
            </w:pPr>
            <w:r>
              <w:rPr>
                <w:sz w:val="18"/>
              </w:rPr>
              <w:t>F</w:t>
            </w:r>
          </w:p>
        </w:tc>
        <w:tc>
          <w:tcPr>
            <w:tcW w:w="1552" w:type="dxa"/>
            <w:tcBorders>
              <w:top w:val="single" w:sz="2" w:space="0" w:color="000000"/>
              <w:left w:val="single" w:sz="2" w:space="0" w:color="000000"/>
              <w:bottom w:val="single" w:sz="2" w:space="0" w:color="000000"/>
              <w:right w:val="single" w:sz="2" w:space="0" w:color="000000"/>
            </w:tcBorders>
          </w:tcPr>
          <w:p w:rsidR="00D95A48" w:rsidRDefault="0006778F">
            <w:pPr>
              <w:pStyle w:val="TableParagraph"/>
              <w:spacing w:line="202" w:lineRule="exact"/>
              <w:ind w:left="536" w:right="521"/>
              <w:rPr>
                <w:sz w:val="18"/>
              </w:rPr>
            </w:pPr>
            <w:r>
              <w:rPr>
                <w:sz w:val="18"/>
              </w:rPr>
              <w:t>3760</w:t>
            </w:r>
          </w:p>
        </w:tc>
        <w:tc>
          <w:tcPr>
            <w:tcW w:w="1660" w:type="dxa"/>
            <w:tcBorders>
              <w:top w:val="single" w:sz="2" w:space="0" w:color="000000"/>
              <w:left w:val="single" w:sz="2" w:space="0" w:color="000000"/>
              <w:bottom w:val="single" w:sz="2" w:space="0" w:color="000000"/>
            </w:tcBorders>
          </w:tcPr>
          <w:p w:rsidR="00D95A48" w:rsidRDefault="0006778F">
            <w:pPr>
              <w:pStyle w:val="TableParagraph"/>
              <w:spacing w:line="202" w:lineRule="exact"/>
              <w:ind w:left="303" w:right="279"/>
              <w:rPr>
                <w:sz w:val="18"/>
              </w:rPr>
            </w:pPr>
            <w:r>
              <w:rPr>
                <w:sz w:val="18"/>
              </w:rPr>
              <w:t>6650</w:t>
            </w:r>
          </w:p>
        </w:tc>
      </w:tr>
      <w:tr w:rsidR="00D95A48">
        <w:trPr>
          <w:trHeight w:val="224"/>
        </w:trPr>
        <w:tc>
          <w:tcPr>
            <w:tcW w:w="1471" w:type="dxa"/>
            <w:vMerge/>
            <w:tcBorders>
              <w:top w:val="nil"/>
              <w:bottom w:val="single" w:sz="2" w:space="0" w:color="000000"/>
              <w:right w:val="single" w:sz="2" w:space="0" w:color="000000"/>
            </w:tcBorders>
          </w:tcPr>
          <w:p w:rsidR="00D95A48" w:rsidRDefault="00D95A48">
            <w:pPr>
              <w:rPr>
                <w:sz w:val="2"/>
                <w:szCs w:val="2"/>
              </w:rPr>
            </w:pPr>
          </w:p>
        </w:tc>
        <w:tc>
          <w:tcPr>
            <w:tcW w:w="1968" w:type="dxa"/>
            <w:vMerge/>
            <w:tcBorders>
              <w:top w:val="nil"/>
              <w:left w:val="single" w:sz="2" w:space="0" w:color="000000"/>
              <w:bottom w:val="single" w:sz="2" w:space="0" w:color="000000"/>
              <w:right w:val="single" w:sz="2" w:space="0" w:color="000000"/>
            </w:tcBorders>
          </w:tcPr>
          <w:p w:rsidR="00D95A48" w:rsidRDefault="00D95A48">
            <w:pPr>
              <w:rPr>
                <w:sz w:val="2"/>
                <w:szCs w:val="2"/>
              </w:rPr>
            </w:pPr>
          </w:p>
        </w:tc>
        <w:tc>
          <w:tcPr>
            <w:tcW w:w="1889" w:type="dxa"/>
            <w:gridSpan w:val="2"/>
            <w:tcBorders>
              <w:top w:val="single" w:sz="2" w:space="0" w:color="000000"/>
              <w:left w:val="single" w:sz="2" w:space="0" w:color="000000"/>
              <w:bottom w:val="nil"/>
              <w:right w:val="single" w:sz="2" w:space="0" w:color="000000"/>
            </w:tcBorders>
          </w:tcPr>
          <w:p w:rsidR="00D95A48" w:rsidRDefault="0006778F">
            <w:pPr>
              <w:pStyle w:val="TableParagraph"/>
              <w:spacing w:before="132" w:line="73" w:lineRule="exact"/>
              <w:ind w:left="795" w:right="778"/>
              <w:rPr>
                <w:sz w:val="18"/>
              </w:rPr>
            </w:pPr>
            <w:r>
              <w:rPr>
                <w:sz w:val="18"/>
              </w:rPr>
              <w:t>100</w:t>
            </w:r>
          </w:p>
        </w:tc>
        <w:tc>
          <w:tcPr>
            <w:tcW w:w="681" w:type="dxa"/>
            <w:gridSpan w:val="2"/>
            <w:tcBorders>
              <w:top w:val="single" w:sz="2" w:space="0" w:color="000000"/>
              <w:left w:val="single" w:sz="2" w:space="0" w:color="000000"/>
              <w:bottom w:val="single" w:sz="2" w:space="0" w:color="0000FF"/>
              <w:right w:val="single" w:sz="2" w:space="0" w:color="000000"/>
            </w:tcBorders>
          </w:tcPr>
          <w:p w:rsidR="00D95A48" w:rsidRDefault="0006778F">
            <w:pPr>
              <w:pStyle w:val="TableParagraph"/>
              <w:spacing w:line="202" w:lineRule="exact"/>
              <w:ind w:left="11"/>
              <w:rPr>
                <w:sz w:val="18"/>
              </w:rPr>
            </w:pPr>
            <w:r>
              <w:rPr>
                <w:sz w:val="18"/>
              </w:rPr>
              <w:t>M</w:t>
            </w:r>
          </w:p>
        </w:tc>
        <w:tc>
          <w:tcPr>
            <w:tcW w:w="1552" w:type="dxa"/>
            <w:tcBorders>
              <w:top w:val="single" w:sz="2" w:space="0" w:color="000000"/>
              <w:left w:val="single" w:sz="2" w:space="0" w:color="000000"/>
              <w:bottom w:val="single" w:sz="2" w:space="0" w:color="000000"/>
              <w:right w:val="single" w:sz="2" w:space="0" w:color="000000"/>
            </w:tcBorders>
          </w:tcPr>
          <w:p w:rsidR="00D95A48" w:rsidRDefault="0006778F">
            <w:pPr>
              <w:pStyle w:val="TableParagraph"/>
              <w:spacing w:line="202" w:lineRule="exact"/>
              <w:ind w:left="536" w:right="521"/>
              <w:rPr>
                <w:sz w:val="18"/>
              </w:rPr>
            </w:pPr>
            <w:r>
              <w:rPr>
                <w:sz w:val="18"/>
              </w:rPr>
              <w:t>3020</w:t>
            </w:r>
          </w:p>
        </w:tc>
        <w:tc>
          <w:tcPr>
            <w:tcW w:w="1660" w:type="dxa"/>
            <w:tcBorders>
              <w:top w:val="single" w:sz="2" w:space="0" w:color="000000"/>
              <w:left w:val="single" w:sz="2" w:space="0" w:color="000000"/>
              <w:bottom w:val="single" w:sz="2" w:space="0" w:color="000000"/>
            </w:tcBorders>
          </w:tcPr>
          <w:p w:rsidR="00D95A48" w:rsidRDefault="0006778F">
            <w:pPr>
              <w:pStyle w:val="TableParagraph"/>
              <w:spacing w:line="202" w:lineRule="exact"/>
              <w:ind w:left="303" w:right="279"/>
              <w:rPr>
                <w:sz w:val="18"/>
              </w:rPr>
            </w:pPr>
            <w:r>
              <w:rPr>
                <w:sz w:val="18"/>
              </w:rPr>
              <w:t>10400</w:t>
            </w:r>
          </w:p>
        </w:tc>
      </w:tr>
      <w:tr w:rsidR="00D95A48">
        <w:trPr>
          <w:trHeight w:val="227"/>
        </w:trPr>
        <w:tc>
          <w:tcPr>
            <w:tcW w:w="1471" w:type="dxa"/>
            <w:vMerge/>
            <w:tcBorders>
              <w:top w:val="nil"/>
              <w:bottom w:val="single" w:sz="2" w:space="0" w:color="000000"/>
              <w:right w:val="single" w:sz="2" w:space="0" w:color="000000"/>
            </w:tcBorders>
          </w:tcPr>
          <w:p w:rsidR="00D95A48" w:rsidRDefault="00D95A48">
            <w:pPr>
              <w:rPr>
                <w:sz w:val="2"/>
                <w:szCs w:val="2"/>
              </w:rPr>
            </w:pPr>
          </w:p>
        </w:tc>
        <w:tc>
          <w:tcPr>
            <w:tcW w:w="1968" w:type="dxa"/>
            <w:vMerge/>
            <w:tcBorders>
              <w:top w:val="nil"/>
              <w:left w:val="single" w:sz="2" w:space="0" w:color="000000"/>
              <w:bottom w:val="single" w:sz="2" w:space="0" w:color="000000"/>
              <w:right w:val="single" w:sz="2" w:space="0" w:color="000000"/>
            </w:tcBorders>
          </w:tcPr>
          <w:p w:rsidR="00D95A48" w:rsidRDefault="00D95A48">
            <w:pPr>
              <w:rPr>
                <w:sz w:val="2"/>
                <w:szCs w:val="2"/>
              </w:rPr>
            </w:pPr>
          </w:p>
        </w:tc>
        <w:tc>
          <w:tcPr>
            <w:tcW w:w="1325" w:type="dxa"/>
            <w:tcBorders>
              <w:top w:val="nil"/>
              <w:left w:val="single" w:sz="2" w:space="0" w:color="000000"/>
              <w:bottom w:val="single" w:sz="2" w:space="0" w:color="000000"/>
              <w:right w:val="single" w:sz="8" w:space="0" w:color="0000FF"/>
            </w:tcBorders>
          </w:tcPr>
          <w:p w:rsidR="00D95A48" w:rsidRDefault="00D95A48">
            <w:pPr>
              <w:pStyle w:val="TableParagraph"/>
              <w:jc w:val="left"/>
              <w:rPr>
                <w:sz w:val="16"/>
              </w:rPr>
            </w:pPr>
          </w:p>
        </w:tc>
        <w:tc>
          <w:tcPr>
            <w:tcW w:w="564" w:type="dxa"/>
            <w:tcBorders>
              <w:top w:val="single" w:sz="8" w:space="0" w:color="0000FF"/>
              <w:left w:val="single" w:sz="8" w:space="0" w:color="0000FF"/>
              <w:bottom w:val="single" w:sz="2" w:space="0" w:color="000000"/>
              <w:right w:val="single" w:sz="2" w:space="0" w:color="000000"/>
            </w:tcBorders>
          </w:tcPr>
          <w:p w:rsidR="00D95A48" w:rsidRDefault="00D95A48">
            <w:pPr>
              <w:pStyle w:val="TableParagraph"/>
              <w:jc w:val="left"/>
              <w:rPr>
                <w:sz w:val="16"/>
              </w:rPr>
            </w:pPr>
          </w:p>
        </w:tc>
        <w:tc>
          <w:tcPr>
            <w:tcW w:w="232" w:type="dxa"/>
            <w:tcBorders>
              <w:top w:val="thinThickMediumGap" w:sz="4" w:space="0" w:color="0000FF"/>
              <w:left w:val="single" w:sz="2" w:space="0" w:color="000000"/>
              <w:bottom w:val="single" w:sz="2" w:space="0" w:color="000000"/>
              <w:right w:val="single" w:sz="8" w:space="0" w:color="0000FF"/>
            </w:tcBorders>
          </w:tcPr>
          <w:p w:rsidR="00D95A48" w:rsidRDefault="00D95A48">
            <w:pPr>
              <w:pStyle w:val="TableParagraph"/>
              <w:jc w:val="left"/>
              <w:rPr>
                <w:sz w:val="16"/>
              </w:rPr>
            </w:pPr>
          </w:p>
        </w:tc>
        <w:tc>
          <w:tcPr>
            <w:tcW w:w="449" w:type="dxa"/>
            <w:tcBorders>
              <w:top w:val="single" w:sz="2" w:space="0" w:color="000000"/>
              <w:left w:val="single" w:sz="8" w:space="0" w:color="0000FF"/>
              <w:bottom w:val="single" w:sz="2" w:space="0" w:color="000000"/>
              <w:right w:val="single" w:sz="2" w:space="0" w:color="000000"/>
            </w:tcBorders>
          </w:tcPr>
          <w:p w:rsidR="00D95A48" w:rsidRDefault="0006778F">
            <w:pPr>
              <w:pStyle w:val="TableParagraph"/>
              <w:spacing w:line="190" w:lineRule="exact"/>
              <w:ind w:left="55"/>
              <w:jc w:val="left"/>
              <w:rPr>
                <w:sz w:val="18"/>
              </w:rPr>
            </w:pPr>
            <w:r>
              <w:rPr>
                <w:sz w:val="18"/>
              </w:rPr>
              <w:t>F</w:t>
            </w:r>
          </w:p>
        </w:tc>
        <w:tc>
          <w:tcPr>
            <w:tcW w:w="1552" w:type="dxa"/>
            <w:tcBorders>
              <w:top w:val="single" w:sz="2" w:space="0" w:color="000000"/>
              <w:left w:val="single" w:sz="2" w:space="0" w:color="000000"/>
              <w:bottom w:val="single" w:sz="2" w:space="0" w:color="000000"/>
              <w:right w:val="single" w:sz="2" w:space="0" w:color="000000"/>
            </w:tcBorders>
          </w:tcPr>
          <w:p w:rsidR="00D95A48" w:rsidRDefault="0006778F">
            <w:pPr>
              <w:pStyle w:val="TableParagraph"/>
              <w:spacing w:line="190" w:lineRule="exact"/>
              <w:ind w:left="536" w:right="521"/>
              <w:rPr>
                <w:sz w:val="18"/>
              </w:rPr>
            </w:pPr>
            <w:r>
              <w:rPr>
                <w:sz w:val="18"/>
              </w:rPr>
              <w:t>6800</w:t>
            </w:r>
          </w:p>
        </w:tc>
        <w:tc>
          <w:tcPr>
            <w:tcW w:w="1660" w:type="dxa"/>
            <w:tcBorders>
              <w:top w:val="single" w:sz="2" w:space="0" w:color="000000"/>
              <w:left w:val="single" w:sz="2" w:space="0" w:color="000000"/>
              <w:bottom w:val="single" w:sz="2" w:space="0" w:color="000000"/>
            </w:tcBorders>
          </w:tcPr>
          <w:p w:rsidR="00D95A48" w:rsidRDefault="0006778F">
            <w:pPr>
              <w:pStyle w:val="TableParagraph"/>
              <w:spacing w:line="190" w:lineRule="exact"/>
              <w:ind w:left="303" w:right="279"/>
              <w:rPr>
                <w:sz w:val="18"/>
              </w:rPr>
            </w:pPr>
            <w:r>
              <w:rPr>
                <w:sz w:val="18"/>
              </w:rPr>
              <w:t>19200</w:t>
            </w:r>
          </w:p>
        </w:tc>
      </w:tr>
      <w:tr w:rsidR="00D95A48">
        <w:trPr>
          <w:trHeight w:val="237"/>
        </w:trPr>
        <w:tc>
          <w:tcPr>
            <w:tcW w:w="1471" w:type="dxa"/>
            <w:vMerge/>
            <w:tcBorders>
              <w:top w:val="nil"/>
              <w:bottom w:val="single" w:sz="2" w:space="0" w:color="000000"/>
              <w:right w:val="single" w:sz="2" w:space="0" w:color="000000"/>
            </w:tcBorders>
          </w:tcPr>
          <w:p w:rsidR="00D95A48" w:rsidRDefault="00D95A48">
            <w:pPr>
              <w:rPr>
                <w:sz w:val="2"/>
                <w:szCs w:val="2"/>
              </w:rPr>
            </w:pPr>
          </w:p>
        </w:tc>
        <w:tc>
          <w:tcPr>
            <w:tcW w:w="1968" w:type="dxa"/>
            <w:vMerge/>
            <w:tcBorders>
              <w:top w:val="nil"/>
              <w:left w:val="single" w:sz="2" w:space="0" w:color="000000"/>
              <w:bottom w:val="single" w:sz="2" w:space="0" w:color="000000"/>
              <w:right w:val="single" w:sz="2" w:space="0" w:color="000000"/>
            </w:tcBorders>
          </w:tcPr>
          <w:p w:rsidR="00D95A48" w:rsidRDefault="00D95A48">
            <w:pPr>
              <w:rPr>
                <w:sz w:val="2"/>
                <w:szCs w:val="2"/>
              </w:rPr>
            </w:pPr>
          </w:p>
        </w:tc>
        <w:tc>
          <w:tcPr>
            <w:tcW w:w="1325" w:type="dxa"/>
            <w:vMerge w:val="restart"/>
            <w:tcBorders>
              <w:top w:val="single" w:sz="2" w:space="0" w:color="000000"/>
              <w:left w:val="single" w:sz="2" w:space="0" w:color="000000"/>
              <w:bottom w:val="single" w:sz="2" w:space="0" w:color="000000"/>
              <w:right w:val="single" w:sz="8" w:space="0" w:color="0000FF"/>
            </w:tcBorders>
          </w:tcPr>
          <w:p w:rsidR="00D95A48" w:rsidRDefault="0006778F">
            <w:pPr>
              <w:pStyle w:val="TableParagraph"/>
              <w:spacing w:before="132"/>
              <w:ind w:left="427"/>
              <w:jc w:val="left"/>
              <w:rPr>
                <w:sz w:val="18"/>
              </w:rPr>
            </w:pPr>
            <w:r>
              <w:rPr>
                <w:sz w:val="18"/>
              </w:rPr>
              <w:t>300 (NOAE</w:t>
            </w:r>
          </w:p>
        </w:tc>
        <w:tc>
          <w:tcPr>
            <w:tcW w:w="564" w:type="dxa"/>
            <w:vMerge w:val="restart"/>
            <w:tcBorders>
              <w:top w:val="single" w:sz="2" w:space="0" w:color="000000"/>
              <w:left w:val="single" w:sz="8" w:space="0" w:color="0000FF"/>
              <w:bottom w:val="single" w:sz="2" w:space="0" w:color="0000FF"/>
              <w:right w:val="single" w:sz="2" w:space="0" w:color="000000"/>
            </w:tcBorders>
          </w:tcPr>
          <w:p w:rsidR="00D95A48" w:rsidRDefault="0006778F">
            <w:pPr>
              <w:pStyle w:val="TableParagraph"/>
              <w:spacing w:before="132"/>
              <w:ind w:left="-33"/>
              <w:jc w:val="left"/>
              <w:rPr>
                <w:sz w:val="18"/>
              </w:rPr>
            </w:pPr>
            <w:r>
              <w:rPr>
                <w:sz w:val="18"/>
              </w:rPr>
              <w:t>L)</w:t>
            </w:r>
          </w:p>
        </w:tc>
        <w:tc>
          <w:tcPr>
            <w:tcW w:w="232" w:type="dxa"/>
            <w:tcBorders>
              <w:top w:val="single" w:sz="2" w:space="0" w:color="000000"/>
              <w:left w:val="single" w:sz="2" w:space="0" w:color="000000"/>
              <w:bottom w:val="single" w:sz="2" w:space="0" w:color="000000"/>
              <w:right w:val="single" w:sz="8" w:space="0" w:color="0000FF"/>
            </w:tcBorders>
          </w:tcPr>
          <w:p w:rsidR="00D95A48" w:rsidRDefault="00D95A48">
            <w:pPr>
              <w:pStyle w:val="TableParagraph"/>
              <w:jc w:val="left"/>
              <w:rPr>
                <w:sz w:val="16"/>
              </w:rPr>
            </w:pPr>
          </w:p>
        </w:tc>
        <w:tc>
          <w:tcPr>
            <w:tcW w:w="449" w:type="dxa"/>
            <w:tcBorders>
              <w:top w:val="single" w:sz="2" w:space="0" w:color="000000"/>
              <w:left w:val="single" w:sz="8" w:space="0" w:color="0000FF"/>
              <w:bottom w:val="single" w:sz="2" w:space="0" w:color="000000"/>
              <w:right w:val="single" w:sz="2" w:space="0" w:color="000000"/>
            </w:tcBorders>
          </w:tcPr>
          <w:p w:rsidR="00D95A48" w:rsidRDefault="0006778F">
            <w:pPr>
              <w:pStyle w:val="TableParagraph"/>
              <w:spacing w:line="202" w:lineRule="exact"/>
              <w:ind w:left="24"/>
              <w:jc w:val="left"/>
              <w:rPr>
                <w:sz w:val="18"/>
              </w:rPr>
            </w:pPr>
            <w:r>
              <w:rPr>
                <w:sz w:val="18"/>
              </w:rPr>
              <w:t>M</w:t>
            </w:r>
          </w:p>
        </w:tc>
        <w:tc>
          <w:tcPr>
            <w:tcW w:w="1552" w:type="dxa"/>
            <w:tcBorders>
              <w:top w:val="single" w:sz="2" w:space="0" w:color="000000"/>
              <w:left w:val="single" w:sz="2" w:space="0" w:color="000000"/>
              <w:bottom w:val="single" w:sz="2" w:space="0" w:color="000000"/>
              <w:right w:val="single" w:sz="2" w:space="0" w:color="000000"/>
            </w:tcBorders>
          </w:tcPr>
          <w:p w:rsidR="00D95A48" w:rsidRDefault="0006778F">
            <w:pPr>
              <w:pStyle w:val="TableParagraph"/>
              <w:spacing w:line="202" w:lineRule="exact"/>
              <w:ind w:left="536" w:right="521"/>
              <w:rPr>
                <w:sz w:val="18"/>
              </w:rPr>
            </w:pPr>
            <w:r>
              <w:rPr>
                <w:sz w:val="18"/>
              </w:rPr>
              <w:t>5190</w:t>
            </w:r>
          </w:p>
        </w:tc>
        <w:tc>
          <w:tcPr>
            <w:tcW w:w="1660" w:type="dxa"/>
            <w:tcBorders>
              <w:top w:val="single" w:sz="2" w:space="0" w:color="000000"/>
              <w:left w:val="single" w:sz="2" w:space="0" w:color="000000"/>
              <w:bottom w:val="single" w:sz="2" w:space="0" w:color="000000"/>
            </w:tcBorders>
          </w:tcPr>
          <w:p w:rsidR="00D95A48" w:rsidRDefault="0006778F">
            <w:pPr>
              <w:pStyle w:val="TableParagraph"/>
              <w:spacing w:line="202" w:lineRule="exact"/>
              <w:ind w:left="303" w:right="279"/>
              <w:rPr>
                <w:sz w:val="18"/>
              </w:rPr>
            </w:pPr>
            <w:r>
              <w:rPr>
                <w:sz w:val="18"/>
              </w:rPr>
              <w:t>21000</w:t>
            </w:r>
          </w:p>
        </w:tc>
      </w:tr>
      <w:tr w:rsidR="00D95A48">
        <w:trPr>
          <w:trHeight w:val="237"/>
        </w:trPr>
        <w:tc>
          <w:tcPr>
            <w:tcW w:w="1471" w:type="dxa"/>
            <w:vMerge/>
            <w:tcBorders>
              <w:top w:val="nil"/>
              <w:bottom w:val="single" w:sz="2" w:space="0" w:color="000000"/>
              <w:right w:val="single" w:sz="2" w:space="0" w:color="000000"/>
            </w:tcBorders>
          </w:tcPr>
          <w:p w:rsidR="00D95A48" w:rsidRDefault="00D95A48">
            <w:pPr>
              <w:rPr>
                <w:sz w:val="2"/>
                <w:szCs w:val="2"/>
              </w:rPr>
            </w:pPr>
          </w:p>
        </w:tc>
        <w:tc>
          <w:tcPr>
            <w:tcW w:w="1968" w:type="dxa"/>
            <w:vMerge/>
            <w:tcBorders>
              <w:top w:val="nil"/>
              <w:left w:val="single" w:sz="2" w:space="0" w:color="000000"/>
              <w:bottom w:val="single" w:sz="2" w:space="0" w:color="000000"/>
              <w:right w:val="single" w:sz="2" w:space="0" w:color="000000"/>
            </w:tcBorders>
          </w:tcPr>
          <w:p w:rsidR="00D95A48" w:rsidRDefault="00D95A48">
            <w:pPr>
              <w:rPr>
                <w:sz w:val="2"/>
                <w:szCs w:val="2"/>
              </w:rPr>
            </w:pPr>
          </w:p>
        </w:tc>
        <w:tc>
          <w:tcPr>
            <w:tcW w:w="1325" w:type="dxa"/>
            <w:vMerge/>
            <w:tcBorders>
              <w:top w:val="nil"/>
              <w:left w:val="single" w:sz="2" w:space="0" w:color="000000"/>
              <w:bottom w:val="single" w:sz="2" w:space="0" w:color="000000"/>
              <w:right w:val="single" w:sz="8" w:space="0" w:color="0000FF"/>
            </w:tcBorders>
          </w:tcPr>
          <w:p w:rsidR="00D95A48" w:rsidRDefault="00D95A48">
            <w:pPr>
              <w:rPr>
                <w:sz w:val="2"/>
                <w:szCs w:val="2"/>
              </w:rPr>
            </w:pPr>
          </w:p>
        </w:tc>
        <w:tc>
          <w:tcPr>
            <w:tcW w:w="564" w:type="dxa"/>
            <w:vMerge/>
            <w:tcBorders>
              <w:top w:val="nil"/>
              <w:left w:val="single" w:sz="8" w:space="0" w:color="0000FF"/>
              <w:bottom w:val="single" w:sz="2" w:space="0" w:color="0000FF"/>
              <w:right w:val="single" w:sz="2" w:space="0" w:color="000000"/>
            </w:tcBorders>
          </w:tcPr>
          <w:p w:rsidR="00D95A48" w:rsidRDefault="00D95A48">
            <w:pPr>
              <w:rPr>
                <w:sz w:val="2"/>
                <w:szCs w:val="2"/>
              </w:rPr>
            </w:pPr>
          </w:p>
        </w:tc>
        <w:tc>
          <w:tcPr>
            <w:tcW w:w="232" w:type="dxa"/>
            <w:tcBorders>
              <w:top w:val="single" w:sz="2" w:space="0" w:color="000000"/>
              <w:left w:val="single" w:sz="2" w:space="0" w:color="000000"/>
              <w:bottom w:val="single" w:sz="2" w:space="0" w:color="0000FF"/>
              <w:right w:val="single" w:sz="8" w:space="0" w:color="0000FF"/>
            </w:tcBorders>
          </w:tcPr>
          <w:p w:rsidR="00D95A48" w:rsidRDefault="00D95A48">
            <w:pPr>
              <w:pStyle w:val="TableParagraph"/>
              <w:jc w:val="left"/>
              <w:rPr>
                <w:sz w:val="16"/>
              </w:rPr>
            </w:pPr>
          </w:p>
        </w:tc>
        <w:tc>
          <w:tcPr>
            <w:tcW w:w="449" w:type="dxa"/>
            <w:tcBorders>
              <w:top w:val="single" w:sz="2" w:space="0" w:color="000000"/>
              <w:left w:val="single" w:sz="8" w:space="0" w:color="0000FF"/>
              <w:bottom w:val="single" w:sz="2" w:space="0" w:color="000000"/>
              <w:right w:val="single" w:sz="2" w:space="0" w:color="000000"/>
            </w:tcBorders>
          </w:tcPr>
          <w:p w:rsidR="00D95A48" w:rsidRDefault="0006778F">
            <w:pPr>
              <w:pStyle w:val="TableParagraph"/>
              <w:spacing w:line="202" w:lineRule="exact"/>
              <w:ind w:left="55"/>
              <w:jc w:val="left"/>
              <w:rPr>
                <w:sz w:val="18"/>
              </w:rPr>
            </w:pPr>
            <w:r>
              <w:rPr>
                <w:sz w:val="18"/>
              </w:rPr>
              <w:t>F</w:t>
            </w:r>
          </w:p>
        </w:tc>
        <w:tc>
          <w:tcPr>
            <w:tcW w:w="1552" w:type="dxa"/>
            <w:tcBorders>
              <w:top w:val="single" w:sz="2" w:space="0" w:color="000000"/>
              <w:left w:val="single" w:sz="2" w:space="0" w:color="000000"/>
              <w:bottom w:val="single" w:sz="2" w:space="0" w:color="000000"/>
              <w:right w:val="single" w:sz="2" w:space="0" w:color="000000"/>
            </w:tcBorders>
          </w:tcPr>
          <w:p w:rsidR="00D95A48" w:rsidRDefault="0006778F">
            <w:pPr>
              <w:pStyle w:val="TableParagraph"/>
              <w:spacing w:line="202" w:lineRule="exact"/>
              <w:ind w:left="536" w:right="521"/>
              <w:rPr>
                <w:sz w:val="18"/>
              </w:rPr>
            </w:pPr>
            <w:r>
              <w:rPr>
                <w:sz w:val="18"/>
              </w:rPr>
              <w:t>10300</w:t>
            </w:r>
          </w:p>
        </w:tc>
        <w:tc>
          <w:tcPr>
            <w:tcW w:w="1660" w:type="dxa"/>
            <w:tcBorders>
              <w:top w:val="single" w:sz="2" w:space="0" w:color="000000"/>
              <w:left w:val="single" w:sz="2" w:space="0" w:color="000000"/>
              <w:bottom w:val="single" w:sz="2" w:space="0" w:color="000000"/>
            </w:tcBorders>
          </w:tcPr>
          <w:p w:rsidR="00D95A48" w:rsidRDefault="0006778F">
            <w:pPr>
              <w:pStyle w:val="TableParagraph"/>
              <w:spacing w:line="202" w:lineRule="exact"/>
              <w:ind w:left="303" w:right="279"/>
              <w:rPr>
                <w:sz w:val="18"/>
              </w:rPr>
            </w:pPr>
            <w:r>
              <w:rPr>
                <w:sz w:val="18"/>
              </w:rPr>
              <w:t>46600</w:t>
            </w:r>
          </w:p>
        </w:tc>
      </w:tr>
      <w:tr w:rsidR="00D95A48">
        <w:trPr>
          <w:trHeight w:val="237"/>
        </w:trPr>
        <w:tc>
          <w:tcPr>
            <w:tcW w:w="1471" w:type="dxa"/>
            <w:vMerge w:val="restart"/>
            <w:tcBorders>
              <w:top w:val="single" w:sz="2" w:space="0" w:color="000000"/>
              <w:bottom w:val="single" w:sz="2" w:space="0" w:color="000000"/>
              <w:right w:val="single" w:sz="2" w:space="0" w:color="000000"/>
            </w:tcBorders>
          </w:tcPr>
          <w:p w:rsidR="00D95A48" w:rsidRDefault="00D95A48">
            <w:pPr>
              <w:pStyle w:val="TableParagraph"/>
              <w:spacing w:before="1"/>
              <w:jc w:val="left"/>
              <w:rPr>
                <w:b/>
              </w:rPr>
            </w:pPr>
          </w:p>
          <w:p w:rsidR="00D95A48" w:rsidRDefault="0066008F">
            <w:pPr>
              <w:pStyle w:val="TableParagraph"/>
              <w:ind w:left="107"/>
              <w:jc w:val="left"/>
              <w:rPr>
                <w:sz w:val="18"/>
              </w:rPr>
            </w:pPr>
            <w:r>
              <w:rPr>
                <w:sz w:val="18"/>
              </w:rPr>
              <w:t>Project B</w:t>
            </w:r>
            <w:r w:rsidR="0006778F">
              <w:rPr>
                <w:sz w:val="18"/>
              </w:rPr>
              <w:t>-PT-0003</w:t>
            </w:r>
          </w:p>
        </w:tc>
        <w:tc>
          <w:tcPr>
            <w:tcW w:w="1968" w:type="dxa"/>
            <w:vMerge w:val="restart"/>
            <w:tcBorders>
              <w:top w:val="single" w:sz="2" w:space="0" w:color="000000"/>
              <w:left w:val="single" w:sz="2" w:space="0" w:color="000000"/>
              <w:bottom w:val="single" w:sz="2" w:space="0" w:color="000000"/>
              <w:right w:val="single" w:sz="2" w:space="0" w:color="000000"/>
            </w:tcBorders>
          </w:tcPr>
          <w:p w:rsidR="00D95A48" w:rsidRDefault="00D95A48">
            <w:pPr>
              <w:pStyle w:val="TableParagraph"/>
              <w:spacing w:before="1"/>
              <w:jc w:val="left"/>
              <w:rPr>
                <w:b/>
              </w:rPr>
            </w:pPr>
          </w:p>
          <w:p w:rsidR="00D95A48" w:rsidRDefault="0006778F">
            <w:pPr>
              <w:pStyle w:val="TableParagraph"/>
              <w:ind w:left="160"/>
              <w:jc w:val="left"/>
              <w:rPr>
                <w:sz w:val="18"/>
              </w:rPr>
            </w:pPr>
            <w:r>
              <w:rPr>
                <w:sz w:val="18"/>
              </w:rPr>
              <w:t>Rat, cardiovascular, po</w:t>
            </w:r>
          </w:p>
        </w:tc>
        <w:tc>
          <w:tcPr>
            <w:tcW w:w="1889" w:type="dxa"/>
            <w:gridSpan w:val="2"/>
            <w:tcBorders>
              <w:top w:val="single" w:sz="2" w:space="0" w:color="0000FF"/>
              <w:left w:val="single" w:sz="2" w:space="0" w:color="000000"/>
              <w:bottom w:val="single" w:sz="2" w:space="0" w:color="000000"/>
              <w:right w:val="single" w:sz="2" w:space="0" w:color="000000"/>
            </w:tcBorders>
          </w:tcPr>
          <w:p w:rsidR="00D95A48" w:rsidRDefault="0006778F">
            <w:pPr>
              <w:pStyle w:val="TableParagraph"/>
              <w:spacing w:before="12" w:line="206" w:lineRule="exact"/>
              <w:ind w:left="795" w:right="778"/>
              <w:rPr>
                <w:sz w:val="18"/>
              </w:rPr>
            </w:pPr>
            <w:r>
              <w:rPr>
                <w:sz w:val="18"/>
              </w:rPr>
              <w:t>10</w:t>
            </w:r>
          </w:p>
        </w:tc>
        <w:tc>
          <w:tcPr>
            <w:tcW w:w="681" w:type="dxa"/>
            <w:gridSpan w:val="2"/>
            <w:tcBorders>
              <w:top w:val="single" w:sz="2" w:space="0" w:color="0000FF"/>
              <w:left w:val="single" w:sz="2" w:space="0" w:color="000000"/>
              <w:bottom w:val="single" w:sz="2" w:space="0" w:color="000000"/>
              <w:right w:val="single" w:sz="2" w:space="0" w:color="000000"/>
            </w:tcBorders>
          </w:tcPr>
          <w:p w:rsidR="00D95A48" w:rsidRDefault="0006778F">
            <w:pPr>
              <w:pStyle w:val="TableParagraph"/>
              <w:spacing w:line="202" w:lineRule="exact"/>
              <w:ind w:left="11"/>
              <w:rPr>
                <w:sz w:val="18"/>
              </w:rPr>
            </w:pPr>
            <w:r>
              <w:rPr>
                <w:sz w:val="18"/>
              </w:rPr>
              <w:t>M</w:t>
            </w:r>
          </w:p>
        </w:tc>
        <w:tc>
          <w:tcPr>
            <w:tcW w:w="1552" w:type="dxa"/>
            <w:tcBorders>
              <w:top w:val="single" w:sz="2" w:space="0" w:color="000000"/>
              <w:left w:val="single" w:sz="2" w:space="0" w:color="000000"/>
              <w:bottom w:val="single" w:sz="2" w:space="0" w:color="000000"/>
              <w:right w:val="single" w:sz="2" w:space="0" w:color="000000"/>
            </w:tcBorders>
          </w:tcPr>
          <w:p w:rsidR="00D95A48" w:rsidRDefault="0006778F">
            <w:pPr>
              <w:pStyle w:val="TableParagraph"/>
              <w:spacing w:line="202" w:lineRule="exact"/>
              <w:ind w:left="536" w:right="518"/>
              <w:rPr>
                <w:sz w:val="18"/>
              </w:rPr>
            </w:pPr>
            <w:r>
              <w:rPr>
                <w:sz w:val="18"/>
              </w:rPr>
              <w:t>229</w:t>
            </w:r>
          </w:p>
        </w:tc>
        <w:tc>
          <w:tcPr>
            <w:tcW w:w="1660" w:type="dxa"/>
            <w:tcBorders>
              <w:top w:val="single" w:sz="2" w:space="0" w:color="000000"/>
              <w:left w:val="single" w:sz="2" w:space="0" w:color="000000"/>
              <w:bottom w:val="single" w:sz="2" w:space="0" w:color="000000"/>
            </w:tcBorders>
          </w:tcPr>
          <w:p w:rsidR="00D95A48" w:rsidRDefault="0006778F">
            <w:pPr>
              <w:pStyle w:val="TableParagraph"/>
              <w:spacing w:line="202" w:lineRule="exact"/>
              <w:ind w:left="306" w:right="279"/>
              <w:rPr>
                <w:sz w:val="18"/>
              </w:rPr>
            </w:pPr>
            <w:r>
              <w:rPr>
                <w:sz w:val="18"/>
              </w:rPr>
              <w:t>652</w:t>
            </w:r>
          </w:p>
        </w:tc>
      </w:tr>
      <w:tr w:rsidR="00D95A48">
        <w:trPr>
          <w:trHeight w:val="239"/>
        </w:trPr>
        <w:tc>
          <w:tcPr>
            <w:tcW w:w="1471" w:type="dxa"/>
            <w:vMerge/>
            <w:tcBorders>
              <w:top w:val="nil"/>
              <w:bottom w:val="single" w:sz="2" w:space="0" w:color="000000"/>
              <w:right w:val="single" w:sz="2" w:space="0" w:color="000000"/>
            </w:tcBorders>
          </w:tcPr>
          <w:p w:rsidR="00D95A48" w:rsidRDefault="00D95A48">
            <w:pPr>
              <w:rPr>
                <w:sz w:val="2"/>
                <w:szCs w:val="2"/>
              </w:rPr>
            </w:pPr>
          </w:p>
        </w:tc>
        <w:tc>
          <w:tcPr>
            <w:tcW w:w="1968" w:type="dxa"/>
            <w:vMerge/>
            <w:tcBorders>
              <w:top w:val="nil"/>
              <w:left w:val="single" w:sz="2" w:space="0" w:color="000000"/>
              <w:bottom w:val="single" w:sz="2" w:space="0" w:color="000000"/>
              <w:right w:val="single" w:sz="2" w:space="0" w:color="000000"/>
            </w:tcBorders>
          </w:tcPr>
          <w:p w:rsidR="00D95A48" w:rsidRDefault="00D95A48">
            <w:pPr>
              <w:rPr>
                <w:sz w:val="2"/>
                <w:szCs w:val="2"/>
              </w:rPr>
            </w:pPr>
          </w:p>
        </w:tc>
        <w:tc>
          <w:tcPr>
            <w:tcW w:w="1889" w:type="dxa"/>
            <w:gridSpan w:val="2"/>
            <w:tcBorders>
              <w:top w:val="single" w:sz="2" w:space="0" w:color="000000"/>
              <w:left w:val="single" w:sz="2" w:space="0" w:color="000000"/>
              <w:bottom w:val="single" w:sz="2" w:space="0" w:color="000000"/>
              <w:right w:val="single" w:sz="2" w:space="0" w:color="000000"/>
            </w:tcBorders>
          </w:tcPr>
          <w:p w:rsidR="00D95A48" w:rsidRDefault="0006778F">
            <w:pPr>
              <w:pStyle w:val="TableParagraph"/>
              <w:spacing w:before="12"/>
              <w:ind w:left="470"/>
              <w:jc w:val="left"/>
              <w:rPr>
                <w:sz w:val="18"/>
              </w:rPr>
            </w:pPr>
            <w:r>
              <w:rPr>
                <w:sz w:val="18"/>
              </w:rPr>
              <w:t>30 (NOAEL)</w:t>
            </w:r>
          </w:p>
        </w:tc>
        <w:tc>
          <w:tcPr>
            <w:tcW w:w="681" w:type="dxa"/>
            <w:gridSpan w:val="2"/>
            <w:tcBorders>
              <w:top w:val="single" w:sz="2" w:space="0" w:color="000000"/>
              <w:left w:val="single" w:sz="2" w:space="0" w:color="000000"/>
              <w:bottom w:val="single" w:sz="2" w:space="0" w:color="000000"/>
              <w:right w:val="single" w:sz="2" w:space="0" w:color="000000"/>
            </w:tcBorders>
          </w:tcPr>
          <w:p w:rsidR="00D95A48" w:rsidRDefault="0006778F">
            <w:pPr>
              <w:pStyle w:val="TableParagraph"/>
              <w:spacing w:line="204" w:lineRule="exact"/>
              <w:ind w:left="11"/>
              <w:rPr>
                <w:sz w:val="18"/>
              </w:rPr>
            </w:pPr>
            <w:r>
              <w:rPr>
                <w:sz w:val="18"/>
              </w:rPr>
              <w:t>M</w:t>
            </w:r>
          </w:p>
        </w:tc>
        <w:tc>
          <w:tcPr>
            <w:tcW w:w="1552" w:type="dxa"/>
            <w:tcBorders>
              <w:top w:val="single" w:sz="2" w:space="0" w:color="000000"/>
              <w:left w:val="single" w:sz="2" w:space="0" w:color="000000"/>
              <w:bottom w:val="single" w:sz="2" w:space="0" w:color="000000"/>
              <w:right w:val="single" w:sz="2" w:space="0" w:color="000000"/>
            </w:tcBorders>
          </w:tcPr>
          <w:p w:rsidR="00D95A48" w:rsidRDefault="0006778F">
            <w:pPr>
              <w:pStyle w:val="TableParagraph"/>
              <w:spacing w:line="204" w:lineRule="exact"/>
              <w:ind w:left="536" w:right="521"/>
              <w:rPr>
                <w:sz w:val="18"/>
              </w:rPr>
            </w:pPr>
            <w:r>
              <w:rPr>
                <w:sz w:val="18"/>
              </w:rPr>
              <w:t>1330</w:t>
            </w:r>
          </w:p>
        </w:tc>
        <w:tc>
          <w:tcPr>
            <w:tcW w:w="1660" w:type="dxa"/>
            <w:tcBorders>
              <w:top w:val="single" w:sz="2" w:space="0" w:color="000000"/>
              <w:left w:val="single" w:sz="2" w:space="0" w:color="000000"/>
              <w:bottom w:val="single" w:sz="2" w:space="0" w:color="000000"/>
            </w:tcBorders>
          </w:tcPr>
          <w:p w:rsidR="00D95A48" w:rsidRDefault="0006778F">
            <w:pPr>
              <w:pStyle w:val="TableParagraph"/>
              <w:spacing w:line="204" w:lineRule="exact"/>
              <w:ind w:left="303" w:right="279"/>
              <w:rPr>
                <w:sz w:val="18"/>
              </w:rPr>
            </w:pPr>
            <w:r>
              <w:rPr>
                <w:sz w:val="18"/>
              </w:rPr>
              <w:t>2830</w:t>
            </w:r>
          </w:p>
        </w:tc>
      </w:tr>
      <w:tr w:rsidR="00D95A48">
        <w:trPr>
          <w:trHeight w:val="237"/>
        </w:trPr>
        <w:tc>
          <w:tcPr>
            <w:tcW w:w="1471" w:type="dxa"/>
            <w:vMerge/>
            <w:tcBorders>
              <w:top w:val="nil"/>
              <w:bottom w:val="single" w:sz="2" w:space="0" w:color="000000"/>
              <w:right w:val="single" w:sz="2" w:space="0" w:color="000000"/>
            </w:tcBorders>
          </w:tcPr>
          <w:p w:rsidR="00D95A48" w:rsidRDefault="00D95A48">
            <w:pPr>
              <w:rPr>
                <w:sz w:val="2"/>
                <w:szCs w:val="2"/>
              </w:rPr>
            </w:pPr>
          </w:p>
        </w:tc>
        <w:tc>
          <w:tcPr>
            <w:tcW w:w="1968" w:type="dxa"/>
            <w:vMerge/>
            <w:tcBorders>
              <w:top w:val="nil"/>
              <w:left w:val="single" w:sz="2" w:space="0" w:color="000000"/>
              <w:bottom w:val="single" w:sz="2" w:space="0" w:color="000000"/>
              <w:right w:val="single" w:sz="2" w:space="0" w:color="000000"/>
            </w:tcBorders>
          </w:tcPr>
          <w:p w:rsidR="00D95A48" w:rsidRDefault="00D95A48">
            <w:pPr>
              <w:rPr>
                <w:sz w:val="2"/>
                <w:szCs w:val="2"/>
              </w:rPr>
            </w:pPr>
          </w:p>
        </w:tc>
        <w:tc>
          <w:tcPr>
            <w:tcW w:w="1889" w:type="dxa"/>
            <w:gridSpan w:val="2"/>
            <w:tcBorders>
              <w:top w:val="single" w:sz="2" w:space="0" w:color="000000"/>
              <w:left w:val="single" w:sz="2" w:space="0" w:color="000000"/>
              <w:bottom w:val="single" w:sz="2" w:space="0" w:color="000000"/>
              <w:right w:val="single" w:sz="2" w:space="0" w:color="000000"/>
            </w:tcBorders>
          </w:tcPr>
          <w:p w:rsidR="00D95A48" w:rsidRDefault="0006778F">
            <w:pPr>
              <w:pStyle w:val="TableParagraph"/>
              <w:spacing w:before="9"/>
              <w:ind w:left="436"/>
              <w:jc w:val="left"/>
              <w:rPr>
                <w:sz w:val="18"/>
              </w:rPr>
            </w:pPr>
            <w:r>
              <w:rPr>
                <w:sz w:val="18"/>
              </w:rPr>
              <w:t>100 (LOAEL)</w:t>
            </w:r>
          </w:p>
        </w:tc>
        <w:tc>
          <w:tcPr>
            <w:tcW w:w="681" w:type="dxa"/>
            <w:gridSpan w:val="2"/>
            <w:tcBorders>
              <w:top w:val="single" w:sz="2" w:space="0" w:color="000000"/>
              <w:left w:val="single" w:sz="2" w:space="0" w:color="000000"/>
              <w:bottom w:val="single" w:sz="2" w:space="0" w:color="000000"/>
              <w:right w:val="single" w:sz="2" w:space="0" w:color="000000"/>
            </w:tcBorders>
          </w:tcPr>
          <w:p w:rsidR="00D95A48" w:rsidRDefault="0006778F">
            <w:pPr>
              <w:pStyle w:val="TableParagraph"/>
              <w:spacing w:line="202" w:lineRule="exact"/>
              <w:ind w:left="11"/>
              <w:rPr>
                <w:sz w:val="18"/>
              </w:rPr>
            </w:pPr>
            <w:r>
              <w:rPr>
                <w:sz w:val="18"/>
              </w:rPr>
              <w:t>M</w:t>
            </w:r>
          </w:p>
        </w:tc>
        <w:tc>
          <w:tcPr>
            <w:tcW w:w="1552" w:type="dxa"/>
            <w:tcBorders>
              <w:top w:val="single" w:sz="2" w:space="0" w:color="000000"/>
              <w:left w:val="single" w:sz="2" w:space="0" w:color="000000"/>
              <w:bottom w:val="single" w:sz="2" w:space="0" w:color="000000"/>
              <w:right w:val="single" w:sz="2" w:space="0" w:color="000000"/>
            </w:tcBorders>
          </w:tcPr>
          <w:p w:rsidR="00D95A48" w:rsidRDefault="0006778F">
            <w:pPr>
              <w:pStyle w:val="TableParagraph"/>
              <w:spacing w:line="202" w:lineRule="exact"/>
              <w:ind w:left="536" w:right="521"/>
              <w:rPr>
                <w:sz w:val="18"/>
              </w:rPr>
            </w:pPr>
            <w:r>
              <w:rPr>
                <w:sz w:val="18"/>
              </w:rPr>
              <w:t>2310</w:t>
            </w:r>
          </w:p>
        </w:tc>
        <w:tc>
          <w:tcPr>
            <w:tcW w:w="1660" w:type="dxa"/>
            <w:tcBorders>
              <w:top w:val="single" w:sz="2" w:space="0" w:color="000000"/>
              <w:left w:val="single" w:sz="2" w:space="0" w:color="000000"/>
              <w:bottom w:val="single" w:sz="2" w:space="0" w:color="000000"/>
            </w:tcBorders>
          </w:tcPr>
          <w:p w:rsidR="00D95A48" w:rsidRDefault="0006778F">
            <w:pPr>
              <w:pStyle w:val="TableParagraph"/>
              <w:spacing w:line="202" w:lineRule="exact"/>
              <w:ind w:left="303" w:right="279"/>
              <w:rPr>
                <w:sz w:val="18"/>
              </w:rPr>
            </w:pPr>
            <w:r>
              <w:rPr>
                <w:sz w:val="18"/>
              </w:rPr>
              <w:t>7950</w:t>
            </w:r>
          </w:p>
        </w:tc>
      </w:tr>
      <w:tr w:rsidR="00D95A48">
        <w:trPr>
          <w:trHeight w:val="237"/>
        </w:trPr>
        <w:tc>
          <w:tcPr>
            <w:tcW w:w="1471" w:type="dxa"/>
            <w:vMerge w:val="restart"/>
            <w:tcBorders>
              <w:top w:val="single" w:sz="2" w:space="0" w:color="000000"/>
              <w:bottom w:val="single" w:sz="2" w:space="0" w:color="000000"/>
              <w:right w:val="single" w:sz="2" w:space="0" w:color="000000"/>
            </w:tcBorders>
          </w:tcPr>
          <w:p w:rsidR="00D95A48" w:rsidRDefault="00D95A48">
            <w:pPr>
              <w:pStyle w:val="TableParagraph"/>
              <w:jc w:val="left"/>
              <w:rPr>
                <w:b/>
                <w:sz w:val="20"/>
              </w:rPr>
            </w:pPr>
          </w:p>
          <w:p w:rsidR="00D95A48" w:rsidRDefault="00D95A48">
            <w:pPr>
              <w:pStyle w:val="TableParagraph"/>
              <w:jc w:val="left"/>
              <w:rPr>
                <w:b/>
                <w:sz w:val="20"/>
              </w:rPr>
            </w:pPr>
          </w:p>
          <w:p w:rsidR="00D95A48" w:rsidRDefault="00D95A48">
            <w:pPr>
              <w:pStyle w:val="TableParagraph"/>
              <w:jc w:val="left"/>
              <w:rPr>
                <w:b/>
                <w:sz w:val="20"/>
              </w:rPr>
            </w:pPr>
          </w:p>
          <w:p w:rsidR="00D95A48" w:rsidRDefault="0066008F">
            <w:pPr>
              <w:pStyle w:val="TableParagraph"/>
              <w:spacing w:before="171"/>
              <w:ind w:left="107"/>
              <w:jc w:val="left"/>
              <w:rPr>
                <w:sz w:val="18"/>
              </w:rPr>
            </w:pPr>
            <w:r>
              <w:rPr>
                <w:sz w:val="18"/>
              </w:rPr>
              <w:t>Project B</w:t>
            </w:r>
            <w:r w:rsidR="0006778F">
              <w:rPr>
                <w:sz w:val="18"/>
              </w:rPr>
              <w:t>-TX-0002</w:t>
            </w:r>
          </w:p>
        </w:tc>
        <w:tc>
          <w:tcPr>
            <w:tcW w:w="1968" w:type="dxa"/>
            <w:vMerge w:val="restart"/>
            <w:tcBorders>
              <w:top w:val="single" w:sz="2" w:space="0" w:color="000000"/>
              <w:left w:val="single" w:sz="2" w:space="0" w:color="000000"/>
              <w:bottom w:val="single" w:sz="2" w:space="0" w:color="000000"/>
              <w:right w:val="single" w:sz="2" w:space="0" w:color="000000"/>
            </w:tcBorders>
          </w:tcPr>
          <w:p w:rsidR="00D95A48" w:rsidRDefault="00D95A48">
            <w:pPr>
              <w:pStyle w:val="TableParagraph"/>
              <w:jc w:val="left"/>
              <w:rPr>
                <w:b/>
                <w:sz w:val="20"/>
              </w:rPr>
            </w:pPr>
          </w:p>
          <w:p w:rsidR="00D95A48" w:rsidRDefault="00D95A48">
            <w:pPr>
              <w:pStyle w:val="TableParagraph"/>
              <w:jc w:val="left"/>
              <w:rPr>
                <w:b/>
                <w:sz w:val="20"/>
              </w:rPr>
            </w:pPr>
          </w:p>
          <w:p w:rsidR="00D95A48" w:rsidRDefault="00D95A48">
            <w:pPr>
              <w:pStyle w:val="TableParagraph"/>
              <w:jc w:val="left"/>
              <w:rPr>
                <w:b/>
                <w:sz w:val="20"/>
              </w:rPr>
            </w:pPr>
          </w:p>
          <w:p w:rsidR="00D95A48" w:rsidRDefault="0006778F">
            <w:pPr>
              <w:pStyle w:val="TableParagraph"/>
              <w:spacing w:before="171"/>
              <w:ind w:left="391"/>
              <w:jc w:val="left"/>
              <w:rPr>
                <w:sz w:val="18"/>
              </w:rPr>
            </w:pPr>
            <w:r>
              <w:rPr>
                <w:sz w:val="18"/>
              </w:rPr>
              <w:t>Dog, 4-week, po</w:t>
            </w:r>
          </w:p>
        </w:tc>
        <w:tc>
          <w:tcPr>
            <w:tcW w:w="1889" w:type="dxa"/>
            <w:gridSpan w:val="2"/>
            <w:vMerge w:val="restart"/>
            <w:tcBorders>
              <w:top w:val="single" w:sz="2" w:space="0" w:color="000000"/>
              <w:left w:val="single" w:sz="2" w:space="0" w:color="000000"/>
              <w:bottom w:val="single" w:sz="2" w:space="0" w:color="000000"/>
              <w:right w:val="single" w:sz="2" w:space="0" w:color="000000"/>
            </w:tcBorders>
          </w:tcPr>
          <w:p w:rsidR="00D95A48" w:rsidRDefault="0006778F">
            <w:pPr>
              <w:pStyle w:val="TableParagraph"/>
              <w:spacing w:before="132"/>
              <w:ind w:left="516"/>
              <w:jc w:val="left"/>
              <w:rPr>
                <w:sz w:val="18"/>
              </w:rPr>
            </w:pPr>
            <w:r>
              <w:rPr>
                <w:sz w:val="18"/>
              </w:rPr>
              <w:t>3 (NOAEL)</w:t>
            </w:r>
          </w:p>
        </w:tc>
        <w:tc>
          <w:tcPr>
            <w:tcW w:w="681" w:type="dxa"/>
            <w:gridSpan w:val="2"/>
            <w:tcBorders>
              <w:top w:val="single" w:sz="2" w:space="0" w:color="000000"/>
              <w:left w:val="single" w:sz="2" w:space="0" w:color="000000"/>
              <w:bottom w:val="single" w:sz="2" w:space="0" w:color="000000"/>
              <w:right w:val="single" w:sz="2" w:space="0" w:color="000000"/>
            </w:tcBorders>
          </w:tcPr>
          <w:p w:rsidR="00D95A48" w:rsidRDefault="0006778F">
            <w:pPr>
              <w:pStyle w:val="TableParagraph"/>
              <w:spacing w:line="202" w:lineRule="exact"/>
              <w:ind w:left="11"/>
              <w:rPr>
                <w:sz w:val="18"/>
              </w:rPr>
            </w:pPr>
            <w:r>
              <w:rPr>
                <w:sz w:val="18"/>
              </w:rPr>
              <w:t>M</w:t>
            </w:r>
          </w:p>
        </w:tc>
        <w:tc>
          <w:tcPr>
            <w:tcW w:w="1552" w:type="dxa"/>
            <w:tcBorders>
              <w:top w:val="single" w:sz="2" w:space="0" w:color="000000"/>
              <w:left w:val="single" w:sz="2" w:space="0" w:color="000000"/>
              <w:bottom w:val="single" w:sz="2" w:space="0" w:color="000000"/>
              <w:right w:val="single" w:sz="2" w:space="0" w:color="000000"/>
            </w:tcBorders>
          </w:tcPr>
          <w:p w:rsidR="00D95A48" w:rsidRDefault="0006778F">
            <w:pPr>
              <w:pStyle w:val="TableParagraph"/>
              <w:spacing w:line="202" w:lineRule="exact"/>
              <w:ind w:left="536" w:right="518"/>
              <w:rPr>
                <w:sz w:val="18"/>
              </w:rPr>
            </w:pPr>
            <w:r>
              <w:rPr>
                <w:sz w:val="18"/>
              </w:rPr>
              <w:t>323</w:t>
            </w:r>
          </w:p>
        </w:tc>
        <w:tc>
          <w:tcPr>
            <w:tcW w:w="1660" w:type="dxa"/>
            <w:tcBorders>
              <w:top w:val="single" w:sz="2" w:space="0" w:color="000000"/>
              <w:left w:val="single" w:sz="2" w:space="0" w:color="000000"/>
              <w:bottom w:val="single" w:sz="2" w:space="0" w:color="000000"/>
            </w:tcBorders>
          </w:tcPr>
          <w:p w:rsidR="00D95A48" w:rsidRDefault="0006778F">
            <w:pPr>
              <w:pStyle w:val="TableParagraph"/>
              <w:spacing w:line="202" w:lineRule="exact"/>
              <w:ind w:left="303" w:right="279"/>
              <w:rPr>
                <w:sz w:val="18"/>
              </w:rPr>
            </w:pPr>
            <w:r>
              <w:rPr>
                <w:sz w:val="18"/>
              </w:rPr>
              <w:t>1250</w:t>
            </w:r>
          </w:p>
        </w:tc>
      </w:tr>
      <w:tr w:rsidR="00D95A48">
        <w:trPr>
          <w:trHeight w:val="237"/>
        </w:trPr>
        <w:tc>
          <w:tcPr>
            <w:tcW w:w="1471" w:type="dxa"/>
            <w:vMerge/>
            <w:tcBorders>
              <w:top w:val="nil"/>
              <w:bottom w:val="single" w:sz="2" w:space="0" w:color="000000"/>
              <w:right w:val="single" w:sz="2" w:space="0" w:color="000000"/>
            </w:tcBorders>
          </w:tcPr>
          <w:p w:rsidR="00D95A48" w:rsidRDefault="00D95A48">
            <w:pPr>
              <w:rPr>
                <w:sz w:val="2"/>
                <w:szCs w:val="2"/>
              </w:rPr>
            </w:pPr>
          </w:p>
        </w:tc>
        <w:tc>
          <w:tcPr>
            <w:tcW w:w="1968" w:type="dxa"/>
            <w:vMerge/>
            <w:tcBorders>
              <w:top w:val="nil"/>
              <w:left w:val="single" w:sz="2" w:space="0" w:color="000000"/>
              <w:bottom w:val="single" w:sz="2" w:space="0" w:color="000000"/>
              <w:right w:val="single" w:sz="2" w:space="0" w:color="000000"/>
            </w:tcBorders>
          </w:tcPr>
          <w:p w:rsidR="00D95A48" w:rsidRDefault="00D95A48">
            <w:pPr>
              <w:rPr>
                <w:sz w:val="2"/>
                <w:szCs w:val="2"/>
              </w:rPr>
            </w:pPr>
          </w:p>
        </w:tc>
        <w:tc>
          <w:tcPr>
            <w:tcW w:w="1889" w:type="dxa"/>
            <w:gridSpan w:val="2"/>
            <w:vMerge/>
            <w:tcBorders>
              <w:top w:val="nil"/>
              <w:left w:val="single" w:sz="2" w:space="0" w:color="000000"/>
              <w:bottom w:val="single" w:sz="2" w:space="0" w:color="000000"/>
              <w:right w:val="single" w:sz="2" w:space="0" w:color="000000"/>
            </w:tcBorders>
          </w:tcPr>
          <w:p w:rsidR="00D95A48" w:rsidRDefault="00D95A48">
            <w:pPr>
              <w:rPr>
                <w:sz w:val="2"/>
                <w:szCs w:val="2"/>
              </w:rPr>
            </w:pPr>
          </w:p>
        </w:tc>
        <w:tc>
          <w:tcPr>
            <w:tcW w:w="681" w:type="dxa"/>
            <w:gridSpan w:val="2"/>
            <w:tcBorders>
              <w:top w:val="single" w:sz="2" w:space="0" w:color="000000"/>
              <w:left w:val="single" w:sz="2" w:space="0" w:color="000000"/>
              <w:bottom w:val="single" w:sz="2" w:space="0" w:color="000000"/>
              <w:right w:val="single" w:sz="2" w:space="0" w:color="000000"/>
            </w:tcBorders>
          </w:tcPr>
          <w:p w:rsidR="00D95A48" w:rsidRDefault="0006778F">
            <w:pPr>
              <w:pStyle w:val="TableParagraph"/>
              <w:spacing w:line="202" w:lineRule="exact"/>
              <w:ind w:left="14"/>
              <w:rPr>
                <w:sz w:val="18"/>
              </w:rPr>
            </w:pPr>
            <w:r>
              <w:rPr>
                <w:sz w:val="18"/>
              </w:rPr>
              <w:t>F</w:t>
            </w:r>
          </w:p>
        </w:tc>
        <w:tc>
          <w:tcPr>
            <w:tcW w:w="1552" w:type="dxa"/>
            <w:tcBorders>
              <w:top w:val="single" w:sz="2" w:space="0" w:color="000000"/>
              <w:left w:val="single" w:sz="2" w:space="0" w:color="000000"/>
              <w:bottom w:val="single" w:sz="2" w:space="0" w:color="000000"/>
              <w:right w:val="single" w:sz="2" w:space="0" w:color="000000"/>
            </w:tcBorders>
          </w:tcPr>
          <w:p w:rsidR="00D95A48" w:rsidRDefault="0006778F">
            <w:pPr>
              <w:pStyle w:val="TableParagraph"/>
              <w:spacing w:line="202" w:lineRule="exact"/>
              <w:ind w:left="536" w:right="518"/>
              <w:rPr>
                <w:sz w:val="18"/>
              </w:rPr>
            </w:pPr>
            <w:r>
              <w:rPr>
                <w:sz w:val="18"/>
              </w:rPr>
              <w:t>276</w:t>
            </w:r>
          </w:p>
        </w:tc>
        <w:tc>
          <w:tcPr>
            <w:tcW w:w="1660" w:type="dxa"/>
            <w:tcBorders>
              <w:top w:val="single" w:sz="2" w:space="0" w:color="000000"/>
              <w:left w:val="single" w:sz="2" w:space="0" w:color="000000"/>
              <w:bottom w:val="single" w:sz="2" w:space="0" w:color="000000"/>
            </w:tcBorders>
          </w:tcPr>
          <w:p w:rsidR="00D95A48" w:rsidRDefault="0006778F">
            <w:pPr>
              <w:pStyle w:val="TableParagraph"/>
              <w:spacing w:line="202" w:lineRule="exact"/>
              <w:ind w:left="306" w:right="279"/>
              <w:rPr>
                <w:sz w:val="18"/>
              </w:rPr>
            </w:pPr>
            <w:r>
              <w:rPr>
                <w:sz w:val="18"/>
              </w:rPr>
              <w:t>849</w:t>
            </w:r>
          </w:p>
        </w:tc>
      </w:tr>
      <w:tr w:rsidR="00D95A48">
        <w:trPr>
          <w:trHeight w:val="239"/>
        </w:trPr>
        <w:tc>
          <w:tcPr>
            <w:tcW w:w="1471" w:type="dxa"/>
            <w:vMerge/>
            <w:tcBorders>
              <w:top w:val="nil"/>
              <w:bottom w:val="single" w:sz="2" w:space="0" w:color="000000"/>
              <w:right w:val="single" w:sz="2" w:space="0" w:color="000000"/>
            </w:tcBorders>
          </w:tcPr>
          <w:p w:rsidR="00D95A48" w:rsidRDefault="00D95A48">
            <w:pPr>
              <w:rPr>
                <w:sz w:val="2"/>
                <w:szCs w:val="2"/>
              </w:rPr>
            </w:pPr>
          </w:p>
        </w:tc>
        <w:tc>
          <w:tcPr>
            <w:tcW w:w="1968" w:type="dxa"/>
            <w:vMerge/>
            <w:tcBorders>
              <w:top w:val="nil"/>
              <w:left w:val="single" w:sz="2" w:space="0" w:color="000000"/>
              <w:bottom w:val="single" w:sz="2" w:space="0" w:color="000000"/>
              <w:right w:val="single" w:sz="2" w:space="0" w:color="000000"/>
            </w:tcBorders>
          </w:tcPr>
          <w:p w:rsidR="00D95A48" w:rsidRDefault="00D95A48">
            <w:pPr>
              <w:rPr>
                <w:sz w:val="2"/>
                <w:szCs w:val="2"/>
              </w:rPr>
            </w:pPr>
          </w:p>
        </w:tc>
        <w:tc>
          <w:tcPr>
            <w:tcW w:w="1889" w:type="dxa"/>
            <w:gridSpan w:val="2"/>
            <w:vMerge w:val="restart"/>
            <w:tcBorders>
              <w:top w:val="single" w:sz="2" w:space="0" w:color="000000"/>
              <w:left w:val="single" w:sz="2" w:space="0" w:color="000000"/>
              <w:bottom w:val="single" w:sz="2" w:space="0" w:color="000000"/>
              <w:right w:val="single" w:sz="2" w:space="0" w:color="000000"/>
            </w:tcBorders>
          </w:tcPr>
          <w:p w:rsidR="00D95A48" w:rsidRDefault="0006778F">
            <w:pPr>
              <w:pStyle w:val="TableParagraph"/>
              <w:spacing w:before="134"/>
              <w:ind w:left="482"/>
              <w:jc w:val="left"/>
              <w:rPr>
                <w:sz w:val="18"/>
              </w:rPr>
            </w:pPr>
            <w:r>
              <w:rPr>
                <w:sz w:val="18"/>
              </w:rPr>
              <w:t>10 (LOAEL)</w:t>
            </w:r>
          </w:p>
        </w:tc>
        <w:tc>
          <w:tcPr>
            <w:tcW w:w="681" w:type="dxa"/>
            <w:gridSpan w:val="2"/>
            <w:tcBorders>
              <w:top w:val="single" w:sz="2" w:space="0" w:color="000000"/>
              <w:left w:val="single" w:sz="2" w:space="0" w:color="000000"/>
              <w:bottom w:val="single" w:sz="2" w:space="0" w:color="000000"/>
              <w:right w:val="single" w:sz="2" w:space="0" w:color="000000"/>
            </w:tcBorders>
          </w:tcPr>
          <w:p w:rsidR="00D95A48" w:rsidRDefault="0006778F">
            <w:pPr>
              <w:pStyle w:val="TableParagraph"/>
              <w:spacing w:line="204" w:lineRule="exact"/>
              <w:ind w:left="11"/>
              <w:rPr>
                <w:sz w:val="18"/>
              </w:rPr>
            </w:pPr>
            <w:r>
              <w:rPr>
                <w:sz w:val="18"/>
              </w:rPr>
              <w:t>M</w:t>
            </w:r>
          </w:p>
        </w:tc>
        <w:tc>
          <w:tcPr>
            <w:tcW w:w="1552" w:type="dxa"/>
            <w:tcBorders>
              <w:top w:val="single" w:sz="2" w:space="0" w:color="000000"/>
              <w:left w:val="single" w:sz="2" w:space="0" w:color="000000"/>
              <w:bottom w:val="single" w:sz="2" w:space="0" w:color="000000"/>
              <w:right w:val="single" w:sz="2" w:space="0" w:color="000000"/>
            </w:tcBorders>
          </w:tcPr>
          <w:p w:rsidR="00D95A48" w:rsidRDefault="0006778F">
            <w:pPr>
              <w:pStyle w:val="TableParagraph"/>
              <w:spacing w:line="204" w:lineRule="exact"/>
              <w:ind w:left="536" w:right="521"/>
              <w:rPr>
                <w:sz w:val="18"/>
              </w:rPr>
            </w:pPr>
            <w:r>
              <w:rPr>
                <w:sz w:val="18"/>
              </w:rPr>
              <w:t>1710</w:t>
            </w:r>
          </w:p>
        </w:tc>
        <w:tc>
          <w:tcPr>
            <w:tcW w:w="1660" w:type="dxa"/>
            <w:tcBorders>
              <w:top w:val="single" w:sz="2" w:space="0" w:color="000000"/>
              <w:left w:val="single" w:sz="2" w:space="0" w:color="000000"/>
              <w:bottom w:val="single" w:sz="2" w:space="0" w:color="000000"/>
            </w:tcBorders>
          </w:tcPr>
          <w:p w:rsidR="00D95A48" w:rsidRDefault="0006778F">
            <w:pPr>
              <w:pStyle w:val="TableParagraph"/>
              <w:spacing w:line="204" w:lineRule="exact"/>
              <w:ind w:left="303" w:right="279"/>
              <w:rPr>
                <w:sz w:val="18"/>
              </w:rPr>
            </w:pPr>
            <w:r>
              <w:rPr>
                <w:sz w:val="18"/>
              </w:rPr>
              <w:t>5630</w:t>
            </w:r>
          </w:p>
        </w:tc>
      </w:tr>
      <w:tr w:rsidR="00D95A48">
        <w:trPr>
          <w:trHeight w:val="237"/>
        </w:trPr>
        <w:tc>
          <w:tcPr>
            <w:tcW w:w="1471" w:type="dxa"/>
            <w:vMerge/>
            <w:tcBorders>
              <w:top w:val="nil"/>
              <w:bottom w:val="single" w:sz="2" w:space="0" w:color="000000"/>
              <w:right w:val="single" w:sz="2" w:space="0" w:color="000000"/>
            </w:tcBorders>
          </w:tcPr>
          <w:p w:rsidR="00D95A48" w:rsidRDefault="00D95A48">
            <w:pPr>
              <w:rPr>
                <w:sz w:val="2"/>
                <w:szCs w:val="2"/>
              </w:rPr>
            </w:pPr>
          </w:p>
        </w:tc>
        <w:tc>
          <w:tcPr>
            <w:tcW w:w="1968" w:type="dxa"/>
            <w:vMerge/>
            <w:tcBorders>
              <w:top w:val="nil"/>
              <w:left w:val="single" w:sz="2" w:space="0" w:color="000000"/>
              <w:bottom w:val="single" w:sz="2" w:space="0" w:color="000000"/>
              <w:right w:val="single" w:sz="2" w:space="0" w:color="000000"/>
            </w:tcBorders>
          </w:tcPr>
          <w:p w:rsidR="00D95A48" w:rsidRDefault="00D95A48">
            <w:pPr>
              <w:rPr>
                <w:sz w:val="2"/>
                <w:szCs w:val="2"/>
              </w:rPr>
            </w:pPr>
          </w:p>
        </w:tc>
        <w:tc>
          <w:tcPr>
            <w:tcW w:w="1889" w:type="dxa"/>
            <w:gridSpan w:val="2"/>
            <w:vMerge/>
            <w:tcBorders>
              <w:top w:val="nil"/>
              <w:left w:val="single" w:sz="2" w:space="0" w:color="000000"/>
              <w:bottom w:val="single" w:sz="2" w:space="0" w:color="000000"/>
              <w:right w:val="single" w:sz="2" w:space="0" w:color="000000"/>
            </w:tcBorders>
          </w:tcPr>
          <w:p w:rsidR="00D95A48" w:rsidRDefault="00D95A48">
            <w:pPr>
              <w:rPr>
                <w:sz w:val="2"/>
                <w:szCs w:val="2"/>
              </w:rPr>
            </w:pPr>
          </w:p>
        </w:tc>
        <w:tc>
          <w:tcPr>
            <w:tcW w:w="681" w:type="dxa"/>
            <w:gridSpan w:val="2"/>
            <w:tcBorders>
              <w:top w:val="single" w:sz="2" w:space="0" w:color="000000"/>
              <w:left w:val="single" w:sz="2" w:space="0" w:color="000000"/>
              <w:bottom w:val="single" w:sz="2" w:space="0" w:color="000000"/>
              <w:right w:val="single" w:sz="2" w:space="0" w:color="000000"/>
            </w:tcBorders>
          </w:tcPr>
          <w:p w:rsidR="00D95A48" w:rsidRDefault="0006778F">
            <w:pPr>
              <w:pStyle w:val="TableParagraph"/>
              <w:spacing w:line="202" w:lineRule="exact"/>
              <w:ind w:left="14"/>
              <w:rPr>
                <w:sz w:val="18"/>
              </w:rPr>
            </w:pPr>
            <w:r>
              <w:rPr>
                <w:sz w:val="18"/>
              </w:rPr>
              <w:t>F</w:t>
            </w:r>
          </w:p>
        </w:tc>
        <w:tc>
          <w:tcPr>
            <w:tcW w:w="1552" w:type="dxa"/>
            <w:tcBorders>
              <w:top w:val="single" w:sz="2" w:space="0" w:color="000000"/>
              <w:left w:val="single" w:sz="2" w:space="0" w:color="000000"/>
              <w:bottom w:val="single" w:sz="2" w:space="0" w:color="000000"/>
              <w:right w:val="single" w:sz="2" w:space="0" w:color="000000"/>
            </w:tcBorders>
          </w:tcPr>
          <w:p w:rsidR="00D95A48" w:rsidRDefault="0006778F">
            <w:pPr>
              <w:pStyle w:val="TableParagraph"/>
              <w:spacing w:line="202" w:lineRule="exact"/>
              <w:ind w:left="536" w:right="521"/>
              <w:rPr>
                <w:sz w:val="18"/>
              </w:rPr>
            </w:pPr>
            <w:r>
              <w:rPr>
                <w:sz w:val="18"/>
              </w:rPr>
              <w:t>1400</w:t>
            </w:r>
          </w:p>
        </w:tc>
        <w:tc>
          <w:tcPr>
            <w:tcW w:w="1660" w:type="dxa"/>
            <w:tcBorders>
              <w:top w:val="single" w:sz="2" w:space="0" w:color="000000"/>
              <w:left w:val="single" w:sz="2" w:space="0" w:color="000000"/>
              <w:bottom w:val="single" w:sz="2" w:space="0" w:color="000000"/>
            </w:tcBorders>
          </w:tcPr>
          <w:p w:rsidR="00D95A48" w:rsidRDefault="0006778F">
            <w:pPr>
              <w:pStyle w:val="TableParagraph"/>
              <w:spacing w:line="202" w:lineRule="exact"/>
              <w:ind w:left="303" w:right="279"/>
              <w:rPr>
                <w:sz w:val="18"/>
              </w:rPr>
            </w:pPr>
            <w:r>
              <w:rPr>
                <w:sz w:val="18"/>
              </w:rPr>
              <w:t>4200</w:t>
            </w:r>
          </w:p>
        </w:tc>
      </w:tr>
      <w:tr w:rsidR="00D95A48">
        <w:trPr>
          <w:trHeight w:val="237"/>
        </w:trPr>
        <w:tc>
          <w:tcPr>
            <w:tcW w:w="1471" w:type="dxa"/>
            <w:vMerge/>
            <w:tcBorders>
              <w:top w:val="nil"/>
              <w:bottom w:val="single" w:sz="2" w:space="0" w:color="000000"/>
              <w:right w:val="single" w:sz="2" w:space="0" w:color="000000"/>
            </w:tcBorders>
          </w:tcPr>
          <w:p w:rsidR="00D95A48" w:rsidRDefault="00D95A48">
            <w:pPr>
              <w:rPr>
                <w:sz w:val="2"/>
                <w:szCs w:val="2"/>
              </w:rPr>
            </w:pPr>
          </w:p>
        </w:tc>
        <w:tc>
          <w:tcPr>
            <w:tcW w:w="1968" w:type="dxa"/>
            <w:vMerge/>
            <w:tcBorders>
              <w:top w:val="nil"/>
              <w:left w:val="single" w:sz="2" w:space="0" w:color="000000"/>
              <w:bottom w:val="single" w:sz="2" w:space="0" w:color="000000"/>
              <w:right w:val="single" w:sz="2" w:space="0" w:color="000000"/>
            </w:tcBorders>
          </w:tcPr>
          <w:p w:rsidR="00D95A48" w:rsidRDefault="00D95A48">
            <w:pPr>
              <w:rPr>
                <w:sz w:val="2"/>
                <w:szCs w:val="2"/>
              </w:rPr>
            </w:pPr>
          </w:p>
        </w:tc>
        <w:tc>
          <w:tcPr>
            <w:tcW w:w="1889" w:type="dxa"/>
            <w:gridSpan w:val="2"/>
            <w:vMerge w:val="restart"/>
            <w:tcBorders>
              <w:top w:val="single" w:sz="2" w:space="0" w:color="000000"/>
              <w:left w:val="single" w:sz="2" w:space="0" w:color="000000"/>
              <w:bottom w:val="single" w:sz="2" w:space="0" w:color="000000"/>
              <w:right w:val="single" w:sz="2" w:space="0" w:color="000000"/>
            </w:tcBorders>
          </w:tcPr>
          <w:p w:rsidR="00D95A48" w:rsidRDefault="0006778F">
            <w:pPr>
              <w:pStyle w:val="TableParagraph"/>
              <w:spacing w:before="132"/>
              <w:ind w:left="795" w:right="778"/>
              <w:rPr>
                <w:sz w:val="18"/>
              </w:rPr>
            </w:pPr>
            <w:r>
              <w:rPr>
                <w:sz w:val="18"/>
              </w:rPr>
              <w:t>30</w:t>
            </w:r>
          </w:p>
        </w:tc>
        <w:tc>
          <w:tcPr>
            <w:tcW w:w="681" w:type="dxa"/>
            <w:gridSpan w:val="2"/>
            <w:tcBorders>
              <w:top w:val="single" w:sz="2" w:space="0" w:color="000000"/>
              <w:left w:val="single" w:sz="2" w:space="0" w:color="000000"/>
              <w:bottom w:val="single" w:sz="2" w:space="0" w:color="000000"/>
              <w:right w:val="single" w:sz="2" w:space="0" w:color="000000"/>
            </w:tcBorders>
          </w:tcPr>
          <w:p w:rsidR="00D95A48" w:rsidRDefault="0006778F">
            <w:pPr>
              <w:pStyle w:val="TableParagraph"/>
              <w:spacing w:line="202" w:lineRule="exact"/>
              <w:ind w:left="11"/>
              <w:rPr>
                <w:sz w:val="18"/>
              </w:rPr>
            </w:pPr>
            <w:r>
              <w:rPr>
                <w:sz w:val="18"/>
              </w:rPr>
              <w:t>M</w:t>
            </w:r>
          </w:p>
        </w:tc>
        <w:tc>
          <w:tcPr>
            <w:tcW w:w="1552" w:type="dxa"/>
            <w:tcBorders>
              <w:top w:val="single" w:sz="2" w:space="0" w:color="000000"/>
              <w:left w:val="single" w:sz="2" w:space="0" w:color="000000"/>
              <w:bottom w:val="single" w:sz="2" w:space="0" w:color="000000"/>
              <w:right w:val="single" w:sz="2" w:space="0" w:color="000000"/>
            </w:tcBorders>
          </w:tcPr>
          <w:p w:rsidR="00D95A48" w:rsidRDefault="0006778F">
            <w:pPr>
              <w:pStyle w:val="TableParagraph"/>
              <w:spacing w:line="202" w:lineRule="exact"/>
              <w:ind w:left="536" w:right="521"/>
              <w:rPr>
                <w:sz w:val="18"/>
              </w:rPr>
            </w:pPr>
            <w:r>
              <w:rPr>
                <w:sz w:val="18"/>
              </w:rPr>
              <w:t>7330</w:t>
            </w:r>
          </w:p>
        </w:tc>
        <w:tc>
          <w:tcPr>
            <w:tcW w:w="1660" w:type="dxa"/>
            <w:tcBorders>
              <w:top w:val="single" w:sz="2" w:space="0" w:color="000000"/>
              <w:left w:val="single" w:sz="2" w:space="0" w:color="000000"/>
              <w:bottom w:val="single" w:sz="2" w:space="0" w:color="000000"/>
            </w:tcBorders>
          </w:tcPr>
          <w:p w:rsidR="00D95A48" w:rsidRDefault="0006778F">
            <w:pPr>
              <w:pStyle w:val="TableParagraph"/>
              <w:spacing w:line="202" w:lineRule="exact"/>
              <w:ind w:left="303" w:right="279"/>
              <w:rPr>
                <w:sz w:val="18"/>
              </w:rPr>
            </w:pPr>
            <w:r>
              <w:rPr>
                <w:sz w:val="18"/>
              </w:rPr>
              <w:t>16900</w:t>
            </w:r>
          </w:p>
        </w:tc>
      </w:tr>
      <w:tr w:rsidR="00D95A48">
        <w:trPr>
          <w:trHeight w:val="239"/>
        </w:trPr>
        <w:tc>
          <w:tcPr>
            <w:tcW w:w="1471" w:type="dxa"/>
            <w:vMerge/>
            <w:tcBorders>
              <w:top w:val="nil"/>
              <w:bottom w:val="single" w:sz="2" w:space="0" w:color="000000"/>
              <w:right w:val="single" w:sz="2" w:space="0" w:color="000000"/>
            </w:tcBorders>
          </w:tcPr>
          <w:p w:rsidR="00D95A48" w:rsidRDefault="00D95A48">
            <w:pPr>
              <w:rPr>
                <w:sz w:val="2"/>
                <w:szCs w:val="2"/>
              </w:rPr>
            </w:pPr>
          </w:p>
        </w:tc>
        <w:tc>
          <w:tcPr>
            <w:tcW w:w="1968" w:type="dxa"/>
            <w:vMerge/>
            <w:tcBorders>
              <w:top w:val="nil"/>
              <w:left w:val="single" w:sz="2" w:space="0" w:color="000000"/>
              <w:bottom w:val="single" w:sz="2" w:space="0" w:color="000000"/>
              <w:right w:val="single" w:sz="2" w:space="0" w:color="000000"/>
            </w:tcBorders>
          </w:tcPr>
          <w:p w:rsidR="00D95A48" w:rsidRDefault="00D95A48">
            <w:pPr>
              <w:rPr>
                <w:sz w:val="2"/>
                <w:szCs w:val="2"/>
              </w:rPr>
            </w:pPr>
          </w:p>
        </w:tc>
        <w:tc>
          <w:tcPr>
            <w:tcW w:w="1889" w:type="dxa"/>
            <w:gridSpan w:val="2"/>
            <w:vMerge/>
            <w:tcBorders>
              <w:top w:val="nil"/>
              <w:left w:val="single" w:sz="2" w:space="0" w:color="000000"/>
              <w:bottom w:val="single" w:sz="2" w:space="0" w:color="000000"/>
              <w:right w:val="single" w:sz="2" w:space="0" w:color="000000"/>
            </w:tcBorders>
          </w:tcPr>
          <w:p w:rsidR="00D95A48" w:rsidRDefault="00D95A48">
            <w:pPr>
              <w:rPr>
                <w:sz w:val="2"/>
                <w:szCs w:val="2"/>
              </w:rPr>
            </w:pPr>
          </w:p>
        </w:tc>
        <w:tc>
          <w:tcPr>
            <w:tcW w:w="681" w:type="dxa"/>
            <w:gridSpan w:val="2"/>
            <w:tcBorders>
              <w:top w:val="single" w:sz="2" w:space="0" w:color="000000"/>
              <w:left w:val="single" w:sz="2" w:space="0" w:color="000000"/>
              <w:bottom w:val="single" w:sz="2" w:space="0" w:color="000000"/>
              <w:right w:val="single" w:sz="2" w:space="0" w:color="000000"/>
            </w:tcBorders>
          </w:tcPr>
          <w:p w:rsidR="00D95A48" w:rsidRDefault="0006778F">
            <w:pPr>
              <w:pStyle w:val="TableParagraph"/>
              <w:spacing w:line="202" w:lineRule="exact"/>
              <w:ind w:left="14"/>
              <w:rPr>
                <w:sz w:val="18"/>
              </w:rPr>
            </w:pPr>
            <w:r>
              <w:rPr>
                <w:sz w:val="18"/>
              </w:rPr>
              <w:t>F</w:t>
            </w:r>
          </w:p>
        </w:tc>
        <w:tc>
          <w:tcPr>
            <w:tcW w:w="1552" w:type="dxa"/>
            <w:tcBorders>
              <w:top w:val="single" w:sz="2" w:space="0" w:color="000000"/>
              <w:left w:val="single" w:sz="2" w:space="0" w:color="000000"/>
              <w:bottom w:val="single" w:sz="2" w:space="0" w:color="000000"/>
              <w:right w:val="single" w:sz="2" w:space="0" w:color="000000"/>
            </w:tcBorders>
          </w:tcPr>
          <w:p w:rsidR="00D95A48" w:rsidRDefault="0006778F">
            <w:pPr>
              <w:pStyle w:val="TableParagraph"/>
              <w:spacing w:line="202" w:lineRule="exact"/>
              <w:ind w:left="536" w:right="521"/>
              <w:rPr>
                <w:sz w:val="18"/>
              </w:rPr>
            </w:pPr>
            <w:r>
              <w:rPr>
                <w:sz w:val="18"/>
              </w:rPr>
              <w:t>9910</w:t>
            </w:r>
          </w:p>
        </w:tc>
        <w:tc>
          <w:tcPr>
            <w:tcW w:w="1660" w:type="dxa"/>
            <w:tcBorders>
              <w:top w:val="single" w:sz="2" w:space="0" w:color="000000"/>
              <w:left w:val="single" w:sz="2" w:space="0" w:color="000000"/>
              <w:bottom w:val="single" w:sz="2" w:space="0" w:color="000000"/>
            </w:tcBorders>
          </w:tcPr>
          <w:p w:rsidR="00D95A48" w:rsidRDefault="0006778F">
            <w:pPr>
              <w:pStyle w:val="TableParagraph"/>
              <w:spacing w:line="202" w:lineRule="exact"/>
              <w:ind w:left="303" w:right="279"/>
              <w:rPr>
                <w:sz w:val="18"/>
              </w:rPr>
            </w:pPr>
            <w:r>
              <w:rPr>
                <w:sz w:val="18"/>
              </w:rPr>
              <w:t>22900</w:t>
            </w:r>
          </w:p>
        </w:tc>
      </w:tr>
      <w:tr w:rsidR="00D95A48">
        <w:trPr>
          <w:trHeight w:val="237"/>
        </w:trPr>
        <w:tc>
          <w:tcPr>
            <w:tcW w:w="1471" w:type="dxa"/>
            <w:vMerge/>
            <w:tcBorders>
              <w:top w:val="nil"/>
              <w:bottom w:val="single" w:sz="2" w:space="0" w:color="000000"/>
              <w:right w:val="single" w:sz="2" w:space="0" w:color="000000"/>
            </w:tcBorders>
          </w:tcPr>
          <w:p w:rsidR="00D95A48" w:rsidRDefault="00D95A48">
            <w:pPr>
              <w:rPr>
                <w:sz w:val="2"/>
                <w:szCs w:val="2"/>
              </w:rPr>
            </w:pPr>
          </w:p>
        </w:tc>
        <w:tc>
          <w:tcPr>
            <w:tcW w:w="1968" w:type="dxa"/>
            <w:vMerge/>
            <w:tcBorders>
              <w:top w:val="nil"/>
              <w:left w:val="single" w:sz="2" w:space="0" w:color="000000"/>
              <w:bottom w:val="single" w:sz="2" w:space="0" w:color="000000"/>
              <w:right w:val="single" w:sz="2" w:space="0" w:color="000000"/>
            </w:tcBorders>
          </w:tcPr>
          <w:p w:rsidR="00D95A48" w:rsidRDefault="00D95A48">
            <w:pPr>
              <w:rPr>
                <w:sz w:val="2"/>
                <w:szCs w:val="2"/>
              </w:rPr>
            </w:pPr>
          </w:p>
        </w:tc>
        <w:tc>
          <w:tcPr>
            <w:tcW w:w="1889" w:type="dxa"/>
            <w:gridSpan w:val="2"/>
            <w:vMerge w:val="restart"/>
            <w:tcBorders>
              <w:top w:val="single" w:sz="2" w:space="0" w:color="000000"/>
              <w:left w:val="single" w:sz="2" w:space="0" w:color="000000"/>
              <w:bottom w:val="single" w:sz="2" w:space="0" w:color="000000"/>
              <w:right w:val="single" w:sz="2" w:space="0" w:color="000000"/>
            </w:tcBorders>
          </w:tcPr>
          <w:p w:rsidR="00D95A48" w:rsidRDefault="0006778F">
            <w:pPr>
              <w:pStyle w:val="TableParagraph"/>
              <w:spacing w:before="132"/>
              <w:ind w:left="795" w:right="778"/>
              <w:rPr>
                <w:sz w:val="18"/>
              </w:rPr>
            </w:pPr>
            <w:r>
              <w:rPr>
                <w:sz w:val="18"/>
              </w:rPr>
              <w:t>300</w:t>
            </w:r>
          </w:p>
        </w:tc>
        <w:tc>
          <w:tcPr>
            <w:tcW w:w="681" w:type="dxa"/>
            <w:gridSpan w:val="2"/>
            <w:tcBorders>
              <w:top w:val="single" w:sz="2" w:space="0" w:color="000000"/>
              <w:left w:val="single" w:sz="2" w:space="0" w:color="000000"/>
              <w:bottom w:val="single" w:sz="2" w:space="0" w:color="000000"/>
              <w:right w:val="single" w:sz="2" w:space="0" w:color="000000"/>
            </w:tcBorders>
          </w:tcPr>
          <w:p w:rsidR="00D95A48" w:rsidRDefault="0006778F">
            <w:pPr>
              <w:pStyle w:val="TableParagraph"/>
              <w:spacing w:line="202" w:lineRule="exact"/>
              <w:ind w:left="11"/>
              <w:rPr>
                <w:sz w:val="18"/>
              </w:rPr>
            </w:pPr>
            <w:r>
              <w:rPr>
                <w:sz w:val="18"/>
              </w:rPr>
              <w:t>M</w:t>
            </w:r>
          </w:p>
        </w:tc>
        <w:tc>
          <w:tcPr>
            <w:tcW w:w="1552" w:type="dxa"/>
            <w:tcBorders>
              <w:top w:val="single" w:sz="2" w:space="0" w:color="000000"/>
              <w:left w:val="single" w:sz="2" w:space="0" w:color="000000"/>
              <w:bottom w:val="single" w:sz="2" w:space="0" w:color="000000"/>
              <w:right w:val="single" w:sz="2" w:space="0" w:color="000000"/>
            </w:tcBorders>
          </w:tcPr>
          <w:p w:rsidR="00D95A48" w:rsidRDefault="0006778F">
            <w:pPr>
              <w:pStyle w:val="TableParagraph"/>
              <w:spacing w:line="202" w:lineRule="exact"/>
              <w:ind w:left="536" w:right="521"/>
              <w:rPr>
                <w:sz w:val="18"/>
              </w:rPr>
            </w:pPr>
            <w:r>
              <w:rPr>
                <w:sz w:val="18"/>
              </w:rPr>
              <w:t>21800</w:t>
            </w:r>
          </w:p>
        </w:tc>
        <w:tc>
          <w:tcPr>
            <w:tcW w:w="1660" w:type="dxa"/>
            <w:tcBorders>
              <w:top w:val="single" w:sz="2" w:space="0" w:color="000000"/>
              <w:left w:val="single" w:sz="2" w:space="0" w:color="000000"/>
              <w:bottom w:val="single" w:sz="2" w:space="0" w:color="000000"/>
            </w:tcBorders>
          </w:tcPr>
          <w:p w:rsidR="00D95A48" w:rsidRDefault="0006778F">
            <w:pPr>
              <w:pStyle w:val="TableParagraph"/>
              <w:spacing w:line="202" w:lineRule="exact"/>
              <w:ind w:left="305" w:right="279"/>
              <w:rPr>
                <w:sz w:val="18"/>
              </w:rPr>
            </w:pPr>
            <w:r>
              <w:rPr>
                <w:sz w:val="18"/>
              </w:rPr>
              <w:t>127000</w:t>
            </w:r>
          </w:p>
        </w:tc>
      </w:tr>
      <w:tr w:rsidR="00D95A48">
        <w:trPr>
          <w:trHeight w:val="237"/>
        </w:trPr>
        <w:tc>
          <w:tcPr>
            <w:tcW w:w="1471" w:type="dxa"/>
            <w:vMerge/>
            <w:tcBorders>
              <w:top w:val="nil"/>
              <w:bottom w:val="single" w:sz="2" w:space="0" w:color="000000"/>
              <w:right w:val="single" w:sz="2" w:space="0" w:color="000000"/>
            </w:tcBorders>
          </w:tcPr>
          <w:p w:rsidR="00D95A48" w:rsidRDefault="00D95A48">
            <w:pPr>
              <w:rPr>
                <w:sz w:val="2"/>
                <w:szCs w:val="2"/>
              </w:rPr>
            </w:pPr>
          </w:p>
        </w:tc>
        <w:tc>
          <w:tcPr>
            <w:tcW w:w="1968" w:type="dxa"/>
            <w:vMerge/>
            <w:tcBorders>
              <w:top w:val="nil"/>
              <w:left w:val="single" w:sz="2" w:space="0" w:color="000000"/>
              <w:bottom w:val="single" w:sz="2" w:space="0" w:color="000000"/>
              <w:right w:val="single" w:sz="2" w:space="0" w:color="000000"/>
            </w:tcBorders>
          </w:tcPr>
          <w:p w:rsidR="00D95A48" w:rsidRDefault="00D95A48">
            <w:pPr>
              <w:rPr>
                <w:sz w:val="2"/>
                <w:szCs w:val="2"/>
              </w:rPr>
            </w:pPr>
          </w:p>
        </w:tc>
        <w:tc>
          <w:tcPr>
            <w:tcW w:w="1889" w:type="dxa"/>
            <w:gridSpan w:val="2"/>
            <w:vMerge/>
            <w:tcBorders>
              <w:top w:val="nil"/>
              <w:left w:val="single" w:sz="2" w:space="0" w:color="000000"/>
              <w:bottom w:val="single" w:sz="2" w:space="0" w:color="000000"/>
              <w:right w:val="single" w:sz="2" w:space="0" w:color="000000"/>
            </w:tcBorders>
          </w:tcPr>
          <w:p w:rsidR="00D95A48" w:rsidRDefault="00D95A48">
            <w:pPr>
              <w:rPr>
                <w:sz w:val="2"/>
                <w:szCs w:val="2"/>
              </w:rPr>
            </w:pPr>
          </w:p>
        </w:tc>
        <w:tc>
          <w:tcPr>
            <w:tcW w:w="681" w:type="dxa"/>
            <w:gridSpan w:val="2"/>
            <w:tcBorders>
              <w:top w:val="single" w:sz="2" w:space="0" w:color="000000"/>
              <w:left w:val="single" w:sz="2" w:space="0" w:color="000000"/>
              <w:bottom w:val="single" w:sz="2" w:space="0" w:color="000000"/>
              <w:right w:val="single" w:sz="2" w:space="0" w:color="000000"/>
            </w:tcBorders>
          </w:tcPr>
          <w:p w:rsidR="00D95A48" w:rsidRDefault="0006778F">
            <w:pPr>
              <w:pStyle w:val="TableParagraph"/>
              <w:spacing w:line="202" w:lineRule="exact"/>
              <w:ind w:left="14"/>
              <w:rPr>
                <w:sz w:val="18"/>
              </w:rPr>
            </w:pPr>
            <w:r>
              <w:rPr>
                <w:sz w:val="18"/>
              </w:rPr>
              <w:t>F</w:t>
            </w:r>
          </w:p>
        </w:tc>
        <w:tc>
          <w:tcPr>
            <w:tcW w:w="1552" w:type="dxa"/>
            <w:tcBorders>
              <w:top w:val="single" w:sz="2" w:space="0" w:color="000000"/>
              <w:left w:val="single" w:sz="2" w:space="0" w:color="000000"/>
              <w:bottom w:val="single" w:sz="2" w:space="0" w:color="000000"/>
              <w:right w:val="single" w:sz="2" w:space="0" w:color="000000"/>
            </w:tcBorders>
          </w:tcPr>
          <w:p w:rsidR="00D95A48" w:rsidRDefault="0006778F">
            <w:pPr>
              <w:pStyle w:val="TableParagraph"/>
              <w:spacing w:line="202" w:lineRule="exact"/>
              <w:ind w:left="536" w:right="521"/>
              <w:rPr>
                <w:sz w:val="18"/>
              </w:rPr>
            </w:pPr>
            <w:r>
              <w:rPr>
                <w:sz w:val="18"/>
              </w:rPr>
              <w:t>25700</w:t>
            </w:r>
          </w:p>
        </w:tc>
        <w:tc>
          <w:tcPr>
            <w:tcW w:w="1660" w:type="dxa"/>
            <w:tcBorders>
              <w:top w:val="single" w:sz="2" w:space="0" w:color="000000"/>
              <w:left w:val="single" w:sz="2" w:space="0" w:color="000000"/>
              <w:bottom w:val="single" w:sz="2" w:space="0" w:color="000000"/>
            </w:tcBorders>
          </w:tcPr>
          <w:p w:rsidR="00D95A48" w:rsidRDefault="0006778F">
            <w:pPr>
              <w:pStyle w:val="TableParagraph"/>
              <w:spacing w:line="202" w:lineRule="exact"/>
              <w:ind w:left="305" w:right="279"/>
              <w:rPr>
                <w:sz w:val="18"/>
              </w:rPr>
            </w:pPr>
            <w:r>
              <w:rPr>
                <w:sz w:val="18"/>
              </w:rPr>
              <w:t>149000</w:t>
            </w:r>
          </w:p>
        </w:tc>
      </w:tr>
      <w:tr w:rsidR="00D95A48">
        <w:trPr>
          <w:trHeight w:val="232"/>
        </w:trPr>
        <w:tc>
          <w:tcPr>
            <w:tcW w:w="1471" w:type="dxa"/>
            <w:vMerge w:val="restart"/>
            <w:tcBorders>
              <w:top w:val="single" w:sz="2" w:space="0" w:color="000000"/>
              <w:right w:val="single" w:sz="2" w:space="0" w:color="000000"/>
            </w:tcBorders>
          </w:tcPr>
          <w:p w:rsidR="00D95A48" w:rsidRDefault="00D95A48">
            <w:pPr>
              <w:pStyle w:val="TableParagraph"/>
              <w:jc w:val="left"/>
              <w:rPr>
                <w:b/>
                <w:sz w:val="20"/>
              </w:rPr>
            </w:pPr>
          </w:p>
          <w:p w:rsidR="00D95A48" w:rsidRDefault="0066008F">
            <w:pPr>
              <w:pStyle w:val="TableParagraph"/>
              <w:spacing w:before="146"/>
              <w:ind w:left="107"/>
              <w:jc w:val="left"/>
              <w:rPr>
                <w:sz w:val="18"/>
              </w:rPr>
            </w:pPr>
            <w:r>
              <w:rPr>
                <w:sz w:val="18"/>
              </w:rPr>
              <w:t>Project B</w:t>
            </w:r>
            <w:r w:rsidR="0006778F">
              <w:rPr>
                <w:sz w:val="18"/>
              </w:rPr>
              <w:t>-PT-0004</w:t>
            </w:r>
          </w:p>
        </w:tc>
        <w:tc>
          <w:tcPr>
            <w:tcW w:w="1968" w:type="dxa"/>
            <w:vMerge w:val="restart"/>
            <w:tcBorders>
              <w:top w:val="single" w:sz="2" w:space="0" w:color="000000"/>
              <w:left w:val="single" w:sz="2" w:space="0" w:color="000000"/>
              <w:right w:val="single" w:sz="2" w:space="0" w:color="000000"/>
            </w:tcBorders>
          </w:tcPr>
          <w:p w:rsidR="00D95A48" w:rsidRDefault="00D95A48">
            <w:pPr>
              <w:pStyle w:val="TableParagraph"/>
              <w:jc w:val="left"/>
              <w:rPr>
                <w:b/>
                <w:sz w:val="20"/>
              </w:rPr>
            </w:pPr>
          </w:p>
          <w:p w:rsidR="00D95A48" w:rsidRDefault="0006778F">
            <w:pPr>
              <w:pStyle w:val="TableParagraph"/>
              <w:spacing w:before="146"/>
              <w:ind w:left="132"/>
              <w:jc w:val="left"/>
              <w:rPr>
                <w:sz w:val="18"/>
              </w:rPr>
            </w:pPr>
            <w:r>
              <w:rPr>
                <w:sz w:val="18"/>
              </w:rPr>
              <w:t>Dog, cardiovascular, po</w:t>
            </w:r>
          </w:p>
        </w:tc>
        <w:tc>
          <w:tcPr>
            <w:tcW w:w="1889" w:type="dxa"/>
            <w:gridSpan w:val="2"/>
            <w:tcBorders>
              <w:top w:val="single" w:sz="2" w:space="0" w:color="000000"/>
              <w:left w:val="single" w:sz="2" w:space="0" w:color="000000"/>
              <w:bottom w:val="single" w:sz="2" w:space="0" w:color="000000"/>
              <w:right w:val="single" w:sz="2" w:space="0" w:color="000000"/>
            </w:tcBorders>
          </w:tcPr>
          <w:p w:rsidR="00D95A48" w:rsidRDefault="0006778F">
            <w:pPr>
              <w:pStyle w:val="TableParagraph"/>
              <w:spacing w:before="12" w:line="201" w:lineRule="exact"/>
              <w:ind w:left="516"/>
              <w:jc w:val="left"/>
              <w:rPr>
                <w:sz w:val="18"/>
              </w:rPr>
            </w:pPr>
            <w:r>
              <w:rPr>
                <w:sz w:val="18"/>
              </w:rPr>
              <w:t>3 (NOAEL)</w:t>
            </w:r>
          </w:p>
        </w:tc>
        <w:tc>
          <w:tcPr>
            <w:tcW w:w="681" w:type="dxa"/>
            <w:gridSpan w:val="2"/>
            <w:tcBorders>
              <w:top w:val="single" w:sz="2" w:space="0" w:color="000000"/>
              <w:left w:val="single" w:sz="2" w:space="0" w:color="000000"/>
              <w:bottom w:val="single" w:sz="2" w:space="0" w:color="000000"/>
              <w:right w:val="single" w:sz="2" w:space="0" w:color="000000"/>
            </w:tcBorders>
          </w:tcPr>
          <w:p w:rsidR="00D95A48" w:rsidRDefault="0006778F">
            <w:pPr>
              <w:pStyle w:val="TableParagraph"/>
              <w:spacing w:line="202" w:lineRule="exact"/>
              <w:ind w:left="11"/>
              <w:rPr>
                <w:sz w:val="18"/>
              </w:rPr>
            </w:pPr>
            <w:r>
              <w:rPr>
                <w:sz w:val="18"/>
              </w:rPr>
              <w:t>M</w:t>
            </w:r>
          </w:p>
        </w:tc>
        <w:tc>
          <w:tcPr>
            <w:tcW w:w="1552" w:type="dxa"/>
            <w:tcBorders>
              <w:top w:val="single" w:sz="2" w:space="0" w:color="000000"/>
              <w:left w:val="single" w:sz="2" w:space="0" w:color="000000"/>
              <w:bottom w:val="single" w:sz="2" w:space="0" w:color="000000"/>
              <w:right w:val="single" w:sz="2" w:space="0" w:color="000000"/>
            </w:tcBorders>
          </w:tcPr>
          <w:p w:rsidR="00D95A48" w:rsidRDefault="0006778F">
            <w:pPr>
              <w:pStyle w:val="TableParagraph"/>
              <w:spacing w:line="202" w:lineRule="exact"/>
              <w:ind w:left="536" w:right="518"/>
              <w:rPr>
                <w:sz w:val="18"/>
              </w:rPr>
            </w:pPr>
            <w:r>
              <w:rPr>
                <w:sz w:val="18"/>
              </w:rPr>
              <w:t>376</w:t>
            </w:r>
          </w:p>
        </w:tc>
        <w:tc>
          <w:tcPr>
            <w:tcW w:w="1660" w:type="dxa"/>
            <w:tcBorders>
              <w:top w:val="single" w:sz="2" w:space="0" w:color="000000"/>
              <w:left w:val="single" w:sz="2" w:space="0" w:color="000000"/>
              <w:bottom w:val="single" w:sz="2" w:space="0" w:color="000000"/>
            </w:tcBorders>
          </w:tcPr>
          <w:p w:rsidR="00D95A48" w:rsidRDefault="0006778F">
            <w:pPr>
              <w:pStyle w:val="TableParagraph"/>
              <w:spacing w:line="202" w:lineRule="exact"/>
              <w:ind w:left="303" w:right="279"/>
              <w:rPr>
                <w:sz w:val="18"/>
              </w:rPr>
            </w:pPr>
            <w:r>
              <w:rPr>
                <w:sz w:val="18"/>
              </w:rPr>
              <w:t>1930</w:t>
            </w:r>
          </w:p>
        </w:tc>
      </w:tr>
      <w:tr w:rsidR="00D95A48">
        <w:trPr>
          <w:trHeight w:val="229"/>
        </w:trPr>
        <w:tc>
          <w:tcPr>
            <w:tcW w:w="1471" w:type="dxa"/>
            <w:vMerge/>
            <w:tcBorders>
              <w:top w:val="nil"/>
              <w:right w:val="single" w:sz="2" w:space="0" w:color="000000"/>
            </w:tcBorders>
          </w:tcPr>
          <w:p w:rsidR="00D95A48" w:rsidRDefault="00D95A48">
            <w:pPr>
              <w:rPr>
                <w:sz w:val="2"/>
                <w:szCs w:val="2"/>
              </w:rPr>
            </w:pPr>
          </w:p>
        </w:tc>
        <w:tc>
          <w:tcPr>
            <w:tcW w:w="1968" w:type="dxa"/>
            <w:vMerge/>
            <w:tcBorders>
              <w:top w:val="nil"/>
              <w:left w:val="single" w:sz="2" w:space="0" w:color="000000"/>
              <w:right w:val="single" w:sz="2" w:space="0" w:color="000000"/>
            </w:tcBorders>
          </w:tcPr>
          <w:p w:rsidR="00D95A48" w:rsidRDefault="00D95A48">
            <w:pPr>
              <w:rPr>
                <w:sz w:val="2"/>
                <w:szCs w:val="2"/>
              </w:rPr>
            </w:pPr>
          </w:p>
        </w:tc>
        <w:tc>
          <w:tcPr>
            <w:tcW w:w="1889" w:type="dxa"/>
            <w:gridSpan w:val="2"/>
            <w:tcBorders>
              <w:top w:val="single" w:sz="2" w:space="0" w:color="000000"/>
              <w:left w:val="single" w:sz="2" w:space="0" w:color="000000"/>
              <w:bottom w:val="single" w:sz="2" w:space="0" w:color="000000"/>
              <w:right w:val="single" w:sz="2" w:space="0" w:color="000000"/>
            </w:tcBorders>
          </w:tcPr>
          <w:p w:rsidR="00D95A48" w:rsidRDefault="0006778F">
            <w:pPr>
              <w:pStyle w:val="TableParagraph"/>
              <w:spacing w:before="7" w:line="203" w:lineRule="exact"/>
              <w:ind w:left="482"/>
              <w:jc w:val="left"/>
              <w:rPr>
                <w:sz w:val="18"/>
              </w:rPr>
            </w:pPr>
            <w:r>
              <w:rPr>
                <w:sz w:val="18"/>
              </w:rPr>
              <w:t>10 (LOAEL)</w:t>
            </w:r>
          </w:p>
        </w:tc>
        <w:tc>
          <w:tcPr>
            <w:tcW w:w="681" w:type="dxa"/>
            <w:gridSpan w:val="2"/>
            <w:tcBorders>
              <w:top w:val="single" w:sz="2" w:space="0" w:color="000000"/>
              <w:left w:val="single" w:sz="2" w:space="0" w:color="000000"/>
              <w:bottom w:val="single" w:sz="2" w:space="0" w:color="000000"/>
              <w:right w:val="single" w:sz="2" w:space="0" w:color="000000"/>
            </w:tcBorders>
          </w:tcPr>
          <w:p w:rsidR="00D95A48" w:rsidRDefault="0006778F">
            <w:pPr>
              <w:pStyle w:val="TableParagraph"/>
              <w:spacing w:line="197" w:lineRule="exact"/>
              <w:ind w:left="11"/>
              <w:rPr>
                <w:sz w:val="18"/>
              </w:rPr>
            </w:pPr>
            <w:r>
              <w:rPr>
                <w:sz w:val="18"/>
              </w:rPr>
              <w:t>M</w:t>
            </w:r>
          </w:p>
        </w:tc>
        <w:tc>
          <w:tcPr>
            <w:tcW w:w="1552" w:type="dxa"/>
            <w:tcBorders>
              <w:top w:val="single" w:sz="2" w:space="0" w:color="000000"/>
              <w:left w:val="single" w:sz="2" w:space="0" w:color="000000"/>
              <w:bottom w:val="single" w:sz="2" w:space="0" w:color="000000"/>
              <w:right w:val="single" w:sz="2" w:space="0" w:color="000000"/>
            </w:tcBorders>
          </w:tcPr>
          <w:p w:rsidR="00D95A48" w:rsidRDefault="0006778F">
            <w:pPr>
              <w:pStyle w:val="TableParagraph"/>
              <w:spacing w:line="197" w:lineRule="exact"/>
              <w:ind w:left="536" w:right="521"/>
              <w:rPr>
                <w:sz w:val="18"/>
              </w:rPr>
            </w:pPr>
            <w:r>
              <w:rPr>
                <w:sz w:val="18"/>
              </w:rPr>
              <w:t>1540</w:t>
            </w:r>
          </w:p>
        </w:tc>
        <w:tc>
          <w:tcPr>
            <w:tcW w:w="1660" w:type="dxa"/>
            <w:tcBorders>
              <w:top w:val="single" w:sz="2" w:space="0" w:color="000000"/>
              <w:left w:val="single" w:sz="2" w:space="0" w:color="000000"/>
              <w:bottom w:val="single" w:sz="2" w:space="0" w:color="000000"/>
            </w:tcBorders>
          </w:tcPr>
          <w:p w:rsidR="00D95A48" w:rsidRDefault="0006778F">
            <w:pPr>
              <w:pStyle w:val="TableParagraph"/>
              <w:spacing w:line="197" w:lineRule="exact"/>
              <w:ind w:left="303" w:right="279"/>
              <w:rPr>
                <w:sz w:val="18"/>
              </w:rPr>
            </w:pPr>
            <w:r>
              <w:rPr>
                <w:sz w:val="18"/>
              </w:rPr>
              <w:t>7180</w:t>
            </w:r>
          </w:p>
        </w:tc>
      </w:tr>
      <w:tr w:rsidR="00D95A48">
        <w:trPr>
          <w:trHeight w:val="227"/>
        </w:trPr>
        <w:tc>
          <w:tcPr>
            <w:tcW w:w="1471" w:type="dxa"/>
            <w:vMerge/>
            <w:tcBorders>
              <w:top w:val="nil"/>
              <w:right w:val="single" w:sz="2" w:space="0" w:color="000000"/>
            </w:tcBorders>
          </w:tcPr>
          <w:p w:rsidR="00D95A48" w:rsidRDefault="00D95A48">
            <w:pPr>
              <w:rPr>
                <w:sz w:val="2"/>
                <w:szCs w:val="2"/>
              </w:rPr>
            </w:pPr>
          </w:p>
        </w:tc>
        <w:tc>
          <w:tcPr>
            <w:tcW w:w="1968" w:type="dxa"/>
            <w:vMerge/>
            <w:tcBorders>
              <w:top w:val="nil"/>
              <w:left w:val="single" w:sz="2" w:space="0" w:color="000000"/>
              <w:right w:val="single" w:sz="2" w:space="0" w:color="000000"/>
            </w:tcBorders>
          </w:tcPr>
          <w:p w:rsidR="00D95A48" w:rsidRDefault="00D95A48">
            <w:pPr>
              <w:rPr>
                <w:sz w:val="2"/>
                <w:szCs w:val="2"/>
              </w:rPr>
            </w:pPr>
          </w:p>
        </w:tc>
        <w:tc>
          <w:tcPr>
            <w:tcW w:w="1889" w:type="dxa"/>
            <w:gridSpan w:val="2"/>
            <w:tcBorders>
              <w:top w:val="single" w:sz="2" w:space="0" w:color="000000"/>
              <w:left w:val="single" w:sz="2" w:space="0" w:color="000000"/>
              <w:bottom w:val="single" w:sz="2" w:space="0" w:color="000000"/>
              <w:right w:val="single" w:sz="2" w:space="0" w:color="000000"/>
            </w:tcBorders>
          </w:tcPr>
          <w:p w:rsidR="00D95A48" w:rsidRDefault="0006778F">
            <w:pPr>
              <w:pStyle w:val="TableParagraph"/>
              <w:spacing w:before="4" w:line="203" w:lineRule="exact"/>
              <w:ind w:left="795" w:right="778"/>
              <w:rPr>
                <w:sz w:val="18"/>
              </w:rPr>
            </w:pPr>
            <w:r>
              <w:rPr>
                <w:sz w:val="18"/>
              </w:rPr>
              <w:t>30</w:t>
            </w:r>
          </w:p>
        </w:tc>
        <w:tc>
          <w:tcPr>
            <w:tcW w:w="681" w:type="dxa"/>
            <w:gridSpan w:val="2"/>
            <w:tcBorders>
              <w:top w:val="single" w:sz="2" w:space="0" w:color="000000"/>
              <w:left w:val="single" w:sz="2" w:space="0" w:color="000000"/>
              <w:bottom w:val="single" w:sz="2" w:space="0" w:color="000000"/>
              <w:right w:val="single" w:sz="2" w:space="0" w:color="000000"/>
            </w:tcBorders>
          </w:tcPr>
          <w:p w:rsidR="00D95A48" w:rsidRDefault="0006778F">
            <w:pPr>
              <w:pStyle w:val="TableParagraph"/>
              <w:spacing w:line="197" w:lineRule="exact"/>
              <w:ind w:left="11"/>
              <w:rPr>
                <w:sz w:val="18"/>
              </w:rPr>
            </w:pPr>
            <w:r>
              <w:rPr>
                <w:sz w:val="18"/>
              </w:rPr>
              <w:t>M</w:t>
            </w:r>
          </w:p>
        </w:tc>
        <w:tc>
          <w:tcPr>
            <w:tcW w:w="1552" w:type="dxa"/>
            <w:tcBorders>
              <w:top w:val="single" w:sz="2" w:space="0" w:color="000000"/>
              <w:left w:val="single" w:sz="2" w:space="0" w:color="000000"/>
              <w:bottom w:val="single" w:sz="2" w:space="0" w:color="000000"/>
              <w:right w:val="single" w:sz="2" w:space="0" w:color="000000"/>
            </w:tcBorders>
          </w:tcPr>
          <w:p w:rsidR="00D95A48" w:rsidRDefault="0006778F">
            <w:pPr>
              <w:pStyle w:val="TableParagraph"/>
              <w:spacing w:line="197" w:lineRule="exact"/>
              <w:ind w:left="536" w:right="521"/>
              <w:rPr>
                <w:sz w:val="18"/>
              </w:rPr>
            </w:pPr>
            <w:r>
              <w:rPr>
                <w:sz w:val="18"/>
              </w:rPr>
              <w:t>7700</w:t>
            </w:r>
          </w:p>
        </w:tc>
        <w:tc>
          <w:tcPr>
            <w:tcW w:w="1660" w:type="dxa"/>
            <w:tcBorders>
              <w:top w:val="single" w:sz="2" w:space="0" w:color="000000"/>
              <w:left w:val="single" w:sz="2" w:space="0" w:color="000000"/>
              <w:bottom w:val="single" w:sz="2" w:space="0" w:color="000000"/>
            </w:tcBorders>
          </w:tcPr>
          <w:p w:rsidR="00D95A48" w:rsidRDefault="0006778F">
            <w:pPr>
              <w:pStyle w:val="TableParagraph"/>
              <w:spacing w:line="197" w:lineRule="exact"/>
              <w:ind w:left="303" w:right="279"/>
              <w:rPr>
                <w:sz w:val="18"/>
              </w:rPr>
            </w:pPr>
            <w:r>
              <w:rPr>
                <w:sz w:val="18"/>
              </w:rPr>
              <w:t>30600</w:t>
            </w:r>
          </w:p>
        </w:tc>
      </w:tr>
      <w:tr w:rsidR="00D95A48">
        <w:trPr>
          <w:trHeight w:val="232"/>
        </w:trPr>
        <w:tc>
          <w:tcPr>
            <w:tcW w:w="1471" w:type="dxa"/>
            <w:vMerge/>
            <w:tcBorders>
              <w:top w:val="nil"/>
              <w:right w:val="single" w:sz="2" w:space="0" w:color="000000"/>
            </w:tcBorders>
          </w:tcPr>
          <w:p w:rsidR="00D95A48" w:rsidRDefault="00D95A48">
            <w:pPr>
              <w:rPr>
                <w:sz w:val="2"/>
                <w:szCs w:val="2"/>
              </w:rPr>
            </w:pPr>
          </w:p>
        </w:tc>
        <w:tc>
          <w:tcPr>
            <w:tcW w:w="1968" w:type="dxa"/>
            <w:vMerge/>
            <w:tcBorders>
              <w:top w:val="nil"/>
              <w:left w:val="single" w:sz="2" w:space="0" w:color="000000"/>
              <w:right w:val="single" w:sz="2" w:space="0" w:color="000000"/>
            </w:tcBorders>
          </w:tcPr>
          <w:p w:rsidR="00D95A48" w:rsidRDefault="00D95A48">
            <w:pPr>
              <w:rPr>
                <w:sz w:val="2"/>
                <w:szCs w:val="2"/>
              </w:rPr>
            </w:pPr>
          </w:p>
        </w:tc>
        <w:tc>
          <w:tcPr>
            <w:tcW w:w="1889" w:type="dxa"/>
            <w:gridSpan w:val="2"/>
            <w:tcBorders>
              <w:top w:val="single" w:sz="2" w:space="0" w:color="000000"/>
              <w:left w:val="single" w:sz="2" w:space="0" w:color="000000"/>
              <w:right w:val="single" w:sz="2" w:space="0" w:color="000000"/>
            </w:tcBorders>
          </w:tcPr>
          <w:p w:rsidR="00D95A48" w:rsidRDefault="0006778F">
            <w:pPr>
              <w:pStyle w:val="TableParagraph"/>
              <w:spacing w:before="4"/>
              <w:ind w:left="795" w:right="778"/>
              <w:rPr>
                <w:sz w:val="18"/>
              </w:rPr>
            </w:pPr>
            <w:r>
              <w:rPr>
                <w:sz w:val="18"/>
              </w:rPr>
              <w:t>100</w:t>
            </w:r>
          </w:p>
        </w:tc>
        <w:tc>
          <w:tcPr>
            <w:tcW w:w="681" w:type="dxa"/>
            <w:gridSpan w:val="2"/>
            <w:tcBorders>
              <w:top w:val="single" w:sz="2" w:space="0" w:color="000000"/>
              <w:left w:val="single" w:sz="2" w:space="0" w:color="000000"/>
              <w:right w:val="single" w:sz="2" w:space="0" w:color="000000"/>
            </w:tcBorders>
          </w:tcPr>
          <w:p w:rsidR="00D95A48" w:rsidRDefault="0006778F">
            <w:pPr>
              <w:pStyle w:val="TableParagraph"/>
              <w:spacing w:line="197" w:lineRule="exact"/>
              <w:ind w:left="11"/>
              <w:rPr>
                <w:sz w:val="18"/>
              </w:rPr>
            </w:pPr>
            <w:r>
              <w:rPr>
                <w:sz w:val="18"/>
              </w:rPr>
              <w:t>M</w:t>
            </w:r>
          </w:p>
        </w:tc>
        <w:tc>
          <w:tcPr>
            <w:tcW w:w="1552" w:type="dxa"/>
            <w:tcBorders>
              <w:top w:val="single" w:sz="2" w:space="0" w:color="000000"/>
              <w:left w:val="single" w:sz="2" w:space="0" w:color="000000"/>
              <w:right w:val="single" w:sz="2" w:space="0" w:color="000000"/>
            </w:tcBorders>
          </w:tcPr>
          <w:p w:rsidR="00D95A48" w:rsidRDefault="0006778F">
            <w:pPr>
              <w:pStyle w:val="TableParagraph"/>
              <w:spacing w:line="197" w:lineRule="exact"/>
              <w:ind w:left="536" w:right="521"/>
              <w:rPr>
                <w:sz w:val="18"/>
              </w:rPr>
            </w:pPr>
            <w:r>
              <w:rPr>
                <w:sz w:val="18"/>
              </w:rPr>
              <w:t>12800</w:t>
            </w:r>
          </w:p>
        </w:tc>
        <w:tc>
          <w:tcPr>
            <w:tcW w:w="1660" w:type="dxa"/>
            <w:tcBorders>
              <w:top w:val="single" w:sz="2" w:space="0" w:color="000000"/>
              <w:left w:val="single" w:sz="2" w:space="0" w:color="000000"/>
            </w:tcBorders>
          </w:tcPr>
          <w:p w:rsidR="00D95A48" w:rsidRDefault="0006778F">
            <w:pPr>
              <w:pStyle w:val="TableParagraph"/>
              <w:spacing w:line="197" w:lineRule="exact"/>
              <w:ind w:left="303" w:right="279"/>
              <w:rPr>
                <w:sz w:val="18"/>
              </w:rPr>
            </w:pPr>
            <w:r>
              <w:rPr>
                <w:sz w:val="18"/>
              </w:rPr>
              <w:t>75400</w:t>
            </w:r>
          </w:p>
        </w:tc>
      </w:tr>
    </w:tbl>
    <w:p w:rsidR="00D95A48" w:rsidRDefault="0006778F">
      <w:pPr>
        <w:spacing w:before="53"/>
        <w:ind w:left="215"/>
        <w:rPr>
          <w:sz w:val="20"/>
        </w:rPr>
      </w:pPr>
      <w:r>
        <w:rPr>
          <w:sz w:val="20"/>
        </w:rPr>
        <w:t>NOAEL: no observed adverse-effect level; LOAEL: lowest observed adverse-effect level.</w:t>
      </w:r>
    </w:p>
    <w:p w:rsidR="00D95A48" w:rsidRDefault="00D95A48">
      <w:pPr>
        <w:pStyle w:val="a3"/>
        <w:spacing w:before="1"/>
        <w:rPr>
          <w:sz w:val="23"/>
        </w:rPr>
      </w:pPr>
    </w:p>
    <w:p w:rsidR="00D95A48" w:rsidRDefault="0006778F">
      <w:pPr>
        <w:pStyle w:val="a3"/>
        <w:spacing w:line="261" w:lineRule="auto"/>
        <w:ind w:left="215" w:right="1891"/>
      </w:pPr>
      <w:r>
        <w:t>Overall, target organ toxicities were identified in the cardiovascular system, lung and gastrointestinal tract. Nonclinical key observations and their relevance to human usage are summarized in [</w:t>
      </w:r>
      <w:hyperlink w:anchor="_bookmark52" w:history="1">
        <w:r>
          <w:t>Table 4</w:t>
        </w:r>
      </w:hyperlink>
      <w:r>
        <w:t>].</w:t>
      </w:r>
    </w:p>
    <w:p w:rsidR="00D95A48" w:rsidRDefault="00D95A48">
      <w:pPr>
        <w:pStyle w:val="a3"/>
        <w:spacing w:before="3"/>
        <w:rPr>
          <w:sz w:val="29"/>
        </w:rPr>
      </w:pPr>
    </w:p>
    <w:p w:rsidR="00D95A48" w:rsidRDefault="0006778F">
      <w:pPr>
        <w:pStyle w:val="3"/>
        <w:tabs>
          <w:tab w:val="left" w:pos="1633"/>
        </w:tabs>
        <w:spacing w:before="0"/>
        <w:ind w:left="215"/>
      </w:pPr>
      <w:bookmarkStart w:id="49" w:name="_bookmark52"/>
      <w:bookmarkEnd w:id="49"/>
      <w:r>
        <w:t>Table</w:t>
      </w:r>
      <w:r>
        <w:rPr>
          <w:spacing w:val="-1"/>
        </w:rPr>
        <w:t xml:space="preserve"> </w:t>
      </w:r>
      <w:r>
        <w:t>4</w:t>
      </w:r>
      <w:r>
        <w:tab/>
        <w:t xml:space="preserve">Potential Safety Concerns of </w:t>
      </w:r>
      <w:r w:rsidR="0066008F">
        <w:t>PROJECT B</w:t>
      </w:r>
      <w:r>
        <w:t xml:space="preserve"> for Clinical</w:t>
      </w:r>
      <w:r>
        <w:rPr>
          <w:spacing w:val="-4"/>
        </w:rPr>
        <w:t xml:space="preserve"> </w:t>
      </w:r>
      <w:r>
        <w:t>Studies</w:t>
      </w:r>
    </w:p>
    <w:p w:rsidR="00D95A48" w:rsidRDefault="00D95A48">
      <w:pPr>
        <w:pStyle w:val="a3"/>
        <w:spacing w:before="5"/>
        <w:rPr>
          <w:b/>
          <w:sz w:val="5"/>
        </w:rPr>
      </w:pPr>
    </w:p>
    <w:tbl>
      <w:tblPr>
        <w:tblStyle w:val="TableNormal"/>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89"/>
        <w:gridCol w:w="3732"/>
        <w:gridCol w:w="3902"/>
      </w:tblGrid>
      <w:tr w:rsidR="00D95A48">
        <w:trPr>
          <w:trHeight w:val="460"/>
        </w:trPr>
        <w:tc>
          <w:tcPr>
            <w:tcW w:w="1589" w:type="dxa"/>
            <w:tcBorders>
              <w:bottom w:val="single" w:sz="2" w:space="0" w:color="000000"/>
              <w:right w:val="single" w:sz="2" w:space="0" w:color="000000"/>
            </w:tcBorders>
          </w:tcPr>
          <w:p w:rsidR="00D95A48" w:rsidRDefault="0006778F">
            <w:pPr>
              <w:pStyle w:val="TableParagraph"/>
              <w:spacing w:line="230" w:lineRule="exact"/>
              <w:ind w:left="107"/>
              <w:jc w:val="left"/>
              <w:rPr>
                <w:b/>
                <w:sz w:val="20"/>
              </w:rPr>
            </w:pPr>
            <w:r>
              <w:rPr>
                <w:b/>
                <w:sz w:val="20"/>
              </w:rPr>
              <w:t xml:space="preserve">Target </w:t>
            </w:r>
            <w:r>
              <w:rPr>
                <w:b/>
                <w:w w:val="95"/>
                <w:sz w:val="20"/>
              </w:rPr>
              <w:t>organs/systems</w:t>
            </w:r>
          </w:p>
        </w:tc>
        <w:tc>
          <w:tcPr>
            <w:tcW w:w="3732" w:type="dxa"/>
            <w:tcBorders>
              <w:left w:val="single" w:sz="2" w:space="0" w:color="000000"/>
              <w:bottom w:val="single" w:sz="2" w:space="0" w:color="000000"/>
              <w:right w:val="single" w:sz="2" w:space="0" w:color="000000"/>
            </w:tcBorders>
          </w:tcPr>
          <w:p w:rsidR="00D95A48" w:rsidRDefault="0006778F">
            <w:pPr>
              <w:pStyle w:val="TableParagraph"/>
              <w:spacing w:line="230" w:lineRule="exact"/>
              <w:ind w:left="1084" w:right="286" w:hanging="516"/>
              <w:jc w:val="left"/>
              <w:rPr>
                <w:b/>
                <w:sz w:val="20"/>
              </w:rPr>
            </w:pPr>
            <w:r>
              <w:rPr>
                <w:b/>
                <w:sz w:val="20"/>
              </w:rPr>
              <w:t>Potential Safety Concern from nonclinical studies</w:t>
            </w:r>
          </w:p>
        </w:tc>
        <w:tc>
          <w:tcPr>
            <w:tcW w:w="3902" w:type="dxa"/>
            <w:tcBorders>
              <w:left w:val="single" w:sz="2" w:space="0" w:color="000000"/>
              <w:bottom w:val="single" w:sz="2" w:space="0" w:color="000000"/>
            </w:tcBorders>
          </w:tcPr>
          <w:p w:rsidR="00D95A48" w:rsidRDefault="0006778F">
            <w:pPr>
              <w:pStyle w:val="TableParagraph"/>
              <w:spacing w:line="230" w:lineRule="exact"/>
              <w:ind w:left="1158" w:right="100" w:hanging="776"/>
              <w:jc w:val="left"/>
              <w:rPr>
                <w:b/>
                <w:sz w:val="20"/>
              </w:rPr>
            </w:pPr>
            <w:r>
              <w:rPr>
                <w:b/>
                <w:sz w:val="20"/>
              </w:rPr>
              <w:t>Relevance to Human Usage and Risk Mitigation Actions</w:t>
            </w:r>
          </w:p>
        </w:tc>
      </w:tr>
      <w:tr w:rsidR="00D95A48">
        <w:trPr>
          <w:trHeight w:val="1034"/>
        </w:trPr>
        <w:tc>
          <w:tcPr>
            <w:tcW w:w="1589" w:type="dxa"/>
            <w:tcBorders>
              <w:top w:val="single" w:sz="2" w:space="0" w:color="000000"/>
              <w:bottom w:val="single" w:sz="2" w:space="0" w:color="000000"/>
              <w:right w:val="single" w:sz="2" w:space="0" w:color="000000"/>
            </w:tcBorders>
          </w:tcPr>
          <w:p w:rsidR="00D95A48" w:rsidRDefault="0006778F">
            <w:pPr>
              <w:pStyle w:val="TableParagraph"/>
              <w:ind w:left="107" w:right="362"/>
              <w:jc w:val="left"/>
              <w:rPr>
                <w:sz w:val="18"/>
              </w:rPr>
            </w:pPr>
            <w:r>
              <w:rPr>
                <w:sz w:val="18"/>
              </w:rPr>
              <w:t>Cardiovascular System</w:t>
            </w:r>
          </w:p>
        </w:tc>
        <w:tc>
          <w:tcPr>
            <w:tcW w:w="3732" w:type="dxa"/>
            <w:tcBorders>
              <w:top w:val="single" w:sz="2" w:space="0" w:color="000000"/>
              <w:left w:val="single" w:sz="2" w:space="0" w:color="000000"/>
              <w:bottom w:val="single" w:sz="2" w:space="0" w:color="000000"/>
              <w:right w:val="single" w:sz="2" w:space="0" w:color="000000"/>
            </w:tcBorders>
          </w:tcPr>
          <w:p w:rsidR="00D95A48" w:rsidRDefault="0006778F">
            <w:pPr>
              <w:pStyle w:val="TableParagraph"/>
              <w:ind w:left="112" w:right="286"/>
              <w:jc w:val="left"/>
              <w:rPr>
                <w:sz w:val="18"/>
              </w:rPr>
            </w:pPr>
            <w:r>
              <w:rPr>
                <w:sz w:val="18"/>
              </w:rPr>
              <w:t>Increased heart rate, decreased blood pressure Arteritis, inflammatory cell infiltration, myocardial necrosis</w:t>
            </w:r>
          </w:p>
        </w:tc>
        <w:tc>
          <w:tcPr>
            <w:tcW w:w="3902" w:type="dxa"/>
            <w:tcBorders>
              <w:top w:val="single" w:sz="2" w:space="0" w:color="000000"/>
              <w:left w:val="single" w:sz="2" w:space="0" w:color="000000"/>
              <w:bottom w:val="single" w:sz="2" w:space="0" w:color="000000"/>
            </w:tcBorders>
          </w:tcPr>
          <w:p w:rsidR="00D95A48" w:rsidRDefault="0006778F">
            <w:pPr>
              <w:pStyle w:val="TableParagraph"/>
              <w:ind w:left="112" w:right="100"/>
              <w:jc w:val="left"/>
              <w:rPr>
                <w:sz w:val="18"/>
              </w:rPr>
            </w:pPr>
            <w:r>
              <w:rPr>
                <w:sz w:val="18"/>
              </w:rPr>
              <w:t>Exposure limit, measurement of myocardial necrosis biomarkers (including CK isozymes, LDH, troponin I and T). Standard vital signs and ECG monitoring (including continuous cardiac</w:t>
            </w:r>
          </w:p>
          <w:p w:rsidR="00D95A48" w:rsidRDefault="0006778F">
            <w:pPr>
              <w:pStyle w:val="TableParagraph"/>
              <w:spacing w:line="191" w:lineRule="exact"/>
              <w:ind w:left="112"/>
              <w:jc w:val="left"/>
              <w:rPr>
                <w:sz w:val="18"/>
              </w:rPr>
            </w:pPr>
            <w:r>
              <w:rPr>
                <w:sz w:val="18"/>
              </w:rPr>
              <w:t>monitoring)</w:t>
            </w:r>
          </w:p>
        </w:tc>
      </w:tr>
      <w:tr w:rsidR="00D95A48">
        <w:trPr>
          <w:trHeight w:val="827"/>
        </w:trPr>
        <w:tc>
          <w:tcPr>
            <w:tcW w:w="1589" w:type="dxa"/>
            <w:tcBorders>
              <w:top w:val="single" w:sz="2" w:space="0" w:color="000000"/>
              <w:bottom w:val="single" w:sz="2" w:space="0" w:color="000000"/>
              <w:right w:val="single" w:sz="2" w:space="0" w:color="000000"/>
            </w:tcBorders>
          </w:tcPr>
          <w:p w:rsidR="00D95A48" w:rsidRDefault="0006778F">
            <w:pPr>
              <w:pStyle w:val="TableParagraph"/>
              <w:spacing w:line="242" w:lineRule="auto"/>
              <w:ind w:left="107" w:right="312"/>
              <w:jc w:val="left"/>
              <w:rPr>
                <w:sz w:val="18"/>
              </w:rPr>
            </w:pPr>
            <w:r>
              <w:rPr>
                <w:sz w:val="18"/>
              </w:rPr>
              <w:t>Gastrointestinal Tract</w:t>
            </w:r>
          </w:p>
        </w:tc>
        <w:tc>
          <w:tcPr>
            <w:tcW w:w="3732" w:type="dxa"/>
            <w:tcBorders>
              <w:top w:val="single" w:sz="2" w:space="0" w:color="000000"/>
              <w:left w:val="single" w:sz="2" w:space="0" w:color="000000"/>
              <w:bottom w:val="single" w:sz="2" w:space="0" w:color="000000"/>
              <w:right w:val="single" w:sz="2" w:space="0" w:color="000000"/>
            </w:tcBorders>
          </w:tcPr>
          <w:p w:rsidR="00D95A48" w:rsidRDefault="0006778F">
            <w:pPr>
              <w:pStyle w:val="TableParagraph"/>
              <w:spacing w:line="242" w:lineRule="auto"/>
              <w:ind w:left="112" w:right="86"/>
              <w:jc w:val="left"/>
              <w:rPr>
                <w:sz w:val="18"/>
              </w:rPr>
            </w:pPr>
            <w:r>
              <w:rPr>
                <w:sz w:val="18"/>
              </w:rPr>
              <w:t>Salivation, vomiting, soft stool, diarrhea Inflammatory cell infiltration in lamina propria,</w:t>
            </w:r>
          </w:p>
          <w:p w:rsidR="00D95A48" w:rsidRDefault="0006778F">
            <w:pPr>
              <w:pStyle w:val="TableParagraph"/>
              <w:spacing w:line="206" w:lineRule="exact"/>
              <w:ind w:left="112" w:right="86"/>
              <w:jc w:val="left"/>
              <w:rPr>
                <w:sz w:val="18"/>
              </w:rPr>
            </w:pPr>
            <w:r>
              <w:rPr>
                <w:sz w:val="18"/>
              </w:rPr>
              <w:t>perivascular hemorrhage in muscle and serosa in stomach</w:t>
            </w:r>
          </w:p>
        </w:tc>
        <w:tc>
          <w:tcPr>
            <w:tcW w:w="3902" w:type="dxa"/>
            <w:tcBorders>
              <w:top w:val="single" w:sz="2" w:space="0" w:color="000000"/>
              <w:left w:val="single" w:sz="2" w:space="0" w:color="000000"/>
              <w:bottom w:val="single" w:sz="2" w:space="0" w:color="000000"/>
            </w:tcBorders>
          </w:tcPr>
          <w:p w:rsidR="00D95A48" w:rsidRDefault="0006778F">
            <w:pPr>
              <w:pStyle w:val="TableParagraph"/>
              <w:spacing w:line="202" w:lineRule="exact"/>
              <w:ind w:left="112"/>
              <w:jc w:val="left"/>
              <w:rPr>
                <w:sz w:val="18"/>
              </w:rPr>
            </w:pPr>
            <w:r>
              <w:rPr>
                <w:sz w:val="18"/>
              </w:rPr>
              <w:t>Standard monitoring of clinical symptoms</w:t>
            </w:r>
          </w:p>
        </w:tc>
      </w:tr>
      <w:tr w:rsidR="00D95A48">
        <w:trPr>
          <w:trHeight w:val="827"/>
        </w:trPr>
        <w:tc>
          <w:tcPr>
            <w:tcW w:w="1589" w:type="dxa"/>
            <w:tcBorders>
              <w:top w:val="single" w:sz="2" w:space="0" w:color="000000"/>
              <w:right w:val="single" w:sz="2" w:space="0" w:color="000000"/>
            </w:tcBorders>
          </w:tcPr>
          <w:p w:rsidR="00D95A48" w:rsidRDefault="0006778F">
            <w:pPr>
              <w:pStyle w:val="TableParagraph"/>
              <w:spacing w:line="202" w:lineRule="exact"/>
              <w:ind w:left="107"/>
              <w:jc w:val="left"/>
              <w:rPr>
                <w:sz w:val="18"/>
              </w:rPr>
            </w:pPr>
            <w:r>
              <w:rPr>
                <w:sz w:val="18"/>
              </w:rPr>
              <w:t>Lungs</w:t>
            </w:r>
          </w:p>
        </w:tc>
        <w:tc>
          <w:tcPr>
            <w:tcW w:w="3732" w:type="dxa"/>
            <w:tcBorders>
              <w:top w:val="single" w:sz="2" w:space="0" w:color="000000"/>
              <w:left w:val="single" w:sz="2" w:space="0" w:color="000000"/>
              <w:right w:val="single" w:sz="2" w:space="0" w:color="000000"/>
            </w:tcBorders>
          </w:tcPr>
          <w:p w:rsidR="00D95A48" w:rsidRDefault="0006778F">
            <w:pPr>
              <w:pStyle w:val="TableParagraph"/>
              <w:ind w:left="112" w:right="101"/>
              <w:jc w:val="left"/>
              <w:rPr>
                <w:sz w:val="18"/>
              </w:rPr>
            </w:pPr>
            <w:r>
              <w:rPr>
                <w:sz w:val="18"/>
              </w:rPr>
              <w:t xml:space="preserve">Inflammatory cell infiltration in peribronchiolar, bronchiolar lumen and </w:t>
            </w:r>
            <w:proofErr w:type="spellStart"/>
            <w:r>
              <w:rPr>
                <w:sz w:val="18"/>
              </w:rPr>
              <w:t>intraepithelium</w:t>
            </w:r>
            <w:proofErr w:type="spellEnd"/>
            <w:r>
              <w:rPr>
                <w:sz w:val="18"/>
              </w:rPr>
              <w:t>,</w:t>
            </w:r>
          </w:p>
          <w:p w:rsidR="00D95A48" w:rsidRDefault="0006778F">
            <w:pPr>
              <w:pStyle w:val="TableParagraph"/>
              <w:spacing w:line="206" w:lineRule="exact"/>
              <w:ind w:left="112" w:right="165"/>
              <w:jc w:val="left"/>
              <w:rPr>
                <w:sz w:val="18"/>
              </w:rPr>
            </w:pPr>
            <w:r>
              <w:rPr>
                <w:sz w:val="18"/>
              </w:rPr>
              <w:t>hypertrophy of the bronchiole epithelium, foam cell accumulation</w:t>
            </w:r>
          </w:p>
        </w:tc>
        <w:tc>
          <w:tcPr>
            <w:tcW w:w="3902" w:type="dxa"/>
            <w:tcBorders>
              <w:top w:val="single" w:sz="2" w:space="0" w:color="000000"/>
              <w:left w:val="single" w:sz="2" w:space="0" w:color="000000"/>
            </w:tcBorders>
          </w:tcPr>
          <w:p w:rsidR="00D95A48" w:rsidRDefault="0006778F">
            <w:pPr>
              <w:pStyle w:val="TableParagraph"/>
              <w:ind w:left="112" w:right="295"/>
              <w:jc w:val="left"/>
              <w:rPr>
                <w:sz w:val="18"/>
              </w:rPr>
            </w:pPr>
            <w:r>
              <w:rPr>
                <w:sz w:val="18"/>
              </w:rPr>
              <w:t>Standard monitoring of clinical symptoms (lung related and general)</w:t>
            </w:r>
          </w:p>
        </w:tc>
      </w:tr>
    </w:tbl>
    <w:p w:rsidR="00D95A48" w:rsidRDefault="0006778F">
      <w:pPr>
        <w:spacing w:before="54"/>
        <w:ind w:left="215"/>
        <w:rPr>
          <w:sz w:val="20"/>
        </w:rPr>
      </w:pPr>
      <w:r>
        <w:rPr>
          <w:sz w:val="20"/>
        </w:rPr>
        <w:t>CK: creatine kinase; ECG: electrocardiogram; LDH: lactate dehydrogenase.</w:t>
      </w:r>
    </w:p>
    <w:p w:rsidR="00D95A48" w:rsidRDefault="00D95A48">
      <w:pPr>
        <w:rPr>
          <w:sz w:val="20"/>
        </w:rPr>
        <w:sectPr w:rsidR="00D95A48">
          <w:pgSz w:w="12240" w:h="15840"/>
          <w:pgMar w:top="1240" w:right="0" w:bottom="940" w:left="1400" w:header="581" w:footer="748" w:gutter="0"/>
          <w:cols w:space="720"/>
        </w:sectPr>
      </w:pPr>
    </w:p>
    <w:p w:rsidR="00D95A48" w:rsidRDefault="00D95A48">
      <w:pPr>
        <w:pStyle w:val="a3"/>
        <w:rPr>
          <w:sz w:val="20"/>
        </w:rPr>
      </w:pPr>
    </w:p>
    <w:p w:rsidR="00D95A48" w:rsidRDefault="00D95A48">
      <w:pPr>
        <w:pStyle w:val="a3"/>
        <w:spacing w:before="4"/>
        <w:rPr>
          <w:sz w:val="20"/>
        </w:rPr>
      </w:pPr>
    </w:p>
    <w:p w:rsidR="00D95A48" w:rsidRDefault="0006778F">
      <w:pPr>
        <w:spacing w:before="1"/>
        <w:ind w:left="215"/>
        <w:rPr>
          <w:b/>
          <w:sz w:val="24"/>
        </w:rPr>
      </w:pPr>
      <w:r>
        <w:rPr>
          <w:b/>
          <w:sz w:val="24"/>
        </w:rPr>
        <w:t>List of References (</w:t>
      </w:r>
      <w:r>
        <w:rPr>
          <w:b/>
          <w:i/>
          <w:sz w:val="24"/>
        </w:rPr>
        <w:t>when relevant</w:t>
      </w:r>
      <w:r>
        <w:rPr>
          <w:b/>
          <w:sz w:val="24"/>
        </w:rPr>
        <w:t>)</w:t>
      </w:r>
    </w:p>
    <w:p w:rsidR="00D95A48" w:rsidRDefault="0006778F">
      <w:pPr>
        <w:spacing w:before="114"/>
        <w:ind w:left="781" w:right="1704" w:hanging="567"/>
      </w:pPr>
      <w:proofErr w:type="spellStart"/>
      <w:r>
        <w:t>Bendjama</w:t>
      </w:r>
      <w:proofErr w:type="spellEnd"/>
      <w:r>
        <w:t xml:space="preserve"> K, </w:t>
      </w:r>
      <w:proofErr w:type="spellStart"/>
      <w:r>
        <w:t>Guionaud</w:t>
      </w:r>
      <w:proofErr w:type="spellEnd"/>
      <w:r>
        <w:t xml:space="preserve"> S, Aras G, Arber N, </w:t>
      </w:r>
      <w:proofErr w:type="spellStart"/>
      <w:r>
        <w:t>Badimon</w:t>
      </w:r>
      <w:proofErr w:type="spellEnd"/>
      <w:r>
        <w:t xml:space="preserve"> L, Bamberger U, et al. Translation strategy for the qualification of drug-induced vascular injury biomarkers. </w:t>
      </w:r>
      <w:proofErr w:type="spellStart"/>
      <w:r>
        <w:t>Toxicol</w:t>
      </w:r>
      <w:proofErr w:type="spellEnd"/>
      <w:r>
        <w:t xml:space="preserve"> </w:t>
      </w:r>
      <w:proofErr w:type="spellStart"/>
      <w:r>
        <w:t>Pathol</w:t>
      </w:r>
      <w:proofErr w:type="spellEnd"/>
      <w:r>
        <w:t>.</w:t>
      </w:r>
    </w:p>
    <w:p w:rsidR="00D95A48" w:rsidRDefault="0006778F">
      <w:pPr>
        <w:spacing w:before="1"/>
        <w:ind w:left="781"/>
      </w:pPr>
      <w:r>
        <w:t>2014;42(4):658-71.</w:t>
      </w:r>
    </w:p>
    <w:p w:rsidR="00D95A48" w:rsidRDefault="00D95A48">
      <w:pPr>
        <w:pStyle w:val="a3"/>
        <w:spacing w:before="9"/>
        <w:rPr>
          <w:sz w:val="20"/>
        </w:rPr>
      </w:pPr>
    </w:p>
    <w:p w:rsidR="00D95A48" w:rsidRDefault="0006778F">
      <w:pPr>
        <w:ind w:left="781" w:right="1619" w:hanging="567"/>
      </w:pPr>
      <w:proofErr w:type="spellStart"/>
      <w:r>
        <w:t>Brunkhorst</w:t>
      </w:r>
      <w:proofErr w:type="spellEnd"/>
      <w:r>
        <w:t xml:space="preserve"> D, v der </w:t>
      </w:r>
      <w:proofErr w:type="spellStart"/>
      <w:r>
        <w:t>Leyen</w:t>
      </w:r>
      <w:proofErr w:type="spellEnd"/>
      <w:r>
        <w:t xml:space="preserve"> H, Meyer W, </w:t>
      </w:r>
      <w:proofErr w:type="spellStart"/>
      <w:r>
        <w:t>Nigbur</w:t>
      </w:r>
      <w:proofErr w:type="spellEnd"/>
      <w:r>
        <w:t xml:space="preserve"> R, Schmidt-Schumacher C, Scholz H. Relation of positive inotropic and chronotropic effects of </w:t>
      </w:r>
      <w:proofErr w:type="spellStart"/>
      <w:r>
        <w:t>pimobendan</w:t>
      </w:r>
      <w:proofErr w:type="spellEnd"/>
      <w:r>
        <w:t xml:space="preserve">, UD-CG 212 Cl, milrinone and other phosphodiesterase inhibitors to phosphodiesterase III inhibition in guinea-pig heart. </w:t>
      </w:r>
      <w:proofErr w:type="spellStart"/>
      <w:r>
        <w:t>Naunyn</w:t>
      </w:r>
      <w:proofErr w:type="spellEnd"/>
      <w:r>
        <w:t xml:space="preserve"> </w:t>
      </w:r>
      <w:proofErr w:type="spellStart"/>
      <w:r>
        <w:t>Schmiedeberg’s</w:t>
      </w:r>
      <w:proofErr w:type="spellEnd"/>
      <w:r>
        <w:t xml:space="preserve"> Arch </w:t>
      </w:r>
      <w:proofErr w:type="spellStart"/>
      <w:r>
        <w:t>Pharmacol</w:t>
      </w:r>
      <w:proofErr w:type="spellEnd"/>
      <w:r>
        <w:t>. 1989;339:575-83.</w:t>
      </w:r>
    </w:p>
    <w:p w:rsidR="00D95A48" w:rsidRDefault="00D95A48">
      <w:pPr>
        <w:pStyle w:val="a3"/>
        <w:spacing w:before="10"/>
        <w:rPr>
          <w:sz w:val="20"/>
        </w:rPr>
      </w:pPr>
    </w:p>
    <w:p w:rsidR="00D95A48" w:rsidRDefault="0006778F">
      <w:pPr>
        <w:spacing w:before="1"/>
        <w:ind w:left="781" w:right="1703" w:hanging="567"/>
      </w:pPr>
      <w:proofErr w:type="spellStart"/>
      <w:r>
        <w:t>Clemo</w:t>
      </w:r>
      <w:proofErr w:type="spellEnd"/>
      <w:r>
        <w:t xml:space="preserve"> FA, </w:t>
      </w:r>
      <w:proofErr w:type="spellStart"/>
      <w:r>
        <w:t>Evering</w:t>
      </w:r>
      <w:proofErr w:type="spellEnd"/>
      <w:r>
        <w:t xml:space="preserve"> WE, Snyder PW, </w:t>
      </w:r>
      <w:proofErr w:type="spellStart"/>
      <w:r>
        <w:t>Albassam</w:t>
      </w:r>
      <w:proofErr w:type="spellEnd"/>
      <w:r>
        <w:t xml:space="preserve"> MA. Differentiating spontaneous from drug-induced vascular injury in the dog. </w:t>
      </w:r>
      <w:proofErr w:type="spellStart"/>
      <w:r>
        <w:t>Toxicol</w:t>
      </w:r>
      <w:proofErr w:type="spellEnd"/>
      <w:r>
        <w:t xml:space="preserve"> </w:t>
      </w:r>
      <w:proofErr w:type="spellStart"/>
      <w:r>
        <w:t>Pathol</w:t>
      </w:r>
      <w:proofErr w:type="spellEnd"/>
      <w:r>
        <w:t>. 2003;31 Suppl:25-31.</w:t>
      </w:r>
    </w:p>
    <w:p w:rsidR="00D95A48" w:rsidRDefault="00D95A48">
      <w:pPr>
        <w:pStyle w:val="a3"/>
        <w:spacing w:before="8"/>
        <w:rPr>
          <w:sz w:val="20"/>
        </w:rPr>
      </w:pPr>
    </w:p>
    <w:p w:rsidR="00D95A48" w:rsidRDefault="0006778F">
      <w:pPr>
        <w:ind w:left="781" w:right="1953" w:hanging="567"/>
      </w:pPr>
      <w:proofErr w:type="spellStart"/>
      <w:r>
        <w:t>Kaumann</w:t>
      </w:r>
      <w:proofErr w:type="spellEnd"/>
      <w:r>
        <w:t xml:space="preserve"> AJ, Galindo-Tovar A, Escudero E, Vargas ML. </w:t>
      </w:r>
      <w:proofErr w:type="spellStart"/>
      <w:r>
        <w:t>Phosphodiesterases</w:t>
      </w:r>
      <w:proofErr w:type="spellEnd"/>
      <w:r>
        <w:t xml:space="preserve"> do not limit β</w:t>
      </w:r>
      <w:r>
        <w:rPr>
          <w:vertAlign w:val="subscript"/>
        </w:rPr>
        <w:t>1</w:t>
      </w:r>
      <w:r>
        <w:t xml:space="preserve">- adrenoceptor-mediated sinoatrial tachycardia: evidence with PDE3 and PDE4 in rabbits and PDE1–5 in rats. </w:t>
      </w:r>
      <w:proofErr w:type="spellStart"/>
      <w:r>
        <w:t>Naunyn-Schmied</w:t>
      </w:r>
      <w:proofErr w:type="spellEnd"/>
      <w:r>
        <w:t xml:space="preserve"> Arch </w:t>
      </w:r>
      <w:proofErr w:type="spellStart"/>
      <w:r>
        <w:t>Pharmacol</w:t>
      </w:r>
      <w:proofErr w:type="spellEnd"/>
      <w:r>
        <w:t>. 2009;380:421–30.</w:t>
      </w:r>
    </w:p>
    <w:p w:rsidR="00D95A48" w:rsidRDefault="00D95A48">
      <w:pPr>
        <w:pStyle w:val="a3"/>
        <w:rPr>
          <w:sz w:val="21"/>
        </w:rPr>
      </w:pPr>
    </w:p>
    <w:p w:rsidR="00D95A48" w:rsidRDefault="0006778F">
      <w:pPr>
        <w:ind w:left="781" w:right="1680" w:hanging="567"/>
      </w:pPr>
      <w:proofErr w:type="spellStart"/>
      <w:r>
        <w:t>Kloner</w:t>
      </w:r>
      <w:proofErr w:type="spellEnd"/>
      <w:r>
        <w:t xml:space="preserve"> RA. Cardiovascular effects of the 3 phosphodiesterase-5 inhibitors approved for the treatment of erectile dysfunction. Circulation. 2004;110:3149-55.</w:t>
      </w:r>
    </w:p>
    <w:p w:rsidR="00D95A48" w:rsidRDefault="00D95A48">
      <w:pPr>
        <w:pStyle w:val="a3"/>
        <w:spacing w:before="8"/>
        <w:rPr>
          <w:sz w:val="20"/>
        </w:rPr>
      </w:pPr>
    </w:p>
    <w:p w:rsidR="00D95A48" w:rsidRDefault="0006778F">
      <w:pPr>
        <w:ind w:left="215"/>
      </w:pPr>
      <w:proofErr w:type="spellStart"/>
      <w:r>
        <w:t>Mesfin</w:t>
      </w:r>
      <w:proofErr w:type="spellEnd"/>
      <w:r>
        <w:t xml:space="preserve"> GM, Shawaryn GG, Higgins MJ. Cardiovascular alterations in dogs treated with hydralazine.</w:t>
      </w:r>
    </w:p>
    <w:p w:rsidR="00D95A48" w:rsidRDefault="0006778F">
      <w:pPr>
        <w:spacing w:before="2"/>
        <w:ind w:left="781"/>
      </w:pPr>
      <w:proofErr w:type="spellStart"/>
      <w:r>
        <w:t>Toxicol</w:t>
      </w:r>
      <w:proofErr w:type="spellEnd"/>
      <w:r>
        <w:t xml:space="preserve"> </w:t>
      </w:r>
      <w:proofErr w:type="spellStart"/>
      <w:r>
        <w:t>Pathol</w:t>
      </w:r>
      <w:proofErr w:type="spellEnd"/>
      <w:r>
        <w:t>. 1987;15(4):409-16.</w:t>
      </w:r>
    </w:p>
    <w:p w:rsidR="00D95A48" w:rsidRDefault="00D95A48">
      <w:pPr>
        <w:pStyle w:val="a3"/>
        <w:spacing w:before="8"/>
        <w:rPr>
          <w:sz w:val="20"/>
        </w:rPr>
      </w:pPr>
    </w:p>
    <w:p w:rsidR="00D95A48" w:rsidRDefault="0006778F">
      <w:pPr>
        <w:spacing w:before="1"/>
        <w:ind w:left="781" w:right="1691" w:hanging="567"/>
      </w:pPr>
      <w:proofErr w:type="spellStart"/>
      <w:r>
        <w:t>Mesfin</w:t>
      </w:r>
      <w:proofErr w:type="spellEnd"/>
      <w:r>
        <w:t xml:space="preserve"> GM, Robinson FG, Higgins MJ, Zhong WZ, </w:t>
      </w:r>
      <w:proofErr w:type="spellStart"/>
      <w:r>
        <w:t>DuCharme</w:t>
      </w:r>
      <w:proofErr w:type="spellEnd"/>
      <w:r>
        <w:t xml:space="preserve"> DW. The pharmacologic basis of the cardiovascular toxicity of minoxidil in the dog. </w:t>
      </w:r>
      <w:proofErr w:type="spellStart"/>
      <w:r>
        <w:t>Toxicol</w:t>
      </w:r>
      <w:proofErr w:type="spellEnd"/>
      <w:r>
        <w:t xml:space="preserve"> </w:t>
      </w:r>
      <w:proofErr w:type="spellStart"/>
      <w:r>
        <w:t>Pathol</w:t>
      </w:r>
      <w:proofErr w:type="spellEnd"/>
      <w:r>
        <w:t>. 1995;23(4):498-506.</w:t>
      </w:r>
    </w:p>
    <w:p w:rsidR="00D95A48" w:rsidRDefault="00D95A48">
      <w:pPr>
        <w:pStyle w:val="a3"/>
        <w:spacing w:before="10"/>
        <w:rPr>
          <w:sz w:val="20"/>
        </w:rPr>
      </w:pPr>
    </w:p>
    <w:p w:rsidR="00D95A48" w:rsidRDefault="0006778F">
      <w:pPr>
        <w:ind w:left="781" w:right="1846" w:hanging="567"/>
      </w:pPr>
      <w:proofErr w:type="spellStart"/>
      <w:r>
        <w:t>Mikaelian</w:t>
      </w:r>
      <w:proofErr w:type="spellEnd"/>
      <w:r>
        <w:t xml:space="preserve"> I, Cameron M, </w:t>
      </w:r>
      <w:proofErr w:type="spellStart"/>
      <w:r>
        <w:t>Dalmas</w:t>
      </w:r>
      <w:proofErr w:type="spellEnd"/>
      <w:r>
        <w:t xml:space="preserve"> DA, </w:t>
      </w:r>
      <w:proofErr w:type="spellStart"/>
      <w:r>
        <w:t>Enerson</w:t>
      </w:r>
      <w:proofErr w:type="spellEnd"/>
      <w:r>
        <w:t xml:space="preserve"> BE, Gonzalez RJ, </w:t>
      </w:r>
      <w:proofErr w:type="spellStart"/>
      <w:r>
        <w:t>Guionaud</w:t>
      </w:r>
      <w:proofErr w:type="spellEnd"/>
      <w:r>
        <w:t xml:space="preserve"> S, et al. Nonclinical safety biomarkers of drug-induced vascular injury: current status and blueprint for the future. </w:t>
      </w:r>
      <w:proofErr w:type="spellStart"/>
      <w:r>
        <w:t>Toxicol</w:t>
      </w:r>
      <w:proofErr w:type="spellEnd"/>
      <w:r>
        <w:t xml:space="preserve"> </w:t>
      </w:r>
      <w:proofErr w:type="spellStart"/>
      <w:r>
        <w:t>Pathol</w:t>
      </w:r>
      <w:proofErr w:type="spellEnd"/>
      <w:r>
        <w:t>. 2014;42(4):635-57.</w:t>
      </w:r>
    </w:p>
    <w:p w:rsidR="00D95A48" w:rsidRDefault="00D95A48">
      <w:pPr>
        <w:pStyle w:val="a3"/>
        <w:spacing w:before="9"/>
        <w:rPr>
          <w:sz w:val="20"/>
        </w:rPr>
      </w:pPr>
    </w:p>
    <w:p w:rsidR="00D95A48" w:rsidRDefault="0006778F">
      <w:pPr>
        <w:spacing w:before="1"/>
        <w:ind w:left="215"/>
      </w:pPr>
      <w:proofErr w:type="spellStart"/>
      <w:r>
        <w:t>Rezvanfar</w:t>
      </w:r>
      <w:proofErr w:type="spellEnd"/>
      <w:r>
        <w:t xml:space="preserve"> MA, Rahimi HR, </w:t>
      </w:r>
      <w:proofErr w:type="spellStart"/>
      <w:r>
        <w:t>Abdollahi</w:t>
      </w:r>
      <w:proofErr w:type="spellEnd"/>
      <w:r>
        <w:t xml:space="preserve"> M. ADMET considerations for phosphodiesterase-5 inhibitors.</w:t>
      </w:r>
    </w:p>
    <w:p w:rsidR="00D95A48" w:rsidRDefault="0006778F">
      <w:pPr>
        <w:spacing w:before="1"/>
        <w:ind w:left="781"/>
      </w:pPr>
      <w:r>
        <w:t xml:space="preserve">Expert </w:t>
      </w:r>
      <w:proofErr w:type="spellStart"/>
      <w:r>
        <w:t>Opin</w:t>
      </w:r>
      <w:proofErr w:type="spellEnd"/>
      <w:r>
        <w:t xml:space="preserve"> Drug </w:t>
      </w:r>
      <w:proofErr w:type="spellStart"/>
      <w:r>
        <w:t>Metab</w:t>
      </w:r>
      <w:proofErr w:type="spellEnd"/>
      <w:r>
        <w:t xml:space="preserve"> </w:t>
      </w:r>
      <w:proofErr w:type="spellStart"/>
      <w:r>
        <w:t>Toxicol</w:t>
      </w:r>
      <w:proofErr w:type="spellEnd"/>
      <w:r>
        <w:t>. 2012;8(10):1231-45.</w:t>
      </w:r>
    </w:p>
    <w:p w:rsidR="00D95A48" w:rsidRDefault="00D95A48">
      <w:pPr>
        <w:pStyle w:val="a3"/>
        <w:spacing w:before="9"/>
        <w:rPr>
          <w:sz w:val="20"/>
        </w:rPr>
      </w:pPr>
    </w:p>
    <w:p w:rsidR="00D95A48" w:rsidRDefault="0006778F" w:rsidP="0006778F">
      <w:pPr>
        <w:ind w:left="781" w:right="1803" w:hanging="567"/>
        <w:rPr>
          <w:sz w:val="20"/>
        </w:rPr>
      </w:pPr>
      <w:r>
        <w:t xml:space="preserve">Tenor H, </w:t>
      </w:r>
      <w:proofErr w:type="spellStart"/>
      <w:r>
        <w:t>Hatzelmann</w:t>
      </w:r>
      <w:proofErr w:type="spellEnd"/>
      <w:r>
        <w:t xml:space="preserve"> A, </w:t>
      </w:r>
      <w:proofErr w:type="spellStart"/>
      <w:r>
        <w:t>Beume</w:t>
      </w:r>
      <w:proofErr w:type="spellEnd"/>
      <w:r>
        <w:t xml:space="preserve"> R, </w:t>
      </w:r>
      <w:proofErr w:type="spellStart"/>
      <w:r>
        <w:t>Lahu</w:t>
      </w:r>
      <w:proofErr w:type="spellEnd"/>
      <w:r>
        <w:t xml:space="preserve"> G, </w:t>
      </w:r>
      <w:proofErr w:type="spellStart"/>
      <w:r>
        <w:t>Zech</w:t>
      </w:r>
      <w:proofErr w:type="spellEnd"/>
      <w:r>
        <w:t xml:space="preserve"> K, </w:t>
      </w:r>
      <w:proofErr w:type="spellStart"/>
      <w:r>
        <w:t>Bethke</w:t>
      </w:r>
      <w:proofErr w:type="spellEnd"/>
      <w:r>
        <w:t xml:space="preserve"> TD. Pharmacology, clinical efficacy, and tolerability of phosphodiesterase-4 inhibitors: impact of human pharmacokinetics. </w:t>
      </w:r>
      <w:proofErr w:type="spellStart"/>
      <w:r>
        <w:t>Handb</w:t>
      </w:r>
      <w:proofErr w:type="spellEnd"/>
      <w:r>
        <w:t xml:space="preserve"> Exp </w:t>
      </w:r>
      <w:proofErr w:type="spellStart"/>
      <w:r>
        <w:t>Pharmacol</w:t>
      </w:r>
      <w:proofErr w:type="spellEnd"/>
      <w:r>
        <w:t>. 2011;204:85-119.</w:t>
      </w:r>
    </w:p>
    <w:sectPr w:rsidR="00D95A48">
      <w:headerReference w:type="default" r:id="rId8"/>
      <w:footerReference w:type="default" r:id="rId9"/>
      <w:pgSz w:w="11910" w:h="16840"/>
      <w:pgMar w:top="1120" w:right="1220" w:bottom="280" w:left="12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07A8" w:rsidRDefault="002507A8">
      <w:r>
        <w:separator/>
      </w:r>
    </w:p>
  </w:endnote>
  <w:endnote w:type="continuationSeparator" w:id="0">
    <w:p w:rsidR="002507A8" w:rsidRDefault="00250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5A48" w:rsidRDefault="00D95A48">
    <w:pPr>
      <w:pStyle w:val="a3"/>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07A8" w:rsidRDefault="002507A8">
      <w:r>
        <w:separator/>
      </w:r>
    </w:p>
  </w:footnote>
  <w:footnote w:type="continuationSeparator" w:id="0">
    <w:p w:rsidR="002507A8" w:rsidRDefault="002507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5A48" w:rsidRDefault="00D95A48">
    <w:pPr>
      <w:pStyle w:val="a3"/>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5A48" w:rsidRDefault="00D95A48">
    <w:pPr>
      <w:pStyle w:val="a3"/>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46845"/>
    <w:multiLevelType w:val="hybridMultilevel"/>
    <w:tmpl w:val="CB54119E"/>
    <w:lvl w:ilvl="0" w:tplc="1676F2D8">
      <w:start w:val="5"/>
      <w:numFmt w:val="decimal"/>
      <w:lvlText w:val="%1"/>
      <w:lvlJc w:val="left"/>
      <w:pPr>
        <w:ind w:left="1067" w:hanging="852"/>
      </w:pPr>
      <w:rPr>
        <w:rFonts w:ascii="Times New Roman" w:eastAsia="Times New Roman" w:hAnsi="Times New Roman" w:cs="Times New Roman" w:hint="default"/>
        <w:b/>
        <w:bCs/>
        <w:w w:val="100"/>
        <w:sz w:val="28"/>
        <w:szCs w:val="28"/>
      </w:rPr>
    </w:lvl>
    <w:lvl w:ilvl="1" w:tplc="13E0EA70">
      <w:numFmt w:val="bullet"/>
      <w:lvlText w:val="•"/>
      <w:lvlJc w:val="left"/>
      <w:pPr>
        <w:ind w:left="2038" w:hanging="852"/>
      </w:pPr>
      <w:rPr>
        <w:rFonts w:hint="default"/>
      </w:rPr>
    </w:lvl>
    <w:lvl w:ilvl="2" w:tplc="586E008A">
      <w:numFmt w:val="bullet"/>
      <w:lvlText w:val="•"/>
      <w:lvlJc w:val="left"/>
      <w:pPr>
        <w:ind w:left="3016" w:hanging="852"/>
      </w:pPr>
      <w:rPr>
        <w:rFonts w:hint="default"/>
      </w:rPr>
    </w:lvl>
    <w:lvl w:ilvl="3" w:tplc="108C2CFC">
      <w:numFmt w:val="bullet"/>
      <w:lvlText w:val="•"/>
      <w:lvlJc w:val="left"/>
      <w:pPr>
        <w:ind w:left="3994" w:hanging="852"/>
      </w:pPr>
      <w:rPr>
        <w:rFonts w:hint="default"/>
      </w:rPr>
    </w:lvl>
    <w:lvl w:ilvl="4" w:tplc="147E94C2">
      <w:numFmt w:val="bullet"/>
      <w:lvlText w:val="•"/>
      <w:lvlJc w:val="left"/>
      <w:pPr>
        <w:ind w:left="4972" w:hanging="852"/>
      </w:pPr>
      <w:rPr>
        <w:rFonts w:hint="default"/>
      </w:rPr>
    </w:lvl>
    <w:lvl w:ilvl="5" w:tplc="62723D7E">
      <w:numFmt w:val="bullet"/>
      <w:lvlText w:val="•"/>
      <w:lvlJc w:val="left"/>
      <w:pPr>
        <w:ind w:left="5950" w:hanging="852"/>
      </w:pPr>
      <w:rPr>
        <w:rFonts w:hint="default"/>
      </w:rPr>
    </w:lvl>
    <w:lvl w:ilvl="6" w:tplc="69AC8BF8">
      <w:numFmt w:val="bullet"/>
      <w:lvlText w:val="•"/>
      <w:lvlJc w:val="left"/>
      <w:pPr>
        <w:ind w:left="6928" w:hanging="852"/>
      </w:pPr>
      <w:rPr>
        <w:rFonts w:hint="default"/>
      </w:rPr>
    </w:lvl>
    <w:lvl w:ilvl="7" w:tplc="44A0FD60">
      <w:numFmt w:val="bullet"/>
      <w:lvlText w:val="•"/>
      <w:lvlJc w:val="left"/>
      <w:pPr>
        <w:ind w:left="7906" w:hanging="852"/>
      </w:pPr>
      <w:rPr>
        <w:rFonts w:hint="default"/>
      </w:rPr>
    </w:lvl>
    <w:lvl w:ilvl="8" w:tplc="F132C80C">
      <w:numFmt w:val="bullet"/>
      <w:lvlText w:val="•"/>
      <w:lvlJc w:val="left"/>
      <w:pPr>
        <w:ind w:left="8884" w:hanging="852"/>
      </w:pPr>
      <w:rPr>
        <w:rFonts w:hint="default"/>
      </w:rPr>
    </w:lvl>
  </w:abstractNum>
  <w:abstractNum w:abstractNumId="1" w15:restartNumberingAfterBreak="0">
    <w:nsid w:val="0E52165E"/>
    <w:multiLevelType w:val="multilevel"/>
    <w:tmpl w:val="F6D4B008"/>
    <w:lvl w:ilvl="0">
      <w:start w:val="3"/>
      <w:numFmt w:val="decimal"/>
      <w:lvlText w:val="%1"/>
      <w:lvlJc w:val="left"/>
      <w:pPr>
        <w:ind w:left="1786" w:hanging="994"/>
      </w:pPr>
      <w:rPr>
        <w:rFonts w:hint="default"/>
      </w:rPr>
    </w:lvl>
    <w:lvl w:ilvl="1">
      <w:start w:val="3"/>
      <w:numFmt w:val="decimal"/>
      <w:lvlText w:val="%1.%2"/>
      <w:lvlJc w:val="left"/>
      <w:pPr>
        <w:ind w:left="1786" w:hanging="994"/>
      </w:pPr>
      <w:rPr>
        <w:rFonts w:hint="default"/>
      </w:rPr>
    </w:lvl>
    <w:lvl w:ilvl="2">
      <w:start w:val="1"/>
      <w:numFmt w:val="decimal"/>
      <w:lvlText w:val="%1.%2.%3"/>
      <w:lvlJc w:val="left"/>
      <w:pPr>
        <w:ind w:left="1786" w:hanging="994"/>
      </w:pPr>
      <w:rPr>
        <w:rFonts w:ascii="Times New Roman" w:eastAsia="Times New Roman" w:hAnsi="Times New Roman" w:cs="Times New Roman" w:hint="default"/>
        <w:w w:val="100"/>
        <w:sz w:val="22"/>
        <w:szCs w:val="22"/>
      </w:rPr>
    </w:lvl>
    <w:lvl w:ilvl="3">
      <w:numFmt w:val="bullet"/>
      <w:lvlText w:val="•"/>
      <w:lvlJc w:val="left"/>
      <w:pPr>
        <w:ind w:left="5836" w:hanging="994"/>
      </w:pPr>
      <w:rPr>
        <w:rFonts w:hint="default"/>
      </w:rPr>
    </w:lvl>
    <w:lvl w:ilvl="4">
      <w:numFmt w:val="bullet"/>
      <w:lvlText w:val="•"/>
      <w:lvlJc w:val="left"/>
      <w:pPr>
        <w:ind w:left="7188" w:hanging="994"/>
      </w:pPr>
      <w:rPr>
        <w:rFonts w:hint="default"/>
      </w:rPr>
    </w:lvl>
    <w:lvl w:ilvl="5">
      <w:numFmt w:val="bullet"/>
      <w:lvlText w:val="•"/>
      <w:lvlJc w:val="left"/>
      <w:pPr>
        <w:ind w:left="8540" w:hanging="994"/>
      </w:pPr>
      <w:rPr>
        <w:rFonts w:hint="default"/>
      </w:rPr>
    </w:lvl>
    <w:lvl w:ilvl="6">
      <w:numFmt w:val="bullet"/>
      <w:lvlText w:val="•"/>
      <w:lvlJc w:val="left"/>
      <w:pPr>
        <w:ind w:left="9892" w:hanging="994"/>
      </w:pPr>
      <w:rPr>
        <w:rFonts w:hint="default"/>
      </w:rPr>
    </w:lvl>
    <w:lvl w:ilvl="7">
      <w:numFmt w:val="bullet"/>
      <w:lvlText w:val="•"/>
      <w:lvlJc w:val="left"/>
      <w:pPr>
        <w:ind w:left="11244" w:hanging="994"/>
      </w:pPr>
      <w:rPr>
        <w:rFonts w:hint="default"/>
      </w:rPr>
    </w:lvl>
    <w:lvl w:ilvl="8">
      <w:numFmt w:val="bullet"/>
      <w:lvlText w:val="•"/>
      <w:lvlJc w:val="left"/>
      <w:pPr>
        <w:ind w:left="12596" w:hanging="994"/>
      </w:pPr>
      <w:rPr>
        <w:rFonts w:hint="default"/>
      </w:rPr>
    </w:lvl>
  </w:abstractNum>
  <w:abstractNum w:abstractNumId="2" w15:restartNumberingAfterBreak="0">
    <w:nsid w:val="2903132F"/>
    <w:multiLevelType w:val="multilevel"/>
    <w:tmpl w:val="9F7244A2"/>
    <w:lvl w:ilvl="0">
      <w:start w:val="4"/>
      <w:numFmt w:val="decimal"/>
      <w:lvlText w:val="%1"/>
      <w:lvlJc w:val="left"/>
      <w:pPr>
        <w:ind w:left="1067" w:hanging="852"/>
      </w:pPr>
      <w:rPr>
        <w:rFonts w:hint="default"/>
      </w:rPr>
    </w:lvl>
    <w:lvl w:ilvl="1">
      <w:start w:val="2"/>
      <w:numFmt w:val="decimal"/>
      <w:lvlText w:val="%1.%2"/>
      <w:lvlJc w:val="left"/>
      <w:pPr>
        <w:ind w:left="1067" w:hanging="852"/>
      </w:pPr>
      <w:rPr>
        <w:rFonts w:hint="default"/>
      </w:rPr>
    </w:lvl>
    <w:lvl w:ilvl="2">
      <w:start w:val="1"/>
      <w:numFmt w:val="decimal"/>
      <w:lvlText w:val="%1.%2.%3"/>
      <w:lvlJc w:val="left"/>
      <w:pPr>
        <w:ind w:left="1067" w:hanging="852"/>
      </w:pPr>
      <w:rPr>
        <w:rFonts w:ascii="Times New Roman" w:eastAsia="Times New Roman" w:hAnsi="Times New Roman" w:cs="Times New Roman" w:hint="default"/>
        <w:b/>
        <w:bCs/>
        <w:w w:val="100"/>
        <w:sz w:val="24"/>
        <w:szCs w:val="24"/>
      </w:rPr>
    </w:lvl>
    <w:lvl w:ilvl="3">
      <w:numFmt w:val="bullet"/>
      <w:lvlText w:val="•"/>
      <w:lvlJc w:val="left"/>
      <w:pPr>
        <w:ind w:left="3994" w:hanging="852"/>
      </w:pPr>
      <w:rPr>
        <w:rFonts w:hint="default"/>
      </w:rPr>
    </w:lvl>
    <w:lvl w:ilvl="4">
      <w:numFmt w:val="bullet"/>
      <w:lvlText w:val="•"/>
      <w:lvlJc w:val="left"/>
      <w:pPr>
        <w:ind w:left="4972" w:hanging="852"/>
      </w:pPr>
      <w:rPr>
        <w:rFonts w:hint="default"/>
      </w:rPr>
    </w:lvl>
    <w:lvl w:ilvl="5">
      <w:numFmt w:val="bullet"/>
      <w:lvlText w:val="•"/>
      <w:lvlJc w:val="left"/>
      <w:pPr>
        <w:ind w:left="5950" w:hanging="852"/>
      </w:pPr>
      <w:rPr>
        <w:rFonts w:hint="default"/>
      </w:rPr>
    </w:lvl>
    <w:lvl w:ilvl="6">
      <w:numFmt w:val="bullet"/>
      <w:lvlText w:val="•"/>
      <w:lvlJc w:val="left"/>
      <w:pPr>
        <w:ind w:left="6928" w:hanging="852"/>
      </w:pPr>
      <w:rPr>
        <w:rFonts w:hint="default"/>
      </w:rPr>
    </w:lvl>
    <w:lvl w:ilvl="7">
      <w:numFmt w:val="bullet"/>
      <w:lvlText w:val="•"/>
      <w:lvlJc w:val="left"/>
      <w:pPr>
        <w:ind w:left="7906" w:hanging="852"/>
      </w:pPr>
      <w:rPr>
        <w:rFonts w:hint="default"/>
      </w:rPr>
    </w:lvl>
    <w:lvl w:ilvl="8">
      <w:numFmt w:val="bullet"/>
      <w:lvlText w:val="•"/>
      <w:lvlJc w:val="left"/>
      <w:pPr>
        <w:ind w:left="8884" w:hanging="852"/>
      </w:pPr>
      <w:rPr>
        <w:rFonts w:hint="default"/>
      </w:rPr>
    </w:lvl>
  </w:abstractNum>
  <w:abstractNum w:abstractNumId="3" w15:restartNumberingAfterBreak="0">
    <w:nsid w:val="3C55577F"/>
    <w:multiLevelType w:val="multilevel"/>
    <w:tmpl w:val="49A0124E"/>
    <w:lvl w:ilvl="0">
      <w:start w:val="1"/>
      <w:numFmt w:val="decimal"/>
      <w:lvlText w:val="%1"/>
      <w:lvlJc w:val="left"/>
      <w:pPr>
        <w:ind w:left="923" w:hanging="708"/>
      </w:pPr>
      <w:rPr>
        <w:rFonts w:ascii="Times New Roman" w:eastAsia="Times New Roman" w:hAnsi="Times New Roman" w:cs="Times New Roman" w:hint="default"/>
        <w:b/>
        <w:bCs/>
        <w:w w:val="100"/>
        <w:sz w:val="22"/>
        <w:szCs w:val="22"/>
      </w:rPr>
    </w:lvl>
    <w:lvl w:ilvl="1">
      <w:start w:val="1"/>
      <w:numFmt w:val="decimal"/>
      <w:lvlText w:val="%1.%2"/>
      <w:lvlJc w:val="left"/>
      <w:pPr>
        <w:ind w:left="1348" w:hanging="850"/>
      </w:pPr>
      <w:rPr>
        <w:rFonts w:ascii="Times New Roman" w:eastAsia="Times New Roman" w:hAnsi="Times New Roman" w:cs="Times New Roman" w:hint="default"/>
        <w:w w:val="100"/>
        <w:sz w:val="22"/>
        <w:szCs w:val="22"/>
      </w:rPr>
    </w:lvl>
    <w:lvl w:ilvl="2">
      <w:start w:val="1"/>
      <w:numFmt w:val="decimal"/>
      <w:lvlText w:val="%1.%2.%3"/>
      <w:lvlJc w:val="left"/>
      <w:pPr>
        <w:ind w:left="1775" w:hanging="994"/>
      </w:pPr>
      <w:rPr>
        <w:rFonts w:ascii="Times New Roman" w:eastAsia="Times New Roman" w:hAnsi="Times New Roman" w:cs="Times New Roman" w:hint="default"/>
        <w:w w:val="100"/>
        <w:sz w:val="22"/>
        <w:szCs w:val="22"/>
      </w:rPr>
    </w:lvl>
    <w:lvl w:ilvl="3">
      <w:start w:val="1"/>
      <w:numFmt w:val="decimal"/>
      <w:lvlText w:val="%1.%2.%3.%4"/>
      <w:lvlJc w:val="left"/>
      <w:pPr>
        <w:ind w:left="2200" w:hanging="1133"/>
      </w:pPr>
      <w:rPr>
        <w:rFonts w:ascii="Times New Roman" w:eastAsia="Times New Roman" w:hAnsi="Times New Roman" w:cs="Times New Roman" w:hint="default"/>
        <w:w w:val="100"/>
        <w:sz w:val="22"/>
        <w:szCs w:val="22"/>
      </w:rPr>
    </w:lvl>
    <w:lvl w:ilvl="4">
      <w:numFmt w:val="bullet"/>
      <w:lvlText w:val="•"/>
      <w:lvlJc w:val="left"/>
      <w:pPr>
        <w:ind w:left="3434" w:hanging="1133"/>
      </w:pPr>
      <w:rPr>
        <w:rFonts w:hint="default"/>
      </w:rPr>
    </w:lvl>
    <w:lvl w:ilvl="5">
      <w:numFmt w:val="bullet"/>
      <w:lvlText w:val="•"/>
      <w:lvlJc w:val="left"/>
      <w:pPr>
        <w:ind w:left="4668" w:hanging="1133"/>
      </w:pPr>
      <w:rPr>
        <w:rFonts w:hint="default"/>
      </w:rPr>
    </w:lvl>
    <w:lvl w:ilvl="6">
      <w:numFmt w:val="bullet"/>
      <w:lvlText w:val="•"/>
      <w:lvlJc w:val="left"/>
      <w:pPr>
        <w:ind w:left="5902" w:hanging="1133"/>
      </w:pPr>
      <w:rPr>
        <w:rFonts w:hint="default"/>
      </w:rPr>
    </w:lvl>
    <w:lvl w:ilvl="7">
      <w:numFmt w:val="bullet"/>
      <w:lvlText w:val="•"/>
      <w:lvlJc w:val="left"/>
      <w:pPr>
        <w:ind w:left="7137" w:hanging="1133"/>
      </w:pPr>
      <w:rPr>
        <w:rFonts w:hint="default"/>
      </w:rPr>
    </w:lvl>
    <w:lvl w:ilvl="8">
      <w:numFmt w:val="bullet"/>
      <w:lvlText w:val="•"/>
      <w:lvlJc w:val="left"/>
      <w:pPr>
        <w:ind w:left="8371" w:hanging="1133"/>
      </w:pPr>
      <w:rPr>
        <w:rFonts w:hint="default"/>
      </w:rPr>
    </w:lvl>
  </w:abstractNum>
  <w:abstractNum w:abstractNumId="4" w15:restartNumberingAfterBreak="0">
    <w:nsid w:val="3CF552DA"/>
    <w:multiLevelType w:val="multilevel"/>
    <w:tmpl w:val="7640EC78"/>
    <w:lvl w:ilvl="0">
      <w:start w:val="4"/>
      <w:numFmt w:val="decimal"/>
      <w:lvlText w:val="%1"/>
      <w:lvlJc w:val="left"/>
      <w:pPr>
        <w:ind w:left="1067" w:hanging="852"/>
      </w:pPr>
      <w:rPr>
        <w:rFonts w:hint="default"/>
      </w:rPr>
    </w:lvl>
    <w:lvl w:ilvl="1">
      <w:start w:val="3"/>
      <w:numFmt w:val="decimal"/>
      <w:lvlText w:val="%1.%2"/>
      <w:lvlJc w:val="left"/>
      <w:pPr>
        <w:ind w:left="1067" w:hanging="852"/>
      </w:pPr>
      <w:rPr>
        <w:rFonts w:ascii="Times New Roman" w:eastAsia="Times New Roman" w:hAnsi="Times New Roman" w:cs="Times New Roman" w:hint="default"/>
        <w:b/>
        <w:bCs/>
        <w:w w:val="100"/>
        <w:sz w:val="28"/>
        <w:szCs w:val="28"/>
      </w:rPr>
    </w:lvl>
    <w:lvl w:ilvl="2">
      <w:start w:val="1"/>
      <w:numFmt w:val="decimal"/>
      <w:lvlText w:val="%1.%2.%3"/>
      <w:lvlJc w:val="left"/>
      <w:pPr>
        <w:ind w:left="1067" w:hanging="852"/>
      </w:pPr>
      <w:rPr>
        <w:rFonts w:ascii="Times New Roman" w:eastAsia="Times New Roman" w:hAnsi="Times New Roman" w:cs="Times New Roman" w:hint="default"/>
        <w:b/>
        <w:bCs/>
        <w:spacing w:val="-1"/>
        <w:w w:val="100"/>
        <w:sz w:val="24"/>
        <w:szCs w:val="24"/>
      </w:rPr>
    </w:lvl>
    <w:lvl w:ilvl="3">
      <w:numFmt w:val="bullet"/>
      <w:lvlText w:val="•"/>
      <w:lvlJc w:val="left"/>
      <w:pPr>
        <w:ind w:left="3994" w:hanging="852"/>
      </w:pPr>
      <w:rPr>
        <w:rFonts w:hint="default"/>
      </w:rPr>
    </w:lvl>
    <w:lvl w:ilvl="4">
      <w:numFmt w:val="bullet"/>
      <w:lvlText w:val="•"/>
      <w:lvlJc w:val="left"/>
      <w:pPr>
        <w:ind w:left="4972" w:hanging="852"/>
      </w:pPr>
      <w:rPr>
        <w:rFonts w:hint="default"/>
      </w:rPr>
    </w:lvl>
    <w:lvl w:ilvl="5">
      <w:numFmt w:val="bullet"/>
      <w:lvlText w:val="•"/>
      <w:lvlJc w:val="left"/>
      <w:pPr>
        <w:ind w:left="5950" w:hanging="852"/>
      </w:pPr>
      <w:rPr>
        <w:rFonts w:hint="default"/>
      </w:rPr>
    </w:lvl>
    <w:lvl w:ilvl="6">
      <w:numFmt w:val="bullet"/>
      <w:lvlText w:val="•"/>
      <w:lvlJc w:val="left"/>
      <w:pPr>
        <w:ind w:left="6928" w:hanging="852"/>
      </w:pPr>
      <w:rPr>
        <w:rFonts w:hint="default"/>
      </w:rPr>
    </w:lvl>
    <w:lvl w:ilvl="7">
      <w:numFmt w:val="bullet"/>
      <w:lvlText w:val="•"/>
      <w:lvlJc w:val="left"/>
      <w:pPr>
        <w:ind w:left="7906" w:hanging="852"/>
      </w:pPr>
      <w:rPr>
        <w:rFonts w:hint="default"/>
      </w:rPr>
    </w:lvl>
    <w:lvl w:ilvl="8">
      <w:numFmt w:val="bullet"/>
      <w:lvlText w:val="•"/>
      <w:lvlJc w:val="left"/>
      <w:pPr>
        <w:ind w:left="8884" w:hanging="852"/>
      </w:pPr>
      <w:rPr>
        <w:rFonts w:hint="default"/>
      </w:rPr>
    </w:lvl>
  </w:abstractNum>
  <w:abstractNum w:abstractNumId="5" w15:restartNumberingAfterBreak="0">
    <w:nsid w:val="517947C5"/>
    <w:multiLevelType w:val="multilevel"/>
    <w:tmpl w:val="3AFC24D4"/>
    <w:lvl w:ilvl="0">
      <w:start w:val="2"/>
      <w:numFmt w:val="decimal"/>
      <w:lvlText w:val="%1"/>
      <w:lvlJc w:val="left"/>
      <w:pPr>
        <w:ind w:left="1067" w:hanging="852"/>
      </w:pPr>
      <w:rPr>
        <w:rFonts w:ascii="Times New Roman" w:eastAsia="Times New Roman" w:hAnsi="Times New Roman" w:cs="Times New Roman" w:hint="default"/>
        <w:b/>
        <w:bCs/>
        <w:w w:val="100"/>
        <w:sz w:val="28"/>
        <w:szCs w:val="28"/>
      </w:rPr>
    </w:lvl>
    <w:lvl w:ilvl="1">
      <w:start w:val="1"/>
      <w:numFmt w:val="decimal"/>
      <w:lvlText w:val="%1.%2"/>
      <w:lvlJc w:val="left"/>
      <w:pPr>
        <w:ind w:left="1067" w:hanging="852"/>
      </w:pPr>
      <w:rPr>
        <w:rFonts w:ascii="Times New Roman" w:eastAsia="Times New Roman" w:hAnsi="Times New Roman" w:cs="Times New Roman" w:hint="default"/>
        <w:b/>
        <w:bCs/>
        <w:w w:val="100"/>
        <w:sz w:val="28"/>
        <w:szCs w:val="28"/>
      </w:rPr>
    </w:lvl>
    <w:lvl w:ilvl="2">
      <w:start w:val="1"/>
      <w:numFmt w:val="decimal"/>
      <w:lvlText w:val="%1.%2.%3"/>
      <w:lvlJc w:val="left"/>
      <w:pPr>
        <w:ind w:left="1067" w:hanging="852"/>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67" w:hanging="852"/>
      </w:pPr>
      <w:rPr>
        <w:rFonts w:ascii="Times New Roman" w:eastAsia="Times New Roman" w:hAnsi="Times New Roman" w:cs="Times New Roman" w:hint="default"/>
        <w:b/>
        <w:bCs/>
        <w:spacing w:val="-1"/>
        <w:w w:val="100"/>
        <w:sz w:val="24"/>
        <w:szCs w:val="24"/>
      </w:rPr>
    </w:lvl>
    <w:lvl w:ilvl="4">
      <w:start w:val="1"/>
      <w:numFmt w:val="decimal"/>
      <w:lvlText w:val="%1.%2.%3.%4.%5"/>
      <w:lvlJc w:val="left"/>
      <w:pPr>
        <w:ind w:left="1348" w:hanging="1133"/>
      </w:pPr>
      <w:rPr>
        <w:rFonts w:ascii="Times New Roman" w:eastAsia="Times New Roman" w:hAnsi="Times New Roman" w:cs="Times New Roman" w:hint="default"/>
        <w:b/>
        <w:bCs/>
        <w:spacing w:val="-3"/>
        <w:w w:val="100"/>
        <w:sz w:val="24"/>
        <w:szCs w:val="24"/>
      </w:rPr>
    </w:lvl>
    <w:lvl w:ilvl="5">
      <w:numFmt w:val="bullet"/>
      <w:lvlText w:val="•"/>
      <w:lvlJc w:val="left"/>
      <w:pPr>
        <w:ind w:left="5562" w:hanging="1133"/>
      </w:pPr>
      <w:rPr>
        <w:rFonts w:hint="default"/>
      </w:rPr>
    </w:lvl>
    <w:lvl w:ilvl="6">
      <w:numFmt w:val="bullet"/>
      <w:lvlText w:val="•"/>
      <w:lvlJc w:val="left"/>
      <w:pPr>
        <w:ind w:left="6617" w:hanging="1133"/>
      </w:pPr>
      <w:rPr>
        <w:rFonts w:hint="default"/>
      </w:rPr>
    </w:lvl>
    <w:lvl w:ilvl="7">
      <w:numFmt w:val="bullet"/>
      <w:lvlText w:val="•"/>
      <w:lvlJc w:val="left"/>
      <w:pPr>
        <w:ind w:left="7673" w:hanging="1133"/>
      </w:pPr>
      <w:rPr>
        <w:rFonts w:hint="default"/>
      </w:rPr>
    </w:lvl>
    <w:lvl w:ilvl="8">
      <w:numFmt w:val="bullet"/>
      <w:lvlText w:val="•"/>
      <w:lvlJc w:val="left"/>
      <w:pPr>
        <w:ind w:left="8728" w:hanging="1133"/>
      </w:pPr>
      <w:rPr>
        <w:rFonts w:hint="default"/>
      </w:rPr>
    </w:lvl>
  </w:abstractNum>
  <w:abstractNum w:abstractNumId="6" w15:restartNumberingAfterBreak="0">
    <w:nsid w:val="51EF0168"/>
    <w:multiLevelType w:val="multilevel"/>
    <w:tmpl w:val="37647FD0"/>
    <w:lvl w:ilvl="0">
      <w:start w:val="4"/>
      <w:numFmt w:val="decimal"/>
      <w:lvlText w:val="%1"/>
      <w:lvlJc w:val="left"/>
      <w:pPr>
        <w:ind w:left="1067" w:hanging="852"/>
      </w:pPr>
      <w:rPr>
        <w:rFonts w:hint="default"/>
      </w:rPr>
    </w:lvl>
    <w:lvl w:ilvl="1">
      <w:start w:val="1"/>
      <w:numFmt w:val="decimal"/>
      <w:lvlText w:val="%1.%2"/>
      <w:lvlJc w:val="left"/>
      <w:pPr>
        <w:ind w:left="1067" w:hanging="852"/>
      </w:pPr>
      <w:rPr>
        <w:rFonts w:hint="default"/>
      </w:rPr>
    </w:lvl>
    <w:lvl w:ilvl="2">
      <w:start w:val="1"/>
      <w:numFmt w:val="decimal"/>
      <w:lvlText w:val="%1.%2.%3"/>
      <w:lvlJc w:val="left"/>
      <w:pPr>
        <w:ind w:left="1067" w:hanging="852"/>
      </w:pPr>
      <w:rPr>
        <w:rFonts w:hint="default"/>
      </w:rPr>
    </w:lvl>
    <w:lvl w:ilvl="3">
      <w:start w:val="2"/>
      <w:numFmt w:val="decimal"/>
      <w:lvlText w:val="%1.%2.%3.%4"/>
      <w:lvlJc w:val="left"/>
      <w:pPr>
        <w:ind w:left="1067" w:hanging="852"/>
      </w:pPr>
      <w:rPr>
        <w:rFonts w:ascii="Times New Roman" w:eastAsia="Times New Roman" w:hAnsi="Times New Roman" w:cs="Times New Roman" w:hint="default"/>
        <w:b/>
        <w:bCs/>
        <w:spacing w:val="-1"/>
        <w:w w:val="100"/>
        <w:sz w:val="24"/>
        <w:szCs w:val="24"/>
      </w:rPr>
    </w:lvl>
    <w:lvl w:ilvl="4">
      <w:start w:val="1"/>
      <w:numFmt w:val="decimal"/>
      <w:lvlText w:val="%1.%2.%3.%4.%5"/>
      <w:lvlJc w:val="left"/>
      <w:pPr>
        <w:ind w:left="1348" w:hanging="1133"/>
      </w:pPr>
      <w:rPr>
        <w:rFonts w:ascii="Times New Roman" w:eastAsia="Times New Roman" w:hAnsi="Times New Roman" w:cs="Times New Roman" w:hint="default"/>
        <w:b/>
        <w:bCs/>
        <w:spacing w:val="-3"/>
        <w:w w:val="100"/>
        <w:sz w:val="24"/>
        <w:szCs w:val="24"/>
      </w:rPr>
    </w:lvl>
    <w:lvl w:ilvl="5">
      <w:numFmt w:val="bullet"/>
      <w:lvlText w:val="•"/>
      <w:lvlJc w:val="left"/>
      <w:pPr>
        <w:ind w:left="5562" w:hanging="1133"/>
      </w:pPr>
      <w:rPr>
        <w:rFonts w:hint="default"/>
      </w:rPr>
    </w:lvl>
    <w:lvl w:ilvl="6">
      <w:numFmt w:val="bullet"/>
      <w:lvlText w:val="•"/>
      <w:lvlJc w:val="left"/>
      <w:pPr>
        <w:ind w:left="6617" w:hanging="1133"/>
      </w:pPr>
      <w:rPr>
        <w:rFonts w:hint="default"/>
      </w:rPr>
    </w:lvl>
    <w:lvl w:ilvl="7">
      <w:numFmt w:val="bullet"/>
      <w:lvlText w:val="•"/>
      <w:lvlJc w:val="left"/>
      <w:pPr>
        <w:ind w:left="7673" w:hanging="1133"/>
      </w:pPr>
      <w:rPr>
        <w:rFonts w:hint="default"/>
      </w:rPr>
    </w:lvl>
    <w:lvl w:ilvl="8">
      <w:numFmt w:val="bullet"/>
      <w:lvlText w:val="•"/>
      <w:lvlJc w:val="left"/>
      <w:pPr>
        <w:ind w:left="8728" w:hanging="1133"/>
      </w:pPr>
      <w:rPr>
        <w:rFonts w:hint="default"/>
      </w:rPr>
    </w:lvl>
  </w:abstractNum>
  <w:abstractNum w:abstractNumId="7" w15:restartNumberingAfterBreak="0">
    <w:nsid w:val="55264CD5"/>
    <w:multiLevelType w:val="multilevel"/>
    <w:tmpl w:val="DB40AC78"/>
    <w:lvl w:ilvl="0">
      <w:start w:val="4"/>
      <w:numFmt w:val="decimal"/>
      <w:lvlText w:val="%1"/>
      <w:lvlJc w:val="left"/>
      <w:pPr>
        <w:ind w:left="1067" w:hanging="852"/>
      </w:pPr>
      <w:rPr>
        <w:rFonts w:hint="default"/>
      </w:rPr>
    </w:lvl>
    <w:lvl w:ilvl="1">
      <w:start w:val="1"/>
      <w:numFmt w:val="decimal"/>
      <w:lvlText w:val="%1.%2"/>
      <w:lvlJc w:val="left"/>
      <w:pPr>
        <w:ind w:left="1067" w:hanging="852"/>
      </w:pPr>
      <w:rPr>
        <w:rFonts w:hint="default"/>
      </w:rPr>
    </w:lvl>
    <w:lvl w:ilvl="2">
      <w:start w:val="2"/>
      <w:numFmt w:val="decimal"/>
      <w:lvlText w:val="%1.%2.%3"/>
      <w:lvlJc w:val="left"/>
      <w:pPr>
        <w:ind w:left="1067" w:hanging="852"/>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67" w:hanging="852"/>
      </w:pPr>
      <w:rPr>
        <w:rFonts w:ascii="Times New Roman" w:eastAsia="Times New Roman" w:hAnsi="Times New Roman" w:cs="Times New Roman" w:hint="default"/>
        <w:b/>
        <w:bCs/>
        <w:spacing w:val="-1"/>
        <w:w w:val="100"/>
        <w:sz w:val="24"/>
        <w:szCs w:val="24"/>
      </w:rPr>
    </w:lvl>
    <w:lvl w:ilvl="4">
      <w:numFmt w:val="bullet"/>
      <w:lvlText w:val="•"/>
      <w:lvlJc w:val="left"/>
      <w:pPr>
        <w:ind w:left="4506" w:hanging="852"/>
      </w:pPr>
      <w:rPr>
        <w:rFonts w:hint="default"/>
      </w:rPr>
    </w:lvl>
    <w:lvl w:ilvl="5">
      <w:numFmt w:val="bullet"/>
      <w:lvlText w:val="•"/>
      <w:lvlJc w:val="left"/>
      <w:pPr>
        <w:ind w:left="5562" w:hanging="852"/>
      </w:pPr>
      <w:rPr>
        <w:rFonts w:hint="default"/>
      </w:rPr>
    </w:lvl>
    <w:lvl w:ilvl="6">
      <w:numFmt w:val="bullet"/>
      <w:lvlText w:val="•"/>
      <w:lvlJc w:val="left"/>
      <w:pPr>
        <w:ind w:left="6617" w:hanging="852"/>
      </w:pPr>
      <w:rPr>
        <w:rFonts w:hint="default"/>
      </w:rPr>
    </w:lvl>
    <w:lvl w:ilvl="7">
      <w:numFmt w:val="bullet"/>
      <w:lvlText w:val="•"/>
      <w:lvlJc w:val="left"/>
      <w:pPr>
        <w:ind w:left="7673" w:hanging="852"/>
      </w:pPr>
      <w:rPr>
        <w:rFonts w:hint="default"/>
      </w:rPr>
    </w:lvl>
    <w:lvl w:ilvl="8">
      <w:numFmt w:val="bullet"/>
      <w:lvlText w:val="•"/>
      <w:lvlJc w:val="left"/>
      <w:pPr>
        <w:ind w:left="8728" w:hanging="852"/>
      </w:pPr>
      <w:rPr>
        <w:rFonts w:hint="default"/>
      </w:rPr>
    </w:lvl>
  </w:abstractNum>
  <w:abstractNum w:abstractNumId="8" w15:restartNumberingAfterBreak="0">
    <w:nsid w:val="58BD0A66"/>
    <w:multiLevelType w:val="multilevel"/>
    <w:tmpl w:val="0C0437C8"/>
    <w:lvl w:ilvl="0">
      <w:start w:val="4"/>
      <w:numFmt w:val="decimal"/>
      <w:lvlText w:val="%1"/>
      <w:lvlJc w:val="left"/>
      <w:pPr>
        <w:ind w:left="1067" w:hanging="852"/>
      </w:pPr>
      <w:rPr>
        <w:rFonts w:hint="default"/>
      </w:rPr>
    </w:lvl>
    <w:lvl w:ilvl="1">
      <w:start w:val="3"/>
      <w:numFmt w:val="decimal"/>
      <w:lvlText w:val="%1.%2"/>
      <w:lvlJc w:val="left"/>
      <w:pPr>
        <w:ind w:left="1067" w:hanging="852"/>
      </w:pPr>
      <w:rPr>
        <w:rFonts w:hint="default"/>
      </w:rPr>
    </w:lvl>
    <w:lvl w:ilvl="2">
      <w:start w:val="2"/>
      <w:numFmt w:val="decimal"/>
      <w:lvlText w:val="%1.%2.%3"/>
      <w:lvlJc w:val="left"/>
      <w:pPr>
        <w:ind w:left="1067" w:hanging="852"/>
      </w:pPr>
      <w:rPr>
        <w:rFonts w:hint="default"/>
      </w:rPr>
    </w:lvl>
    <w:lvl w:ilvl="3">
      <w:start w:val="1"/>
      <w:numFmt w:val="decimal"/>
      <w:lvlText w:val="%1.%2.%3.%4"/>
      <w:lvlJc w:val="left"/>
      <w:pPr>
        <w:ind w:left="1067" w:hanging="852"/>
      </w:pPr>
      <w:rPr>
        <w:rFonts w:ascii="Times New Roman" w:eastAsia="Times New Roman" w:hAnsi="Times New Roman" w:cs="Times New Roman" w:hint="default"/>
        <w:b/>
        <w:bCs/>
        <w:spacing w:val="-1"/>
        <w:w w:val="100"/>
        <w:sz w:val="24"/>
        <w:szCs w:val="24"/>
      </w:rPr>
    </w:lvl>
    <w:lvl w:ilvl="4">
      <w:numFmt w:val="bullet"/>
      <w:lvlText w:val="•"/>
      <w:lvlJc w:val="left"/>
      <w:pPr>
        <w:ind w:left="4506" w:hanging="852"/>
      </w:pPr>
      <w:rPr>
        <w:rFonts w:hint="default"/>
      </w:rPr>
    </w:lvl>
    <w:lvl w:ilvl="5">
      <w:numFmt w:val="bullet"/>
      <w:lvlText w:val="•"/>
      <w:lvlJc w:val="left"/>
      <w:pPr>
        <w:ind w:left="5562" w:hanging="852"/>
      </w:pPr>
      <w:rPr>
        <w:rFonts w:hint="default"/>
      </w:rPr>
    </w:lvl>
    <w:lvl w:ilvl="6">
      <w:numFmt w:val="bullet"/>
      <w:lvlText w:val="•"/>
      <w:lvlJc w:val="left"/>
      <w:pPr>
        <w:ind w:left="6617" w:hanging="852"/>
      </w:pPr>
      <w:rPr>
        <w:rFonts w:hint="default"/>
      </w:rPr>
    </w:lvl>
    <w:lvl w:ilvl="7">
      <w:numFmt w:val="bullet"/>
      <w:lvlText w:val="•"/>
      <w:lvlJc w:val="left"/>
      <w:pPr>
        <w:ind w:left="7673" w:hanging="852"/>
      </w:pPr>
      <w:rPr>
        <w:rFonts w:hint="default"/>
      </w:rPr>
    </w:lvl>
    <w:lvl w:ilvl="8">
      <w:numFmt w:val="bullet"/>
      <w:lvlText w:val="•"/>
      <w:lvlJc w:val="left"/>
      <w:pPr>
        <w:ind w:left="8728" w:hanging="852"/>
      </w:pPr>
      <w:rPr>
        <w:rFonts w:hint="default"/>
      </w:rPr>
    </w:lvl>
  </w:abstractNum>
  <w:abstractNum w:abstractNumId="9" w15:restartNumberingAfterBreak="0">
    <w:nsid w:val="76127231"/>
    <w:multiLevelType w:val="multilevel"/>
    <w:tmpl w:val="5B56839E"/>
    <w:lvl w:ilvl="0">
      <w:start w:val="1"/>
      <w:numFmt w:val="decimal"/>
      <w:lvlText w:val="%1"/>
      <w:lvlJc w:val="left"/>
      <w:pPr>
        <w:ind w:left="1076" w:hanging="850"/>
      </w:pPr>
      <w:rPr>
        <w:rFonts w:ascii="Times New Roman" w:eastAsia="Times New Roman" w:hAnsi="Times New Roman" w:cs="Times New Roman" w:hint="default"/>
        <w:b/>
        <w:bCs/>
        <w:w w:val="100"/>
        <w:sz w:val="28"/>
        <w:szCs w:val="28"/>
      </w:rPr>
    </w:lvl>
    <w:lvl w:ilvl="1">
      <w:start w:val="1"/>
      <w:numFmt w:val="decimal"/>
      <w:lvlText w:val="%1.%2"/>
      <w:lvlJc w:val="left"/>
      <w:pPr>
        <w:ind w:left="1078" w:hanging="852"/>
      </w:pPr>
      <w:rPr>
        <w:rFonts w:ascii="Times New Roman" w:eastAsia="Times New Roman" w:hAnsi="Times New Roman" w:cs="Times New Roman" w:hint="default"/>
        <w:b/>
        <w:bCs/>
        <w:w w:val="100"/>
        <w:sz w:val="28"/>
        <w:szCs w:val="28"/>
      </w:rPr>
    </w:lvl>
    <w:lvl w:ilvl="2">
      <w:start w:val="1"/>
      <w:numFmt w:val="decimal"/>
      <w:lvlText w:val="%1.%2.%3"/>
      <w:lvlJc w:val="left"/>
      <w:pPr>
        <w:ind w:left="1076" w:hanging="850"/>
      </w:pPr>
      <w:rPr>
        <w:rFonts w:ascii="Times New Roman" w:eastAsia="Times New Roman" w:hAnsi="Times New Roman" w:cs="Times New Roman" w:hint="default"/>
        <w:b/>
        <w:bCs/>
        <w:spacing w:val="-1"/>
        <w:w w:val="100"/>
        <w:sz w:val="24"/>
        <w:szCs w:val="24"/>
      </w:rPr>
    </w:lvl>
    <w:lvl w:ilvl="3">
      <w:numFmt w:val="bullet"/>
      <w:lvlText w:val="•"/>
      <w:lvlJc w:val="left"/>
      <w:pPr>
        <w:ind w:left="5346" w:hanging="850"/>
      </w:pPr>
      <w:rPr>
        <w:rFonts w:hint="default"/>
      </w:rPr>
    </w:lvl>
    <w:lvl w:ilvl="4">
      <w:numFmt w:val="bullet"/>
      <w:lvlText w:val="•"/>
      <w:lvlJc w:val="left"/>
      <w:pPr>
        <w:ind w:left="6768" w:hanging="850"/>
      </w:pPr>
      <w:rPr>
        <w:rFonts w:hint="default"/>
      </w:rPr>
    </w:lvl>
    <w:lvl w:ilvl="5">
      <w:numFmt w:val="bullet"/>
      <w:lvlText w:val="•"/>
      <w:lvlJc w:val="left"/>
      <w:pPr>
        <w:ind w:left="8190" w:hanging="850"/>
      </w:pPr>
      <w:rPr>
        <w:rFonts w:hint="default"/>
      </w:rPr>
    </w:lvl>
    <w:lvl w:ilvl="6">
      <w:numFmt w:val="bullet"/>
      <w:lvlText w:val="•"/>
      <w:lvlJc w:val="left"/>
      <w:pPr>
        <w:ind w:left="9612" w:hanging="850"/>
      </w:pPr>
      <w:rPr>
        <w:rFonts w:hint="default"/>
      </w:rPr>
    </w:lvl>
    <w:lvl w:ilvl="7">
      <w:numFmt w:val="bullet"/>
      <w:lvlText w:val="•"/>
      <w:lvlJc w:val="left"/>
      <w:pPr>
        <w:ind w:left="11034" w:hanging="850"/>
      </w:pPr>
      <w:rPr>
        <w:rFonts w:hint="default"/>
      </w:rPr>
    </w:lvl>
    <w:lvl w:ilvl="8">
      <w:numFmt w:val="bullet"/>
      <w:lvlText w:val="•"/>
      <w:lvlJc w:val="left"/>
      <w:pPr>
        <w:ind w:left="12456" w:hanging="850"/>
      </w:pPr>
      <w:rPr>
        <w:rFonts w:hint="default"/>
      </w:rPr>
    </w:lvl>
  </w:abstractNum>
  <w:abstractNum w:abstractNumId="10" w15:restartNumberingAfterBreak="0">
    <w:nsid w:val="7DF56788"/>
    <w:multiLevelType w:val="multilevel"/>
    <w:tmpl w:val="E56265BA"/>
    <w:lvl w:ilvl="0">
      <w:start w:val="4"/>
      <w:numFmt w:val="decimal"/>
      <w:lvlText w:val="%1"/>
      <w:lvlJc w:val="left"/>
      <w:pPr>
        <w:ind w:left="1067" w:hanging="852"/>
      </w:pPr>
      <w:rPr>
        <w:rFonts w:hint="default"/>
      </w:rPr>
    </w:lvl>
    <w:lvl w:ilvl="1">
      <w:start w:val="3"/>
      <w:numFmt w:val="decimal"/>
      <w:lvlText w:val="%1.%2"/>
      <w:lvlJc w:val="left"/>
      <w:pPr>
        <w:ind w:left="1067" w:hanging="852"/>
      </w:pPr>
      <w:rPr>
        <w:rFonts w:hint="default"/>
      </w:rPr>
    </w:lvl>
    <w:lvl w:ilvl="2">
      <w:start w:val="6"/>
      <w:numFmt w:val="decimal"/>
      <w:lvlText w:val="%1.%2.%3"/>
      <w:lvlJc w:val="left"/>
      <w:pPr>
        <w:ind w:left="1067" w:hanging="852"/>
      </w:pPr>
      <w:rPr>
        <w:rFonts w:ascii="Times New Roman" w:eastAsia="Times New Roman" w:hAnsi="Times New Roman" w:cs="Times New Roman" w:hint="default"/>
        <w:b/>
        <w:bCs/>
        <w:spacing w:val="-1"/>
        <w:w w:val="100"/>
        <w:sz w:val="24"/>
        <w:szCs w:val="24"/>
      </w:rPr>
    </w:lvl>
    <w:lvl w:ilvl="3">
      <w:numFmt w:val="bullet"/>
      <w:lvlText w:val="•"/>
      <w:lvlJc w:val="left"/>
      <w:pPr>
        <w:ind w:left="3994" w:hanging="852"/>
      </w:pPr>
      <w:rPr>
        <w:rFonts w:hint="default"/>
      </w:rPr>
    </w:lvl>
    <w:lvl w:ilvl="4">
      <w:numFmt w:val="bullet"/>
      <w:lvlText w:val="•"/>
      <w:lvlJc w:val="left"/>
      <w:pPr>
        <w:ind w:left="4972" w:hanging="852"/>
      </w:pPr>
      <w:rPr>
        <w:rFonts w:hint="default"/>
      </w:rPr>
    </w:lvl>
    <w:lvl w:ilvl="5">
      <w:numFmt w:val="bullet"/>
      <w:lvlText w:val="•"/>
      <w:lvlJc w:val="left"/>
      <w:pPr>
        <w:ind w:left="5950" w:hanging="852"/>
      </w:pPr>
      <w:rPr>
        <w:rFonts w:hint="default"/>
      </w:rPr>
    </w:lvl>
    <w:lvl w:ilvl="6">
      <w:numFmt w:val="bullet"/>
      <w:lvlText w:val="•"/>
      <w:lvlJc w:val="left"/>
      <w:pPr>
        <w:ind w:left="6928" w:hanging="852"/>
      </w:pPr>
      <w:rPr>
        <w:rFonts w:hint="default"/>
      </w:rPr>
    </w:lvl>
    <w:lvl w:ilvl="7">
      <w:numFmt w:val="bullet"/>
      <w:lvlText w:val="•"/>
      <w:lvlJc w:val="left"/>
      <w:pPr>
        <w:ind w:left="7906" w:hanging="852"/>
      </w:pPr>
      <w:rPr>
        <w:rFonts w:hint="default"/>
      </w:rPr>
    </w:lvl>
    <w:lvl w:ilvl="8">
      <w:numFmt w:val="bullet"/>
      <w:lvlText w:val="•"/>
      <w:lvlJc w:val="left"/>
      <w:pPr>
        <w:ind w:left="8884" w:hanging="852"/>
      </w:pPr>
      <w:rPr>
        <w:rFonts w:hint="default"/>
      </w:rPr>
    </w:lvl>
  </w:abstractNum>
  <w:num w:numId="1">
    <w:abstractNumId w:val="9"/>
  </w:num>
  <w:num w:numId="2">
    <w:abstractNumId w:val="1"/>
  </w:num>
  <w:num w:numId="3">
    <w:abstractNumId w:val="0"/>
  </w:num>
  <w:num w:numId="4">
    <w:abstractNumId w:val="10"/>
  </w:num>
  <w:num w:numId="5">
    <w:abstractNumId w:val="8"/>
  </w:num>
  <w:num w:numId="6">
    <w:abstractNumId w:val="4"/>
  </w:num>
  <w:num w:numId="7">
    <w:abstractNumId w:val="2"/>
  </w:num>
  <w:num w:numId="8">
    <w:abstractNumId w:val="7"/>
  </w:num>
  <w:num w:numId="9">
    <w:abstractNumId w:val="6"/>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D95A48"/>
    <w:rsid w:val="0006778F"/>
    <w:rsid w:val="002507A8"/>
    <w:rsid w:val="0066008F"/>
    <w:rsid w:val="00A439FA"/>
    <w:rsid w:val="00D95A48"/>
    <w:rsid w:val="00DD14DA"/>
    <w:rsid w:val="00E23278"/>
    <w:rsid w:val="00F51BD7"/>
    <w:rsid w:val="00F639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0266C70"/>
  <w15:docId w15:val="{A437D949-D923-4D3D-951E-06C8C9DBA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before="86"/>
      <w:ind w:left="3085"/>
      <w:jc w:val="center"/>
      <w:outlineLvl w:val="0"/>
    </w:pPr>
    <w:rPr>
      <w:b/>
      <w:bCs/>
      <w:sz w:val="32"/>
      <w:szCs w:val="32"/>
    </w:rPr>
  </w:style>
  <w:style w:type="paragraph" w:styleId="2">
    <w:name w:val="heading 2"/>
    <w:basedOn w:val="a"/>
    <w:uiPriority w:val="9"/>
    <w:unhideWhenUsed/>
    <w:qFormat/>
    <w:pPr>
      <w:spacing w:before="89"/>
      <w:ind w:left="1067" w:hanging="852"/>
      <w:outlineLvl w:val="1"/>
    </w:pPr>
    <w:rPr>
      <w:b/>
      <w:bCs/>
      <w:sz w:val="28"/>
      <w:szCs w:val="28"/>
    </w:rPr>
  </w:style>
  <w:style w:type="paragraph" w:styleId="3">
    <w:name w:val="heading 3"/>
    <w:basedOn w:val="a"/>
    <w:uiPriority w:val="9"/>
    <w:unhideWhenUsed/>
    <w:qFormat/>
    <w:pPr>
      <w:spacing w:before="144"/>
      <w:ind w:left="1067"/>
      <w:outlineLvl w:val="2"/>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67"/>
      <w:ind w:left="923" w:hanging="708"/>
    </w:pPr>
    <w:rPr>
      <w:b/>
      <w:bCs/>
    </w:rPr>
  </w:style>
  <w:style w:type="paragraph" w:styleId="20">
    <w:name w:val="toc 2"/>
    <w:basedOn w:val="a"/>
    <w:uiPriority w:val="1"/>
    <w:qFormat/>
    <w:pPr>
      <w:spacing w:before="107"/>
      <w:ind w:left="1348" w:hanging="850"/>
    </w:pPr>
  </w:style>
  <w:style w:type="paragraph" w:styleId="30">
    <w:name w:val="toc 3"/>
    <w:basedOn w:val="a"/>
    <w:uiPriority w:val="1"/>
    <w:qFormat/>
    <w:pPr>
      <w:spacing w:before="107"/>
      <w:ind w:left="1775" w:hanging="994"/>
    </w:pPr>
  </w:style>
  <w:style w:type="paragraph" w:styleId="4">
    <w:name w:val="toc 4"/>
    <w:basedOn w:val="a"/>
    <w:uiPriority w:val="1"/>
    <w:qFormat/>
    <w:pPr>
      <w:spacing w:before="107"/>
      <w:ind w:left="2200" w:hanging="1133"/>
    </w:pPr>
  </w:style>
  <w:style w:type="paragraph" w:styleId="a3">
    <w:name w:val="Body Text"/>
    <w:basedOn w:val="a"/>
    <w:uiPriority w:val="1"/>
    <w:qFormat/>
    <w:rPr>
      <w:sz w:val="24"/>
      <w:szCs w:val="24"/>
    </w:rPr>
  </w:style>
  <w:style w:type="paragraph" w:styleId="a4">
    <w:name w:val="List Paragraph"/>
    <w:basedOn w:val="a"/>
    <w:uiPriority w:val="1"/>
    <w:qFormat/>
    <w:pPr>
      <w:spacing w:before="107"/>
      <w:ind w:left="1067" w:hanging="852"/>
    </w:pPr>
  </w:style>
  <w:style w:type="paragraph" w:customStyle="1" w:styleId="TableParagraph">
    <w:name w:val="Table Paragraph"/>
    <w:basedOn w:val="a"/>
    <w:uiPriority w:val="1"/>
    <w:qFormat/>
    <w:pPr>
      <w:jc w:val="center"/>
    </w:pPr>
  </w:style>
  <w:style w:type="paragraph" w:styleId="a5">
    <w:name w:val="header"/>
    <w:basedOn w:val="a"/>
    <w:link w:val="a6"/>
    <w:uiPriority w:val="99"/>
    <w:unhideWhenUsed/>
    <w:rsid w:val="0006778F"/>
    <w:pPr>
      <w:tabs>
        <w:tab w:val="center" w:pos="4252"/>
        <w:tab w:val="right" w:pos="8504"/>
      </w:tabs>
      <w:snapToGrid w:val="0"/>
    </w:pPr>
  </w:style>
  <w:style w:type="character" w:customStyle="1" w:styleId="a6">
    <w:name w:val="ヘッダー (文字)"/>
    <w:basedOn w:val="a0"/>
    <w:link w:val="a5"/>
    <w:uiPriority w:val="99"/>
    <w:rsid w:val="0006778F"/>
    <w:rPr>
      <w:rFonts w:ascii="Times New Roman" w:eastAsia="Times New Roman" w:hAnsi="Times New Roman" w:cs="Times New Roman"/>
    </w:rPr>
  </w:style>
  <w:style w:type="paragraph" w:styleId="a7">
    <w:name w:val="footer"/>
    <w:basedOn w:val="a"/>
    <w:link w:val="a8"/>
    <w:uiPriority w:val="99"/>
    <w:unhideWhenUsed/>
    <w:rsid w:val="0006778F"/>
    <w:pPr>
      <w:tabs>
        <w:tab w:val="center" w:pos="4252"/>
        <w:tab w:val="right" w:pos="8504"/>
      </w:tabs>
      <w:snapToGrid w:val="0"/>
    </w:pPr>
  </w:style>
  <w:style w:type="character" w:customStyle="1" w:styleId="a8">
    <w:name w:val="フッター (文字)"/>
    <w:basedOn w:val="a0"/>
    <w:link w:val="a7"/>
    <w:uiPriority w:val="99"/>
    <w:rsid w:val="0006778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EA8C9399C6F4249AB6A1823D3F13C35" ma:contentTypeVersion="2" ma:contentTypeDescription="新しいドキュメントを作成します。" ma:contentTypeScope="" ma:versionID="c267b9b797f40c944765c8d30051a1e5">
  <xsd:schema xmlns:xsd="http://www.w3.org/2001/XMLSchema" xmlns:xs="http://www.w3.org/2001/XMLSchema" xmlns:p="http://schemas.microsoft.com/office/2006/metadata/properties" xmlns:ns2="d2d78206-1d2d-40f9-bf0a-cbf8439a388f" targetNamespace="http://schemas.microsoft.com/office/2006/metadata/properties" ma:root="true" ma:fieldsID="84d7a9bbb7a6b358c850931979e06c8a" ns2:_="">
    <xsd:import namespace="d2d78206-1d2d-40f9-bf0a-cbf8439a3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78206-1d2d-40f9-bf0a-cbf8439a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3D8449-8EC6-4C03-AE31-4FAB339B753D}"/>
</file>

<file path=customXml/itemProps2.xml><?xml version="1.0" encoding="utf-8"?>
<ds:datastoreItem xmlns:ds="http://schemas.openxmlformats.org/officeDocument/2006/customXml" ds:itemID="{6574CCBD-84E5-48A0-836C-85E42E0A6C91}"/>
</file>

<file path=customXml/itemProps3.xml><?xml version="1.0" encoding="utf-8"?>
<ds:datastoreItem xmlns:ds="http://schemas.openxmlformats.org/officeDocument/2006/customXml" ds:itemID="{AF0F4573-31AA-422E-9224-18D7FCAC7166}"/>
</file>

<file path=docProps/app.xml><?xml version="1.0" encoding="utf-8"?>
<Properties xmlns="http://schemas.openxmlformats.org/officeDocument/2006/extended-properties" xmlns:vt="http://schemas.openxmlformats.org/officeDocument/2006/docPropsVTypes">
  <Template>Normal</Template>
  <TotalTime>7</TotalTime>
  <Pages>10</Pages>
  <Words>4375</Words>
  <Characters>24942</Characters>
  <Application>Microsoft Office Word</Application>
  <DocSecurity>0</DocSecurity>
  <Lines>207</Lines>
  <Paragraphs>58</Paragraphs>
  <ScaleCrop>false</ScaleCrop>
  <Company/>
  <LinksUpToDate>false</LinksUpToDate>
  <CharactersWithSpaces>29259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Watanabe, Yudai(渡辺 雄大)</cp:lastModifiedBy>
  <cp:revision>5</cp:revision>
  <dcterms:created xsi:type="dcterms:W3CDTF">2021-06-22T01:34:00Z</dcterms:created>
  <dcterms:modified xsi:type="dcterms:W3CDTF">2021-06-30T11:25:00Z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2017-01-07T00:00:00Z</vt:filetime>
  </property>
  <property fmtid="{D5CDD505-2E9C-101B-9397-08002B2CF9AE}" pid="3" name="LastSaved">
    <vt:filetime>2021-06-22T00:00:00Z</vt:filetime>
  </property>
  <property fmtid="{D5CDD505-2E9C-101B-9397-08002B2CF9AE}" pid="4" name="ContentTypeId">
    <vt:lpwstr>0x0101007EA8C9399C6F4249AB6A1823D3F13C35</vt:lpwstr>
  </property>
</Properties>
</file>