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3A0" w:rsidRPr="00F37E89" w:rsidRDefault="00F37E89" w:rsidP="003065FF">
      <w:pPr>
        <w:autoSpaceDE w:val="0"/>
        <w:autoSpaceDN w:val="0"/>
        <w:adjustRightInd w:val="0"/>
        <w:jc w:val="left"/>
        <w:rPr>
          <w:b/>
          <w:bCs/>
          <w:kern w:val="0"/>
          <w:sz w:val="32"/>
          <w:szCs w:val="32"/>
        </w:rPr>
      </w:pPr>
      <w:r w:rsidRPr="00F37E89">
        <w:rPr>
          <w:b/>
          <w:bCs/>
          <w:kern w:val="0"/>
          <w:sz w:val="32"/>
          <w:szCs w:val="32"/>
        </w:rPr>
        <w:t xml:space="preserve">A 4-Week Repeated Oral Dose Toxicity Study of </w:t>
      </w:r>
      <w:bookmarkStart w:id="0" w:name="_GoBack"/>
      <w:r w:rsidR="006F0AA8">
        <w:rPr>
          <w:b/>
          <w:bCs/>
          <w:kern w:val="0"/>
          <w:sz w:val="32"/>
          <w:szCs w:val="32"/>
        </w:rPr>
        <w:t>Project D</w:t>
      </w:r>
      <w:bookmarkEnd w:id="0"/>
      <w:r w:rsidRPr="00F37E89">
        <w:rPr>
          <w:b/>
          <w:bCs/>
          <w:kern w:val="0"/>
          <w:sz w:val="32"/>
          <w:szCs w:val="32"/>
        </w:rPr>
        <w:t xml:space="preserve"> in Cynomolgus Monkeys with a 4-Week Recovery Period</w:t>
      </w:r>
    </w:p>
    <w:p w:rsidR="009F503D" w:rsidRPr="009F503D" w:rsidRDefault="009F503D" w:rsidP="003065FF">
      <w:pPr>
        <w:autoSpaceDE w:val="0"/>
        <w:autoSpaceDN w:val="0"/>
        <w:adjustRightInd w:val="0"/>
        <w:jc w:val="left"/>
        <w:rPr>
          <w:rFonts w:ascii="TimesNewRoman,Bold" w:eastAsia="TimesNewRoman,Bold" w:cs="TimesNewRoman,Bold"/>
          <w:b/>
          <w:bCs/>
          <w:kern w:val="0"/>
          <w:sz w:val="32"/>
          <w:szCs w:val="32"/>
        </w:rPr>
      </w:pPr>
    </w:p>
    <w:p w:rsidR="00C20ABD" w:rsidRDefault="00D0213C" w:rsidP="00C20ABD">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F37E89" w:rsidRPr="00886A14" w:rsidRDefault="006F0AA8" w:rsidP="00F37E89">
      <w:r>
        <w:t>Project D</w:t>
      </w:r>
      <w:r w:rsidR="00F37E89" w:rsidRPr="0050648A">
        <w:rPr>
          <w:rFonts w:hint="eastAsia"/>
        </w:rPr>
        <w:t xml:space="preserve"> </w:t>
      </w:r>
      <w:r w:rsidR="00F37E89" w:rsidRPr="0050648A">
        <w:t>w</w:t>
      </w:r>
      <w:r w:rsidR="00F37E89" w:rsidRPr="005E5B82">
        <w:t xml:space="preserve">as suspended in </w:t>
      </w:r>
      <w:r w:rsidR="00F37E89" w:rsidRPr="00800D6C">
        <w:t>0.5 w/v% methylcellulose solution</w:t>
      </w:r>
      <w:r w:rsidR="00F37E89" w:rsidRPr="0050648A">
        <w:rPr>
          <w:rFonts w:hint="eastAsia"/>
        </w:rPr>
        <w:t xml:space="preserve"> </w:t>
      </w:r>
      <w:r w:rsidR="00F37E89" w:rsidRPr="005E5B82">
        <w:t xml:space="preserve">and orally administered once daily for 4 weeks at dose levels of 0, </w:t>
      </w:r>
      <w:r w:rsidR="00F37E89">
        <w:rPr>
          <w:rFonts w:hint="eastAsia"/>
        </w:rPr>
        <w:t>1</w:t>
      </w:r>
      <w:r w:rsidR="00F37E89" w:rsidRPr="005E5B82">
        <w:rPr>
          <w:rFonts w:hint="eastAsia"/>
        </w:rPr>
        <w:t>,</w:t>
      </w:r>
      <w:r w:rsidR="00F37E89">
        <w:rPr>
          <w:rFonts w:hint="eastAsia"/>
        </w:rPr>
        <w:t xml:space="preserve"> 3</w:t>
      </w:r>
      <w:r w:rsidR="00F37E89" w:rsidRPr="005E5B82">
        <w:rPr>
          <w:rFonts w:hint="eastAsia"/>
        </w:rPr>
        <w:t>,</w:t>
      </w:r>
      <w:r w:rsidR="00F37E89" w:rsidRPr="005E5B82">
        <w:t xml:space="preserve"> and </w:t>
      </w:r>
      <w:r w:rsidR="00F37E89">
        <w:rPr>
          <w:rFonts w:hint="eastAsia"/>
        </w:rPr>
        <w:t>1</w:t>
      </w:r>
      <w:r w:rsidR="00F37E89" w:rsidRPr="0089532F">
        <w:rPr>
          <w:rFonts w:hint="eastAsia"/>
        </w:rPr>
        <w:t>0</w:t>
      </w:r>
      <w:r w:rsidR="00F37E89" w:rsidRPr="0089532F">
        <w:t> mg/kg</w:t>
      </w:r>
      <w:r w:rsidR="00F37E89" w:rsidRPr="0089532F">
        <w:rPr>
          <w:rFonts w:hint="eastAsia"/>
        </w:rPr>
        <w:t xml:space="preserve"> </w:t>
      </w:r>
      <w:r w:rsidR="00F37E89" w:rsidRPr="0089532F">
        <w:t>(</w:t>
      </w:r>
      <w:r w:rsidR="00F37E89" w:rsidRPr="00800D6C">
        <w:t xml:space="preserve">as </w:t>
      </w:r>
      <w:r>
        <w:t>PROJECT D</w:t>
      </w:r>
      <w:r w:rsidR="00F37E89" w:rsidRPr="0089532F">
        <w:t xml:space="preserve">) to </w:t>
      </w:r>
      <w:r w:rsidR="00F37E89" w:rsidRPr="0089532F">
        <w:rPr>
          <w:rFonts w:hint="eastAsia"/>
        </w:rPr>
        <w:t>4</w:t>
      </w:r>
      <w:r w:rsidR="00F37E89" w:rsidRPr="0089532F">
        <w:t xml:space="preserve"> male and </w:t>
      </w:r>
      <w:r w:rsidR="00F37E89" w:rsidRPr="0089532F">
        <w:rPr>
          <w:rFonts w:hint="eastAsia"/>
        </w:rPr>
        <w:t>4</w:t>
      </w:r>
      <w:r w:rsidR="00F37E89" w:rsidRPr="0089532F">
        <w:t xml:space="preserve"> female </w:t>
      </w:r>
      <w:r w:rsidR="00F37E89" w:rsidRPr="0089532F">
        <w:rPr>
          <w:rFonts w:hint="eastAsia"/>
        </w:rPr>
        <w:t>c</w:t>
      </w:r>
      <w:r w:rsidR="00F37E89" w:rsidRPr="0089532F">
        <w:t xml:space="preserve">ynomolgus </w:t>
      </w:r>
      <w:r w:rsidR="00F37E89" w:rsidRPr="00F952D8">
        <w:t>monk</w:t>
      </w:r>
      <w:r w:rsidR="00F37E89" w:rsidRPr="003D309D">
        <w:t>ey</w:t>
      </w:r>
      <w:r w:rsidR="00F37E89" w:rsidRPr="003D309D">
        <w:rPr>
          <w:rFonts w:hint="eastAsia"/>
        </w:rPr>
        <w:t xml:space="preserve">s </w:t>
      </w:r>
      <w:r w:rsidR="00F37E89" w:rsidRPr="003D309D">
        <w:t>(3 to 7 years of age</w:t>
      </w:r>
      <w:r w:rsidR="00F37E89" w:rsidRPr="003D309D">
        <w:rPr>
          <w:rFonts w:hint="eastAsia"/>
        </w:rPr>
        <w:t xml:space="preserve">) </w:t>
      </w:r>
      <w:r w:rsidR="00F37E89" w:rsidRPr="003D309D">
        <w:t>per gr</w:t>
      </w:r>
      <w:r w:rsidR="00F37E89" w:rsidRPr="0089532F">
        <w:t>oup in order to investigate its toxicity. T</w:t>
      </w:r>
      <w:r w:rsidR="00F37E89" w:rsidRPr="0089532F">
        <w:rPr>
          <w:rFonts w:hint="eastAsia"/>
        </w:rPr>
        <w:t>hree</w:t>
      </w:r>
      <w:r w:rsidR="00F37E89" w:rsidRPr="0089532F">
        <w:t xml:space="preserve"> males and </w:t>
      </w:r>
      <w:r w:rsidR="00F37E89" w:rsidRPr="0089532F">
        <w:rPr>
          <w:rFonts w:hint="eastAsia"/>
        </w:rPr>
        <w:t>three</w:t>
      </w:r>
      <w:r w:rsidR="00F37E89" w:rsidRPr="0089532F">
        <w:t xml:space="preserve"> females we</w:t>
      </w:r>
      <w:r w:rsidR="00F37E89" w:rsidRPr="00755FFC">
        <w:t xml:space="preserve">re added to the </w:t>
      </w:r>
      <w:r w:rsidR="00F37E89">
        <w:rPr>
          <w:rFonts w:hint="eastAsia"/>
        </w:rPr>
        <w:t>3</w:t>
      </w:r>
      <w:r w:rsidR="00F37E89" w:rsidRPr="005E5B82">
        <w:t xml:space="preserve"> and </w:t>
      </w:r>
      <w:r w:rsidR="00F37E89">
        <w:rPr>
          <w:rFonts w:hint="eastAsia"/>
        </w:rPr>
        <w:t>1</w:t>
      </w:r>
      <w:r w:rsidR="00F37E89" w:rsidRPr="0089532F">
        <w:rPr>
          <w:rFonts w:hint="eastAsia"/>
        </w:rPr>
        <w:t>0</w:t>
      </w:r>
      <w:r w:rsidR="00F37E89" w:rsidRPr="0089532F">
        <w:t> mg/kg</w:t>
      </w:r>
      <w:r w:rsidR="00F37E89" w:rsidRPr="00755FFC">
        <w:t xml:space="preserve"> groups to assess the reversibility of toxicity during a subsequent 4-week recovery period. Systemic exposure to </w:t>
      </w:r>
      <w:r>
        <w:t>PROJECT D</w:t>
      </w:r>
      <w:r w:rsidR="00F37E89" w:rsidRPr="00755FFC">
        <w:t xml:space="preserve"> was also assessed.</w:t>
      </w:r>
      <w:r w:rsidR="00F37E89" w:rsidRPr="00755FFC">
        <w:rPr>
          <w:rFonts w:hint="eastAsia"/>
        </w:rPr>
        <w:t xml:space="preserve"> </w:t>
      </w:r>
      <w:r w:rsidR="00F37E89" w:rsidRPr="00755FFC">
        <w:t xml:space="preserve">The following observations and examinations were performed: </w:t>
      </w:r>
      <w:r w:rsidR="00F37E89" w:rsidRPr="00043763">
        <w:t xml:space="preserve">clinical signs, body weight, food consumption, ophthalmology, </w:t>
      </w:r>
      <w:bookmarkStart w:id="1" w:name="_Toc313548830"/>
      <w:bookmarkStart w:id="2" w:name="_Toc375057243"/>
      <w:r w:rsidR="00F37E89" w:rsidRPr="00043763">
        <w:rPr>
          <w:rFonts w:hint="eastAsia"/>
        </w:rPr>
        <w:t>e</w:t>
      </w:r>
      <w:r w:rsidR="00F37E89" w:rsidRPr="00043763">
        <w:t>lectrocardiography</w:t>
      </w:r>
      <w:bookmarkEnd w:id="1"/>
      <w:bookmarkEnd w:id="2"/>
      <w:r w:rsidR="00F37E89" w:rsidRPr="00043763">
        <w:rPr>
          <w:rFonts w:hint="eastAsia"/>
        </w:rPr>
        <w:t xml:space="preserve">, </w:t>
      </w:r>
      <w:r w:rsidR="00F37E89" w:rsidRPr="00886A14">
        <w:t xml:space="preserve">urinalysis, hematology, blood chemistry, </w:t>
      </w:r>
      <w:bookmarkStart w:id="3" w:name="_Toc205893104"/>
      <w:bookmarkStart w:id="4" w:name="_Toc233607019"/>
      <w:bookmarkStart w:id="5" w:name="_Toc303160466"/>
      <w:bookmarkStart w:id="6" w:name="_Toc355698672"/>
      <w:bookmarkStart w:id="7" w:name="_Toc376858842"/>
      <w:bookmarkStart w:id="8" w:name="_Toc374696056"/>
      <w:bookmarkStart w:id="9" w:name="_Toc375057247"/>
      <w:r w:rsidR="00F37E89" w:rsidRPr="00886A14">
        <w:rPr>
          <w:rFonts w:hint="eastAsia"/>
        </w:rPr>
        <w:t>l</w:t>
      </w:r>
      <w:r w:rsidR="00F37E89" w:rsidRPr="00886A14">
        <w:t xml:space="preserve">actic </w:t>
      </w:r>
      <w:r w:rsidR="00F37E89" w:rsidRPr="00886A14">
        <w:rPr>
          <w:rFonts w:hint="eastAsia"/>
        </w:rPr>
        <w:t>a</w:t>
      </w:r>
      <w:r w:rsidR="00F37E89" w:rsidRPr="00886A14">
        <w:t xml:space="preserve">cid </w:t>
      </w:r>
      <w:r w:rsidR="00F37E89" w:rsidRPr="00886A14">
        <w:rPr>
          <w:rFonts w:hint="eastAsia"/>
        </w:rPr>
        <w:t>m</w:t>
      </w:r>
      <w:r w:rsidR="00F37E89" w:rsidRPr="00886A14">
        <w:t>easurement</w:t>
      </w:r>
      <w:r w:rsidR="00F37E89" w:rsidRPr="00886A14">
        <w:rPr>
          <w:rFonts w:hint="eastAsia"/>
        </w:rPr>
        <w:t xml:space="preserve">, </w:t>
      </w:r>
      <w:bookmarkEnd w:id="3"/>
      <w:bookmarkEnd w:id="4"/>
      <w:bookmarkEnd w:id="5"/>
      <w:bookmarkEnd w:id="6"/>
      <w:bookmarkEnd w:id="7"/>
      <w:bookmarkEnd w:id="8"/>
      <w:bookmarkEnd w:id="9"/>
      <w:r w:rsidR="00F37E89" w:rsidRPr="00886A14">
        <w:t>gross pathology, organ weights, histopathology</w:t>
      </w:r>
      <w:r w:rsidR="00F37E89" w:rsidRPr="00886A14">
        <w:rPr>
          <w:rFonts w:hint="eastAsia"/>
        </w:rPr>
        <w:t xml:space="preserve">, </w:t>
      </w:r>
      <w:r w:rsidR="00F37E89" w:rsidRPr="00886A14">
        <w:t>electron microscopy</w:t>
      </w:r>
      <w:r w:rsidR="00F37E89" w:rsidRPr="00886A14">
        <w:rPr>
          <w:rFonts w:hint="eastAsia"/>
        </w:rPr>
        <w:t xml:space="preserve">, and </w:t>
      </w:r>
      <w:bookmarkStart w:id="10" w:name="_Toc374978842"/>
      <w:r w:rsidR="00F37E89" w:rsidRPr="00886A14">
        <w:rPr>
          <w:rFonts w:hint="eastAsia"/>
        </w:rPr>
        <w:t>t</w:t>
      </w:r>
      <w:r w:rsidR="00F37E89" w:rsidRPr="00886A14">
        <w:t>oxicokinetics</w:t>
      </w:r>
      <w:bookmarkEnd w:id="10"/>
      <w:r w:rsidR="00F37E89" w:rsidRPr="00886A14">
        <w:t>.</w:t>
      </w:r>
    </w:p>
    <w:p w:rsidR="00F37E89" w:rsidRPr="00886A14" w:rsidRDefault="00F37E89" w:rsidP="00F37E89">
      <w:r w:rsidRPr="00886A14">
        <w:t>At 10 mg/kg, 1 male was sacrificed due t</w:t>
      </w:r>
      <w:r w:rsidRPr="00F952D8">
        <w:t>o moribundity approximately</w:t>
      </w:r>
      <w:r w:rsidRPr="00F952D8">
        <w:rPr>
          <w:rFonts w:hint="eastAsia"/>
        </w:rPr>
        <w:t xml:space="preserve"> 7 hours after dosing</w:t>
      </w:r>
      <w:r w:rsidRPr="00F952D8">
        <w:t xml:space="preserve"> on Day 24 of dosing. In this male, vomiting was observed mainly at approximately 1 or 6 hours after dosing on a total of 9 days during Weeks 2 and 3 of dosing, and a slight decrease in spontaneous activity was observed </w:t>
      </w:r>
      <w:r w:rsidRPr="00F952D8">
        <w:rPr>
          <w:rFonts w:hint="eastAsia"/>
        </w:rPr>
        <w:t>since</w:t>
      </w:r>
      <w:r w:rsidRPr="00F952D8">
        <w:t xml:space="preserve"> Day 16 of dosing.</w:t>
      </w:r>
      <w:r w:rsidRPr="00F952D8">
        <w:rPr>
          <w:rFonts w:hint="eastAsia"/>
        </w:rPr>
        <w:t xml:space="preserve"> Lateral position, hypothermia, and suppressed response to stimulation were observed </w:t>
      </w:r>
      <w:r w:rsidRPr="00F952D8">
        <w:t xml:space="preserve">approximately </w:t>
      </w:r>
      <w:r w:rsidRPr="00F952D8">
        <w:rPr>
          <w:rFonts w:hint="eastAsia"/>
        </w:rPr>
        <w:t xml:space="preserve">6 </w:t>
      </w:r>
      <w:r w:rsidRPr="00F952D8">
        <w:t>hours after dosing</w:t>
      </w:r>
      <w:r w:rsidRPr="00F952D8">
        <w:rPr>
          <w:rFonts w:hint="eastAsia"/>
        </w:rPr>
        <w:t xml:space="preserve"> </w:t>
      </w:r>
      <w:r w:rsidRPr="00F952D8">
        <w:t>on Day 2</w:t>
      </w:r>
      <w:r w:rsidRPr="00F952D8">
        <w:rPr>
          <w:rFonts w:hint="eastAsia"/>
        </w:rPr>
        <w:t>4</w:t>
      </w:r>
      <w:r w:rsidRPr="00F952D8">
        <w:t xml:space="preserve"> of dosing</w:t>
      </w:r>
      <w:r w:rsidRPr="00F952D8">
        <w:rPr>
          <w:rFonts w:hint="eastAsia"/>
        </w:rPr>
        <w:t xml:space="preserve">. </w:t>
      </w:r>
      <w:r w:rsidRPr="00F952D8">
        <w:t>Body weight was decreased on Day 21 of dosing by approximately 10% from that on Day -1 of dosing</w:t>
      </w:r>
      <w:r w:rsidRPr="00F952D8">
        <w:rPr>
          <w:rFonts w:hint="eastAsia"/>
        </w:rPr>
        <w:t>. A</w:t>
      </w:r>
      <w:r w:rsidRPr="00F952D8">
        <w:t xml:space="preserve"> low heart rate</w:t>
      </w:r>
      <w:r w:rsidRPr="00F952D8">
        <w:rPr>
          <w:rFonts w:hint="eastAsia"/>
        </w:rPr>
        <w:t xml:space="preserve"> and </w:t>
      </w:r>
      <w:r w:rsidRPr="00F952D8">
        <w:t>prolongation of QT and QTc</w:t>
      </w:r>
      <w:r w:rsidRPr="00F952D8">
        <w:rPr>
          <w:rFonts w:hint="eastAsia"/>
        </w:rPr>
        <w:t xml:space="preserve"> intervals were noted</w:t>
      </w:r>
      <w:r w:rsidRPr="00F952D8">
        <w:t>.</w:t>
      </w:r>
      <w:r w:rsidRPr="00F952D8">
        <w:rPr>
          <w:rFonts w:hint="eastAsia"/>
        </w:rPr>
        <w:t xml:space="preserve"> A high lymphocyte vacuolation ratio was noted. In histopathology, the following changes were observed: </w:t>
      </w:r>
      <w:r w:rsidRPr="00F952D8">
        <w:rPr>
          <w:rFonts w:hint="eastAsia"/>
          <w:color w:val="000000"/>
        </w:rPr>
        <w:t>vacuolation of macrophages in the s</w:t>
      </w:r>
      <w:r w:rsidRPr="00F952D8">
        <w:rPr>
          <w:color w:val="000000"/>
        </w:rPr>
        <w:t xml:space="preserve">ternal </w:t>
      </w:r>
      <w:r w:rsidRPr="00F952D8">
        <w:rPr>
          <w:rFonts w:hint="eastAsia"/>
          <w:color w:val="000000"/>
        </w:rPr>
        <w:t xml:space="preserve">and femoral </w:t>
      </w:r>
      <w:r w:rsidRPr="00F952D8">
        <w:rPr>
          <w:color w:val="000000"/>
        </w:rPr>
        <w:t>bone marrow</w:t>
      </w:r>
      <w:r w:rsidRPr="00F952D8">
        <w:rPr>
          <w:rFonts w:hint="eastAsia"/>
          <w:color w:val="000000"/>
        </w:rPr>
        <w:t>, thymus, spleen, submandibular and mesenteric lymph nodes, and Peyer</w:t>
      </w:r>
      <w:r w:rsidRPr="00F952D8">
        <w:rPr>
          <w:color w:val="000000"/>
        </w:rPr>
        <w:t>’</w:t>
      </w:r>
      <w:r w:rsidRPr="00F952D8">
        <w:rPr>
          <w:rFonts w:hint="eastAsia"/>
          <w:color w:val="000000"/>
        </w:rPr>
        <w:t>s patch; vacuolation in the myocardium; a</w:t>
      </w:r>
      <w:r w:rsidRPr="00F952D8">
        <w:rPr>
          <w:color w:val="000000"/>
        </w:rPr>
        <w:t>ccumulation</w:t>
      </w:r>
      <w:r w:rsidRPr="00F952D8">
        <w:rPr>
          <w:rFonts w:hint="eastAsia"/>
          <w:color w:val="000000"/>
        </w:rPr>
        <w:t xml:space="preserve"> of</w:t>
      </w:r>
      <w:r w:rsidRPr="00F952D8">
        <w:rPr>
          <w:color w:val="000000"/>
        </w:rPr>
        <w:t xml:space="preserve"> foam cell</w:t>
      </w:r>
      <w:r w:rsidRPr="00F952D8">
        <w:rPr>
          <w:rFonts w:hint="eastAsia"/>
          <w:color w:val="000000"/>
        </w:rPr>
        <w:t xml:space="preserve">s in the lung; hypertrophy of Kupffer cells in the liver; </w:t>
      </w:r>
      <w:r w:rsidRPr="00F952D8">
        <w:rPr>
          <w:color w:val="000000"/>
        </w:rPr>
        <w:t>hyaline/erythrocyte</w:t>
      </w:r>
      <w:r w:rsidRPr="00F952D8">
        <w:rPr>
          <w:rFonts w:hint="eastAsia"/>
          <w:color w:val="000000"/>
        </w:rPr>
        <w:t xml:space="preserve"> casts and </w:t>
      </w:r>
      <w:r w:rsidRPr="00F952D8">
        <w:rPr>
          <w:color w:val="000000"/>
        </w:rPr>
        <w:t>hypertrophy of podocytes in the glomeruli</w:t>
      </w:r>
      <w:r w:rsidRPr="00F952D8">
        <w:rPr>
          <w:rFonts w:hint="eastAsia"/>
          <w:color w:val="000000"/>
        </w:rPr>
        <w:t xml:space="preserve"> in the kidney; vacuolation</w:t>
      </w:r>
      <w:r w:rsidRPr="00F952D8">
        <w:rPr>
          <w:color w:val="000000"/>
        </w:rPr>
        <w:t xml:space="preserve"> of </w:t>
      </w:r>
      <w:r w:rsidRPr="00F952D8">
        <w:rPr>
          <w:rFonts w:hint="eastAsia"/>
          <w:color w:val="000000"/>
        </w:rPr>
        <w:t>neurons in the brai</w:t>
      </w:r>
      <w:r w:rsidRPr="00F952D8">
        <w:rPr>
          <w:rFonts w:hint="eastAsia"/>
        </w:rPr>
        <w:t xml:space="preserve">n. </w:t>
      </w:r>
      <w:r w:rsidRPr="00F952D8">
        <w:rPr>
          <w:color w:val="000000"/>
        </w:rPr>
        <w:t xml:space="preserve">Additionally, </w:t>
      </w:r>
      <w:r w:rsidRPr="00F952D8">
        <w:rPr>
          <w:rFonts w:hint="eastAsia"/>
        </w:rPr>
        <w:t>h</w:t>
      </w:r>
      <w:r w:rsidRPr="00F952D8">
        <w:t xml:space="preserve">igh leukocyte count, neutrophil count, aspartate transaminase, alanine transaminase, glucose and urea nitrogen, and low chloride </w:t>
      </w:r>
      <w:r w:rsidRPr="00F952D8">
        <w:rPr>
          <w:rFonts w:hint="eastAsia"/>
        </w:rPr>
        <w:t xml:space="preserve">in blood </w:t>
      </w:r>
      <w:r w:rsidRPr="00F952D8">
        <w:t>were noted at sacrifice.</w:t>
      </w:r>
    </w:p>
    <w:p w:rsidR="00F37E89" w:rsidRPr="00886A14" w:rsidRDefault="00F37E89" w:rsidP="00F37E89">
      <w:pPr>
        <w:rPr>
          <w:color w:val="0000FF"/>
        </w:rPr>
      </w:pPr>
      <w:r w:rsidRPr="00886A14">
        <w:rPr>
          <w:rFonts w:hint="eastAsia"/>
        </w:rPr>
        <w:t>N</w:t>
      </w:r>
      <w:r w:rsidRPr="00886A14">
        <w:rPr>
          <w:color w:val="000000"/>
        </w:rPr>
        <w:t>o test article-related changes were noted</w:t>
      </w:r>
      <w:r w:rsidRPr="00886A14">
        <w:rPr>
          <w:rFonts w:hint="eastAsia"/>
          <w:color w:val="000000"/>
        </w:rPr>
        <w:t xml:space="preserve"> at </w:t>
      </w:r>
      <w:r w:rsidRPr="00886A14">
        <w:rPr>
          <w:rFonts w:hint="eastAsia"/>
        </w:rPr>
        <w:t>1</w:t>
      </w:r>
      <w:r w:rsidRPr="00886A14">
        <w:t> mg/kg</w:t>
      </w:r>
      <w:r w:rsidRPr="00886A14">
        <w:rPr>
          <w:rFonts w:hint="eastAsia"/>
        </w:rPr>
        <w:t>.</w:t>
      </w:r>
    </w:p>
    <w:p w:rsidR="00F37E89" w:rsidRPr="00F952D8" w:rsidRDefault="00F37E89" w:rsidP="00F37E89">
      <w:r w:rsidRPr="00F952D8">
        <w:rPr>
          <w:rFonts w:hint="eastAsia"/>
        </w:rPr>
        <w:t>At 3</w:t>
      </w:r>
      <w:r w:rsidRPr="00F952D8">
        <w:t> mg/kg</w:t>
      </w:r>
      <w:r w:rsidRPr="00F952D8">
        <w:rPr>
          <w:rFonts w:hint="eastAsia"/>
        </w:rPr>
        <w:t xml:space="preserve"> and above, increased counts of </w:t>
      </w:r>
      <w:r w:rsidRPr="00F952D8">
        <w:t>leukocyte</w:t>
      </w:r>
      <w:r w:rsidRPr="00F952D8">
        <w:rPr>
          <w:rFonts w:hint="eastAsia"/>
        </w:rPr>
        <w:t>, lymphocyte, monocyte, eosinophil, and l</w:t>
      </w:r>
      <w:r w:rsidRPr="00F952D8">
        <w:t xml:space="preserve">arge unstained cell </w:t>
      </w:r>
      <w:r w:rsidRPr="00F952D8">
        <w:rPr>
          <w:rFonts w:hint="eastAsia"/>
        </w:rPr>
        <w:t>were noted in males and/or females, in addition, basophil count increased in males</w:t>
      </w:r>
      <w:r w:rsidRPr="00F952D8">
        <w:t>.</w:t>
      </w:r>
      <w:r w:rsidRPr="00F952D8">
        <w:rPr>
          <w:rFonts w:hint="eastAsia"/>
        </w:rPr>
        <w:t xml:space="preserve"> A high</w:t>
      </w:r>
      <w:r w:rsidRPr="00F952D8">
        <w:t xml:space="preserve"> </w:t>
      </w:r>
      <w:r w:rsidRPr="00F952D8">
        <w:rPr>
          <w:rFonts w:hint="eastAsia"/>
        </w:rPr>
        <w:t>aspartate transaminase in males, high</w:t>
      </w:r>
      <w:r w:rsidRPr="00F952D8">
        <w:t xml:space="preserve"> alanine transaminase</w:t>
      </w:r>
      <w:r w:rsidRPr="00F952D8">
        <w:rPr>
          <w:rFonts w:hint="eastAsia"/>
        </w:rPr>
        <w:t xml:space="preserve"> and triglycerides in males and/or females, and low sodium and chloride in males and/or females were noted in blood. In histopathology, vacuolation of macrophages in the s</w:t>
      </w:r>
      <w:r w:rsidRPr="00F952D8">
        <w:t xml:space="preserve">ternal </w:t>
      </w:r>
      <w:r w:rsidRPr="00F952D8">
        <w:rPr>
          <w:rFonts w:hint="eastAsia"/>
        </w:rPr>
        <w:t xml:space="preserve">and/or femoral </w:t>
      </w:r>
      <w:r w:rsidRPr="00F952D8">
        <w:t>bone marrow</w:t>
      </w:r>
      <w:r w:rsidRPr="00F952D8">
        <w:rPr>
          <w:rFonts w:hint="eastAsia"/>
        </w:rPr>
        <w:t>s, thymus, spleen, submandibular and/or mesenteric lymph nodes, and Peyer</w:t>
      </w:r>
      <w:r w:rsidRPr="00F952D8">
        <w:t>’</w:t>
      </w:r>
      <w:r w:rsidRPr="00F952D8">
        <w:rPr>
          <w:rFonts w:hint="eastAsia"/>
        </w:rPr>
        <w:t>s patch in males and/or females, and a</w:t>
      </w:r>
      <w:r w:rsidRPr="00F952D8">
        <w:t>ccumulation</w:t>
      </w:r>
      <w:r w:rsidRPr="00F952D8">
        <w:rPr>
          <w:rFonts w:hint="eastAsia"/>
        </w:rPr>
        <w:t xml:space="preserve"> of</w:t>
      </w:r>
      <w:r w:rsidRPr="00F952D8">
        <w:t xml:space="preserve"> foam cell</w:t>
      </w:r>
      <w:r w:rsidRPr="00F952D8">
        <w:rPr>
          <w:rFonts w:hint="eastAsia"/>
        </w:rPr>
        <w:t>s in the lung in males and females were observed.</w:t>
      </w:r>
    </w:p>
    <w:p w:rsidR="00F37E89" w:rsidRDefault="00F37E89" w:rsidP="00F37E89">
      <w:r w:rsidRPr="00F952D8">
        <w:rPr>
          <w:rFonts w:hint="eastAsia"/>
        </w:rPr>
        <w:t>At 10</w:t>
      </w:r>
      <w:r w:rsidRPr="00F952D8">
        <w:t> mg/kg</w:t>
      </w:r>
      <w:r w:rsidRPr="00F952D8">
        <w:rPr>
          <w:rFonts w:hint="eastAsia"/>
        </w:rPr>
        <w:t xml:space="preserve">, a slight decrease in spontaneous activity was observed </w:t>
      </w:r>
      <w:r w:rsidRPr="00F952D8">
        <w:t>in male</w:t>
      </w:r>
      <w:r w:rsidRPr="00F952D8">
        <w:rPr>
          <w:rFonts w:hint="eastAsia"/>
        </w:rPr>
        <w:t>s and females from Day 24, 27, or 28 of dosing to Day 29 of dosing. B</w:t>
      </w:r>
      <w:r w:rsidRPr="00F952D8">
        <w:t xml:space="preserve">ody weight </w:t>
      </w:r>
      <w:r w:rsidRPr="00F952D8">
        <w:rPr>
          <w:rFonts w:hint="eastAsia"/>
        </w:rPr>
        <w:t>decreased</w:t>
      </w:r>
      <w:r w:rsidRPr="00F952D8">
        <w:t xml:space="preserve"> </w:t>
      </w:r>
      <w:r w:rsidRPr="00F952D8">
        <w:rPr>
          <w:rFonts w:hint="eastAsia"/>
        </w:rPr>
        <w:t>in males and females at 10</w:t>
      </w:r>
      <w:r w:rsidRPr="00F952D8">
        <w:t> mg/kg</w:t>
      </w:r>
      <w:r w:rsidRPr="00F952D8">
        <w:rPr>
          <w:rFonts w:hint="eastAsia"/>
        </w:rPr>
        <w:t xml:space="preserve"> during the dosing period [</w:t>
      </w:r>
      <w:r w:rsidRPr="00F952D8">
        <w:t xml:space="preserve">body weights </w:t>
      </w:r>
      <w:r w:rsidRPr="00F952D8">
        <w:rPr>
          <w:rFonts w:hint="eastAsia"/>
        </w:rPr>
        <w:t>on Day</w:t>
      </w:r>
      <w:r w:rsidRPr="00F952D8">
        <w:t> </w:t>
      </w:r>
      <w:r w:rsidRPr="00F952D8">
        <w:rPr>
          <w:rFonts w:hint="eastAsia"/>
        </w:rPr>
        <w:t>28 of</w:t>
      </w:r>
      <w:r w:rsidRPr="00F952D8">
        <w:t xml:space="preserve"> dosing were decreased by approximately </w:t>
      </w:r>
      <w:r w:rsidRPr="00F952D8">
        <w:rPr>
          <w:rFonts w:hint="eastAsia"/>
        </w:rPr>
        <w:t>8</w:t>
      </w:r>
      <w:r w:rsidRPr="00F952D8">
        <w:t xml:space="preserve">% </w:t>
      </w:r>
      <w:r w:rsidRPr="00F952D8">
        <w:rPr>
          <w:rFonts w:hint="eastAsia"/>
        </w:rPr>
        <w:t>to</w:t>
      </w:r>
      <w:r w:rsidRPr="00F952D8">
        <w:t xml:space="preserve"> </w:t>
      </w:r>
      <w:r w:rsidRPr="00F952D8">
        <w:rPr>
          <w:rFonts w:hint="eastAsia"/>
        </w:rPr>
        <w:t>24</w:t>
      </w:r>
      <w:r w:rsidRPr="00F952D8">
        <w:t>% from th</w:t>
      </w:r>
      <w:r w:rsidRPr="00F952D8">
        <w:rPr>
          <w:rFonts w:hint="eastAsia"/>
        </w:rPr>
        <w:t>ose</w:t>
      </w:r>
      <w:r w:rsidRPr="00F952D8">
        <w:t xml:space="preserve"> </w:t>
      </w:r>
      <w:r w:rsidRPr="00F952D8">
        <w:rPr>
          <w:rFonts w:hint="eastAsia"/>
        </w:rPr>
        <w:t>on Day</w:t>
      </w:r>
      <w:r w:rsidRPr="00F952D8">
        <w:t> −</w:t>
      </w:r>
      <w:r w:rsidRPr="00F952D8">
        <w:rPr>
          <w:rFonts w:hint="eastAsia"/>
        </w:rPr>
        <w:t>1</w:t>
      </w:r>
      <w:r w:rsidRPr="00F952D8">
        <w:t xml:space="preserve"> of dosing</w:t>
      </w:r>
      <w:r w:rsidRPr="00F952D8">
        <w:rPr>
          <w:rFonts w:hint="eastAsia"/>
        </w:rPr>
        <w:t xml:space="preserve">]. </w:t>
      </w:r>
      <w:r w:rsidRPr="00F952D8">
        <w:t>Additionally, vomiting was observed</w:t>
      </w:r>
      <w:r w:rsidRPr="00F952D8">
        <w:rPr>
          <w:rFonts w:hint="eastAsia"/>
        </w:rPr>
        <w:t xml:space="preserve"> in males and females</w:t>
      </w:r>
      <w:r w:rsidRPr="00F952D8">
        <w:t xml:space="preserve">, mainly </w:t>
      </w:r>
      <w:r w:rsidRPr="00F952D8">
        <w:rPr>
          <w:rFonts w:hint="eastAsia"/>
        </w:rPr>
        <w:t xml:space="preserve">at </w:t>
      </w:r>
      <w:r w:rsidRPr="00F952D8">
        <w:t xml:space="preserve">approximately </w:t>
      </w:r>
      <w:r w:rsidRPr="00F952D8">
        <w:rPr>
          <w:rFonts w:hint="eastAsia"/>
        </w:rPr>
        <w:t>1</w:t>
      </w:r>
      <w:r w:rsidRPr="00F952D8">
        <w:t xml:space="preserve"> or </w:t>
      </w:r>
      <w:r w:rsidRPr="00F952D8">
        <w:rPr>
          <w:rFonts w:hint="eastAsia"/>
        </w:rPr>
        <w:t>6</w:t>
      </w:r>
      <w:r w:rsidRPr="00F952D8">
        <w:t xml:space="preserve"> hours after dosing </w:t>
      </w:r>
      <w:r w:rsidRPr="00F952D8">
        <w:rPr>
          <w:rFonts w:hint="eastAsia"/>
        </w:rPr>
        <w:t>on</w:t>
      </w:r>
      <w:r w:rsidRPr="00F952D8">
        <w:t xml:space="preserve"> </w:t>
      </w:r>
      <w:r w:rsidRPr="00F952D8">
        <w:rPr>
          <w:rFonts w:hint="eastAsia"/>
        </w:rPr>
        <w:t>1 to 18</w:t>
      </w:r>
      <w:r w:rsidRPr="00F952D8">
        <w:t xml:space="preserve"> days</w:t>
      </w:r>
      <w:r w:rsidRPr="00F952D8">
        <w:rPr>
          <w:rFonts w:hint="eastAsia"/>
        </w:rPr>
        <w:t>, and slight salivation was observed in males and females on 1, 2,</w:t>
      </w:r>
      <w:r w:rsidRPr="00886A14">
        <w:rPr>
          <w:rFonts w:hint="eastAsia"/>
        </w:rPr>
        <w:t xml:space="preserve"> or 3 days</w:t>
      </w:r>
      <w:r w:rsidRPr="00886A14">
        <w:t>.</w:t>
      </w:r>
      <w:r w:rsidRPr="00886A14">
        <w:rPr>
          <w:rFonts w:hint="eastAsia"/>
        </w:rPr>
        <w:t xml:space="preserve"> A low </w:t>
      </w:r>
      <w:r w:rsidRPr="00886A14">
        <w:t>heart ra</w:t>
      </w:r>
      <w:r w:rsidRPr="00F952D8">
        <w:t>te</w:t>
      </w:r>
      <w:r w:rsidRPr="00F952D8">
        <w:rPr>
          <w:rFonts w:hint="eastAsia"/>
        </w:rPr>
        <w:t xml:space="preserve"> in males and females, </w:t>
      </w:r>
      <w:r w:rsidRPr="00F952D8">
        <w:t>prolongation of</w:t>
      </w:r>
      <w:r w:rsidRPr="00F952D8">
        <w:rPr>
          <w:rFonts w:hint="eastAsia"/>
        </w:rPr>
        <w:t xml:space="preserve"> QT interval in males and females, and </w:t>
      </w:r>
      <w:r w:rsidRPr="00F952D8">
        <w:t>prolongation of QTc</w:t>
      </w:r>
      <w:r w:rsidRPr="00F952D8">
        <w:rPr>
          <w:rFonts w:hint="eastAsia"/>
        </w:rPr>
        <w:t xml:space="preserve"> interval in males were noted. O</w:t>
      </w:r>
      <w:r w:rsidRPr="00F952D8">
        <w:t xml:space="preserve">ccult </w:t>
      </w:r>
      <w:r w:rsidRPr="003D309D">
        <w:t xml:space="preserve">blood </w:t>
      </w:r>
      <w:r w:rsidRPr="003D309D">
        <w:rPr>
          <w:rFonts w:hint="eastAsia"/>
        </w:rPr>
        <w:t>reaction and high</w:t>
      </w:r>
      <w:r w:rsidRPr="003D309D">
        <w:t xml:space="preserve"> urinary</w:t>
      </w:r>
      <w:r w:rsidRPr="003D309D">
        <w:rPr>
          <w:rFonts w:hint="eastAsia"/>
        </w:rPr>
        <w:t xml:space="preserve"> glucose in males, high urinary protein in males and females, and low sodium and chloride excretion in females were noted. In blood chemistry, high</w:t>
      </w:r>
      <w:r w:rsidRPr="003D309D">
        <w:t xml:space="preserve"> </w:t>
      </w:r>
      <w:r w:rsidRPr="003D309D">
        <w:rPr>
          <w:rFonts w:hint="eastAsia"/>
        </w:rPr>
        <w:t xml:space="preserve">fibrinogen in females, </w:t>
      </w:r>
      <w:r w:rsidRPr="003D309D">
        <w:t>high total bilirubin</w:t>
      </w:r>
      <w:r w:rsidRPr="003D309D">
        <w:rPr>
          <w:rFonts w:hint="eastAsia"/>
        </w:rPr>
        <w:t xml:space="preserve"> in males and females, and high urea nitrogen and potassium in males </w:t>
      </w:r>
      <w:r w:rsidRPr="003D309D">
        <w:t>w</w:t>
      </w:r>
      <w:r w:rsidRPr="003D309D">
        <w:rPr>
          <w:rFonts w:hint="eastAsia"/>
        </w:rPr>
        <w:t>ere</w:t>
      </w:r>
      <w:r w:rsidRPr="003D309D">
        <w:t xml:space="preserve"> noted.</w:t>
      </w:r>
      <w:r w:rsidRPr="003D309D">
        <w:rPr>
          <w:rFonts w:hint="eastAsia"/>
        </w:rPr>
        <w:t xml:space="preserve"> High lactic acid was noted </w:t>
      </w:r>
      <w:r w:rsidRPr="003D309D">
        <w:t>in male</w:t>
      </w:r>
      <w:r w:rsidRPr="003D309D">
        <w:rPr>
          <w:rFonts w:hint="eastAsia"/>
        </w:rPr>
        <w:t>s and females at 10</w:t>
      </w:r>
      <w:r w:rsidRPr="003D309D">
        <w:t> mg/kg</w:t>
      </w:r>
      <w:r w:rsidRPr="003D309D">
        <w:rPr>
          <w:rFonts w:hint="eastAsia"/>
        </w:rPr>
        <w:t xml:space="preserve"> at 6 and/or 24</w:t>
      </w:r>
      <w:r w:rsidRPr="003D309D">
        <w:t> hours after dosing</w:t>
      </w:r>
      <w:r w:rsidRPr="003D309D">
        <w:rPr>
          <w:rFonts w:hint="eastAsia"/>
        </w:rPr>
        <w:t xml:space="preserve"> on Days 14 and/or 28 of dosing</w:t>
      </w:r>
      <w:r w:rsidRPr="003D309D">
        <w:t>.</w:t>
      </w:r>
      <w:r w:rsidRPr="003D309D">
        <w:rPr>
          <w:rFonts w:hint="eastAsia"/>
        </w:rPr>
        <w:t xml:space="preserve"> A high lymphocyte vacuolation ratio in blood was noted in males and females. High heart, kidney, and lung weights </w:t>
      </w:r>
      <w:r w:rsidRPr="003D309D">
        <w:rPr>
          <w:rFonts w:hint="eastAsia"/>
        </w:rPr>
        <w:lastRenderedPageBreak/>
        <w:t>were no</w:t>
      </w:r>
      <w:r w:rsidRPr="00F952D8">
        <w:rPr>
          <w:rFonts w:hint="eastAsia"/>
        </w:rPr>
        <w:t>ted. In histopathology, hypocellularity in the s</w:t>
      </w:r>
      <w:r w:rsidRPr="00F952D8">
        <w:t>ternal bone marrow</w:t>
      </w:r>
      <w:r w:rsidRPr="00F952D8">
        <w:rPr>
          <w:rFonts w:hint="eastAsia"/>
        </w:rPr>
        <w:t xml:space="preserve"> in males and females, atrophy of lymphoid follicles in the spleen in females, vacuolation in the myocardium in males and females, hypertrophy of Kupffer cells in the liver in males and females, </w:t>
      </w:r>
      <w:r w:rsidRPr="00F952D8">
        <w:t>hypertrophy of podocytes in the glomeruli</w:t>
      </w:r>
      <w:r w:rsidRPr="00F952D8">
        <w:rPr>
          <w:rFonts w:hint="eastAsia"/>
        </w:rPr>
        <w:t xml:space="preserve"> in the kidney in males, d</w:t>
      </w:r>
      <w:r w:rsidRPr="00F952D8">
        <w:t>egeneration</w:t>
      </w:r>
      <w:r w:rsidRPr="00F952D8">
        <w:rPr>
          <w:rFonts w:hint="eastAsia"/>
        </w:rPr>
        <w:t xml:space="preserve"> of the </w:t>
      </w:r>
      <w:r w:rsidRPr="00F952D8">
        <w:t>follicle</w:t>
      </w:r>
      <w:r w:rsidRPr="00F952D8">
        <w:rPr>
          <w:rFonts w:hint="eastAsia"/>
        </w:rPr>
        <w:t>s in the thyroid in males, vacuolation of macrophages in the vagina in females, and vacuolation</w:t>
      </w:r>
      <w:r w:rsidRPr="00F952D8">
        <w:t xml:space="preserve"> of </w:t>
      </w:r>
      <w:r w:rsidRPr="00F952D8">
        <w:rPr>
          <w:rFonts w:hint="eastAsia"/>
        </w:rPr>
        <w:t xml:space="preserve">neurons in the brain in males and females were observed. In </w:t>
      </w:r>
      <w:r w:rsidRPr="00F952D8">
        <w:t>electron microscopy</w:t>
      </w:r>
      <w:r w:rsidRPr="00F952D8">
        <w:rPr>
          <w:rFonts w:hint="eastAsia"/>
        </w:rPr>
        <w:t xml:space="preserve">, intracytoplasmic single membrane-bound lamellar bodies </w:t>
      </w:r>
      <w:r w:rsidRPr="00F952D8">
        <w:t>were observed</w:t>
      </w:r>
      <w:r w:rsidRPr="00F952D8">
        <w:rPr>
          <w:rFonts w:hint="eastAsia"/>
        </w:rPr>
        <w:t xml:space="preserve"> in the</w:t>
      </w:r>
      <w:r w:rsidRPr="00F952D8">
        <w:t xml:space="preserve"> </w:t>
      </w:r>
      <w:r w:rsidRPr="00F952D8">
        <w:rPr>
          <w:rFonts w:hint="eastAsia"/>
        </w:rPr>
        <w:t xml:space="preserve">Kupffer cells and </w:t>
      </w:r>
      <w:r w:rsidRPr="0027024D">
        <w:rPr>
          <w:rFonts w:hint="eastAsia"/>
        </w:rPr>
        <w:t>hepatocytes in males and females, and the e</w:t>
      </w:r>
      <w:r w:rsidRPr="0027024D">
        <w:t>pithelia of the renal tubule</w:t>
      </w:r>
      <w:r w:rsidRPr="0027024D">
        <w:rPr>
          <w:rFonts w:hint="eastAsia"/>
        </w:rPr>
        <w:t>s</w:t>
      </w:r>
      <w:r w:rsidRPr="0027024D">
        <w:t xml:space="preserve"> </w:t>
      </w:r>
      <w:r w:rsidRPr="0027024D">
        <w:rPr>
          <w:rFonts w:hint="eastAsia"/>
        </w:rPr>
        <w:t xml:space="preserve">and podocytes in the glomeruli in males. Based on the </w:t>
      </w:r>
      <w:r w:rsidRPr="0027024D">
        <w:t>characteristic</w:t>
      </w:r>
      <w:r w:rsidRPr="0027024D">
        <w:rPr>
          <w:rFonts w:hint="eastAsia"/>
        </w:rPr>
        <w:t xml:space="preserve"> ultrastructure, the systemic vacuolation detect</w:t>
      </w:r>
      <w:r w:rsidRPr="00F952D8">
        <w:rPr>
          <w:rFonts w:hint="eastAsia"/>
        </w:rPr>
        <w:t xml:space="preserve">ed microscopically was diagnosed as </w:t>
      </w:r>
      <w:proofErr w:type="spellStart"/>
      <w:r w:rsidRPr="00F952D8">
        <w:rPr>
          <w:rFonts w:hint="eastAsia"/>
        </w:rPr>
        <w:t>phospholipidosis</w:t>
      </w:r>
      <w:proofErr w:type="spellEnd"/>
      <w:r w:rsidRPr="00F952D8">
        <w:rPr>
          <w:rFonts w:hint="eastAsia"/>
        </w:rPr>
        <w:t>.</w:t>
      </w:r>
    </w:p>
    <w:p w:rsidR="00F37E89" w:rsidRPr="00F952D8" w:rsidRDefault="00F37E89" w:rsidP="00F37E89">
      <w:r w:rsidRPr="00F952D8">
        <w:rPr>
          <w:rFonts w:hint="eastAsia"/>
        </w:rPr>
        <w:t>N</w:t>
      </w:r>
      <w:r w:rsidRPr="00F952D8">
        <w:t xml:space="preserve">o test article-related abnormalities </w:t>
      </w:r>
      <w:r w:rsidRPr="00F952D8">
        <w:rPr>
          <w:rFonts w:hint="eastAsia"/>
        </w:rPr>
        <w:t>in o</w:t>
      </w:r>
      <w:r w:rsidRPr="00F952D8">
        <w:t>phthalmology</w:t>
      </w:r>
      <w:r w:rsidRPr="00F952D8">
        <w:rPr>
          <w:rFonts w:hint="eastAsia"/>
        </w:rPr>
        <w:t xml:space="preserve"> or g</w:t>
      </w:r>
      <w:r w:rsidRPr="00F952D8">
        <w:t xml:space="preserve">ross </w:t>
      </w:r>
      <w:r w:rsidRPr="00F952D8">
        <w:rPr>
          <w:rFonts w:hint="eastAsia"/>
        </w:rPr>
        <w:t>p</w:t>
      </w:r>
      <w:r w:rsidRPr="00F952D8">
        <w:t xml:space="preserve">athology were </w:t>
      </w:r>
      <w:r w:rsidRPr="00F952D8">
        <w:rPr>
          <w:rFonts w:hint="eastAsia"/>
        </w:rPr>
        <w:t>noted in the 3 or 10</w:t>
      </w:r>
      <w:r w:rsidRPr="00F952D8">
        <w:t> </w:t>
      </w:r>
      <w:r w:rsidRPr="00F952D8">
        <w:rPr>
          <w:rFonts w:hint="eastAsia"/>
        </w:rPr>
        <w:t>mg/kg group.</w:t>
      </w:r>
    </w:p>
    <w:p w:rsidR="00F37E89" w:rsidRDefault="00F37E89" w:rsidP="00F37E89">
      <w:r w:rsidRPr="00F952D8">
        <w:rPr>
          <w:rFonts w:hint="eastAsia"/>
        </w:rPr>
        <w:t xml:space="preserve">In the recovery period, </w:t>
      </w:r>
      <w:r w:rsidRPr="00F952D8">
        <w:t xml:space="preserve">decreased food consumption was noted in </w:t>
      </w:r>
      <w:r w:rsidRPr="00F952D8">
        <w:rPr>
          <w:rFonts w:hint="eastAsia"/>
        </w:rPr>
        <w:t>fe</w:t>
      </w:r>
      <w:r w:rsidRPr="00F952D8">
        <w:t>male</w:t>
      </w:r>
      <w:r w:rsidRPr="00F952D8">
        <w:rPr>
          <w:rFonts w:hint="eastAsia"/>
        </w:rPr>
        <w:t>s at 10</w:t>
      </w:r>
      <w:r w:rsidRPr="00F952D8">
        <w:t xml:space="preserve"> mg/kg </w:t>
      </w:r>
      <w:r w:rsidRPr="00F952D8">
        <w:rPr>
          <w:rFonts w:hint="eastAsia"/>
        </w:rPr>
        <w:t>on Days 1, 2, 6, and 8 of recovery, but no abnormalities were noted thereafter</w:t>
      </w:r>
      <w:r w:rsidRPr="00F952D8">
        <w:t>.</w:t>
      </w:r>
      <w:r w:rsidRPr="00F952D8">
        <w:rPr>
          <w:rFonts w:hint="eastAsia"/>
        </w:rPr>
        <w:t xml:space="preserve"> In histopathology, very slight a</w:t>
      </w:r>
      <w:r w:rsidRPr="00F952D8">
        <w:t>ccumulation</w:t>
      </w:r>
      <w:r w:rsidRPr="00F952D8">
        <w:rPr>
          <w:rFonts w:hint="eastAsia"/>
        </w:rPr>
        <w:t xml:space="preserve"> of</w:t>
      </w:r>
      <w:r w:rsidRPr="00F952D8">
        <w:t xml:space="preserve"> foam cell</w:t>
      </w:r>
      <w:r w:rsidRPr="00F952D8">
        <w:rPr>
          <w:rFonts w:hint="eastAsia"/>
        </w:rPr>
        <w:t>s in the lung was observed in males at 10 mg/kg; however, the severity and incidence of this change became</w:t>
      </w:r>
      <w:r w:rsidRPr="00F952D8">
        <w:t xml:space="preserve"> </w:t>
      </w:r>
      <w:r w:rsidRPr="00F952D8">
        <w:rPr>
          <w:rFonts w:hint="eastAsia"/>
        </w:rPr>
        <w:t xml:space="preserve">milder, and no test article-related changes in other organs or tissues were observed in histopathology. Therefore, </w:t>
      </w:r>
      <w:r w:rsidRPr="00F952D8">
        <w:t>te</w:t>
      </w:r>
      <w:r w:rsidRPr="00886A14">
        <w:t>st article-related changes noted during the dosing period or at the end of the dosing period recovered or tended to recover.</w:t>
      </w:r>
    </w:p>
    <w:p w:rsidR="00F37E89" w:rsidRDefault="00F37E89" w:rsidP="00F37E89">
      <w:r>
        <w:rPr>
          <w:rFonts w:hint="eastAsia"/>
        </w:rPr>
        <w:t>T</w:t>
      </w:r>
      <w:r w:rsidRPr="00295758">
        <w:t xml:space="preserve">oxicokinetics parameters of </w:t>
      </w:r>
      <w:r w:rsidR="006F0AA8">
        <w:t>PROJECT D</w:t>
      </w:r>
      <w:r w:rsidRPr="00295758">
        <w:t xml:space="preserve"> are shown in the table below.</w:t>
      </w:r>
    </w:p>
    <w:tbl>
      <w:tblPr>
        <w:tblW w:w="6927" w:type="dxa"/>
        <w:tblInd w:w="99"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CellMar>
          <w:left w:w="99" w:type="dxa"/>
          <w:right w:w="99" w:type="dxa"/>
        </w:tblCellMar>
        <w:tblLook w:val="04A0" w:firstRow="1" w:lastRow="0" w:firstColumn="1" w:lastColumn="0" w:noHBand="0" w:noVBand="1"/>
      </w:tblPr>
      <w:tblGrid>
        <w:gridCol w:w="993"/>
        <w:gridCol w:w="1398"/>
        <w:gridCol w:w="1275"/>
        <w:gridCol w:w="1209"/>
        <w:gridCol w:w="721"/>
        <w:gridCol w:w="1331"/>
      </w:tblGrid>
      <w:tr w:rsidR="00F37E89" w:rsidRPr="00051D1A" w:rsidTr="00B931AB">
        <w:trPr>
          <w:trHeight w:val="566"/>
        </w:trPr>
        <w:tc>
          <w:tcPr>
            <w:tcW w:w="993" w:type="dxa"/>
            <w:tcBorders>
              <w:top w:val="single" w:sz="6" w:space="0" w:color="auto"/>
              <w:bottom w:val="single" w:sz="6" w:space="0" w:color="auto"/>
            </w:tcBorders>
            <w:vAlign w:val="center"/>
          </w:tcPr>
          <w:p w:rsidR="00F37E89" w:rsidRPr="00051D1A" w:rsidRDefault="00F37E89" w:rsidP="00F37E89">
            <w:r w:rsidRPr="00051D1A">
              <w:rPr>
                <w:rFonts w:hint="eastAsia"/>
              </w:rPr>
              <w:t>Day</w:t>
            </w:r>
          </w:p>
        </w:tc>
        <w:tc>
          <w:tcPr>
            <w:tcW w:w="1398" w:type="dxa"/>
            <w:tcBorders>
              <w:top w:val="single" w:sz="6" w:space="0" w:color="auto"/>
              <w:bottom w:val="single" w:sz="6" w:space="0" w:color="auto"/>
            </w:tcBorders>
            <w:shd w:val="clear" w:color="auto" w:fill="auto"/>
            <w:vAlign w:val="center"/>
            <w:hideMark/>
          </w:tcPr>
          <w:p w:rsidR="00F37E89" w:rsidRPr="00051D1A" w:rsidRDefault="00F37E89" w:rsidP="00F37E89">
            <w:r w:rsidRPr="00051D1A">
              <w:t>Dose level</w:t>
            </w:r>
            <w:r w:rsidRPr="00051D1A">
              <w:br/>
              <w:t>(mg/kg</w:t>
            </w:r>
            <w:r w:rsidRPr="00051D1A">
              <w:rPr>
                <w:rFonts w:hint="eastAsia"/>
              </w:rPr>
              <w:t>/day</w:t>
            </w:r>
            <w:r w:rsidRPr="00051D1A">
              <w:t>)</w:t>
            </w:r>
          </w:p>
        </w:tc>
        <w:tc>
          <w:tcPr>
            <w:tcW w:w="1275" w:type="dxa"/>
            <w:tcBorders>
              <w:top w:val="single" w:sz="6" w:space="0" w:color="auto"/>
              <w:left w:val="single" w:sz="4" w:space="0" w:color="auto"/>
              <w:bottom w:val="single" w:sz="6" w:space="0" w:color="auto"/>
            </w:tcBorders>
            <w:shd w:val="clear" w:color="auto" w:fill="auto"/>
            <w:vAlign w:val="center"/>
          </w:tcPr>
          <w:p w:rsidR="00F37E89" w:rsidRPr="00051D1A" w:rsidRDefault="00F37E89" w:rsidP="00F37E89">
            <w:r w:rsidRPr="00051D1A">
              <w:t>Sex</w:t>
            </w:r>
          </w:p>
        </w:tc>
        <w:tc>
          <w:tcPr>
            <w:tcW w:w="1209" w:type="dxa"/>
            <w:tcBorders>
              <w:top w:val="single" w:sz="6" w:space="0" w:color="auto"/>
              <w:bottom w:val="single" w:sz="6" w:space="0" w:color="auto"/>
            </w:tcBorders>
            <w:shd w:val="clear" w:color="auto" w:fill="auto"/>
            <w:vAlign w:val="center"/>
            <w:hideMark/>
          </w:tcPr>
          <w:p w:rsidR="00F37E89" w:rsidRPr="00051D1A" w:rsidRDefault="00F37E89" w:rsidP="00F37E89">
            <w:proofErr w:type="spellStart"/>
            <w:r w:rsidRPr="00051D1A">
              <w:t>C</w:t>
            </w:r>
            <w:r w:rsidRPr="00051D1A">
              <w:rPr>
                <w:vertAlign w:val="subscript"/>
              </w:rPr>
              <w:t>max</w:t>
            </w:r>
            <w:proofErr w:type="spellEnd"/>
            <w:r w:rsidRPr="00051D1A">
              <w:rPr>
                <w:rFonts w:hint="eastAsia"/>
              </w:rPr>
              <w:br/>
            </w:r>
            <w:r w:rsidRPr="00051D1A">
              <w:t>(ng/mL)</w:t>
            </w:r>
          </w:p>
        </w:tc>
        <w:tc>
          <w:tcPr>
            <w:tcW w:w="721" w:type="dxa"/>
            <w:tcBorders>
              <w:top w:val="single" w:sz="6" w:space="0" w:color="auto"/>
              <w:bottom w:val="single" w:sz="6" w:space="0" w:color="auto"/>
            </w:tcBorders>
            <w:shd w:val="clear" w:color="auto" w:fill="auto"/>
            <w:vAlign w:val="center"/>
            <w:hideMark/>
          </w:tcPr>
          <w:p w:rsidR="00F37E89" w:rsidRPr="00051D1A" w:rsidRDefault="00F37E89" w:rsidP="00F37E89">
            <w:proofErr w:type="spellStart"/>
            <w:r w:rsidRPr="00051D1A">
              <w:t>t</w:t>
            </w:r>
            <w:r w:rsidRPr="00051D1A">
              <w:rPr>
                <w:vertAlign w:val="subscript"/>
              </w:rPr>
              <w:t>max</w:t>
            </w:r>
            <w:proofErr w:type="spellEnd"/>
            <w:r w:rsidRPr="00051D1A">
              <w:br/>
              <w:t>(h)</w:t>
            </w:r>
          </w:p>
        </w:tc>
        <w:tc>
          <w:tcPr>
            <w:tcW w:w="1331" w:type="dxa"/>
            <w:tcBorders>
              <w:top w:val="single" w:sz="6" w:space="0" w:color="auto"/>
              <w:bottom w:val="single" w:sz="6" w:space="0" w:color="auto"/>
            </w:tcBorders>
            <w:shd w:val="clear" w:color="auto" w:fill="auto"/>
            <w:vAlign w:val="center"/>
            <w:hideMark/>
          </w:tcPr>
          <w:p w:rsidR="00F37E89" w:rsidRPr="00051D1A" w:rsidRDefault="00F37E89" w:rsidP="00F37E89">
            <w:r w:rsidRPr="00051D1A">
              <w:t>AUC</w:t>
            </w:r>
            <w:r w:rsidRPr="00051D1A">
              <w:rPr>
                <w:vertAlign w:val="subscript"/>
              </w:rPr>
              <w:t>24</w:t>
            </w:r>
            <w:r w:rsidRPr="00051D1A">
              <w:br/>
              <w:t>(</w:t>
            </w:r>
            <w:proofErr w:type="spellStart"/>
            <w:r w:rsidRPr="00051D1A">
              <w:t>ng·h</w:t>
            </w:r>
            <w:proofErr w:type="spellEnd"/>
            <w:r w:rsidRPr="00051D1A">
              <w:t>/mL)</w:t>
            </w:r>
          </w:p>
        </w:tc>
      </w:tr>
      <w:tr w:rsidR="00F37E89" w:rsidRPr="00051D1A" w:rsidTr="00B931AB">
        <w:trPr>
          <w:trHeight w:val="20"/>
        </w:trPr>
        <w:tc>
          <w:tcPr>
            <w:tcW w:w="993" w:type="dxa"/>
            <w:vMerge w:val="restart"/>
            <w:tcBorders>
              <w:top w:val="single" w:sz="6" w:space="0" w:color="auto"/>
            </w:tcBorders>
            <w:vAlign w:val="center"/>
          </w:tcPr>
          <w:p w:rsidR="00F37E89" w:rsidRPr="00051D1A" w:rsidRDefault="00F37E89" w:rsidP="00F37E89">
            <w:r w:rsidRPr="00051D1A">
              <w:t>Day 1</w:t>
            </w:r>
          </w:p>
        </w:tc>
        <w:tc>
          <w:tcPr>
            <w:tcW w:w="1398" w:type="dxa"/>
            <w:vMerge w:val="restart"/>
            <w:tcBorders>
              <w:top w:val="single" w:sz="6" w:space="0" w:color="auto"/>
              <w:bottom w:val="single" w:sz="2" w:space="0" w:color="auto"/>
            </w:tcBorders>
            <w:shd w:val="clear" w:color="auto" w:fill="auto"/>
            <w:noWrap/>
            <w:vAlign w:val="center"/>
            <w:hideMark/>
          </w:tcPr>
          <w:p w:rsidR="00F37E89" w:rsidRPr="00051D1A" w:rsidRDefault="00F37E89" w:rsidP="00F37E89">
            <w:r w:rsidRPr="00051D1A">
              <w:rPr>
                <w:rFonts w:hint="eastAsia"/>
              </w:rPr>
              <w:t>1</w:t>
            </w:r>
          </w:p>
        </w:tc>
        <w:tc>
          <w:tcPr>
            <w:tcW w:w="1275" w:type="dxa"/>
            <w:tcBorders>
              <w:top w:val="single" w:sz="6" w:space="0" w:color="auto"/>
              <w:left w:val="single" w:sz="4" w:space="0" w:color="auto"/>
              <w:bottom w:val="single" w:sz="2" w:space="0" w:color="auto"/>
            </w:tcBorders>
            <w:shd w:val="clear" w:color="auto" w:fill="auto"/>
            <w:vAlign w:val="center"/>
          </w:tcPr>
          <w:p w:rsidR="00F37E89" w:rsidRPr="00051D1A" w:rsidRDefault="00F37E89" w:rsidP="00F37E89">
            <w:r w:rsidRPr="00051D1A">
              <w:t>Male</w:t>
            </w:r>
          </w:p>
        </w:tc>
        <w:tc>
          <w:tcPr>
            <w:tcW w:w="1209" w:type="dxa"/>
            <w:tcBorders>
              <w:top w:val="single" w:sz="6" w:space="0" w:color="auto"/>
              <w:bottom w:val="single" w:sz="2" w:space="0" w:color="auto"/>
            </w:tcBorders>
            <w:shd w:val="clear" w:color="auto" w:fill="auto"/>
            <w:noWrap/>
            <w:hideMark/>
          </w:tcPr>
          <w:p w:rsidR="00F37E89" w:rsidRPr="00051D1A" w:rsidRDefault="00F37E89" w:rsidP="00F37E89">
            <w:r w:rsidRPr="00051D1A">
              <w:t>345</w:t>
            </w:r>
          </w:p>
        </w:tc>
        <w:tc>
          <w:tcPr>
            <w:tcW w:w="721" w:type="dxa"/>
            <w:tcBorders>
              <w:top w:val="single" w:sz="6" w:space="0" w:color="auto"/>
              <w:bottom w:val="single" w:sz="2" w:space="0" w:color="auto"/>
            </w:tcBorders>
            <w:shd w:val="clear" w:color="auto" w:fill="auto"/>
            <w:noWrap/>
            <w:hideMark/>
          </w:tcPr>
          <w:p w:rsidR="00F37E89" w:rsidRPr="00051D1A" w:rsidRDefault="00F37E89" w:rsidP="00F37E89">
            <w:r w:rsidRPr="00051D1A">
              <w:t>6.0</w:t>
            </w:r>
          </w:p>
        </w:tc>
        <w:tc>
          <w:tcPr>
            <w:tcW w:w="1331" w:type="dxa"/>
            <w:tcBorders>
              <w:top w:val="single" w:sz="6" w:space="0" w:color="auto"/>
              <w:bottom w:val="single" w:sz="2" w:space="0" w:color="auto"/>
            </w:tcBorders>
            <w:shd w:val="clear" w:color="auto" w:fill="auto"/>
            <w:noWrap/>
            <w:hideMark/>
          </w:tcPr>
          <w:p w:rsidR="00F37E89" w:rsidRPr="00051D1A" w:rsidRDefault="00F37E89" w:rsidP="00F37E89">
            <w:r w:rsidRPr="00051D1A">
              <w:t>3020</w:t>
            </w:r>
          </w:p>
        </w:tc>
      </w:tr>
      <w:tr w:rsidR="00F37E89" w:rsidRPr="00051D1A" w:rsidTr="00B931AB">
        <w:trPr>
          <w:trHeight w:val="20"/>
        </w:trPr>
        <w:tc>
          <w:tcPr>
            <w:tcW w:w="993" w:type="dxa"/>
            <w:vMerge/>
            <w:vAlign w:val="center"/>
          </w:tcPr>
          <w:p w:rsidR="00F37E89" w:rsidRPr="00051D1A" w:rsidRDefault="00F37E89" w:rsidP="00F37E89"/>
        </w:tc>
        <w:tc>
          <w:tcPr>
            <w:tcW w:w="1398" w:type="dxa"/>
            <w:vMerge/>
            <w:tcBorders>
              <w:top w:val="single" w:sz="2" w:space="0" w:color="auto"/>
              <w:bottom w:val="single" w:sz="2" w:space="0" w:color="auto"/>
            </w:tcBorders>
            <w:shd w:val="clear" w:color="auto" w:fill="auto"/>
            <w:noWrap/>
            <w:vAlign w:val="center"/>
            <w:hideMark/>
          </w:tcPr>
          <w:p w:rsidR="00F37E89" w:rsidRPr="00051D1A" w:rsidRDefault="00F37E89" w:rsidP="00F37E89"/>
        </w:tc>
        <w:tc>
          <w:tcPr>
            <w:tcW w:w="1275" w:type="dxa"/>
            <w:tcBorders>
              <w:top w:val="single" w:sz="2" w:space="0" w:color="auto"/>
              <w:left w:val="single" w:sz="4" w:space="0" w:color="auto"/>
              <w:bottom w:val="single" w:sz="2" w:space="0" w:color="auto"/>
            </w:tcBorders>
            <w:shd w:val="clear" w:color="auto" w:fill="auto"/>
            <w:vAlign w:val="center"/>
          </w:tcPr>
          <w:p w:rsidR="00F37E89" w:rsidRPr="00051D1A" w:rsidRDefault="00F37E89" w:rsidP="00F37E89">
            <w:r w:rsidRPr="00051D1A">
              <w:t>Female</w:t>
            </w:r>
          </w:p>
        </w:tc>
        <w:tc>
          <w:tcPr>
            <w:tcW w:w="1209" w:type="dxa"/>
            <w:tcBorders>
              <w:top w:val="single" w:sz="2" w:space="0" w:color="auto"/>
              <w:bottom w:val="single" w:sz="2" w:space="0" w:color="auto"/>
            </w:tcBorders>
            <w:shd w:val="clear" w:color="auto" w:fill="auto"/>
            <w:noWrap/>
            <w:hideMark/>
          </w:tcPr>
          <w:p w:rsidR="00F37E89" w:rsidRPr="00051D1A" w:rsidRDefault="00F37E89" w:rsidP="00F37E89">
            <w:r w:rsidRPr="00051D1A">
              <w:t>352</w:t>
            </w:r>
          </w:p>
        </w:tc>
        <w:tc>
          <w:tcPr>
            <w:tcW w:w="721" w:type="dxa"/>
            <w:tcBorders>
              <w:top w:val="single" w:sz="2" w:space="0" w:color="auto"/>
              <w:bottom w:val="single" w:sz="2" w:space="0" w:color="auto"/>
            </w:tcBorders>
            <w:shd w:val="clear" w:color="auto" w:fill="auto"/>
            <w:noWrap/>
            <w:hideMark/>
          </w:tcPr>
          <w:p w:rsidR="00F37E89" w:rsidRPr="00051D1A" w:rsidRDefault="00F37E89" w:rsidP="00F37E89">
            <w:r w:rsidRPr="00051D1A">
              <w:t>4.5</w:t>
            </w:r>
          </w:p>
        </w:tc>
        <w:tc>
          <w:tcPr>
            <w:tcW w:w="1331" w:type="dxa"/>
            <w:tcBorders>
              <w:top w:val="single" w:sz="2" w:space="0" w:color="auto"/>
              <w:bottom w:val="single" w:sz="2" w:space="0" w:color="auto"/>
            </w:tcBorders>
            <w:shd w:val="clear" w:color="auto" w:fill="auto"/>
            <w:noWrap/>
            <w:hideMark/>
          </w:tcPr>
          <w:p w:rsidR="00F37E89" w:rsidRPr="00051D1A" w:rsidRDefault="00F37E89" w:rsidP="00F37E89">
            <w:r w:rsidRPr="00051D1A">
              <w:t>3570</w:t>
            </w:r>
          </w:p>
        </w:tc>
      </w:tr>
      <w:tr w:rsidR="00F37E89" w:rsidRPr="00051D1A" w:rsidTr="00B931AB">
        <w:trPr>
          <w:trHeight w:val="20"/>
        </w:trPr>
        <w:tc>
          <w:tcPr>
            <w:tcW w:w="993" w:type="dxa"/>
            <w:vMerge/>
            <w:vAlign w:val="center"/>
          </w:tcPr>
          <w:p w:rsidR="00F37E89" w:rsidRPr="00051D1A" w:rsidRDefault="00F37E89" w:rsidP="00F37E89"/>
        </w:tc>
        <w:tc>
          <w:tcPr>
            <w:tcW w:w="1398" w:type="dxa"/>
            <w:vMerge w:val="restart"/>
            <w:tcBorders>
              <w:top w:val="single" w:sz="2" w:space="0" w:color="auto"/>
            </w:tcBorders>
            <w:shd w:val="clear" w:color="auto" w:fill="auto"/>
            <w:noWrap/>
            <w:vAlign w:val="center"/>
            <w:hideMark/>
          </w:tcPr>
          <w:p w:rsidR="00F37E89" w:rsidRPr="00051D1A" w:rsidRDefault="00F37E89" w:rsidP="00F37E89">
            <w:r w:rsidRPr="00051D1A">
              <w:rPr>
                <w:rFonts w:hint="eastAsia"/>
              </w:rPr>
              <w:t>3</w:t>
            </w:r>
          </w:p>
        </w:tc>
        <w:tc>
          <w:tcPr>
            <w:tcW w:w="1275" w:type="dxa"/>
            <w:tcBorders>
              <w:top w:val="single" w:sz="2" w:space="0" w:color="auto"/>
              <w:left w:val="single" w:sz="4" w:space="0" w:color="auto"/>
              <w:bottom w:val="single" w:sz="2" w:space="0" w:color="auto"/>
            </w:tcBorders>
            <w:shd w:val="clear" w:color="auto" w:fill="auto"/>
            <w:vAlign w:val="center"/>
          </w:tcPr>
          <w:p w:rsidR="00F37E89" w:rsidRPr="00051D1A" w:rsidRDefault="00F37E89" w:rsidP="00F37E89">
            <w:r w:rsidRPr="00051D1A">
              <w:t>Male</w:t>
            </w:r>
          </w:p>
        </w:tc>
        <w:tc>
          <w:tcPr>
            <w:tcW w:w="1209" w:type="dxa"/>
            <w:tcBorders>
              <w:top w:val="single" w:sz="2" w:space="0" w:color="auto"/>
              <w:bottom w:val="single" w:sz="2" w:space="0" w:color="auto"/>
            </w:tcBorders>
            <w:shd w:val="clear" w:color="auto" w:fill="auto"/>
            <w:noWrap/>
            <w:hideMark/>
          </w:tcPr>
          <w:p w:rsidR="00F37E89" w:rsidRPr="00051D1A" w:rsidRDefault="00F37E89" w:rsidP="00F37E89">
            <w:r w:rsidRPr="00051D1A">
              <w:t>1080</w:t>
            </w:r>
          </w:p>
        </w:tc>
        <w:tc>
          <w:tcPr>
            <w:tcW w:w="721" w:type="dxa"/>
            <w:tcBorders>
              <w:top w:val="single" w:sz="2" w:space="0" w:color="auto"/>
              <w:bottom w:val="single" w:sz="2" w:space="0" w:color="auto"/>
            </w:tcBorders>
            <w:shd w:val="clear" w:color="auto" w:fill="auto"/>
            <w:noWrap/>
            <w:hideMark/>
          </w:tcPr>
          <w:p w:rsidR="00F37E89" w:rsidRPr="00051D1A" w:rsidRDefault="00F37E89" w:rsidP="00F37E89">
            <w:r w:rsidRPr="00051D1A">
              <w:t>6.0</w:t>
            </w:r>
          </w:p>
        </w:tc>
        <w:tc>
          <w:tcPr>
            <w:tcW w:w="1331" w:type="dxa"/>
            <w:tcBorders>
              <w:top w:val="single" w:sz="2" w:space="0" w:color="auto"/>
              <w:bottom w:val="single" w:sz="2" w:space="0" w:color="auto"/>
            </w:tcBorders>
            <w:shd w:val="clear" w:color="auto" w:fill="auto"/>
            <w:noWrap/>
            <w:hideMark/>
          </w:tcPr>
          <w:p w:rsidR="00F37E89" w:rsidRPr="00051D1A" w:rsidRDefault="00F37E89" w:rsidP="00F37E89">
            <w:r w:rsidRPr="00051D1A">
              <w:t>10000</w:t>
            </w:r>
          </w:p>
        </w:tc>
      </w:tr>
      <w:tr w:rsidR="00F37E89" w:rsidRPr="00051D1A" w:rsidTr="00B931AB">
        <w:trPr>
          <w:trHeight w:val="61"/>
        </w:trPr>
        <w:tc>
          <w:tcPr>
            <w:tcW w:w="993" w:type="dxa"/>
            <w:vMerge/>
            <w:vAlign w:val="center"/>
          </w:tcPr>
          <w:p w:rsidR="00F37E89" w:rsidRPr="00051D1A" w:rsidRDefault="00F37E89" w:rsidP="00F37E89"/>
        </w:tc>
        <w:tc>
          <w:tcPr>
            <w:tcW w:w="1398" w:type="dxa"/>
            <w:vMerge/>
            <w:shd w:val="clear" w:color="auto" w:fill="auto"/>
            <w:vAlign w:val="center"/>
            <w:hideMark/>
          </w:tcPr>
          <w:p w:rsidR="00F37E89" w:rsidRPr="00051D1A" w:rsidRDefault="00F37E89" w:rsidP="00F37E89"/>
        </w:tc>
        <w:tc>
          <w:tcPr>
            <w:tcW w:w="1275" w:type="dxa"/>
            <w:tcBorders>
              <w:top w:val="single" w:sz="2" w:space="0" w:color="auto"/>
              <w:left w:val="single" w:sz="4" w:space="0" w:color="auto"/>
            </w:tcBorders>
            <w:shd w:val="clear" w:color="auto" w:fill="auto"/>
            <w:vAlign w:val="center"/>
          </w:tcPr>
          <w:p w:rsidR="00F37E89" w:rsidRPr="00051D1A" w:rsidRDefault="00F37E89" w:rsidP="00F37E89">
            <w:r w:rsidRPr="00051D1A">
              <w:t>Female</w:t>
            </w:r>
          </w:p>
        </w:tc>
        <w:tc>
          <w:tcPr>
            <w:tcW w:w="1209" w:type="dxa"/>
            <w:tcBorders>
              <w:top w:val="single" w:sz="2" w:space="0" w:color="auto"/>
            </w:tcBorders>
            <w:shd w:val="clear" w:color="auto" w:fill="auto"/>
            <w:noWrap/>
            <w:hideMark/>
          </w:tcPr>
          <w:p w:rsidR="00F37E89" w:rsidRPr="00051D1A" w:rsidRDefault="00F37E89" w:rsidP="00F37E89">
            <w:r w:rsidRPr="00051D1A">
              <w:t>1550</w:t>
            </w:r>
          </w:p>
        </w:tc>
        <w:tc>
          <w:tcPr>
            <w:tcW w:w="721" w:type="dxa"/>
            <w:tcBorders>
              <w:top w:val="single" w:sz="2" w:space="0" w:color="auto"/>
            </w:tcBorders>
            <w:shd w:val="clear" w:color="auto" w:fill="auto"/>
            <w:noWrap/>
            <w:hideMark/>
          </w:tcPr>
          <w:p w:rsidR="00F37E89" w:rsidRPr="00051D1A" w:rsidRDefault="00F37E89" w:rsidP="00F37E89">
            <w:r w:rsidRPr="00051D1A">
              <w:t>5.4</w:t>
            </w:r>
          </w:p>
        </w:tc>
        <w:tc>
          <w:tcPr>
            <w:tcW w:w="1331" w:type="dxa"/>
            <w:tcBorders>
              <w:top w:val="single" w:sz="2" w:space="0" w:color="auto"/>
            </w:tcBorders>
            <w:shd w:val="clear" w:color="auto" w:fill="auto"/>
            <w:noWrap/>
            <w:hideMark/>
          </w:tcPr>
          <w:p w:rsidR="00F37E89" w:rsidRPr="00051D1A" w:rsidRDefault="00F37E89" w:rsidP="00F37E89">
            <w:r w:rsidRPr="00051D1A">
              <w:t>13600</w:t>
            </w:r>
          </w:p>
        </w:tc>
      </w:tr>
      <w:tr w:rsidR="00F37E89" w:rsidRPr="00051D1A" w:rsidTr="00B931AB">
        <w:trPr>
          <w:trHeight w:val="20"/>
        </w:trPr>
        <w:tc>
          <w:tcPr>
            <w:tcW w:w="993" w:type="dxa"/>
            <w:vMerge/>
            <w:vAlign w:val="center"/>
          </w:tcPr>
          <w:p w:rsidR="00F37E89" w:rsidRPr="00051D1A" w:rsidRDefault="00F37E89" w:rsidP="00F37E89"/>
        </w:tc>
        <w:tc>
          <w:tcPr>
            <w:tcW w:w="1398" w:type="dxa"/>
            <w:vMerge w:val="restart"/>
            <w:shd w:val="clear" w:color="auto" w:fill="auto"/>
            <w:noWrap/>
            <w:vAlign w:val="center"/>
            <w:hideMark/>
          </w:tcPr>
          <w:p w:rsidR="00F37E89" w:rsidRPr="00051D1A" w:rsidRDefault="00F37E89" w:rsidP="00F37E89">
            <w:r w:rsidRPr="00051D1A">
              <w:rPr>
                <w:rFonts w:hint="eastAsia"/>
              </w:rPr>
              <w:t>10</w:t>
            </w:r>
          </w:p>
        </w:tc>
        <w:tc>
          <w:tcPr>
            <w:tcW w:w="1275" w:type="dxa"/>
            <w:tcBorders>
              <w:left w:val="single" w:sz="4" w:space="0" w:color="auto"/>
            </w:tcBorders>
            <w:shd w:val="clear" w:color="auto" w:fill="auto"/>
            <w:vAlign w:val="center"/>
          </w:tcPr>
          <w:p w:rsidR="00F37E89" w:rsidRPr="00051D1A" w:rsidRDefault="00F37E89" w:rsidP="00F37E89">
            <w:r w:rsidRPr="00051D1A">
              <w:t>Male</w:t>
            </w:r>
          </w:p>
        </w:tc>
        <w:tc>
          <w:tcPr>
            <w:tcW w:w="1209" w:type="dxa"/>
            <w:shd w:val="clear" w:color="auto" w:fill="auto"/>
            <w:noWrap/>
            <w:hideMark/>
          </w:tcPr>
          <w:p w:rsidR="00F37E89" w:rsidRPr="00051D1A" w:rsidRDefault="00F37E89" w:rsidP="00F37E89">
            <w:r w:rsidRPr="00051D1A">
              <w:t>3100</w:t>
            </w:r>
          </w:p>
        </w:tc>
        <w:tc>
          <w:tcPr>
            <w:tcW w:w="721" w:type="dxa"/>
            <w:shd w:val="clear" w:color="auto" w:fill="auto"/>
            <w:noWrap/>
            <w:hideMark/>
          </w:tcPr>
          <w:p w:rsidR="00F37E89" w:rsidRPr="00051D1A" w:rsidRDefault="00F37E89" w:rsidP="00F37E89">
            <w:r w:rsidRPr="00051D1A">
              <w:t>5.7</w:t>
            </w:r>
          </w:p>
        </w:tc>
        <w:tc>
          <w:tcPr>
            <w:tcW w:w="1331" w:type="dxa"/>
            <w:shd w:val="clear" w:color="auto" w:fill="auto"/>
            <w:noWrap/>
            <w:hideMark/>
          </w:tcPr>
          <w:p w:rsidR="00F37E89" w:rsidRPr="00051D1A" w:rsidRDefault="00F37E89" w:rsidP="00F37E89">
            <w:r w:rsidRPr="00051D1A">
              <w:t>31000</w:t>
            </w:r>
          </w:p>
        </w:tc>
      </w:tr>
      <w:tr w:rsidR="00F37E89" w:rsidRPr="00051D1A" w:rsidTr="00B931AB">
        <w:trPr>
          <w:trHeight w:val="61"/>
        </w:trPr>
        <w:tc>
          <w:tcPr>
            <w:tcW w:w="993" w:type="dxa"/>
            <w:vMerge/>
            <w:vAlign w:val="center"/>
          </w:tcPr>
          <w:p w:rsidR="00F37E89" w:rsidRPr="00051D1A" w:rsidRDefault="00F37E89" w:rsidP="00F37E89"/>
        </w:tc>
        <w:tc>
          <w:tcPr>
            <w:tcW w:w="1398" w:type="dxa"/>
            <w:vMerge/>
            <w:shd w:val="clear" w:color="auto" w:fill="auto"/>
            <w:vAlign w:val="center"/>
            <w:hideMark/>
          </w:tcPr>
          <w:p w:rsidR="00F37E89" w:rsidRPr="00051D1A" w:rsidRDefault="00F37E89" w:rsidP="00F37E89"/>
        </w:tc>
        <w:tc>
          <w:tcPr>
            <w:tcW w:w="1275" w:type="dxa"/>
            <w:tcBorders>
              <w:left w:val="single" w:sz="4" w:space="0" w:color="auto"/>
            </w:tcBorders>
            <w:shd w:val="clear" w:color="auto" w:fill="auto"/>
            <w:vAlign w:val="center"/>
          </w:tcPr>
          <w:p w:rsidR="00F37E89" w:rsidRPr="00051D1A" w:rsidRDefault="00F37E89" w:rsidP="00F37E89">
            <w:r w:rsidRPr="00051D1A">
              <w:t>Female</w:t>
            </w:r>
          </w:p>
        </w:tc>
        <w:tc>
          <w:tcPr>
            <w:tcW w:w="1209" w:type="dxa"/>
            <w:shd w:val="clear" w:color="auto" w:fill="auto"/>
            <w:noWrap/>
            <w:hideMark/>
          </w:tcPr>
          <w:p w:rsidR="00F37E89" w:rsidRPr="00051D1A" w:rsidRDefault="00F37E89" w:rsidP="00F37E89">
            <w:r w:rsidRPr="00051D1A">
              <w:t>3670</w:t>
            </w:r>
          </w:p>
        </w:tc>
        <w:tc>
          <w:tcPr>
            <w:tcW w:w="721" w:type="dxa"/>
            <w:shd w:val="clear" w:color="auto" w:fill="auto"/>
            <w:noWrap/>
            <w:hideMark/>
          </w:tcPr>
          <w:p w:rsidR="00F37E89" w:rsidRPr="00051D1A" w:rsidRDefault="00F37E89" w:rsidP="00F37E89">
            <w:r w:rsidRPr="00051D1A">
              <w:t>5.4</w:t>
            </w:r>
          </w:p>
        </w:tc>
        <w:tc>
          <w:tcPr>
            <w:tcW w:w="1331" w:type="dxa"/>
            <w:shd w:val="clear" w:color="auto" w:fill="auto"/>
            <w:noWrap/>
            <w:hideMark/>
          </w:tcPr>
          <w:p w:rsidR="00F37E89" w:rsidRPr="00051D1A" w:rsidRDefault="00F37E89" w:rsidP="00F37E89">
            <w:r w:rsidRPr="00051D1A">
              <w:t>40600</w:t>
            </w:r>
          </w:p>
        </w:tc>
      </w:tr>
      <w:tr w:rsidR="00F37E89" w:rsidRPr="00051D1A" w:rsidTr="00B931AB">
        <w:trPr>
          <w:trHeight w:val="20"/>
        </w:trPr>
        <w:tc>
          <w:tcPr>
            <w:tcW w:w="993" w:type="dxa"/>
            <w:vMerge w:val="restart"/>
            <w:tcBorders>
              <w:top w:val="single" w:sz="6" w:space="0" w:color="auto"/>
            </w:tcBorders>
            <w:vAlign w:val="center"/>
          </w:tcPr>
          <w:p w:rsidR="00F37E89" w:rsidRPr="00051D1A" w:rsidRDefault="00F37E89" w:rsidP="00F37E89">
            <w:r w:rsidRPr="00051D1A">
              <w:t>Day 1</w:t>
            </w:r>
            <w:r w:rsidRPr="00051D1A">
              <w:rPr>
                <w:rFonts w:hint="eastAsia"/>
              </w:rPr>
              <w:t>4</w:t>
            </w:r>
          </w:p>
        </w:tc>
        <w:tc>
          <w:tcPr>
            <w:tcW w:w="1398" w:type="dxa"/>
            <w:vMerge w:val="restart"/>
            <w:tcBorders>
              <w:top w:val="single" w:sz="6" w:space="0" w:color="auto"/>
              <w:bottom w:val="single" w:sz="2" w:space="0" w:color="auto"/>
            </w:tcBorders>
            <w:shd w:val="clear" w:color="auto" w:fill="auto"/>
            <w:noWrap/>
            <w:vAlign w:val="center"/>
            <w:hideMark/>
          </w:tcPr>
          <w:p w:rsidR="00F37E89" w:rsidRPr="00051D1A" w:rsidRDefault="00F37E89" w:rsidP="00F37E89">
            <w:r w:rsidRPr="00051D1A">
              <w:rPr>
                <w:rFonts w:hint="eastAsia"/>
              </w:rPr>
              <w:t>1</w:t>
            </w:r>
          </w:p>
        </w:tc>
        <w:tc>
          <w:tcPr>
            <w:tcW w:w="1275" w:type="dxa"/>
            <w:tcBorders>
              <w:top w:val="single" w:sz="6" w:space="0" w:color="auto"/>
              <w:left w:val="single" w:sz="4" w:space="0" w:color="auto"/>
              <w:bottom w:val="single" w:sz="2" w:space="0" w:color="auto"/>
            </w:tcBorders>
            <w:shd w:val="clear" w:color="auto" w:fill="auto"/>
            <w:vAlign w:val="center"/>
          </w:tcPr>
          <w:p w:rsidR="00F37E89" w:rsidRPr="00051D1A" w:rsidRDefault="00F37E89" w:rsidP="00F37E89">
            <w:r w:rsidRPr="00051D1A">
              <w:t>Male</w:t>
            </w:r>
          </w:p>
        </w:tc>
        <w:tc>
          <w:tcPr>
            <w:tcW w:w="1209" w:type="dxa"/>
            <w:tcBorders>
              <w:top w:val="single" w:sz="6" w:space="0" w:color="auto"/>
              <w:bottom w:val="single" w:sz="2" w:space="0" w:color="auto"/>
            </w:tcBorders>
            <w:shd w:val="clear" w:color="auto" w:fill="auto"/>
            <w:noWrap/>
            <w:hideMark/>
          </w:tcPr>
          <w:p w:rsidR="00F37E89" w:rsidRPr="00051D1A" w:rsidRDefault="00F37E89" w:rsidP="00F37E89">
            <w:r w:rsidRPr="00051D1A">
              <w:t>1330</w:t>
            </w:r>
          </w:p>
        </w:tc>
        <w:tc>
          <w:tcPr>
            <w:tcW w:w="721" w:type="dxa"/>
            <w:tcBorders>
              <w:top w:val="single" w:sz="6" w:space="0" w:color="auto"/>
              <w:bottom w:val="single" w:sz="2" w:space="0" w:color="auto"/>
            </w:tcBorders>
            <w:shd w:val="clear" w:color="auto" w:fill="auto"/>
            <w:noWrap/>
            <w:hideMark/>
          </w:tcPr>
          <w:p w:rsidR="00F37E89" w:rsidRPr="00051D1A" w:rsidRDefault="00F37E89" w:rsidP="00F37E89">
            <w:r w:rsidRPr="00051D1A">
              <w:t>5.5</w:t>
            </w:r>
          </w:p>
        </w:tc>
        <w:tc>
          <w:tcPr>
            <w:tcW w:w="1331" w:type="dxa"/>
            <w:tcBorders>
              <w:top w:val="single" w:sz="6" w:space="0" w:color="auto"/>
              <w:bottom w:val="single" w:sz="2" w:space="0" w:color="auto"/>
            </w:tcBorders>
            <w:shd w:val="clear" w:color="auto" w:fill="auto"/>
            <w:noWrap/>
            <w:hideMark/>
          </w:tcPr>
          <w:p w:rsidR="00F37E89" w:rsidRPr="00051D1A" w:rsidRDefault="00F37E89" w:rsidP="00F37E89">
            <w:r w:rsidRPr="00051D1A">
              <w:t>14000</w:t>
            </w:r>
          </w:p>
        </w:tc>
      </w:tr>
      <w:tr w:rsidR="00F37E89" w:rsidRPr="00051D1A" w:rsidTr="00B931AB">
        <w:trPr>
          <w:trHeight w:val="20"/>
        </w:trPr>
        <w:tc>
          <w:tcPr>
            <w:tcW w:w="993" w:type="dxa"/>
            <w:vMerge/>
            <w:vAlign w:val="center"/>
          </w:tcPr>
          <w:p w:rsidR="00F37E89" w:rsidRPr="00051D1A" w:rsidRDefault="00F37E89" w:rsidP="00F37E89"/>
        </w:tc>
        <w:tc>
          <w:tcPr>
            <w:tcW w:w="1398" w:type="dxa"/>
            <w:vMerge/>
            <w:tcBorders>
              <w:top w:val="single" w:sz="2" w:space="0" w:color="auto"/>
              <w:bottom w:val="single" w:sz="2" w:space="0" w:color="auto"/>
            </w:tcBorders>
            <w:shd w:val="clear" w:color="auto" w:fill="auto"/>
            <w:noWrap/>
            <w:vAlign w:val="center"/>
            <w:hideMark/>
          </w:tcPr>
          <w:p w:rsidR="00F37E89" w:rsidRPr="00051D1A" w:rsidRDefault="00F37E89" w:rsidP="00F37E89"/>
        </w:tc>
        <w:tc>
          <w:tcPr>
            <w:tcW w:w="1275" w:type="dxa"/>
            <w:tcBorders>
              <w:top w:val="single" w:sz="2" w:space="0" w:color="auto"/>
              <w:left w:val="single" w:sz="4" w:space="0" w:color="auto"/>
              <w:bottom w:val="single" w:sz="2" w:space="0" w:color="auto"/>
            </w:tcBorders>
            <w:shd w:val="clear" w:color="auto" w:fill="auto"/>
            <w:vAlign w:val="center"/>
          </w:tcPr>
          <w:p w:rsidR="00F37E89" w:rsidRPr="00051D1A" w:rsidRDefault="00F37E89" w:rsidP="00F37E89">
            <w:r w:rsidRPr="00051D1A">
              <w:t>Female</w:t>
            </w:r>
          </w:p>
        </w:tc>
        <w:tc>
          <w:tcPr>
            <w:tcW w:w="1209" w:type="dxa"/>
            <w:tcBorders>
              <w:top w:val="single" w:sz="2" w:space="0" w:color="auto"/>
              <w:bottom w:val="single" w:sz="2" w:space="0" w:color="auto"/>
            </w:tcBorders>
            <w:shd w:val="clear" w:color="auto" w:fill="auto"/>
            <w:noWrap/>
            <w:hideMark/>
          </w:tcPr>
          <w:p w:rsidR="00F37E89" w:rsidRPr="00051D1A" w:rsidRDefault="00F37E89" w:rsidP="00F37E89">
            <w:r w:rsidRPr="00051D1A">
              <w:t>784</w:t>
            </w:r>
          </w:p>
        </w:tc>
        <w:tc>
          <w:tcPr>
            <w:tcW w:w="721" w:type="dxa"/>
            <w:tcBorders>
              <w:top w:val="single" w:sz="2" w:space="0" w:color="auto"/>
              <w:bottom w:val="single" w:sz="2" w:space="0" w:color="auto"/>
            </w:tcBorders>
            <w:shd w:val="clear" w:color="auto" w:fill="auto"/>
            <w:noWrap/>
            <w:hideMark/>
          </w:tcPr>
          <w:p w:rsidR="00F37E89" w:rsidRPr="00051D1A" w:rsidRDefault="00F37E89" w:rsidP="00F37E89">
            <w:r w:rsidRPr="00051D1A">
              <w:t>6.0</w:t>
            </w:r>
          </w:p>
        </w:tc>
        <w:tc>
          <w:tcPr>
            <w:tcW w:w="1331" w:type="dxa"/>
            <w:tcBorders>
              <w:top w:val="single" w:sz="2" w:space="0" w:color="auto"/>
              <w:bottom w:val="single" w:sz="2" w:space="0" w:color="auto"/>
            </w:tcBorders>
            <w:shd w:val="clear" w:color="auto" w:fill="auto"/>
            <w:noWrap/>
            <w:hideMark/>
          </w:tcPr>
          <w:p w:rsidR="00F37E89" w:rsidRPr="00051D1A" w:rsidRDefault="00F37E89" w:rsidP="00F37E89">
            <w:r w:rsidRPr="00051D1A">
              <w:t>9140</w:t>
            </w:r>
          </w:p>
        </w:tc>
      </w:tr>
      <w:tr w:rsidR="00F37E89" w:rsidRPr="00051D1A" w:rsidTr="00B931AB">
        <w:trPr>
          <w:trHeight w:val="20"/>
        </w:trPr>
        <w:tc>
          <w:tcPr>
            <w:tcW w:w="993" w:type="dxa"/>
            <w:vMerge/>
            <w:vAlign w:val="center"/>
          </w:tcPr>
          <w:p w:rsidR="00F37E89" w:rsidRPr="00051D1A" w:rsidRDefault="00F37E89" w:rsidP="00F37E89"/>
        </w:tc>
        <w:tc>
          <w:tcPr>
            <w:tcW w:w="1398" w:type="dxa"/>
            <w:vMerge w:val="restart"/>
            <w:tcBorders>
              <w:top w:val="single" w:sz="2" w:space="0" w:color="auto"/>
            </w:tcBorders>
            <w:shd w:val="clear" w:color="auto" w:fill="auto"/>
            <w:noWrap/>
            <w:vAlign w:val="center"/>
            <w:hideMark/>
          </w:tcPr>
          <w:p w:rsidR="00F37E89" w:rsidRPr="00051D1A" w:rsidRDefault="00F37E89" w:rsidP="00F37E89">
            <w:r w:rsidRPr="00051D1A">
              <w:rPr>
                <w:rFonts w:hint="eastAsia"/>
              </w:rPr>
              <w:t>3</w:t>
            </w:r>
          </w:p>
        </w:tc>
        <w:tc>
          <w:tcPr>
            <w:tcW w:w="1275" w:type="dxa"/>
            <w:tcBorders>
              <w:top w:val="single" w:sz="2" w:space="0" w:color="auto"/>
              <w:left w:val="single" w:sz="4" w:space="0" w:color="auto"/>
              <w:bottom w:val="single" w:sz="2" w:space="0" w:color="auto"/>
            </w:tcBorders>
            <w:shd w:val="clear" w:color="auto" w:fill="auto"/>
            <w:vAlign w:val="center"/>
          </w:tcPr>
          <w:p w:rsidR="00F37E89" w:rsidRPr="00051D1A" w:rsidRDefault="00F37E89" w:rsidP="00F37E89">
            <w:r w:rsidRPr="00051D1A">
              <w:t>Male</w:t>
            </w:r>
          </w:p>
        </w:tc>
        <w:tc>
          <w:tcPr>
            <w:tcW w:w="1209" w:type="dxa"/>
            <w:tcBorders>
              <w:top w:val="single" w:sz="2" w:space="0" w:color="auto"/>
              <w:bottom w:val="single" w:sz="2" w:space="0" w:color="auto"/>
            </w:tcBorders>
            <w:shd w:val="clear" w:color="auto" w:fill="auto"/>
            <w:noWrap/>
            <w:hideMark/>
          </w:tcPr>
          <w:p w:rsidR="00F37E89" w:rsidRPr="00051D1A" w:rsidRDefault="00F37E89" w:rsidP="00F37E89">
            <w:r w:rsidRPr="00051D1A">
              <w:t>3530</w:t>
            </w:r>
          </w:p>
        </w:tc>
        <w:tc>
          <w:tcPr>
            <w:tcW w:w="721" w:type="dxa"/>
            <w:tcBorders>
              <w:top w:val="single" w:sz="2" w:space="0" w:color="auto"/>
              <w:bottom w:val="single" w:sz="2" w:space="0" w:color="auto"/>
            </w:tcBorders>
            <w:shd w:val="clear" w:color="auto" w:fill="auto"/>
            <w:noWrap/>
            <w:hideMark/>
          </w:tcPr>
          <w:p w:rsidR="00F37E89" w:rsidRPr="00051D1A" w:rsidRDefault="00F37E89" w:rsidP="00F37E89">
            <w:r w:rsidRPr="00051D1A">
              <w:t>6.0</w:t>
            </w:r>
          </w:p>
        </w:tc>
        <w:tc>
          <w:tcPr>
            <w:tcW w:w="1331" w:type="dxa"/>
            <w:tcBorders>
              <w:top w:val="single" w:sz="2" w:space="0" w:color="auto"/>
              <w:bottom w:val="single" w:sz="2" w:space="0" w:color="auto"/>
            </w:tcBorders>
            <w:shd w:val="clear" w:color="auto" w:fill="auto"/>
            <w:noWrap/>
            <w:hideMark/>
          </w:tcPr>
          <w:p w:rsidR="00F37E89" w:rsidRPr="00051D1A" w:rsidRDefault="00F37E89" w:rsidP="00F37E89">
            <w:r w:rsidRPr="00051D1A">
              <w:t>34500</w:t>
            </w:r>
          </w:p>
        </w:tc>
      </w:tr>
      <w:tr w:rsidR="00F37E89" w:rsidRPr="00051D1A" w:rsidTr="00B931AB">
        <w:trPr>
          <w:trHeight w:val="61"/>
        </w:trPr>
        <w:tc>
          <w:tcPr>
            <w:tcW w:w="993" w:type="dxa"/>
            <w:vMerge/>
            <w:vAlign w:val="center"/>
          </w:tcPr>
          <w:p w:rsidR="00F37E89" w:rsidRPr="00051D1A" w:rsidRDefault="00F37E89" w:rsidP="00F37E89"/>
        </w:tc>
        <w:tc>
          <w:tcPr>
            <w:tcW w:w="1398" w:type="dxa"/>
            <w:vMerge/>
            <w:shd w:val="clear" w:color="auto" w:fill="auto"/>
            <w:vAlign w:val="center"/>
            <w:hideMark/>
          </w:tcPr>
          <w:p w:rsidR="00F37E89" w:rsidRPr="00051D1A" w:rsidRDefault="00F37E89" w:rsidP="00F37E89"/>
        </w:tc>
        <w:tc>
          <w:tcPr>
            <w:tcW w:w="1275" w:type="dxa"/>
            <w:tcBorders>
              <w:top w:val="single" w:sz="2" w:space="0" w:color="auto"/>
              <w:left w:val="single" w:sz="4" w:space="0" w:color="auto"/>
            </w:tcBorders>
            <w:shd w:val="clear" w:color="auto" w:fill="auto"/>
            <w:vAlign w:val="center"/>
          </w:tcPr>
          <w:p w:rsidR="00F37E89" w:rsidRPr="00051D1A" w:rsidRDefault="00F37E89" w:rsidP="00F37E89">
            <w:r w:rsidRPr="00051D1A">
              <w:t>Female</w:t>
            </w:r>
          </w:p>
        </w:tc>
        <w:tc>
          <w:tcPr>
            <w:tcW w:w="1209" w:type="dxa"/>
            <w:tcBorders>
              <w:top w:val="single" w:sz="2" w:space="0" w:color="auto"/>
            </w:tcBorders>
            <w:shd w:val="clear" w:color="auto" w:fill="auto"/>
            <w:noWrap/>
            <w:hideMark/>
          </w:tcPr>
          <w:p w:rsidR="00F37E89" w:rsidRPr="00051D1A" w:rsidRDefault="00F37E89" w:rsidP="00F37E89">
            <w:r w:rsidRPr="00051D1A">
              <w:t>3670</w:t>
            </w:r>
          </w:p>
        </w:tc>
        <w:tc>
          <w:tcPr>
            <w:tcW w:w="721" w:type="dxa"/>
            <w:tcBorders>
              <w:top w:val="single" w:sz="2" w:space="0" w:color="auto"/>
            </w:tcBorders>
            <w:shd w:val="clear" w:color="auto" w:fill="auto"/>
            <w:noWrap/>
            <w:hideMark/>
          </w:tcPr>
          <w:p w:rsidR="00F37E89" w:rsidRPr="00051D1A" w:rsidRDefault="00F37E89" w:rsidP="00F37E89">
            <w:r w:rsidRPr="00051D1A">
              <w:t>5.7</w:t>
            </w:r>
          </w:p>
        </w:tc>
        <w:tc>
          <w:tcPr>
            <w:tcW w:w="1331" w:type="dxa"/>
            <w:tcBorders>
              <w:top w:val="single" w:sz="2" w:space="0" w:color="auto"/>
            </w:tcBorders>
            <w:shd w:val="clear" w:color="auto" w:fill="auto"/>
            <w:noWrap/>
            <w:hideMark/>
          </w:tcPr>
          <w:p w:rsidR="00F37E89" w:rsidRPr="00051D1A" w:rsidRDefault="00F37E89" w:rsidP="00F37E89">
            <w:r w:rsidRPr="00051D1A">
              <w:t>34500</w:t>
            </w:r>
          </w:p>
        </w:tc>
      </w:tr>
      <w:tr w:rsidR="00F37E89" w:rsidRPr="00051D1A" w:rsidTr="00B931AB">
        <w:trPr>
          <w:trHeight w:val="20"/>
        </w:trPr>
        <w:tc>
          <w:tcPr>
            <w:tcW w:w="993" w:type="dxa"/>
            <w:vMerge/>
            <w:vAlign w:val="center"/>
          </w:tcPr>
          <w:p w:rsidR="00F37E89" w:rsidRPr="00051D1A" w:rsidRDefault="00F37E89" w:rsidP="00F37E89"/>
        </w:tc>
        <w:tc>
          <w:tcPr>
            <w:tcW w:w="1398" w:type="dxa"/>
            <w:vMerge w:val="restart"/>
            <w:shd w:val="clear" w:color="auto" w:fill="auto"/>
            <w:noWrap/>
            <w:vAlign w:val="center"/>
            <w:hideMark/>
          </w:tcPr>
          <w:p w:rsidR="00F37E89" w:rsidRPr="00051D1A" w:rsidRDefault="00F37E89" w:rsidP="00F37E89">
            <w:r w:rsidRPr="00051D1A">
              <w:rPr>
                <w:rFonts w:hint="eastAsia"/>
              </w:rPr>
              <w:t>10</w:t>
            </w:r>
          </w:p>
        </w:tc>
        <w:tc>
          <w:tcPr>
            <w:tcW w:w="1275" w:type="dxa"/>
            <w:tcBorders>
              <w:left w:val="single" w:sz="4" w:space="0" w:color="auto"/>
            </w:tcBorders>
            <w:shd w:val="clear" w:color="auto" w:fill="auto"/>
            <w:vAlign w:val="center"/>
          </w:tcPr>
          <w:p w:rsidR="00F37E89" w:rsidRPr="00051D1A" w:rsidRDefault="00F37E89" w:rsidP="00F37E89">
            <w:r w:rsidRPr="00051D1A">
              <w:t>Male</w:t>
            </w:r>
          </w:p>
        </w:tc>
        <w:tc>
          <w:tcPr>
            <w:tcW w:w="1209" w:type="dxa"/>
            <w:shd w:val="clear" w:color="auto" w:fill="auto"/>
            <w:noWrap/>
            <w:hideMark/>
          </w:tcPr>
          <w:p w:rsidR="00F37E89" w:rsidRPr="00051D1A" w:rsidRDefault="00F37E89" w:rsidP="00F37E89">
            <w:r w:rsidRPr="00051D1A">
              <w:t>8690</w:t>
            </w:r>
          </w:p>
        </w:tc>
        <w:tc>
          <w:tcPr>
            <w:tcW w:w="721" w:type="dxa"/>
            <w:shd w:val="clear" w:color="auto" w:fill="auto"/>
            <w:noWrap/>
            <w:hideMark/>
          </w:tcPr>
          <w:p w:rsidR="00F37E89" w:rsidRPr="00051D1A" w:rsidRDefault="00F37E89" w:rsidP="00F37E89">
            <w:r w:rsidRPr="00051D1A">
              <w:t>5.1</w:t>
            </w:r>
          </w:p>
        </w:tc>
        <w:tc>
          <w:tcPr>
            <w:tcW w:w="1331" w:type="dxa"/>
            <w:shd w:val="clear" w:color="auto" w:fill="auto"/>
            <w:noWrap/>
            <w:hideMark/>
          </w:tcPr>
          <w:p w:rsidR="00F37E89" w:rsidRPr="00051D1A" w:rsidRDefault="00F37E89" w:rsidP="00F37E89">
            <w:r w:rsidRPr="00051D1A">
              <w:t>99200</w:t>
            </w:r>
          </w:p>
        </w:tc>
      </w:tr>
      <w:tr w:rsidR="00F37E89" w:rsidRPr="00051D1A" w:rsidTr="00B931AB">
        <w:trPr>
          <w:trHeight w:val="61"/>
        </w:trPr>
        <w:tc>
          <w:tcPr>
            <w:tcW w:w="993" w:type="dxa"/>
            <w:vMerge/>
            <w:vAlign w:val="center"/>
          </w:tcPr>
          <w:p w:rsidR="00F37E89" w:rsidRPr="00051D1A" w:rsidRDefault="00F37E89" w:rsidP="00F37E89"/>
        </w:tc>
        <w:tc>
          <w:tcPr>
            <w:tcW w:w="1398" w:type="dxa"/>
            <w:vMerge/>
            <w:shd w:val="clear" w:color="auto" w:fill="auto"/>
            <w:vAlign w:val="center"/>
            <w:hideMark/>
          </w:tcPr>
          <w:p w:rsidR="00F37E89" w:rsidRPr="00051D1A" w:rsidRDefault="00F37E89" w:rsidP="00F37E89"/>
        </w:tc>
        <w:tc>
          <w:tcPr>
            <w:tcW w:w="1275" w:type="dxa"/>
            <w:tcBorders>
              <w:left w:val="single" w:sz="4" w:space="0" w:color="auto"/>
            </w:tcBorders>
            <w:shd w:val="clear" w:color="auto" w:fill="auto"/>
            <w:vAlign w:val="center"/>
          </w:tcPr>
          <w:p w:rsidR="00F37E89" w:rsidRPr="00051D1A" w:rsidRDefault="00F37E89" w:rsidP="00F37E89">
            <w:r w:rsidRPr="00051D1A">
              <w:t>Female</w:t>
            </w:r>
          </w:p>
        </w:tc>
        <w:tc>
          <w:tcPr>
            <w:tcW w:w="1209" w:type="dxa"/>
            <w:shd w:val="clear" w:color="auto" w:fill="auto"/>
            <w:noWrap/>
            <w:hideMark/>
          </w:tcPr>
          <w:p w:rsidR="00F37E89" w:rsidRPr="00051D1A" w:rsidRDefault="00F37E89" w:rsidP="00F37E89">
            <w:r w:rsidRPr="00051D1A">
              <w:t>10200</w:t>
            </w:r>
          </w:p>
        </w:tc>
        <w:tc>
          <w:tcPr>
            <w:tcW w:w="721" w:type="dxa"/>
            <w:shd w:val="clear" w:color="auto" w:fill="auto"/>
            <w:noWrap/>
            <w:hideMark/>
          </w:tcPr>
          <w:p w:rsidR="00F37E89" w:rsidRPr="00051D1A" w:rsidRDefault="00F37E89" w:rsidP="00F37E89">
            <w:r w:rsidRPr="00051D1A">
              <w:t>5.4</w:t>
            </w:r>
          </w:p>
        </w:tc>
        <w:tc>
          <w:tcPr>
            <w:tcW w:w="1331" w:type="dxa"/>
            <w:shd w:val="clear" w:color="auto" w:fill="auto"/>
            <w:noWrap/>
            <w:hideMark/>
          </w:tcPr>
          <w:p w:rsidR="00F37E89" w:rsidRPr="00051D1A" w:rsidRDefault="00F37E89" w:rsidP="00F37E89">
            <w:r w:rsidRPr="00051D1A">
              <w:t>146000</w:t>
            </w:r>
          </w:p>
        </w:tc>
      </w:tr>
      <w:tr w:rsidR="00F37E89" w:rsidRPr="00051D1A" w:rsidTr="00B931AB">
        <w:trPr>
          <w:trHeight w:val="20"/>
        </w:trPr>
        <w:tc>
          <w:tcPr>
            <w:tcW w:w="993" w:type="dxa"/>
            <w:vMerge w:val="restart"/>
            <w:tcBorders>
              <w:top w:val="single" w:sz="6" w:space="0" w:color="auto"/>
            </w:tcBorders>
            <w:vAlign w:val="center"/>
          </w:tcPr>
          <w:p w:rsidR="00F37E89" w:rsidRPr="00051D1A" w:rsidRDefault="00F37E89" w:rsidP="00F37E89">
            <w:r w:rsidRPr="00051D1A">
              <w:t xml:space="preserve">Day </w:t>
            </w:r>
            <w:r w:rsidRPr="00051D1A">
              <w:rPr>
                <w:rFonts w:hint="eastAsia"/>
              </w:rPr>
              <w:t>28</w:t>
            </w:r>
          </w:p>
        </w:tc>
        <w:tc>
          <w:tcPr>
            <w:tcW w:w="1398" w:type="dxa"/>
            <w:vMerge w:val="restart"/>
            <w:tcBorders>
              <w:top w:val="single" w:sz="6" w:space="0" w:color="auto"/>
              <w:bottom w:val="single" w:sz="2" w:space="0" w:color="auto"/>
            </w:tcBorders>
            <w:shd w:val="clear" w:color="auto" w:fill="auto"/>
            <w:noWrap/>
            <w:vAlign w:val="center"/>
            <w:hideMark/>
          </w:tcPr>
          <w:p w:rsidR="00F37E89" w:rsidRPr="00051D1A" w:rsidRDefault="00F37E89" w:rsidP="00F37E89">
            <w:r w:rsidRPr="00051D1A">
              <w:rPr>
                <w:rFonts w:hint="eastAsia"/>
              </w:rPr>
              <w:t>1</w:t>
            </w:r>
          </w:p>
        </w:tc>
        <w:tc>
          <w:tcPr>
            <w:tcW w:w="1275" w:type="dxa"/>
            <w:tcBorders>
              <w:top w:val="single" w:sz="6" w:space="0" w:color="auto"/>
              <w:left w:val="single" w:sz="4" w:space="0" w:color="auto"/>
              <w:bottom w:val="single" w:sz="2" w:space="0" w:color="auto"/>
            </w:tcBorders>
            <w:shd w:val="clear" w:color="auto" w:fill="auto"/>
            <w:vAlign w:val="center"/>
          </w:tcPr>
          <w:p w:rsidR="00F37E89" w:rsidRPr="00051D1A" w:rsidRDefault="00F37E89" w:rsidP="00F37E89">
            <w:r w:rsidRPr="00051D1A">
              <w:t>Male</w:t>
            </w:r>
          </w:p>
        </w:tc>
        <w:tc>
          <w:tcPr>
            <w:tcW w:w="1209" w:type="dxa"/>
            <w:tcBorders>
              <w:top w:val="single" w:sz="6" w:space="0" w:color="auto"/>
              <w:bottom w:val="single" w:sz="2" w:space="0" w:color="auto"/>
            </w:tcBorders>
            <w:shd w:val="clear" w:color="auto" w:fill="auto"/>
            <w:noWrap/>
            <w:hideMark/>
          </w:tcPr>
          <w:p w:rsidR="00F37E89" w:rsidRPr="00051D1A" w:rsidRDefault="00F37E89" w:rsidP="00F37E89">
            <w:r w:rsidRPr="00051D1A">
              <w:t>1310</w:t>
            </w:r>
          </w:p>
        </w:tc>
        <w:tc>
          <w:tcPr>
            <w:tcW w:w="721" w:type="dxa"/>
            <w:tcBorders>
              <w:top w:val="single" w:sz="6" w:space="0" w:color="auto"/>
              <w:bottom w:val="single" w:sz="2" w:space="0" w:color="auto"/>
            </w:tcBorders>
            <w:shd w:val="clear" w:color="auto" w:fill="auto"/>
            <w:noWrap/>
            <w:hideMark/>
          </w:tcPr>
          <w:p w:rsidR="00F37E89" w:rsidRPr="00051D1A" w:rsidRDefault="00F37E89" w:rsidP="00F37E89">
            <w:r w:rsidRPr="00051D1A">
              <w:t>6.0</w:t>
            </w:r>
          </w:p>
        </w:tc>
        <w:tc>
          <w:tcPr>
            <w:tcW w:w="1331" w:type="dxa"/>
            <w:tcBorders>
              <w:top w:val="single" w:sz="6" w:space="0" w:color="auto"/>
              <w:bottom w:val="single" w:sz="2" w:space="0" w:color="auto"/>
            </w:tcBorders>
            <w:shd w:val="clear" w:color="auto" w:fill="auto"/>
            <w:noWrap/>
            <w:hideMark/>
          </w:tcPr>
          <w:p w:rsidR="00F37E89" w:rsidRPr="00051D1A" w:rsidRDefault="00F37E89" w:rsidP="00F37E89">
            <w:r w:rsidRPr="00051D1A">
              <w:t>12900</w:t>
            </w:r>
          </w:p>
        </w:tc>
      </w:tr>
      <w:tr w:rsidR="00F37E89" w:rsidRPr="00051D1A" w:rsidTr="00B931AB">
        <w:trPr>
          <w:trHeight w:val="20"/>
        </w:trPr>
        <w:tc>
          <w:tcPr>
            <w:tcW w:w="993" w:type="dxa"/>
            <w:vMerge/>
            <w:vAlign w:val="center"/>
          </w:tcPr>
          <w:p w:rsidR="00F37E89" w:rsidRPr="00051D1A" w:rsidRDefault="00F37E89" w:rsidP="00F37E89"/>
        </w:tc>
        <w:tc>
          <w:tcPr>
            <w:tcW w:w="1398" w:type="dxa"/>
            <w:vMerge/>
            <w:tcBorders>
              <w:top w:val="single" w:sz="2" w:space="0" w:color="auto"/>
              <w:bottom w:val="single" w:sz="2" w:space="0" w:color="auto"/>
            </w:tcBorders>
            <w:shd w:val="clear" w:color="auto" w:fill="auto"/>
            <w:noWrap/>
            <w:vAlign w:val="center"/>
            <w:hideMark/>
          </w:tcPr>
          <w:p w:rsidR="00F37E89" w:rsidRPr="00051D1A" w:rsidRDefault="00F37E89" w:rsidP="00F37E89"/>
        </w:tc>
        <w:tc>
          <w:tcPr>
            <w:tcW w:w="1275" w:type="dxa"/>
            <w:tcBorders>
              <w:top w:val="single" w:sz="2" w:space="0" w:color="auto"/>
              <w:left w:val="single" w:sz="4" w:space="0" w:color="auto"/>
              <w:bottom w:val="single" w:sz="2" w:space="0" w:color="auto"/>
            </w:tcBorders>
            <w:shd w:val="clear" w:color="auto" w:fill="auto"/>
            <w:vAlign w:val="center"/>
          </w:tcPr>
          <w:p w:rsidR="00F37E89" w:rsidRPr="00051D1A" w:rsidRDefault="00F37E89" w:rsidP="00F37E89">
            <w:r w:rsidRPr="00051D1A">
              <w:t>Female</w:t>
            </w:r>
          </w:p>
        </w:tc>
        <w:tc>
          <w:tcPr>
            <w:tcW w:w="1209" w:type="dxa"/>
            <w:tcBorders>
              <w:top w:val="single" w:sz="2" w:space="0" w:color="auto"/>
              <w:bottom w:val="single" w:sz="2" w:space="0" w:color="auto"/>
            </w:tcBorders>
            <w:shd w:val="clear" w:color="auto" w:fill="auto"/>
            <w:noWrap/>
            <w:hideMark/>
          </w:tcPr>
          <w:p w:rsidR="00F37E89" w:rsidRPr="00051D1A" w:rsidRDefault="00F37E89" w:rsidP="00F37E89">
            <w:r w:rsidRPr="00051D1A">
              <w:t>924</w:t>
            </w:r>
          </w:p>
        </w:tc>
        <w:tc>
          <w:tcPr>
            <w:tcW w:w="721" w:type="dxa"/>
            <w:tcBorders>
              <w:top w:val="single" w:sz="2" w:space="0" w:color="auto"/>
              <w:bottom w:val="single" w:sz="2" w:space="0" w:color="auto"/>
            </w:tcBorders>
            <w:shd w:val="clear" w:color="auto" w:fill="auto"/>
            <w:noWrap/>
            <w:hideMark/>
          </w:tcPr>
          <w:p w:rsidR="00F37E89" w:rsidRPr="00051D1A" w:rsidRDefault="00F37E89" w:rsidP="00F37E89">
            <w:r w:rsidRPr="00051D1A">
              <w:t>6.0</w:t>
            </w:r>
          </w:p>
        </w:tc>
        <w:tc>
          <w:tcPr>
            <w:tcW w:w="1331" w:type="dxa"/>
            <w:tcBorders>
              <w:top w:val="single" w:sz="2" w:space="0" w:color="auto"/>
              <w:bottom w:val="single" w:sz="2" w:space="0" w:color="auto"/>
            </w:tcBorders>
            <w:shd w:val="clear" w:color="auto" w:fill="auto"/>
            <w:noWrap/>
            <w:hideMark/>
          </w:tcPr>
          <w:p w:rsidR="00F37E89" w:rsidRPr="00051D1A" w:rsidRDefault="00F37E89" w:rsidP="00F37E89">
            <w:r w:rsidRPr="00051D1A">
              <w:t>9400</w:t>
            </w:r>
          </w:p>
        </w:tc>
      </w:tr>
      <w:tr w:rsidR="00F37E89" w:rsidRPr="00051D1A" w:rsidTr="00B931AB">
        <w:trPr>
          <w:trHeight w:val="20"/>
        </w:trPr>
        <w:tc>
          <w:tcPr>
            <w:tcW w:w="993" w:type="dxa"/>
            <w:vMerge/>
            <w:vAlign w:val="center"/>
          </w:tcPr>
          <w:p w:rsidR="00F37E89" w:rsidRPr="00051D1A" w:rsidRDefault="00F37E89" w:rsidP="00F37E89"/>
        </w:tc>
        <w:tc>
          <w:tcPr>
            <w:tcW w:w="1398" w:type="dxa"/>
            <w:vMerge w:val="restart"/>
            <w:tcBorders>
              <w:top w:val="single" w:sz="2" w:space="0" w:color="auto"/>
            </w:tcBorders>
            <w:shd w:val="clear" w:color="auto" w:fill="auto"/>
            <w:noWrap/>
            <w:vAlign w:val="center"/>
            <w:hideMark/>
          </w:tcPr>
          <w:p w:rsidR="00F37E89" w:rsidRPr="00051D1A" w:rsidRDefault="00F37E89" w:rsidP="00F37E89">
            <w:r w:rsidRPr="00051D1A">
              <w:rPr>
                <w:rFonts w:hint="eastAsia"/>
              </w:rPr>
              <w:t>3</w:t>
            </w:r>
          </w:p>
        </w:tc>
        <w:tc>
          <w:tcPr>
            <w:tcW w:w="1275" w:type="dxa"/>
            <w:tcBorders>
              <w:top w:val="single" w:sz="2" w:space="0" w:color="auto"/>
              <w:left w:val="single" w:sz="4" w:space="0" w:color="auto"/>
              <w:bottom w:val="single" w:sz="2" w:space="0" w:color="auto"/>
            </w:tcBorders>
            <w:shd w:val="clear" w:color="auto" w:fill="auto"/>
            <w:vAlign w:val="center"/>
          </w:tcPr>
          <w:p w:rsidR="00F37E89" w:rsidRPr="00051D1A" w:rsidRDefault="00F37E89" w:rsidP="00F37E89">
            <w:r w:rsidRPr="00051D1A">
              <w:t>Male</w:t>
            </w:r>
          </w:p>
        </w:tc>
        <w:tc>
          <w:tcPr>
            <w:tcW w:w="1209" w:type="dxa"/>
            <w:tcBorders>
              <w:top w:val="single" w:sz="2" w:space="0" w:color="auto"/>
              <w:bottom w:val="single" w:sz="2" w:space="0" w:color="auto"/>
            </w:tcBorders>
            <w:shd w:val="clear" w:color="auto" w:fill="auto"/>
            <w:noWrap/>
            <w:hideMark/>
          </w:tcPr>
          <w:p w:rsidR="00F37E89" w:rsidRPr="00051D1A" w:rsidRDefault="00F37E89" w:rsidP="00F37E89">
            <w:r w:rsidRPr="00051D1A">
              <w:t>2960</w:t>
            </w:r>
          </w:p>
        </w:tc>
        <w:tc>
          <w:tcPr>
            <w:tcW w:w="721" w:type="dxa"/>
            <w:tcBorders>
              <w:top w:val="single" w:sz="2" w:space="0" w:color="auto"/>
              <w:bottom w:val="single" w:sz="2" w:space="0" w:color="auto"/>
            </w:tcBorders>
            <w:shd w:val="clear" w:color="auto" w:fill="auto"/>
            <w:noWrap/>
            <w:hideMark/>
          </w:tcPr>
          <w:p w:rsidR="00F37E89" w:rsidRPr="00051D1A" w:rsidRDefault="00F37E89" w:rsidP="00F37E89">
            <w:r w:rsidRPr="00051D1A">
              <w:t>6.0</w:t>
            </w:r>
          </w:p>
        </w:tc>
        <w:tc>
          <w:tcPr>
            <w:tcW w:w="1331" w:type="dxa"/>
            <w:tcBorders>
              <w:top w:val="single" w:sz="2" w:space="0" w:color="auto"/>
              <w:bottom w:val="single" w:sz="2" w:space="0" w:color="auto"/>
            </w:tcBorders>
            <w:shd w:val="clear" w:color="auto" w:fill="auto"/>
            <w:noWrap/>
            <w:hideMark/>
          </w:tcPr>
          <w:p w:rsidR="00F37E89" w:rsidRPr="00051D1A" w:rsidRDefault="00F37E89" w:rsidP="00F37E89">
            <w:r w:rsidRPr="00051D1A">
              <w:t>31800</w:t>
            </w:r>
          </w:p>
        </w:tc>
      </w:tr>
      <w:tr w:rsidR="00F37E89" w:rsidRPr="00051D1A" w:rsidTr="00B931AB">
        <w:trPr>
          <w:trHeight w:val="61"/>
        </w:trPr>
        <w:tc>
          <w:tcPr>
            <w:tcW w:w="993" w:type="dxa"/>
            <w:vMerge/>
            <w:vAlign w:val="center"/>
          </w:tcPr>
          <w:p w:rsidR="00F37E89" w:rsidRPr="00051D1A" w:rsidRDefault="00F37E89" w:rsidP="00F37E89"/>
        </w:tc>
        <w:tc>
          <w:tcPr>
            <w:tcW w:w="1398" w:type="dxa"/>
            <w:vMerge/>
            <w:shd w:val="clear" w:color="auto" w:fill="auto"/>
            <w:vAlign w:val="center"/>
            <w:hideMark/>
          </w:tcPr>
          <w:p w:rsidR="00F37E89" w:rsidRPr="00051D1A" w:rsidRDefault="00F37E89" w:rsidP="00F37E89"/>
        </w:tc>
        <w:tc>
          <w:tcPr>
            <w:tcW w:w="1275" w:type="dxa"/>
            <w:tcBorders>
              <w:top w:val="single" w:sz="2" w:space="0" w:color="auto"/>
              <w:left w:val="single" w:sz="4" w:space="0" w:color="auto"/>
            </w:tcBorders>
            <w:shd w:val="clear" w:color="auto" w:fill="auto"/>
            <w:vAlign w:val="center"/>
          </w:tcPr>
          <w:p w:rsidR="00F37E89" w:rsidRPr="00051D1A" w:rsidRDefault="00F37E89" w:rsidP="00F37E89">
            <w:r w:rsidRPr="00051D1A">
              <w:t>Female</w:t>
            </w:r>
          </w:p>
        </w:tc>
        <w:tc>
          <w:tcPr>
            <w:tcW w:w="1209" w:type="dxa"/>
            <w:tcBorders>
              <w:top w:val="single" w:sz="2" w:space="0" w:color="auto"/>
            </w:tcBorders>
            <w:shd w:val="clear" w:color="auto" w:fill="auto"/>
            <w:noWrap/>
            <w:hideMark/>
          </w:tcPr>
          <w:p w:rsidR="00F37E89" w:rsidRPr="00051D1A" w:rsidRDefault="00F37E89" w:rsidP="00F37E89">
            <w:r w:rsidRPr="00051D1A">
              <w:t>2780</w:t>
            </w:r>
          </w:p>
        </w:tc>
        <w:tc>
          <w:tcPr>
            <w:tcW w:w="721" w:type="dxa"/>
            <w:tcBorders>
              <w:top w:val="single" w:sz="2" w:space="0" w:color="auto"/>
            </w:tcBorders>
            <w:shd w:val="clear" w:color="auto" w:fill="auto"/>
            <w:noWrap/>
            <w:hideMark/>
          </w:tcPr>
          <w:p w:rsidR="00F37E89" w:rsidRPr="00051D1A" w:rsidRDefault="00F37E89" w:rsidP="00F37E89">
            <w:r w:rsidRPr="00051D1A">
              <w:t>6.0</w:t>
            </w:r>
          </w:p>
        </w:tc>
        <w:tc>
          <w:tcPr>
            <w:tcW w:w="1331" w:type="dxa"/>
            <w:tcBorders>
              <w:top w:val="single" w:sz="2" w:space="0" w:color="auto"/>
            </w:tcBorders>
            <w:shd w:val="clear" w:color="auto" w:fill="auto"/>
            <w:noWrap/>
            <w:hideMark/>
          </w:tcPr>
          <w:p w:rsidR="00F37E89" w:rsidRPr="00051D1A" w:rsidRDefault="00F37E89" w:rsidP="00F37E89">
            <w:r w:rsidRPr="00051D1A">
              <w:t>29300</w:t>
            </w:r>
          </w:p>
        </w:tc>
      </w:tr>
      <w:tr w:rsidR="00F37E89" w:rsidRPr="00051D1A" w:rsidTr="00B931AB">
        <w:trPr>
          <w:trHeight w:val="20"/>
        </w:trPr>
        <w:tc>
          <w:tcPr>
            <w:tcW w:w="993" w:type="dxa"/>
            <w:vMerge/>
            <w:vAlign w:val="center"/>
          </w:tcPr>
          <w:p w:rsidR="00F37E89" w:rsidRPr="00051D1A" w:rsidRDefault="00F37E89" w:rsidP="00F37E89"/>
        </w:tc>
        <w:tc>
          <w:tcPr>
            <w:tcW w:w="1398" w:type="dxa"/>
            <w:vMerge w:val="restart"/>
            <w:shd w:val="clear" w:color="auto" w:fill="auto"/>
            <w:noWrap/>
            <w:vAlign w:val="center"/>
            <w:hideMark/>
          </w:tcPr>
          <w:p w:rsidR="00F37E89" w:rsidRPr="00051D1A" w:rsidRDefault="00F37E89" w:rsidP="00F37E89">
            <w:r w:rsidRPr="00051D1A">
              <w:rPr>
                <w:rFonts w:hint="eastAsia"/>
              </w:rPr>
              <w:t>10</w:t>
            </w:r>
          </w:p>
        </w:tc>
        <w:tc>
          <w:tcPr>
            <w:tcW w:w="1275" w:type="dxa"/>
            <w:tcBorders>
              <w:left w:val="single" w:sz="4" w:space="0" w:color="auto"/>
            </w:tcBorders>
            <w:shd w:val="clear" w:color="auto" w:fill="auto"/>
            <w:vAlign w:val="center"/>
          </w:tcPr>
          <w:p w:rsidR="00F37E89" w:rsidRPr="00051D1A" w:rsidRDefault="00F37E89" w:rsidP="00F37E89">
            <w:r w:rsidRPr="00051D1A">
              <w:t>Male</w:t>
            </w:r>
          </w:p>
        </w:tc>
        <w:tc>
          <w:tcPr>
            <w:tcW w:w="1209" w:type="dxa"/>
            <w:shd w:val="clear" w:color="auto" w:fill="auto"/>
            <w:noWrap/>
            <w:hideMark/>
          </w:tcPr>
          <w:p w:rsidR="00F37E89" w:rsidRPr="00051D1A" w:rsidRDefault="00F37E89" w:rsidP="00F37E89">
            <w:r w:rsidRPr="00051D1A">
              <w:t>7940</w:t>
            </w:r>
          </w:p>
        </w:tc>
        <w:tc>
          <w:tcPr>
            <w:tcW w:w="721" w:type="dxa"/>
            <w:shd w:val="clear" w:color="auto" w:fill="auto"/>
            <w:noWrap/>
            <w:hideMark/>
          </w:tcPr>
          <w:p w:rsidR="00F37E89" w:rsidRPr="00051D1A" w:rsidRDefault="00F37E89" w:rsidP="00F37E89">
            <w:r w:rsidRPr="00051D1A">
              <w:t>6.0</w:t>
            </w:r>
          </w:p>
        </w:tc>
        <w:tc>
          <w:tcPr>
            <w:tcW w:w="1331" w:type="dxa"/>
            <w:shd w:val="clear" w:color="auto" w:fill="auto"/>
            <w:noWrap/>
            <w:hideMark/>
          </w:tcPr>
          <w:p w:rsidR="00F37E89" w:rsidRPr="00051D1A" w:rsidRDefault="00F37E89" w:rsidP="00F37E89">
            <w:r w:rsidRPr="00051D1A">
              <w:t>107000</w:t>
            </w:r>
          </w:p>
        </w:tc>
      </w:tr>
      <w:tr w:rsidR="00F37E89" w:rsidRPr="00051D1A" w:rsidTr="00B931AB">
        <w:trPr>
          <w:trHeight w:val="61"/>
        </w:trPr>
        <w:tc>
          <w:tcPr>
            <w:tcW w:w="993" w:type="dxa"/>
            <w:vMerge/>
            <w:vAlign w:val="center"/>
          </w:tcPr>
          <w:p w:rsidR="00F37E89" w:rsidRPr="00051D1A" w:rsidRDefault="00F37E89" w:rsidP="00F37E89"/>
        </w:tc>
        <w:tc>
          <w:tcPr>
            <w:tcW w:w="1398" w:type="dxa"/>
            <w:vMerge/>
            <w:shd w:val="clear" w:color="auto" w:fill="auto"/>
            <w:vAlign w:val="center"/>
            <w:hideMark/>
          </w:tcPr>
          <w:p w:rsidR="00F37E89" w:rsidRPr="00051D1A" w:rsidRDefault="00F37E89" w:rsidP="00F37E89"/>
        </w:tc>
        <w:tc>
          <w:tcPr>
            <w:tcW w:w="1275" w:type="dxa"/>
            <w:tcBorders>
              <w:left w:val="single" w:sz="4" w:space="0" w:color="auto"/>
            </w:tcBorders>
            <w:shd w:val="clear" w:color="auto" w:fill="auto"/>
            <w:vAlign w:val="center"/>
          </w:tcPr>
          <w:p w:rsidR="00F37E89" w:rsidRPr="00051D1A" w:rsidRDefault="00F37E89" w:rsidP="00F37E89">
            <w:r w:rsidRPr="00051D1A">
              <w:t>Female</w:t>
            </w:r>
          </w:p>
        </w:tc>
        <w:tc>
          <w:tcPr>
            <w:tcW w:w="1209" w:type="dxa"/>
            <w:shd w:val="clear" w:color="auto" w:fill="auto"/>
            <w:noWrap/>
            <w:hideMark/>
          </w:tcPr>
          <w:p w:rsidR="00F37E89" w:rsidRPr="00051D1A" w:rsidRDefault="00F37E89" w:rsidP="00F37E89">
            <w:r w:rsidRPr="00051D1A">
              <w:t>10500</w:t>
            </w:r>
          </w:p>
        </w:tc>
        <w:tc>
          <w:tcPr>
            <w:tcW w:w="721" w:type="dxa"/>
            <w:shd w:val="clear" w:color="auto" w:fill="auto"/>
            <w:noWrap/>
            <w:hideMark/>
          </w:tcPr>
          <w:p w:rsidR="00F37E89" w:rsidRPr="00051D1A" w:rsidRDefault="00F37E89" w:rsidP="00F37E89">
            <w:r w:rsidRPr="00051D1A">
              <w:t>5.7</w:t>
            </w:r>
          </w:p>
        </w:tc>
        <w:tc>
          <w:tcPr>
            <w:tcW w:w="1331" w:type="dxa"/>
            <w:shd w:val="clear" w:color="auto" w:fill="auto"/>
            <w:noWrap/>
            <w:hideMark/>
          </w:tcPr>
          <w:p w:rsidR="00F37E89" w:rsidRPr="00051D1A" w:rsidRDefault="00F37E89" w:rsidP="00F37E89">
            <w:r w:rsidRPr="00051D1A">
              <w:t>132000</w:t>
            </w:r>
          </w:p>
        </w:tc>
      </w:tr>
    </w:tbl>
    <w:p w:rsidR="00F37E89" w:rsidRPr="00886A14" w:rsidRDefault="00F37E89" w:rsidP="00F37E89">
      <w:proofErr w:type="spellStart"/>
      <w:r w:rsidRPr="0027024D">
        <w:t>t</w:t>
      </w:r>
      <w:r w:rsidRPr="0027024D">
        <w:rPr>
          <w:vertAlign w:val="subscript"/>
        </w:rPr>
        <w:t>max</w:t>
      </w:r>
      <w:proofErr w:type="spellEnd"/>
      <w:r w:rsidRPr="0027024D">
        <w:t xml:space="preserve"> values were from </w:t>
      </w:r>
      <w:r w:rsidRPr="0027024D">
        <w:rPr>
          <w:rFonts w:hint="eastAsia"/>
        </w:rPr>
        <w:t>4.5</w:t>
      </w:r>
      <w:r w:rsidRPr="0027024D">
        <w:t xml:space="preserve"> to </w:t>
      </w:r>
      <w:r w:rsidRPr="0027024D">
        <w:rPr>
          <w:rFonts w:hint="eastAsia"/>
        </w:rPr>
        <w:t>6.0</w:t>
      </w:r>
      <w:r w:rsidRPr="0027024D">
        <w:t xml:space="preserve"> h</w:t>
      </w:r>
      <w:r w:rsidRPr="0027024D">
        <w:rPr>
          <w:rFonts w:hint="eastAsia"/>
        </w:rPr>
        <w:t>ours</w:t>
      </w:r>
      <w:r w:rsidRPr="0027024D">
        <w:t xml:space="preserve"> in all dose groups. </w:t>
      </w:r>
      <w:proofErr w:type="spellStart"/>
      <w:r w:rsidRPr="0027024D">
        <w:t>C</w:t>
      </w:r>
      <w:r w:rsidRPr="0027024D">
        <w:rPr>
          <w:vertAlign w:val="subscript"/>
        </w:rPr>
        <w:t>max</w:t>
      </w:r>
      <w:proofErr w:type="spellEnd"/>
      <w:r w:rsidRPr="0027024D">
        <w:t xml:space="preserve"> and AUC</w:t>
      </w:r>
      <w:r w:rsidRPr="0027024D">
        <w:rPr>
          <w:vertAlign w:val="subscript"/>
        </w:rPr>
        <w:t>24</w:t>
      </w:r>
      <w:r w:rsidRPr="0027024D">
        <w:t xml:space="preserve"> values increased </w:t>
      </w:r>
      <w:r w:rsidRPr="0027024D">
        <w:rPr>
          <w:rFonts w:hint="eastAsia"/>
        </w:rPr>
        <w:t>almost</w:t>
      </w:r>
      <w:r w:rsidRPr="0027024D">
        <w:t xml:space="preserve"> dose</w:t>
      </w:r>
      <w:r w:rsidRPr="0027024D">
        <w:rPr>
          <w:rFonts w:hint="eastAsia"/>
        </w:rPr>
        <w:t xml:space="preserve"> proportionally for</w:t>
      </w:r>
      <w:r w:rsidRPr="0027024D">
        <w:t xml:space="preserve"> both sexes. With repeated dosing, </w:t>
      </w:r>
      <w:proofErr w:type="spellStart"/>
      <w:r w:rsidRPr="0027024D">
        <w:t>C</w:t>
      </w:r>
      <w:r w:rsidRPr="0027024D">
        <w:rPr>
          <w:vertAlign w:val="subscript"/>
        </w:rPr>
        <w:t>max</w:t>
      </w:r>
      <w:proofErr w:type="spellEnd"/>
      <w:r w:rsidRPr="0027024D">
        <w:t xml:space="preserve"> and AUC</w:t>
      </w:r>
      <w:r w:rsidRPr="0027024D">
        <w:rPr>
          <w:vertAlign w:val="subscript"/>
        </w:rPr>
        <w:t>24</w:t>
      </w:r>
      <w:r w:rsidRPr="0027024D">
        <w:t xml:space="preserve"> values </w:t>
      </w:r>
      <w:r w:rsidRPr="0027024D">
        <w:rPr>
          <w:rFonts w:hint="eastAsia"/>
        </w:rPr>
        <w:t xml:space="preserve">on Days 14 and 28 of dosing </w:t>
      </w:r>
      <w:r w:rsidRPr="0027024D">
        <w:t>were</w:t>
      </w:r>
      <w:r w:rsidRPr="0027024D">
        <w:rPr>
          <w:rFonts w:hint="eastAsia"/>
        </w:rPr>
        <w:t xml:space="preserve"> higher than those on Day 1</w:t>
      </w:r>
      <w:r w:rsidRPr="0027024D">
        <w:t xml:space="preserve"> </w:t>
      </w:r>
      <w:r w:rsidRPr="0027024D">
        <w:rPr>
          <w:rFonts w:hint="eastAsia"/>
        </w:rPr>
        <w:t>of dosing at</w:t>
      </w:r>
      <w:r w:rsidRPr="0027024D">
        <w:t xml:space="preserve"> </w:t>
      </w:r>
      <w:r w:rsidRPr="0027024D">
        <w:rPr>
          <w:rFonts w:hint="eastAsia"/>
        </w:rPr>
        <w:t>each</w:t>
      </w:r>
      <w:r w:rsidRPr="0027024D">
        <w:t xml:space="preserve"> dose level </w:t>
      </w:r>
      <w:r w:rsidRPr="0027024D">
        <w:rPr>
          <w:rFonts w:hint="eastAsia"/>
        </w:rPr>
        <w:t>for</w:t>
      </w:r>
      <w:r w:rsidRPr="0027024D">
        <w:t xml:space="preserve"> </w:t>
      </w:r>
      <w:r w:rsidRPr="0027024D">
        <w:rPr>
          <w:rFonts w:hint="eastAsia"/>
        </w:rPr>
        <w:t>both</w:t>
      </w:r>
      <w:r w:rsidRPr="0027024D">
        <w:t xml:space="preserve"> sex</w:t>
      </w:r>
      <w:r w:rsidRPr="0027024D">
        <w:rPr>
          <w:rFonts w:hint="eastAsia"/>
        </w:rPr>
        <w:t>es</w:t>
      </w:r>
      <w:r w:rsidRPr="0027024D">
        <w:t xml:space="preserve">. </w:t>
      </w:r>
      <w:r w:rsidRPr="0027024D">
        <w:rPr>
          <w:rFonts w:hint="eastAsia"/>
        </w:rPr>
        <w:t xml:space="preserve">There was no difference between Day 14 and Day 28 of dosing regarding </w:t>
      </w:r>
      <w:proofErr w:type="spellStart"/>
      <w:r w:rsidRPr="0027024D">
        <w:t>C</w:t>
      </w:r>
      <w:r w:rsidRPr="0027024D">
        <w:rPr>
          <w:vertAlign w:val="subscript"/>
        </w:rPr>
        <w:t>max</w:t>
      </w:r>
      <w:proofErr w:type="spellEnd"/>
      <w:r w:rsidRPr="0027024D">
        <w:t xml:space="preserve"> and AUC</w:t>
      </w:r>
      <w:r w:rsidRPr="0027024D">
        <w:rPr>
          <w:vertAlign w:val="subscript"/>
        </w:rPr>
        <w:t>24</w:t>
      </w:r>
      <w:r w:rsidRPr="0027024D">
        <w:rPr>
          <w:rFonts w:hint="eastAsia"/>
          <w:vertAlign w:val="subscript"/>
        </w:rPr>
        <w:t xml:space="preserve">. </w:t>
      </w:r>
      <w:r w:rsidRPr="0027024D">
        <w:t xml:space="preserve">No clear differences were observed in </w:t>
      </w:r>
      <w:proofErr w:type="spellStart"/>
      <w:r w:rsidRPr="0027024D">
        <w:t>C</w:t>
      </w:r>
      <w:r w:rsidRPr="0027024D">
        <w:rPr>
          <w:vertAlign w:val="subscript"/>
        </w:rPr>
        <w:t>max</w:t>
      </w:r>
      <w:proofErr w:type="spellEnd"/>
      <w:r w:rsidRPr="0027024D">
        <w:t xml:space="preserve"> or AUC</w:t>
      </w:r>
      <w:r w:rsidRPr="0027024D">
        <w:rPr>
          <w:vertAlign w:val="subscript"/>
        </w:rPr>
        <w:t>24</w:t>
      </w:r>
      <w:r w:rsidRPr="0027024D">
        <w:t xml:space="preserve"> values in either sex at any dose.</w:t>
      </w:r>
    </w:p>
    <w:p w:rsidR="00F37E89" w:rsidRPr="00886A14" w:rsidRDefault="00F37E89" w:rsidP="00F37E89">
      <w:pPr>
        <w:rPr>
          <w:color w:val="0000FF"/>
        </w:rPr>
      </w:pPr>
      <w:r w:rsidRPr="00886A14">
        <w:t xml:space="preserve">It was concluded that, under the conditions of this study, the NOAEL was </w:t>
      </w:r>
      <w:r w:rsidRPr="00886A14">
        <w:rPr>
          <w:rFonts w:hint="eastAsia"/>
        </w:rPr>
        <w:t>1</w:t>
      </w:r>
      <w:r w:rsidRPr="00886A14">
        <w:t xml:space="preserve"> mg/kg/day as </w:t>
      </w:r>
      <w:r w:rsidR="006F0AA8">
        <w:t>PROJECT D</w:t>
      </w:r>
      <w:r w:rsidRPr="00886A14">
        <w:t xml:space="preserve"> for males and females.</w:t>
      </w:r>
    </w:p>
    <w:p w:rsidR="009F503D" w:rsidRPr="00F37E89" w:rsidRDefault="009F503D" w:rsidP="009F503D">
      <w:pPr>
        <w:rPr>
          <w:b/>
          <w:bCs/>
          <w:kern w:val="0"/>
          <w:sz w:val="28"/>
          <w:szCs w:val="28"/>
        </w:rPr>
      </w:pPr>
    </w:p>
    <w:sectPr w:rsidR="009F503D" w:rsidRPr="00F37E89" w:rsidSect="009F503D">
      <w:footerReference w:type="default" r:id="rId7"/>
      <w:pgSz w:w="11900" w:h="16840"/>
      <w:pgMar w:top="1660" w:right="96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9C9" w:rsidRDefault="004959C9" w:rsidP="00321748">
      <w:r>
        <w:separator/>
      </w:r>
    </w:p>
  </w:endnote>
  <w:endnote w:type="continuationSeparator" w:id="0">
    <w:p w:rsidR="004959C9" w:rsidRDefault="004959C9"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416" w:rsidRDefault="00571416">
    <w:pPr>
      <w:pStyle w:val="a7"/>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9C9" w:rsidRDefault="004959C9" w:rsidP="00321748">
      <w:r>
        <w:separator/>
      </w:r>
    </w:p>
  </w:footnote>
  <w:footnote w:type="continuationSeparator" w:id="0">
    <w:p w:rsidR="004959C9" w:rsidRDefault="004959C9"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804FC"/>
    <w:rsid w:val="0009083A"/>
    <w:rsid w:val="000934E2"/>
    <w:rsid w:val="000F6409"/>
    <w:rsid w:val="0012153B"/>
    <w:rsid w:val="0015063C"/>
    <w:rsid w:val="0016126B"/>
    <w:rsid w:val="002206D5"/>
    <w:rsid w:val="00280895"/>
    <w:rsid w:val="002C7EB3"/>
    <w:rsid w:val="002D7B26"/>
    <w:rsid w:val="00305291"/>
    <w:rsid w:val="003065FF"/>
    <w:rsid w:val="00321748"/>
    <w:rsid w:val="00361285"/>
    <w:rsid w:val="00380F69"/>
    <w:rsid w:val="003A0A7C"/>
    <w:rsid w:val="003C3D3C"/>
    <w:rsid w:val="003F667A"/>
    <w:rsid w:val="004929BD"/>
    <w:rsid w:val="004959C9"/>
    <w:rsid w:val="00571416"/>
    <w:rsid w:val="005835E5"/>
    <w:rsid w:val="005B7D2B"/>
    <w:rsid w:val="00667206"/>
    <w:rsid w:val="006C2900"/>
    <w:rsid w:val="006D1EC1"/>
    <w:rsid w:val="006F0AA8"/>
    <w:rsid w:val="006F292D"/>
    <w:rsid w:val="0071344D"/>
    <w:rsid w:val="00714904"/>
    <w:rsid w:val="0078042E"/>
    <w:rsid w:val="007A13A0"/>
    <w:rsid w:val="007B04E7"/>
    <w:rsid w:val="007C55F6"/>
    <w:rsid w:val="007C6290"/>
    <w:rsid w:val="008E19B0"/>
    <w:rsid w:val="009376DC"/>
    <w:rsid w:val="00950A3B"/>
    <w:rsid w:val="00953BD7"/>
    <w:rsid w:val="00977F68"/>
    <w:rsid w:val="009F503D"/>
    <w:rsid w:val="00A13523"/>
    <w:rsid w:val="00AA621D"/>
    <w:rsid w:val="00AC22DF"/>
    <w:rsid w:val="00BC0EC2"/>
    <w:rsid w:val="00C20ABD"/>
    <w:rsid w:val="00C75423"/>
    <w:rsid w:val="00C93565"/>
    <w:rsid w:val="00D0213C"/>
    <w:rsid w:val="00D154DC"/>
    <w:rsid w:val="00D42AC7"/>
    <w:rsid w:val="00D86D90"/>
    <w:rsid w:val="00D87BA5"/>
    <w:rsid w:val="00DA3A6D"/>
    <w:rsid w:val="00E62016"/>
    <w:rsid w:val="00E924DB"/>
    <w:rsid w:val="00ED218C"/>
    <w:rsid w:val="00EE3238"/>
    <w:rsid w:val="00F13C81"/>
    <w:rsid w:val="00F3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71416"/>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paragraph" w:customStyle="1" w:styleId="00Paragraph">
    <w:name w:val="00Paragraph"/>
    <w:link w:val="00Paragraph0"/>
    <w:qFormat/>
    <w:rsid w:val="00F37E89"/>
    <w:pPr>
      <w:spacing w:before="120" w:after="120" w:line="300" w:lineRule="atLeast"/>
    </w:pPr>
    <w:rPr>
      <w:kern w:val="0"/>
      <w:sz w:val="24"/>
      <w:szCs w:val="24"/>
      <w:lang w:eastAsia="en-US"/>
    </w:rPr>
  </w:style>
  <w:style w:type="paragraph" w:customStyle="1" w:styleId="19TableEntries12pt">
    <w:name w:val="19Table Entries 12 pt"/>
    <w:link w:val="19TableEntries12pt0"/>
    <w:uiPriority w:val="20"/>
    <w:qFormat/>
    <w:rsid w:val="00F37E89"/>
    <w:pPr>
      <w:keepNext/>
      <w:jc w:val="center"/>
    </w:pPr>
    <w:rPr>
      <w:kern w:val="0"/>
      <w:sz w:val="24"/>
      <w:szCs w:val="24"/>
      <w:lang w:eastAsia="en-US"/>
    </w:rPr>
  </w:style>
  <w:style w:type="character" w:customStyle="1" w:styleId="00Paragraph0">
    <w:name w:val="00Paragraph (文字)"/>
    <w:basedOn w:val="a0"/>
    <w:link w:val="00Paragraph"/>
    <w:locked/>
    <w:rsid w:val="00F37E89"/>
    <w:rPr>
      <w:kern w:val="0"/>
      <w:sz w:val="24"/>
      <w:szCs w:val="24"/>
      <w:lang w:eastAsia="en-US"/>
    </w:rPr>
  </w:style>
  <w:style w:type="character" w:customStyle="1" w:styleId="19TableEntries12pt0">
    <w:name w:val="19Table Entries 12 pt (文字)"/>
    <w:basedOn w:val="a0"/>
    <w:link w:val="19TableEntries12pt"/>
    <w:uiPriority w:val="20"/>
    <w:locked/>
    <w:rsid w:val="00F37E89"/>
    <w:rPr>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0BBD1B-0D7A-4A9D-90A0-F523C18CD7A5}"/>
</file>

<file path=customXml/itemProps2.xml><?xml version="1.0" encoding="utf-8"?>
<ds:datastoreItem xmlns:ds="http://schemas.openxmlformats.org/officeDocument/2006/customXml" ds:itemID="{510FE04B-11F7-4A40-AFD5-6A422C87DCE7}"/>
</file>

<file path=customXml/itemProps3.xml><?xml version="1.0" encoding="utf-8"?>
<ds:datastoreItem xmlns:ds="http://schemas.openxmlformats.org/officeDocument/2006/customXml" ds:itemID="{22376DA5-AECB-439B-B8E1-5ED1AF53A4BD}"/>
</file>

<file path=docProps/app.xml><?xml version="1.0" encoding="utf-8"?>
<Properties xmlns="http://schemas.openxmlformats.org/officeDocument/2006/extended-properties" xmlns:vt="http://schemas.openxmlformats.org/officeDocument/2006/docPropsVTypes">
  <Template>Normal</Template>
  <TotalTime>41</TotalTime>
  <Pages>1</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29</cp:revision>
  <dcterms:created xsi:type="dcterms:W3CDTF">2021-06-23T13:15:00Z</dcterms:created>
  <dcterms:modified xsi:type="dcterms:W3CDTF">2021-06-30T11:39:00Z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