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416" w:rsidRDefault="007A13A0" w:rsidP="003065FF">
      <w:pPr>
        <w:autoSpaceDE w:val="0"/>
        <w:autoSpaceDN w:val="0"/>
        <w:adjustRightInd w:val="0"/>
        <w:jc w:val="left"/>
        <w:rPr>
          <w:b/>
          <w:bCs/>
          <w:kern w:val="0"/>
          <w:sz w:val="32"/>
          <w:szCs w:val="32"/>
        </w:rPr>
      </w:pPr>
      <w:r w:rsidRPr="007A13A0">
        <w:rPr>
          <w:b/>
          <w:bCs/>
          <w:kern w:val="0"/>
          <w:sz w:val="32"/>
          <w:szCs w:val="32"/>
        </w:rPr>
        <w:t xml:space="preserve">A 4-Week Repeated Oral Dose Toxicity Study of </w:t>
      </w:r>
      <w:bookmarkStart w:id="0" w:name="_GoBack"/>
      <w:r w:rsidR="005C58D9">
        <w:rPr>
          <w:b/>
          <w:bCs/>
          <w:kern w:val="0"/>
          <w:sz w:val="32"/>
          <w:szCs w:val="32"/>
        </w:rPr>
        <w:t>Project F</w:t>
      </w:r>
      <w:bookmarkEnd w:id="0"/>
      <w:r w:rsidRPr="007A13A0">
        <w:rPr>
          <w:b/>
          <w:bCs/>
          <w:kern w:val="0"/>
          <w:sz w:val="32"/>
          <w:szCs w:val="32"/>
        </w:rPr>
        <w:t xml:space="preserve"> in Cynomolgus Monkeys Followed by a 4-Week Recovery Period</w:t>
      </w:r>
    </w:p>
    <w:p w:rsidR="007A13A0" w:rsidRPr="007A13A0" w:rsidRDefault="007A13A0" w:rsidP="003065FF">
      <w:pPr>
        <w:autoSpaceDE w:val="0"/>
        <w:autoSpaceDN w:val="0"/>
        <w:adjustRightInd w:val="0"/>
        <w:jc w:val="left"/>
        <w:rPr>
          <w:rFonts w:ascii="TimesNewRoman,Bold" w:eastAsia="TimesNewRoman,Bold" w:cs="TimesNewRoman,Bold"/>
          <w:b/>
          <w:bCs/>
          <w:kern w:val="0"/>
          <w:sz w:val="32"/>
          <w:szCs w:val="32"/>
        </w:rPr>
      </w:pPr>
    </w:p>
    <w:p w:rsidR="00C20ABD" w:rsidRDefault="00D0213C" w:rsidP="00C20ABD">
      <w:pPr>
        <w:autoSpaceDE w:val="0"/>
        <w:autoSpaceDN w:val="0"/>
        <w:adjustRightInd w:val="0"/>
        <w:jc w:val="left"/>
        <w:rPr>
          <w:b/>
          <w:bCs/>
          <w:kern w:val="0"/>
          <w:sz w:val="28"/>
          <w:szCs w:val="28"/>
        </w:rPr>
      </w:pPr>
      <w:r>
        <w:rPr>
          <w:b/>
          <w:bCs/>
          <w:kern w:val="0"/>
          <w:sz w:val="28"/>
          <w:szCs w:val="28"/>
        </w:rPr>
        <w:t xml:space="preserve">11 </w:t>
      </w:r>
      <w:proofErr w:type="gramStart"/>
      <w:r>
        <w:rPr>
          <w:b/>
          <w:bCs/>
          <w:kern w:val="0"/>
          <w:sz w:val="28"/>
          <w:szCs w:val="28"/>
        </w:rPr>
        <w:t>SUMMARY</w:t>
      </w:r>
      <w:proofErr w:type="gramEnd"/>
    </w:p>
    <w:p w:rsidR="007A13A0" w:rsidRDefault="005C58D9" w:rsidP="007A13A0">
      <w:r>
        <w:t>Project F</w:t>
      </w:r>
      <w:r w:rsidR="007A13A0">
        <w:t xml:space="preserve"> (Lot Number: 2848-18001) was suspended in vehicle (0.5 w/v% methylcellulose solution) and administered orally once daily for 4 weeks at dose levels of 0 (control), 3, 30, and 300 mg/kg (dose volume: 5 mL/kg) as free form to 4 male and 4 female cynomolgus monkeys (age at initiation of acclimation: 3 to 4 years) per group in order to investigate its </w:t>
      </w:r>
      <w:proofErr w:type="spellStart"/>
      <w:r w:rsidR="007A13A0">
        <w:t>toxicityand</w:t>
      </w:r>
      <w:proofErr w:type="spellEnd"/>
      <w:r w:rsidR="007A13A0">
        <w:t xml:space="preserve"> 3 males and 3 females in the highest dose group were set to evaluate the reversibility of toxic changes during a subsequent 4-week recovery period. For the control group, vehicle was administered in the same manner as test article. In</w:t>
      </w:r>
      <w:r w:rsidR="007A13A0">
        <w:rPr>
          <w:spacing w:val="-10"/>
        </w:rPr>
        <w:t xml:space="preserve"> </w:t>
      </w:r>
      <w:r w:rsidR="007A13A0">
        <w:t>the 300 mg/kg group, the dose level for females was decreased to 100 mg/kg from Day 15 of dosing because death or moribundity occurred. Thereafter, 1 male was found dead on Day</w:t>
      </w:r>
      <w:r w:rsidR="007A13A0">
        <w:rPr>
          <w:spacing w:val="-22"/>
        </w:rPr>
        <w:t xml:space="preserve"> </w:t>
      </w:r>
      <w:r w:rsidR="007A13A0">
        <w:t>26 of dosing and 1 male was sacrificed due to moribundity on Day 28 of dosing. Three males and two females underwent terminal necropsy and 2 males and 2 females underwent recovery necropsy. The following observations and examinations were performed: clinical signs, body weight, food consumption, ophthalmology, electrocardiography, urinalysis, hematology, blood chemistry, gross pathology, organ weights, histopathology, electron microscopy, and toxicokinetics.</w:t>
      </w:r>
    </w:p>
    <w:p w:rsidR="007A13A0" w:rsidRDefault="007A13A0" w:rsidP="007A13A0">
      <w:r>
        <w:t xml:space="preserve">Three females at 300 mg/kg were sacrificed due to moribundity on Day 13 (1 female) and 14 (2 females) of dosing, 1 male was found dead on Day 26 of dosing, and 1 male was sacrificed due to moribundity on Day 28 of dosing. In these animals, vomiting was observed from Day 1 or 8 of dosing, decreased food consumption was noted in females from Week 1 of dosing and in males at Week 4 of dosing, and decreased body weight was also noted in all moribund animals. Before sacrifice or death, slight or moderate decreased spontaneous activity, abnormal position (lateral position), hypothermia, suppressed response to touch, and/or suppressed response to stimulation were observed. In additions, increased leukocyte count, neutrophil count, and monocyte count were noted in hematology; increased protein and decreased Cl excretion were noted in urinalysis; increased AST, ALT, total bilirubin, UN, and creatinine in blood chemistry. Prolonged QT and/or QTc were noted in electrocardiography. Enlargement of the liver was observed in gross pathology. Histopathological examination revealed granular degeneration of hepatocytes and granular hypertrophy of Kupffer cells in the liver and degeneration/necrosis and dilatation of the renal tubules and hyaline droplets in the proximal tubule in the kidneys. High liver and kidney weights were noted in the organ weights. Based on the </w:t>
      </w:r>
      <w:proofErr w:type="spellStart"/>
      <w:r>
        <w:t>the</w:t>
      </w:r>
      <w:proofErr w:type="spellEnd"/>
      <w:r>
        <w:t xml:space="preserve"> changes in urinalysis, blood chemistry, gross pathology, organ weights, and histopathological examination, it was suggested that the target organs are the liver and kidneys. The following changes were considered to be secondary changes related to deterioration in general condition: increased RBC, HGB, HCT, and MCHC; decreased MCV; and prolonged APTT in hematology; increased triglyceride, glucose, IP, and K and decreased Na and Cl in blood chemistry; bilateral enlargement of the adrenal glands with increased adrenal weights and small-sized thymus; </w:t>
      </w:r>
      <w:r>
        <w:lastRenderedPageBreak/>
        <w:t>and decreased lipids in the zona fasciculata or hypertrophy of the zona fasciculata in the adrenal glands in histopathology. The toxicity in the liver and/or kidney was considered to be a possible cause of death or moribund</w:t>
      </w:r>
      <w:r>
        <w:rPr>
          <w:spacing w:val="-16"/>
        </w:rPr>
        <w:t xml:space="preserve"> </w:t>
      </w:r>
      <w:r>
        <w:t>condition.</w:t>
      </w:r>
    </w:p>
    <w:p w:rsidR="007A13A0" w:rsidRDefault="007A13A0" w:rsidP="007A13A0">
      <w:r>
        <w:t>In surviving animals, no toxicologically significant changes were noted at 3 and 30 mg/kg.</w:t>
      </w:r>
    </w:p>
    <w:p w:rsidR="007A13A0" w:rsidRDefault="007A13A0" w:rsidP="007A13A0">
      <w:r>
        <w:t>In the highest dose groups (males: 300 mg/kg and females: 300 → 100 mg/kg), vomiting was observed in males and females from Day 1 of dosing and decreased food consumption in females from Week 2 of dosing and in 2 male at from Weeks 1 or 4 of dosing and decreased body weight were noted in males and females from Week 2 of dosing. A slight decrease in spontaneous activity was observed in 1 female on Day 14 and Day 15. The changes in clinical sings in females recovered after the reduction of the dose level. Prolongation of</w:t>
      </w:r>
      <w:r>
        <w:rPr>
          <w:spacing w:val="-20"/>
        </w:rPr>
        <w:t xml:space="preserve"> </w:t>
      </w:r>
      <w:r>
        <w:t>QT and QTc were noted in electrocardiography were noted. In clinical pathology, decreased RBC, HGB, HCT and/or increased reticulocyte ratio, increased leukocyte, neutrophil, and monocyte counts and/or increased fibrinogen were noted in hematology. In addition, increased protein and decreased Cl excretion in males were noted in urinalysis and increased AST, ALT, and total bilirubin were noted in blood chemistry. High liver and/or kidney weights were noted in the organ weights.</w:t>
      </w:r>
    </w:p>
    <w:p w:rsidR="007A13A0" w:rsidRDefault="007A13A0" w:rsidP="007A13A0">
      <w:r>
        <w:t xml:space="preserve">The following changes were observed in addition to those mentioned above: Histopathological examination revealed granular degeneration of the hepatocytes, granular hypertrophy of the Kupffer cells, and/or vacuolation of the hepatocytes in the liver. In electron microscopy, increase in electron-dense structures with irregular size was observed in the hepatocytes and an increase in secondary lysosomes in the Kupffer cells was observed in males and females in the high dose groups. Additionally, cytoplasmic vacuolation in the hepatocytes was observed. In the kidney, hyaline droplets in the proximal tubule (slight) and an increase in secondary lysosomes at the proximal tubular epithelium and cytoplasmic vacuolation in the proximal tubular epithelium were observed. The target organs were considered to be the liver and kidney. In surviving animals, secondary changes related to deterioration in general condition similar to those observed in the </w:t>
      </w:r>
      <w:proofErr w:type="spellStart"/>
      <w:r>
        <w:t>the</w:t>
      </w:r>
      <w:proofErr w:type="spellEnd"/>
      <w:r>
        <w:t xml:space="preserve"> dead or moribund animals were noted as follows: increased IP and decreased Ca and/or changes in electrolytes (Na, K, Cl); increased total protein and albumin; and histopathological changes in the thymus (decreased cellularity), and skin/subcutis (atrophy of adipose tissue).</w:t>
      </w:r>
    </w:p>
    <w:p w:rsidR="007A13A0" w:rsidRDefault="007A13A0" w:rsidP="007A13A0">
      <w:r>
        <w:t>No test article-related changes were noted in ophthalmology at any dose level.</w:t>
      </w:r>
    </w:p>
    <w:p w:rsidR="007A13A0" w:rsidRDefault="007A13A0" w:rsidP="007A13A0">
      <w:r>
        <w:rPr>
          <w:position w:val="2"/>
        </w:rPr>
        <w:t>In toxicokinetics, the t</w:t>
      </w:r>
      <w:r>
        <w:rPr>
          <w:sz w:val="16"/>
        </w:rPr>
        <w:t>max</w:t>
      </w:r>
      <w:r>
        <w:rPr>
          <w:position w:val="2"/>
        </w:rPr>
        <w:t>, C</w:t>
      </w:r>
      <w:r>
        <w:rPr>
          <w:sz w:val="16"/>
        </w:rPr>
        <w:t>max</w:t>
      </w:r>
      <w:r>
        <w:rPr>
          <w:position w:val="2"/>
        </w:rPr>
        <w:t>, and AUC</w:t>
      </w:r>
      <w:r>
        <w:rPr>
          <w:sz w:val="16"/>
        </w:rPr>
        <w:t xml:space="preserve">24 </w:t>
      </w:r>
      <w:r>
        <w:rPr>
          <w:position w:val="2"/>
        </w:rPr>
        <w:t xml:space="preserve">of </w:t>
      </w:r>
      <w:r w:rsidR="005C58D9">
        <w:rPr>
          <w:position w:val="2"/>
        </w:rPr>
        <w:t>PROJECT F</w:t>
      </w:r>
      <w:r>
        <w:rPr>
          <w:position w:val="2"/>
        </w:rPr>
        <w:t xml:space="preserve"> are shown in the following table:</w:t>
      </w:r>
    </w:p>
    <w:p w:rsidR="007A13A0" w:rsidRDefault="007A13A0" w:rsidP="007A13A0">
      <w:pPr>
        <w:rPr>
          <w:sz w:val="10"/>
        </w:rPr>
      </w:pPr>
    </w:p>
    <w:tbl>
      <w:tblPr>
        <w:tblStyle w:val="TableNormal"/>
        <w:tblW w:w="0" w:type="auto"/>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5"/>
        <w:gridCol w:w="849"/>
        <w:gridCol w:w="1180"/>
        <w:gridCol w:w="1180"/>
        <w:gridCol w:w="1180"/>
        <w:gridCol w:w="1180"/>
        <w:gridCol w:w="1182"/>
        <w:gridCol w:w="1180"/>
      </w:tblGrid>
      <w:tr w:rsidR="007A13A0" w:rsidTr="002D48F6">
        <w:trPr>
          <w:trHeight w:val="220"/>
        </w:trPr>
        <w:tc>
          <w:tcPr>
            <w:tcW w:w="1135" w:type="dxa"/>
            <w:vMerge w:val="restart"/>
            <w:tcBorders>
              <w:bottom w:val="double" w:sz="1" w:space="0" w:color="000000"/>
            </w:tcBorders>
          </w:tcPr>
          <w:p w:rsidR="007A13A0" w:rsidRDefault="007A13A0" w:rsidP="007A13A0">
            <w:pPr>
              <w:rPr>
                <w:sz w:val="20"/>
              </w:rPr>
            </w:pPr>
            <w:r>
              <w:rPr>
                <w:sz w:val="20"/>
              </w:rPr>
              <w:t>Dose Level</w:t>
            </w:r>
          </w:p>
          <w:p w:rsidR="007A13A0" w:rsidRDefault="007A13A0" w:rsidP="007A13A0">
            <w:pPr>
              <w:rPr>
                <w:sz w:val="20"/>
              </w:rPr>
            </w:pPr>
            <w:r>
              <w:rPr>
                <w:sz w:val="20"/>
              </w:rPr>
              <w:t>(mg/kg)</w:t>
            </w:r>
          </w:p>
        </w:tc>
        <w:tc>
          <w:tcPr>
            <w:tcW w:w="849" w:type="dxa"/>
            <w:vMerge w:val="restart"/>
            <w:tcBorders>
              <w:bottom w:val="double" w:sz="1" w:space="0" w:color="000000"/>
            </w:tcBorders>
          </w:tcPr>
          <w:p w:rsidR="007A13A0" w:rsidRDefault="007A13A0" w:rsidP="007A13A0">
            <w:pPr>
              <w:rPr>
                <w:sz w:val="20"/>
              </w:rPr>
            </w:pPr>
            <w:r>
              <w:rPr>
                <w:sz w:val="20"/>
              </w:rPr>
              <w:t>Day</w:t>
            </w:r>
          </w:p>
        </w:tc>
        <w:tc>
          <w:tcPr>
            <w:tcW w:w="2360" w:type="dxa"/>
            <w:gridSpan w:val="2"/>
          </w:tcPr>
          <w:p w:rsidR="007A13A0" w:rsidRDefault="007A13A0" w:rsidP="007A13A0">
            <w:pPr>
              <w:rPr>
                <w:sz w:val="20"/>
              </w:rPr>
            </w:pPr>
            <w:r>
              <w:rPr>
                <w:position w:val="2"/>
                <w:sz w:val="20"/>
              </w:rPr>
              <w:t>t</w:t>
            </w:r>
            <w:r>
              <w:rPr>
                <w:sz w:val="13"/>
              </w:rPr>
              <w:t xml:space="preserve">max </w:t>
            </w:r>
            <w:r>
              <w:rPr>
                <w:position w:val="2"/>
                <w:sz w:val="20"/>
              </w:rPr>
              <w:t>(h)</w:t>
            </w:r>
          </w:p>
        </w:tc>
        <w:tc>
          <w:tcPr>
            <w:tcW w:w="2360" w:type="dxa"/>
            <w:gridSpan w:val="2"/>
          </w:tcPr>
          <w:p w:rsidR="007A13A0" w:rsidRDefault="007A13A0" w:rsidP="007A13A0">
            <w:pPr>
              <w:rPr>
                <w:sz w:val="20"/>
              </w:rPr>
            </w:pPr>
            <w:r>
              <w:rPr>
                <w:position w:val="2"/>
                <w:sz w:val="20"/>
              </w:rPr>
              <w:t>C</w:t>
            </w:r>
            <w:r>
              <w:rPr>
                <w:sz w:val="13"/>
              </w:rPr>
              <w:t xml:space="preserve">max </w:t>
            </w:r>
            <w:r>
              <w:rPr>
                <w:position w:val="2"/>
                <w:sz w:val="20"/>
              </w:rPr>
              <w:t>(ng/mL)</w:t>
            </w:r>
          </w:p>
        </w:tc>
        <w:tc>
          <w:tcPr>
            <w:tcW w:w="2362" w:type="dxa"/>
            <w:gridSpan w:val="2"/>
          </w:tcPr>
          <w:p w:rsidR="007A13A0" w:rsidRDefault="007A13A0" w:rsidP="007A13A0">
            <w:pPr>
              <w:rPr>
                <w:sz w:val="20"/>
              </w:rPr>
            </w:pPr>
            <w:r>
              <w:rPr>
                <w:position w:val="2"/>
                <w:sz w:val="20"/>
              </w:rPr>
              <w:t>AUC</w:t>
            </w:r>
            <w:r>
              <w:rPr>
                <w:sz w:val="13"/>
              </w:rPr>
              <w:t xml:space="preserve">24 </w:t>
            </w:r>
            <w:r>
              <w:rPr>
                <w:position w:val="2"/>
                <w:sz w:val="20"/>
              </w:rPr>
              <w:t>(</w:t>
            </w:r>
            <w:proofErr w:type="spellStart"/>
            <w:r>
              <w:rPr>
                <w:position w:val="2"/>
                <w:sz w:val="20"/>
              </w:rPr>
              <w:t>ng·h</w:t>
            </w:r>
            <w:proofErr w:type="spellEnd"/>
            <w:r>
              <w:rPr>
                <w:position w:val="2"/>
                <w:sz w:val="20"/>
              </w:rPr>
              <w:t>/mL)</w:t>
            </w:r>
          </w:p>
        </w:tc>
      </w:tr>
      <w:tr w:rsidR="007A13A0" w:rsidTr="002D48F6">
        <w:trPr>
          <w:trHeight w:val="219"/>
        </w:trPr>
        <w:tc>
          <w:tcPr>
            <w:tcW w:w="1135" w:type="dxa"/>
            <w:vMerge/>
            <w:tcBorders>
              <w:top w:val="nil"/>
              <w:bottom w:val="double" w:sz="1" w:space="0" w:color="000000"/>
            </w:tcBorders>
          </w:tcPr>
          <w:p w:rsidR="007A13A0" w:rsidRDefault="007A13A0" w:rsidP="007A13A0">
            <w:pPr>
              <w:rPr>
                <w:sz w:val="2"/>
                <w:szCs w:val="2"/>
              </w:rPr>
            </w:pPr>
          </w:p>
        </w:tc>
        <w:tc>
          <w:tcPr>
            <w:tcW w:w="849" w:type="dxa"/>
            <w:vMerge/>
            <w:tcBorders>
              <w:top w:val="nil"/>
              <w:bottom w:val="double" w:sz="1" w:space="0" w:color="000000"/>
            </w:tcBorders>
          </w:tcPr>
          <w:p w:rsidR="007A13A0" w:rsidRDefault="007A13A0" w:rsidP="007A13A0">
            <w:pPr>
              <w:rPr>
                <w:sz w:val="2"/>
                <w:szCs w:val="2"/>
              </w:rPr>
            </w:pPr>
          </w:p>
        </w:tc>
        <w:tc>
          <w:tcPr>
            <w:tcW w:w="1180" w:type="dxa"/>
            <w:tcBorders>
              <w:bottom w:val="double" w:sz="1" w:space="0" w:color="000000"/>
            </w:tcBorders>
          </w:tcPr>
          <w:p w:rsidR="007A13A0" w:rsidRDefault="007A13A0" w:rsidP="007A13A0">
            <w:pPr>
              <w:rPr>
                <w:sz w:val="20"/>
              </w:rPr>
            </w:pPr>
            <w:r>
              <w:rPr>
                <w:sz w:val="20"/>
              </w:rPr>
              <w:t>Male</w:t>
            </w:r>
          </w:p>
        </w:tc>
        <w:tc>
          <w:tcPr>
            <w:tcW w:w="1180" w:type="dxa"/>
            <w:tcBorders>
              <w:bottom w:val="double" w:sz="1" w:space="0" w:color="000000"/>
            </w:tcBorders>
          </w:tcPr>
          <w:p w:rsidR="007A13A0" w:rsidRDefault="007A13A0" w:rsidP="007A13A0">
            <w:pPr>
              <w:rPr>
                <w:sz w:val="20"/>
              </w:rPr>
            </w:pPr>
            <w:r>
              <w:rPr>
                <w:sz w:val="20"/>
              </w:rPr>
              <w:t>Female</w:t>
            </w:r>
          </w:p>
        </w:tc>
        <w:tc>
          <w:tcPr>
            <w:tcW w:w="1180" w:type="dxa"/>
            <w:tcBorders>
              <w:bottom w:val="double" w:sz="1" w:space="0" w:color="000000"/>
            </w:tcBorders>
          </w:tcPr>
          <w:p w:rsidR="007A13A0" w:rsidRDefault="007A13A0" w:rsidP="007A13A0">
            <w:pPr>
              <w:rPr>
                <w:sz w:val="20"/>
              </w:rPr>
            </w:pPr>
            <w:r>
              <w:rPr>
                <w:sz w:val="20"/>
              </w:rPr>
              <w:t>Male</w:t>
            </w:r>
          </w:p>
        </w:tc>
        <w:tc>
          <w:tcPr>
            <w:tcW w:w="1180" w:type="dxa"/>
            <w:tcBorders>
              <w:bottom w:val="double" w:sz="1" w:space="0" w:color="000000"/>
            </w:tcBorders>
          </w:tcPr>
          <w:p w:rsidR="007A13A0" w:rsidRDefault="007A13A0" w:rsidP="007A13A0">
            <w:pPr>
              <w:rPr>
                <w:sz w:val="20"/>
              </w:rPr>
            </w:pPr>
            <w:r>
              <w:rPr>
                <w:sz w:val="20"/>
              </w:rPr>
              <w:t>Female</w:t>
            </w:r>
          </w:p>
        </w:tc>
        <w:tc>
          <w:tcPr>
            <w:tcW w:w="1182" w:type="dxa"/>
            <w:tcBorders>
              <w:bottom w:val="double" w:sz="1" w:space="0" w:color="000000"/>
            </w:tcBorders>
          </w:tcPr>
          <w:p w:rsidR="007A13A0" w:rsidRDefault="007A13A0" w:rsidP="007A13A0">
            <w:pPr>
              <w:rPr>
                <w:sz w:val="20"/>
              </w:rPr>
            </w:pPr>
            <w:r>
              <w:rPr>
                <w:sz w:val="20"/>
              </w:rPr>
              <w:t>Male</w:t>
            </w:r>
          </w:p>
        </w:tc>
        <w:tc>
          <w:tcPr>
            <w:tcW w:w="1180" w:type="dxa"/>
            <w:tcBorders>
              <w:bottom w:val="double" w:sz="1" w:space="0" w:color="000000"/>
            </w:tcBorders>
          </w:tcPr>
          <w:p w:rsidR="007A13A0" w:rsidRDefault="007A13A0" w:rsidP="007A13A0">
            <w:pPr>
              <w:rPr>
                <w:sz w:val="20"/>
              </w:rPr>
            </w:pPr>
            <w:r>
              <w:rPr>
                <w:sz w:val="20"/>
              </w:rPr>
              <w:t>Female</w:t>
            </w:r>
          </w:p>
        </w:tc>
      </w:tr>
      <w:tr w:rsidR="007A13A0" w:rsidTr="002D48F6">
        <w:trPr>
          <w:trHeight w:val="229"/>
        </w:trPr>
        <w:tc>
          <w:tcPr>
            <w:tcW w:w="1135" w:type="dxa"/>
            <w:vMerge w:val="restart"/>
            <w:tcBorders>
              <w:top w:val="double" w:sz="1" w:space="0" w:color="000000"/>
            </w:tcBorders>
          </w:tcPr>
          <w:p w:rsidR="007A13A0" w:rsidRDefault="007A13A0" w:rsidP="007A13A0">
            <w:pPr>
              <w:rPr>
                <w:sz w:val="21"/>
              </w:rPr>
            </w:pPr>
          </w:p>
          <w:p w:rsidR="007A13A0" w:rsidRDefault="007A13A0" w:rsidP="007A13A0">
            <w:pPr>
              <w:rPr>
                <w:sz w:val="20"/>
              </w:rPr>
            </w:pPr>
            <w:r>
              <w:rPr>
                <w:w w:val="99"/>
                <w:sz w:val="20"/>
              </w:rPr>
              <w:t>3</w:t>
            </w:r>
          </w:p>
        </w:tc>
        <w:tc>
          <w:tcPr>
            <w:tcW w:w="849" w:type="dxa"/>
            <w:tcBorders>
              <w:top w:val="double" w:sz="1" w:space="0" w:color="000000"/>
            </w:tcBorders>
          </w:tcPr>
          <w:p w:rsidR="007A13A0" w:rsidRDefault="007A13A0" w:rsidP="007A13A0">
            <w:pPr>
              <w:rPr>
                <w:sz w:val="20"/>
              </w:rPr>
            </w:pPr>
            <w:r>
              <w:rPr>
                <w:w w:val="99"/>
                <w:sz w:val="20"/>
              </w:rPr>
              <w:t>1</w:t>
            </w:r>
          </w:p>
        </w:tc>
        <w:tc>
          <w:tcPr>
            <w:tcW w:w="1180" w:type="dxa"/>
            <w:tcBorders>
              <w:top w:val="double" w:sz="1" w:space="0" w:color="000000"/>
            </w:tcBorders>
          </w:tcPr>
          <w:p w:rsidR="007A13A0" w:rsidRDefault="007A13A0" w:rsidP="007A13A0">
            <w:pPr>
              <w:rPr>
                <w:sz w:val="20"/>
              </w:rPr>
            </w:pPr>
            <w:r>
              <w:rPr>
                <w:sz w:val="20"/>
              </w:rPr>
              <w:t>1.50</w:t>
            </w:r>
          </w:p>
        </w:tc>
        <w:tc>
          <w:tcPr>
            <w:tcW w:w="1180" w:type="dxa"/>
            <w:tcBorders>
              <w:top w:val="double" w:sz="1" w:space="0" w:color="000000"/>
            </w:tcBorders>
          </w:tcPr>
          <w:p w:rsidR="007A13A0" w:rsidRDefault="007A13A0" w:rsidP="007A13A0">
            <w:pPr>
              <w:rPr>
                <w:sz w:val="20"/>
              </w:rPr>
            </w:pPr>
            <w:r>
              <w:rPr>
                <w:sz w:val="20"/>
              </w:rPr>
              <w:t>1.00</w:t>
            </w:r>
          </w:p>
        </w:tc>
        <w:tc>
          <w:tcPr>
            <w:tcW w:w="1180" w:type="dxa"/>
            <w:tcBorders>
              <w:top w:val="double" w:sz="1" w:space="0" w:color="000000"/>
            </w:tcBorders>
          </w:tcPr>
          <w:p w:rsidR="007A13A0" w:rsidRDefault="007A13A0" w:rsidP="007A13A0">
            <w:pPr>
              <w:rPr>
                <w:sz w:val="20"/>
              </w:rPr>
            </w:pPr>
            <w:r>
              <w:rPr>
                <w:sz w:val="20"/>
              </w:rPr>
              <w:t>144</w:t>
            </w:r>
          </w:p>
        </w:tc>
        <w:tc>
          <w:tcPr>
            <w:tcW w:w="1180" w:type="dxa"/>
            <w:tcBorders>
              <w:top w:val="double" w:sz="1" w:space="0" w:color="000000"/>
            </w:tcBorders>
          </w:tcPr>
          <w:p w:rsidR="007A13A0" w:rsidRDefault="007A13A0" w:rsidP="007A13A0">
            <w:pPr>
              <w:rPr>
                <w:sz w:val="20"/>
              </w:rPr>
            </w:pPr>
            <w:r>
              <w:rPr>
                <w:sz w:val="20"/>
              </w:rPr>
              <w:t>131</w:t>
            </w:r>
          </w:p>
        </w:tc>
        <w:tc>
          <w:tcPr>
            <w:tcW w:w="1182" w:type="dxa"/>
            <w:tcBorders>
              <w:top w:val="double" w:sz="1" w:space="0" w:color="000000"/>
            </w:tcBorders>
          </w:tcPr>
          <w:p w:rsidR="007A13A0" w:rsidRDefault="007A13A0" w:rsidP="007A13A0">
            <w:pPr>
              <w:rPr>
                <w:sz w:val="20"/>
              </w:rPr>
            </w:pPr>
            <w:r>
              <w:rPr>
                <w:sz w:val="20"/>
              </w:rPr>
              <w:t>534</w:t>
            </w:r>
          </w:p>
        </w:tc>
        <w:tc>
          <w:tcPr>
            <w:tcW w:w="1180" w:type="dxa"/>
            <w:tcBorders>
              <w:top w:val="double" w:sz="1" w:space="0" w:color="000000"/>
            </w:tcBorders>
          </w:tcPr>
          <w:p w:rsidR="007A13A0" w:rsidRDefault="007A13A0" w:rsidP="007A13A0">
            <w:pPr>
              <w:rPr>
                <w:sz w:val="20"/>
              </w:rPr>
            </w:pPr>
            <w:r>
              <w:rPr>
                <w:sz w:val="20"/>
              </w:rPr>
              <w:t>426</w:t>
            </w:r>
          </w:p>
        </w:tc>
      </w:tr>
      <w:tr w:rsidR="007A13A0" w:rsidTr="002D48F6">
        <w:trPr>
          <w:trHeight w:val="249"/>
        </w:trPr>
        <w:tc>
          <w:tcPr>
            <w:tcW w:w="1135" w:type="dxa"/>
            <w:vMerge/>
            <w:tcBorders>
              <w:top w:val="nil"/>
            </w:tcBorders>
          </w:tcPr>
          <w:p w:rsidR="007A13A0" w:rsidRDefault="007A13A0" w:rsidP="007A13A0">
            <w:pPr>
              <w:rPr>
                <w:sz w:val="2"/>
                <w:szCs w:val="2"/>
              </w:rPr>
            </w:pPr>
          </w:p>
        </w:tc>
        <w:tc>
          <w:tcPr>
            <w:tcW w:w="849" w:type="dxa"/>
          </w:tcPr>
          <w:p w:rsidR="007A13A0" w:rsidRDefault="007A13A0" w:rsidP="007A13A0">
            <w:pPr>
              <w:rPr>
                <w:sz w:val="20"/>
              </w:rPr>
            </w:pPr>
            <w:r>
              <w:rPr>
                <w:sz w:val="20"/>
              </w:rPr>
              <w:t>14</w:t>
            </w:r>
          </w:p>
        </w:tc>
        <w:tc>
          <w:tcPr>
            <w:tcW w:w="1180" w:type="dxa"/>
          </w:tcPr>
          <w:p w:rsidR="007A13A0" w:rsidRDefault="007A13A0" w:rsidP="007A13A0">
            <w:pPr>
              <w:rPr>
                <w:sz w:val="20"/>
              </w:rPr>
            </w:pPr>
            <w:r>
              <w:rPr>
                <w:sz w:val="20"/>
              </w:rPr>
              <w:t>1.00</w:t>
            </w:r>
          </w:p>
        </w:tc>
        <w:tc>
          <w:tcPr>
            <w:tcW w:w="1180" w:type="dxa"/>
          </w:tcPr>
          <w:p w:rsidR="007A13A0" w:rsidRDefault="007A13A0" w:rsidP="007A13A0">
            <w:pPr>
              <w:rPr>
                <w:sz w:val="20"/>
              </w:rPr>
            </w:pPr>
            <w:r>
              <w:rPr>
                <w:sz w:val="20"/>
              </w:rPr>
              <w:t>0.875</w:t>
            </w:r>
          </w:p>
        </w:tc>
        <w:tc>
          <w:tcPr>
            <w:tcW w:w="1180" w:type="dxa"/>
          </w:tcPr>
          <w:p w:rsidR="007A13A0" w:rsidRDefault="007A13A0" w:rsidP="007A13A0">
            <w:pPr>
              <w:rPr>
                <w:sz w:val="20"/>
              </w:rPr>
            </w:pPr>
            <w:r>
              <w:rPr>
                <w:sz w:val="20"/>
              </w:rPr>
              <w:t>161</w:t>
            </w:r>
          </w:p>
        </w:tc>
        <w:tc>
          <w:tcPr>
            <w:tcW w:w="1180" w:type="dxa"/>
          </w:tcPr>
          <w:p w:rsidR="007A13A0" w:rsidRDefault="007A13A0" w:rsidP="007A13A0">
            <w:pPr>
              <w:rPr>
                <w:sz w:val="20"/>
              </w:rPr>
            </w:pPr>
            <w:r>
              <w:rPr>
                <w:sz w:val="20"/>
              </w:rPr>
              <w:t>136</w:t>
            </w:r>
          </w:p>
        </w:tc>
        <w:tc>
          <w:tcPr>
            <w:tcW w:w="1182" w:type="dxa"/>
          </w:tcPr>
          <w:p w:rsidR="007A13A0" w:rsidRDefault="007A13A0" w:rsidP="007A13A0">
            <w:pPr>
              <w:rPr>
                <w:sz w:val="20"/>
              </w:rPr>
            </w:pPr>
            <w:r>
              <w:rPr>
                <w:sz w:val="20"/>
              </w:rPr>
              <w:t>553</w:t>
            </w:r>
          </w:p>
        </w:tc>
        <w:tc>
          <w:tcPr>
            <w:tcW w:w="1180" w:type="dxa"/>
          </w:tcPr>
          <w:p w:rsidR="007A13A0" w:rsidRDefault="007A13A0" w:rsidP="007A13A0">
            <w:pPr>
              <w:rPr>
                <w:sz w:val="20"/>
              </w:rPr>
            </w:pPr>
            <w:r>
              <w:rPr>
                <w:sz w:val="20"/>
              </w:rPr>
              <w:t>457</w:t>
            </w:r>
          </w:p>
        </w:tc>
      </w:tr>
      <w:tr w:rsidR="007A13A0" w:rsidTr="002D48F6">
        <w:trPr>
          <w:trHeight w:val="229"/>
        </w:trPr>
        <w:tc>
          <w:tcPr>
            <w:tcW w:w="1135" w:type="dxa"/>
            <w:vMerge/>
            <w:tcBorders>
              <w:top w:val="nil"/>
            </w:tcBorders>
          </w:tcPr>
          <w:p w:rsidR="007A13A0" w:rsidRDefault="007A13A0" w:rsidP="007A13A0">
            <w:pPr>
              <w:rPr>
                <w:sz w:val="2"/>
                <w:szCs w:val="2"/>
              </w:rPr>
            </w:pPr>
          </w:p>
        </w:tc>
        <w:tc>
          <w:tcPr>
            <w:tcW w:w="849" w:type="dxa"/>
          </w:tcPr>
          <w:p w:rsidR="007A13A0" w:rsidRDefault="007A13A0" w:rsidP="007A13A0">
            <w:pPr>
              <w:rPr>
                <w:sz w:val="20"/>
              </w:rPr>
            </w:pPr>
            <w:r>
              <w:rPr>
                <w:sz w:val="20"/>
              </w:rPr>
              <w:t>28</w:t>
            </w:r>
          </w:p>
        </w:tc>
        <w:tc>
          <w:tcPr>
            <w:tcW w:w="1180" w:type="dxa"/>
          </w:tcPr>
          <w:p w:rsidR="007A13A0" w:rsidRDefault="007A13A0" w:rsidP="007A13A0">
            <w:pPr>
              <w:rPr>
                <w:sz w:val="20"/>
              </w:rPr>
            </w:pPr>
            <w:r>
              <w:rPr>
                <w:sz w:val="20"/>
              </w:rPr>
              <w:t>0.875</w:t>
            </w:r>
          </w:p>
        </w:tc>
        <w:tc>
          <w:tcPr>
            <w:tcW w:w="1180" w:type="dxa"/>
          </w:tcPr>
          <w:p w:rsidR="007A13A0" w:rsidRDefault="007A13A0" w:rsidP="007A13A0">
            <w:pPr>
              <w:rPr>
                <w:sz w:val="20"/>
              </w:rPr>
            </w:pPr>
            <w:r>
              <w:rPr>
                <w:sz w:val="20"/>
              </w:rPr>
              <w:t>0.875</w:t>
            </w:r>
          </w:p>
        </w:tc>
        <w:tc>
          <w:tcPr>
            <w:tcW w:w="1180" w:type="dxa"/>
          </w:tcPr>
          <w:p w:rsidR="007A13A0" w:rsidRDefault="007A13A0" w:rsidP="007A13A0">
            <w:pPr>
              <w:rPr>
                <w:sz w:val="20"/>
              </w:rPr>
            </w:pPr>
            <w:r>
              <w:rPr>
                <w:sz w:val="20"/>
              </w:rPr>
              <w:t>410</w:t>
            </w:r>
          </w:p>
        </w:tc>
        <w:tc>
          <w:tcPr>
            <w:tcW w:w="1180" w:type="dxa"/>
          </w:tcPr>
          <w:p w:rsidR="007A13A0" w:rsidRDefault="007A13A0" w:rsidP="007A13A0">
            <w:pPr>
              <w:rPr>
                <w:sz w:val="20"/>
              </w:rPr>
            </w:pPr>
            <w:r>
              <w:rPr>
                <w:sz w:val="20"/>
              </w:rPr>
              <w:t>115</w:t>
            </w:r>
          </w:p>
        </w:tc>
        <w:tc>
          <w:tcPr>
            <w:tcW w:w="1182" w:type="dxa"/>
          </w:tcPr>
          <w:p w:rsidR="007A13A0" w:rsidRDefault="007A13A0" w:rsidP="007A13A0">
            <w:pPr>
              <w:rPr>
                <w:sz w:val="20"/>
              </w:rPr>
            </w:pPr>
            <w:r>
              <w:rPr>
                <w:sz w:val="20"/>
              </w:rPr>
              <w:t>1150</w:t>
            </w:r>
          </w:p>
        </w:tc>
        <w:tc>
          <w:tcPr>
            <w:tcW w:w="1180" w:type="dxa"/>
          </w:tcPr>
          <w:p w:rsidR="007A13A0" w:rsidRDefault="007A13A0" w:rsidP="007A13A0">
            <w:pPr>
              <w:rPr>
                <w:sz w:val="20"/>
              </w:rPr>
            </w:pPr>
            <w:r>
              <w:rPr>
                <w:sz w:val="20"/>
              </w:rPr>
              <w:t>394</w:t>
            </w:r>
          </w:p>
        </w:tc>
      </w:tr>
      <w:tr w:rsidR="007A13A0" w:rsidTr="002D48F6">
        <w:trPr>
          <w:trHeight w:val="230"/>
        </w:trPr>
        <w:tc>
          <w:tcPr>
            <w:tcW w:w="1135" w:type="dxa"/>
            <w:vMerge w:val="restart"/>
          </w:tcPr>
          <w:p w:rsidR="007A13A0" w:rsidRDefault="007A13A0" w:rsidP="007A13A0">
            <w:pPr>
              <w:rPr>
                <w:sz w:val="20"/>
              </w:rPr>
            </w:pPr>
          </w:p>
          <w:p w:rsidR="007A13A0" w:rsidRDefault="007A13A0" w:rsidP="007A13A0">
            <w:pPr>
              <w:rPr>
                <w:sz w:val="20"/>
              </w:rPr>
            </w:pPr>
            <w:r>
              <w:rPr>
                <w:sz w:val="20"/>
              </w:rPr>
              <w:t>30</w:t>
            </w:r>
          </w:p>
        </w:tc>
        <w:tc>
          <w:tcPr>
            <w:tcW w:w="849" w:type="dxa"/>
          </w:tcPr>
          <w:p w:rsidR="007A13A0" w:rsidRDefault="007A13A0" w:rsidP="007A13A0">
            <w:pPr>
              <w:rPr>
                <w:sz w:val="20"/>
              </w:rPr>
            </w:pPr>
            <w:r>
              <w:rPr>
                <w:w w:val="99"/>
                <w:sz w:val="20"/>
              </w:rPr>
              <w:t>1</w:t>
            </w:r>
          </w:p>
        </w:tc>
        <w:tc>
          <w:tcPr>
            <w:tcW w:w="1180" w:type="dxa"/>
          </w:tcPr>
          <w:p w:rsidR="007A13A0" w:rsidRDefault="007A13A0" w:rsidP="007A13A0">
            <w:pPr>
              <w:rPr>
                <w:sz w:val="20"/>
              </w:rPr>
            </w:pPr>
            <w:r>
              <w:rPr>
                <w:sz w:val="20"/>
              </w:rPr>
              <w:t>4.00</w:t>
            </w:r>
          </w:p>
        </w:tc>
        <w:tc>
          <w:tcPr>
            <w:tcW w:w="1180" w:type="dxa"/>
          </w:tcPr>
          <w:p w:rsidR="007A13A0" w:rsidRDefault="007A13A0" w:rsidP="007A13A0">
            <w:pPr>
              <w:rPr>
                <w:sz w:val="20"/>
              </w:rPr>
            </w:pPr>
            <w:r>
              <w:rPr>
                <w:sz w:val="20"/>
              </w:rPr>
              <w:t>3.00</w:t>
            </w:r>
          </w:p>
        </w:tc>
        <w:tc>
          <w:tcPr>
            <w:tcW w:w="1180" w:type="dxa"/>
          </w:tcPr>
          <w:p w:rsidR="007A13A0" w:rsidRDefault="007A13A0" w:rsidP="007A13A0">
            <w:pPr>
              <w:rPr>
                <w:sz w:val="20"/>
              </w:rPr>
            </w:pPr>
            <w:r>
              <w:rPr>
                <w:sz w:val="20"/>
              </w:rPr>
              <w:t>1910</w:t>
            </w:r>
          </w:p>
        </w:tc>
        <w:tc>
          <w:tcPr>
            <w:tcW w:w="1180" w:type="dxa"/>
          </w:tcPr>
          <w:p w:rsidR="007A13A0" w:rsidRDefault="007A13A0" w:rsidP="007A13A0">
            <w:pPr>
              <w:rPr>
                <w:sz w:val="20"/>
              </w:rPr>
            </w:pPr>
            <w:r>
              <w:rPr>
                <w:sz w:val="20"/>
              </w:rPr>
              <w:t>2020</w:t>
            </w:r>
          </w:p>
        </w:tc>
        <w:tc>
          <w:tcPr>
            <w:tcW w:w="1182" w:type="dxa"/>
          </w:tcPr>
          <w:p w:rsidR="007A13A0" w:rsidRDefault="007A13A0" w:rsidP="007A13A0">
            <w:pPr>
              <w:rPr>
                <w:sz w:val="20"/>
              </w:rPr>
            </w:pPr>
            <w:r>
              <w:rPr>
                <w:sz w:val="20"/>
              </w:rPr>
              <w:t>12900</w:t>
            </w:r>
          </w:p>
        </w:tc>
        <w:tc>
          <w:tcPr>
            <w:tcW w:w="1180" w:type="dxa"/>
          </w:tcPr>
          <w:p w:rsidR="007A13A0" w:rsidRDefault="007A13A0" w:rsidP="007A13A0">
            <w:pPr>
              <w:rPr>
                <w:sz w:val="20"/>
              </w:rPr>
            </w:pPr>
            <w:r>
              <w:rPr>
                <w:sz w:val="20"/>
              </w:rPr>
              <w:t>11500</w:t>
            </w:r>
          </w:p>
        </w:tc>
      </w:tr>
      <w:tr w:rsidR="007A13A0" w:rsidTr="002D48F6">
        <w:trPr>
          <w:trHeight w:val="230"/>
        </w:trPr>
        <w:tc>
          <w:tcPr>
            <w:tcW w:w="1135" w:type="dxa"/>
            <w:vMerge/>
            <w:tcBorders>
              <w:top w:val="nil"/>
            </w:tcBorders>
          </w:tcPr>
          <w:p w:rsidR="007A13A0" w:rsidRDefault="007A13A0" w:rsidP="007A13A0">
            <w:pPr>
              <w:rPr>
                <w:sz w:val="2"/>
                <w:szCs w:val="2"/>
              </w:rPr>
            </w:pPr>
          </w:p>
        </w:tc>
        <w:tc>
          <w:tcPr>
            <w:tcW w:w="849" w:type="dxa"/>
          </w:tcPr>
          <w:p w:rsidR="007A13A0" w:rsidRDefault="007A13A0" w:rsidP="007A13A0">
            <w:pPr>
              <w:rPr>
                <w:sz w:val="20"/>
              </w:rPr>
            </w:pPr>
            <w:r>
              <w:rPr>
                <w:sz w:val="20"/>
              </w:rPr>
              <w:t>14</w:t>
            </w:r>
          </w:p>
        </w:tc>
        <w:tc>
          <w:tcPr>
            <w:tcW w:w="1180" w:type="dxa"/>
          </w:tcPr>
          <w:p w:rsidR="007A13A0" w:rsidRDefault="007A13A0" w:rsidP="007A13A0">
            <w:pPr>
              <w:rPr>
                <w:sz w:val="20"/>
              </w:rPr>
            </w:pPr>
            <w:r>
              <w:rPr>
                <w:sz w:val="20"/>
              </w:rPr>
              <w:t>3.50</w:t>
            </w:r>
          </w:p>
        </w:tc>
        <w:tc>
          <w:tcPr>
            <w:tcW w:w="1180" w:type="dxa"/>
          </w:tcPr>
          <w:p w:rsidR="007A13A0" w:rsidRDefault="007A13A0" w:rsidP="007A13A0">
            <w:pPr>
              <w:rPr>
                <w:sz w:val="20"/>
              </w:rPr>
            </w:pPr>
            <w:r>
              <w:rPr>
                <w:sz w:val="20"/>
              </w:rPr>
              <w:t>2.75</w:t>
            </w:r>
          </w:p>
        </w:tc>
        <w:tc>
          <w:tcPr>
            <w:tcW w:w="1180" w:type="dxa"/>
          </w:tcPr>
          <w:p w:rsidR="007A13A0" w:rsidRDefault="007A13A0" w:rsidP="007A13A0">
            <w:pPr>
              <w:rPr>
                <w:sz w:val="20"/>
              </w:rPr>
            </w:pPr>
            <w:r>
              <w:rPr>
                <w:sz w:val="20"/>
              </w:rPr>
              <w:t>1950</w:t>
            </w:r>
          </w:p>
        </w:tc>
        <w:tc>
          <w:tcPr>
            <w:tcW w:w="1180" w:type="dxa"/>
          </w:tcPr>
          <w:p w:rsidR="007A13A0" w:rsidRDefault="007A13A0" w:rsidP="007A13A0">
            <w:pPr>
              <w:rPr>
                <w:sz w:val="20"/>
              </w:rPr>
            </w:pPr>
            <w:r>
              <w:rPr>
                <w:sz w:val="20"/>
              </w:rPr>
              <w:t>2370</w:t>
            </w:r>
          </w:p>
        </w:tc>
        <w:tc>
          <w:tcPr>
            <w:tcW w:w="1182" w:type="dxa"/>
          </w:tcPr>
          <w:p w:rsidR="007A13A0" w:rsidRDefault="007A13A0" w:rsidP="007A13A0">
            <w:pPr>
              <w:rPr>
                <w:sz w:val="20"/>
              </w:rPr>
            </w:pPr>
            <w:r>
              <w:rPr>
                <w:sz w:val="20"/>
              </w:rPr>
              <w:t>13300</w:t>
            </w:r>
          </w:p>
        </w:tc>
        <w:tc>
          <w:tcPr>
            <w:tcW w:w="1180" w:type="dxa"/>
          </w:tcPr>
          <w:p w:rsidR="007A13A0" w:rsidRDefault="007A13A0" w:rsidP="007A13A0">
            <w:pPr>
              <w:rPr>
                <w:sz w:val="20"/>
              </w:rPr>
            </w:pPr>
            <w:r>
              <w:rPr>
                <w:sz w:val="20"/>
              </w:rPr>
              <w:t>17200</w:t>
            </w:r>
          </w:p>
        </w:tc>
      </w:tr>
      <w:tr w:rsidR="007A13A0" w:rsidTr="002D48F6">
        <w:trPr>
          <w:trHeight w:val="229"/>
        </w:trPr>
        <w:tc>
          <w:tcPr>
            <w:tcW w:w="1135" w:type="dxa"/>
            <w:vMerge/>
            <w:tcBorders>
              <w:top w:val="nil"/>
            </w:tcBorders>
          </w:tcPr>
          <w:p w:rsidR="007A13A0" w:rsidRDefault="007A13A0" w:rsidP="007A13A0">
            <w:pPr>
              <w:rPr>
                <w:sz w:val="2"/>
                <w:szCs w:val="2"/>
              </w:rPr>
            </w:pPr>
          </w:p>
        </w:tc>
        <w:tc>
          <w:tcPr>
            <w:tcW w:w="849" w:type="dxa"/>
          </w:tcPr>
          <w:p w:rsidR="007A13A0" w:rsidRDefault="007A13A0" w:rsidP="007A13A0">
            <w:pPr>
              <w:rPr>
                <w:sz w:val="20"/>
              </w:rPr>
            </w:pPr>
            <w:r>
              <w:rPr>
                <w:sz w:val="20"/>
              </w:rPr>
              <w:t>28</w:t>
            </w:r>
          </w:p>
        </w:tc>
        <w:tc>
          <w:tcPr>
            <w:tcW w:w="1180" w:type="dxa"/>
          </w:tcPr>
          <w:p w:rsidR="007A13A0" w:rsidRDefault="007A13A0" w:rsidP="007A13A0">
            <w:pPr>
              <w:rPr>
                <w:sz w:val="20"/>
              </w:rPr>
            </w:pPr>
            <w:r>
              <w:rPr>
                <w:sz w:val="20"/>
              </w:rPr>
              <w:t>3.50</w:t>
            </w:r>
          </w:p>
        </w:tc>
        <w:tc>
          <w:tcPr>
            <w:tcW w:w="1180" w:type="dxa"/>
          </w:tcPr>
          <w:p w:rsidR="007A13A0" w:rsidRDefault="007A13A0" w:rsidP="007A13A0">
            <w:pPr>
              <w:rPr>
                <w:sz w:val="20"/>
              </w:rPr>
            </w:pPr>
            <w:r>
              <w:rPr>
                <w:sz w:val="20"/>
              </w:rPr>
              <w:t>3.25</w:t>
            </w:r>
          </w:p>
        </w:tc>
        <w:tc>
          <w:tcPr>
            <w:tcW w:w="1180" w:type="dxa"/>
          </w:tcPr>
          <w:p w:rsidR="007A13A0" w:rsidRDefault="007A13A0" w:rsidP="007A13A0">
            <w:pPr>
              <w:rPr>
                <w:sz w:val="20"/>
              </w:rPr>
            </w:pPr>
            <w:r>
              <w:rPr>
                <w:sz w:val="20"/>
              </w:rPr>
              <w:t>1870</w:t>
            </w:r>
          </w:p>
        </w:tc>
        <w:tc>
          <w:tcPr>
            <w:tcW w:w="1180" w:type="dxa"/>
          </w:tcPr>
          <w:p w:rsidR="007A13A0" w:rsidRDefault="007A13A0" w:rsidP="007A13A0">
            <w:pPr>
              <w:rPr>
                <w:sz w:val="20"/>
              </w:rPr>
            </w:pPr>
            <w:r>
              <w:rPr>
                <w:sz w:val="20"/>
              </w:rPr>
              <w:t>1380</w:t>
            </w:r>
          </w:p>
        </w:tc>
        <w:tc>
          <w:tcPr>
            <w:tcW w:w="1182" w:type="dxa"/>
          </w:tcPr>
          <w:p w:rsidR="007A13A0" w:rsidRDefault="007A13A0" w:rsidP="007A13A0">
            <w:pPr>
              <w:rPr>
                <w:sz w:val="20"/>
              </w:rPr>
            </w:pPr>
            <w:r>
              <w:rPr>
                <w:sz w:val="20"/>
              </w:rPr>
              <w:t>13400</w:t>
            </w:r>
          </w:p>
        </w:tc>
        <w:tc>
          <w:tcPr>
            <w:tcW w:w="1180" w:type="dxa"/>
          </w:tcPr>
          <w:p w:rsidR="007A13A0" w:rsidRDefault="007A13A0" w:rsidP="007A13A0">
            <w:pPr>
              <w:rPr>
                <w:sz w:val="20"/>
              </w:rPr>
            </w:pPr>
            <w:r>
              <w:rPr>
                <w:sz w:val="20"/>
              </w:rPr>
              <w:t>9600</w:t>
            </w:r>
          </w:p>
        </w:tc>
      </w:tr>
      <w:tr w:rsidR="007A13A0" w:rsidTr="002D48F6">
        <w:trPr>
          <w:trHeight w:val="230"/>
        </w:trPr>
        <w:tc>
          <w:tcPr>
            <w:tcW w:w="1135" w:type="dxa"/>
            <w:vMerge w:val="restart"/>
          </w:tcPr>
          <w:p w:rsidR="007A13A0" w:rsidRDefault="007A13A0" w:rsidP="007A13A0">
            <w:pPr>
              <w:rPr>
                <w:sz w:val="20"/>
              </w:rPr>
            </w:pPr>
          </w:p>
          <w:p w:rsidR="007A13A0" w:rsidRDefault="007A13A0" w:rsidP="007A13A0">
            <w:pPr>
              <w:rPr>
                <w:sz w:val="20"/>
              </w:rPr>
            </w:pPr>
            <w:r>
              <w:rPr>
                <w:sz w:val="20"/>
              </w:rPr>
              <w:t>300*</w:t>
            </w:r>
          </w:p>
        </w:tc>
        <w:tc>
          <w:tcPr>
            <w:tcW w:w="849" w:type="dxa"/>
          </w:tcPr>
          <w:p w:rsidR="007A13A0" w:rsidRDefault="007A13A0" w:rsidP="007A13A0">
            <w:pPr>
              <w:rPr>
                <w:sz w:val="20"/>
              </w:rPr>
            </w:pPr>
            <w:r>
              <w:rPr>
                <w:w w:val="99"/>
                <w:sz w:val="20"/>
              </w:rPr>
              <w:t>1</w:t>
            </w:r>
          </w:p>
        </w:tc>
        <w:tc>
          <w:tcPr>
            <w:tcW w:w="1180" w:type="dxa"/>
          </w:tcPr>
          <w:p w:rsidR="007A13A0" w:rsidRDefault="007A13A0" w:rsidP="007A13A0">
            <w:pPr>
              <w:rPr>
                <w:sz w:val="20"/>
              </w:rPr>
            </w:pPr>
            <w:r>
              <w:rPr>
                <w:sz w:val="20"/>
              </w:rPr>
              <w:t>4.57</w:t>
            </w:r>
          </w:p>
        </w:tc>
        <w:tc>
          <w:tcPr>
            <w:tcW w:w="1180" w:type="dxa"/>
          </w:tcPr>
          <w:p w:rsidR="007A13A0" w:rsidRDefault="007A13A0" w:rsidP="007A13A0">
            <w:pPr>
              <w:rPr>
                <w:sz w:val="20"/>
              </w:rPr>
            </w:pPr>
            <w:r>
              <w:rPr>
                <w:sz w:val="20"/>
              </w:rPr>
              <w:t>3.86</w:t>
            </w:r>
          </w:p>
        </w:tc>
        <w:tc>
          <w:tcPr>
            <w:tcW w:w="1180" w:type="dxa"/>
          </w:tcPr>
          <w:p w:rsidR="007A13A0" w:rsidRDefault="007A13A0" w:rsidP="007A13A0">
            <w:pPr>
              <w:rPr>
                <w:sz w:val="20"/>
              </w:rPr>
            </w:pPr>
            <w:r>
              <w:rPr>
                <w:sz w:val="20"/>
              </w:rPr>
              <w:t>6440</w:t>
            </w:r>
          </w:p>
        </w:tc>
        <w:tc>
          <w:tcPr>
            <w:tcW w:w="1180" w:type="dxa"/>
          </w:tcPr>
          <w:p w:rsidR="007A13A0" w:rsidRDefault="007A13A0" w:rsidP="007A13A0">
            <w:pPr>
              <w:rPr>
                <w:sz w:val="20"/>
              </w:rPr>
            </w:pPr>
            <w:r>
              <w:rPr>
                <w:sz w:val="20"/>
              </w:rPr>
              <w:t>3790</w:t>
            </w:r>
          </w:p>
        </w:tc>
        <w:tc>
          <w:tcPr>
            <w:tcW w:w="1182" w:type="dxa"/>
          </w:tcPr>
          <w:p w:rsidR="007A13A0" w:rsidRDefault="007A13A0" w:rsidP="007A13A0">
            <w:pPr>
              <w:rPr>
                <w:sz w:val="20"/>
              </w:rPr>
            </w:pPr>
            <w:r>
              <w:rPr>
                <w:sz w:val="20"/>
              </w:rPr>
              <w:t>78100</w:t>
            </w:r>
          </w:p>
        </w:tc>
        <w:tc>
          <w:tcPr>
            <w:tcW w:w="1180" w:type="dxa"/>
          </w:tcPr>
          <w:p w:rsidR="007A13A0" w:rsidRDefault="007A13A0" w:rsidP="007A13A0">
            <w:pPr>
              <w:rPr>
                <w:sz w:val="20"/>
              </w:rPr>
            </w:pPr>
            <w:r>
              <w:rPr>
                <w:sz w:val="20"/>
              </w:rPr>
              <w:t>37500</w:t>
            </w:r>
          </w:p>
        </w:tc>
      </w:tr>
      <w:tr w:rsidR="007A13A0" w:rsidTr="002D48F6">
        <w:trPr>
          <w:trHeight w:val="230"/>
        </w:trPr>
        <w:tc>
          <w:tcPr>
            <w:tcW w:w="1135" w:type="dxa"/>
            <w:vMerge/>
            <w:tcBorders>
              <w:top w:val="nil"/>
            </w:tcBorders>
          </w:tcPr>
          <w:p w:rsidR="007A13A0" w:rsidRDefault="007A13A0" w:rsidP="007A13A0">
            <w:pPr>
              <w:rPr>
                <w:sz w:val="2"/>
                <w:szCs w:val="2"/>
              </w:rPr>
            </w:pPr>
          </w:p>
        </w:tc>
        <w:tc>
          <w:tcPr>
            <w:tcW w:w="849" w:type="dxa"/>
          </w:tcPr>
          <w:p w:rsidR="007A13A0" w:rsidRDefault="007A13A0" w:rsidP="007A13A0">
            <w:pPr>
              <w:rPr>
                <w:sz w:val="20"/>
              </w:rPr>
            </w:pPr>
            <w:r>
              <w:rPr>
                <w:sz w:val="20"/>
              </w:rPr>
              <w:t>14</w:t>
            </w:r>
          </w:p>
        </w:tc>
        <w:tc>
          <w:tcPr>
            <w:tcW w:w="1180" w:type="dxa"/>
          </w:tcPr>
          <w:p w:rsidR="007A13A0" w:rsidRDefault="007A13A0" w:rsidP="007A13A0">
            <w:pPr>
              <w:rPr>
                <w:sz w:val="20"/>
              </w:rPr>
            </w:pPr>
            <w:r>
              <w:rPr>
                <w:sz w:val="20"/>
              </w:rPr>
              <w:t>5.71</w:t>
            </w:r>
          </w:p>
        </w:tc>
        <w:tc>
          <w:tcPr>
            <w:tcW w:w="1180" w:type="dxa"/>
          </w:tcPr>
          <w:p w:rsidR="007A13A0" w:rsidRDefault="007A13A0" w:rsidP="007A13A0">
            <w:pPr>
              <w:rPr>
                <w:sz w:val="20"/>
              </w:rPr>
            </w:pPr>
            <w:r>
              <w:rPr>
                <w:sz w:val="20"/>
              </w:rPr>
              <w:t>4.00</w:t>
            </w:r>
          </w:p>
        </w:tc>
        <w:tc>
          <w:tcPr>
            <w:tcW w:w="1180" w:type="dxa"/>
          </w:tcPr>
          <w:p w:rsidR="007A13A0" w:rsidRDefault="007A13A0" w:rsidP="007A13A0">
            <w:pPr>
              <w:rPr>
                <w:sz w:val="20"/>
              </w:rPr>
            </w:pPr>
            <w:r>
              <w:rPr>
                <w:sz w:val="20"/>
              </w:rPr>
              <w:t>7300</w:t>
            </w:r>
          </w:p>
        </w:tc>
        <w:tc>
          <w:tcPr>
            <w:tcW w:w="1180" w:type="dxa"/>
          </w:tcPr>
          <w:p w:rsidR="007A13A0" w:rsidRDefault="007A13A0" w:rsidP="007A13A0">
            <w:pPr>
              <w:rPr>
                <w:sz w:val="20"/>
              </w:rPr>
            </w:pPr>
            <w:r>
              <w:rPr>
                <w:sz w:val="20"/>
              </w:rPr>
              <w:t>5990</w:t>
            </w:r>
          </w:p>
        </w:tc>
        <w:tc>
          <w:tcPr>
            <w:tcW w:w="1182" w:type="dxa"/>
          </w:tcPr>
          <w:p w:rsidR="007A13A0" w:rsidRDefault="007A13A0" w:rsidP="007A13A0">
            <w:pPr>
              <w:rPr>
                <w:sz w:val="20"/>
              </w:rPr>
            </w:pPr>
            <w:r>
              <w:rPr>
                <w:sz w:val="20"/>
              </w:rPr>
              <w:t>94700</w:t>
            </w:r>
          </w:p>
        </w:tc>
        <w:tc>
          <w:tcPr>
            <w:tcW w:w="1180" w:type="dxa"/>
          </w:tcPr>
          <w:p w:rsidR="007A13A0" w:rsidRDefault="007A13A0" w:rsidP="007A13A0">
            <w:pPr>
              <w:rPr>
                <w:sz w:val="20"/>
              </w:rPr>
            </w:pPr>
            <w:r>
              <w:rPr>
                <w:sz w:val="20"/>
              </w:rPr>
              <w:t>79500</w:t>
            </w:r>
          </w:p>
        </w:tc>
      </w:tr>
      <w:tr w:rsidR="007A13A0" w:rsidTr="002D48F6">
        <w:trPr>
          <w:trHeight w:val="229"/>
        </w:trPr>
        <w:tc>
          <w:tcPr>
            <w:tcW w:w="1135" w:type="dxa"/>
            <w:vMerge/>
            <w:tcBorders>
              <w:top w:val="nil"/>
            </w:tcBorders>
          </w:tcPr>
          <w:p w:rsidR="007A13A0" w:rsidRDefault="007A13A0" w:rsidP="007A13A0">
            <w:pPr>
              <w:rPr>
                <w:sz w:val="2"/>
                <w:szCs w:val="2"/>
              </w:rPr>
            </w:pPr>
          </w:p>
        </w:tc>
        <w:tc>
          <w:tcPr>
            <w:tcW w:w="849" w:type="dxa"/>
          </w:tcPr>
          <w:p w:rsidR="007A13A0" w:rsidRDefault="007A13A0" w:rsidP="007A13A0">
            <w:pPr>
              <w:rPr>
                <w:sz w:val="20"/>
              </w:rPr>
            </w:pPr>
            <w:r>
              <w:rPr>
                <w:sz w:val="20"/>
              </w:rPr>
              <w:t>28</w:t>
            </w:r>
          </w:p>
        </w:tc>
        <w:tc>
          <w:tcPr>
            <w:tcW w:w="1180" w:type="dxa"/>
          </w:tcPr>
          <w:p w:rsidR="007A13A0" w:rsidRDefault="007A13A0" w:rsidP="007A13A0">
            <w:pPr>
              <w:rPr>
                <w:sz w:val="20"/>
              </w:rPr>
            </w:pPr>
            <w:r>
              <w:rPr>
                <w:sz w:val="20"/>
              </w:rPr>
              <w:t>5.60</w:t>
            </w:r>
          </w:p>
        </w:tc>
        <w:tc>
          <w:tcPr>
            <w:tcW w:w="1180" w:type="dxa"/>
          </w:tcPr>
          <w:p w:rsidR="007A13A0" w:rsidRDefault="007A13A0" w:rsidP="007A13A0">
            <w:pPr>
              <w:rPr>
                <w:sz w:val="20"/>
              </w:rPr>
            </w:pPr>
            <w:r>
              <w:rPr>
                <w:sz w:val="20"/>
              </w:rPr>
              <w:t>4.00</w:t>
            </w:r>
          </w:p>
        </w:tc>
        <w:tc>
          <w:tcPr>
            <w:tcW w:w="1180" w:type="dxa"/>
          </w:tcPr>
          <w:p w:rsidR="007A13A0" w:rsidRDefault="007A13A0" w:rsidP="007A13A0">
            <w:pPr>
              <w:rPr>
                <w:sz w:val="20"/>
              </w:rPr>
            </w:pPr>
            <w:r>
              <w:rPr>
                <w:sz w:val="20"/>
              </w:rPr>
              <w:t>6950</w:t>
            </w:r>
          </w:p>
        </w:tc>
        <w:tc>
          <w:tcPr>
            <w:tcW w:w="1180" w:type="dxa"/>
          </w:tcPr>
          <w:p w:rsidR="007A13A0" w:rsidRDefault="007A13A0" w:rsidP="007A13A0">
            <w:pPr>
              <w:rPr>
                <w:sz w:val="20"/>
              </w:rPr>
            </w:pPr>
            <w:r>
              <w:rPr>
                <w:sz w:val="20"/>
              </w:rPr>
              <w:t>6140</w:t>
            </w:r>
          </w:p>
        </w:tc>
        <w:tc>
          <w:tcPr>
            <w:tcW w:w="1182" w:type="dxa"/>
          </w:tcPr>
          <w:p w:rsidR="007A13A0" w:rsidRDefault="007A13A0" w:rsidP="007A13A0">
            <w:pPr>
              <w:rPr>
                <w:sz w:val="20"/>
              </w:rPr>
            </w:pPr>
            <w:r>
              <w:rPr>
                <w:sz w:val="20"/>
              </w:rPr>
              <w:t>95100</w:t>
            </w:r>
          </w:p>
        </w:tc>
        <w:tc>
          <w:tcPr>
            <w:tcW w:w="1180" w:type="dxa"/>
          </w:tcPr>
          <w:p w:rsidR="007A13A0" w:rsidRDefault="007A13A0" w:rsidP="007A13A0">
            <w:pPr>
              <w:rPr>
                <w:sz w:val="20"/>
              </w:rPr>
            </w:pPr>
            <w:r>
              <w:rPr>
                <w:sz w:val="20"/>
              </w:rPr>
              <w:t>66600</w:t>
            </w:r>
          </w:p>
        </w:tc>
      </w:tr>
    </w:tbl>
    <w:p w:rsidR="007A13A0" w:rsidRDefault="007A13A0" w:rsidP="007A13A0">
      <w:pPr>
        <w:rPr>
          <w:sz w:val="20"/>
        </w:rPr>
      </w:pPr>
      <w:r>
        <w:rPr>
          <w:sz w:val="20"/>
        </w:rPr>
        <w:t>*: The females received 300 mg/kg (as free form) until Day 14 of dosing and 100 mg/kg from Day 15 of dosing.</w:t>
      </w:r>
    </w:p>
    <w:p w:rsidR="007A13A0" w:rsidRDefault="007A13A0" w:rsidP="007A13A0">
      <w:r>
        <w:rPr>
          <w:position w:val="2"/>
        </w:rPr>
        <w:t>In toxicokinetics, the C</w:t>
      </w:r>
      <w:r>
        <w:rPr>
          <w:sz w:val="16"/>
        </w:rPr>
        <w:t xml:space="preserve">max </w:t>
      </w:r>
      <w:r>
        <w:rPr>
          <w:position w:val="2"/>
        </w:rPr>
        <w:t>and AUC</w:t>
      </w:r>
      <w:r>
        <w:rPr>
          <w:sz w:val="16"/>
        </w:rPr>
        <w:t xml:space="preserve">24 </w:t>
      </w:r>
      <w:r>
        <w:rPr>
          <w:position w:val="2"/>
        </w:rPr>
        <w:t xml:space="preserve">generally increased with dose level. There were no </w:t>
      </w:r>
      <w:r>
        <w:t>apparent changes in the TK parameters after repeated dosing. There were no apparent sex differences in the TK parameters. In females, the dose level was reduced to 100 mg/kg from Day 15 of dosing, but there was no clear decrease in TK parameters.</w:t>
      </w:r>
    </w:p>
    <w:p w:rsidR="007A13A0" w:rsidRDefault="007A13A0" w:rsidP="007A13A0">
      <w:r>
        <w:t>The changes noted during the dosing period or at the end of the dosing period disappeared by the end of the recovery period, indicating that they were reversible.</w:t>
      </w:r>
    </w:p>
    <w:p w:rsidR="007A13A0" w:rsidRDefault="007A13A0" w:rsidP="007A13A0">
      <w:pPr>
        <w:rPr>
          <w:b/>
          <w:bCs/>
          <w:kern w:val="0"/>
          <w:sz w:val="28"/>
          <w:szCs w:val="28"/>
        </w:rPr>
      </w:pPr>
      <w:r>
        <w:t xml:space="preserve">It was concluded that, under the conditions of this study, the target organs of </w:t>
      </w:r>
      <w:r w:rsidR="005C58D9">
        <w:t>Project F</w:t>
      </w:r>
      <w:r>
        <w:t xml:space="preserve"> were the kidney and liver. The no-observed-adverse-effect level (NOAEL) of </w:t>
      </w:r>
      <w:r w:rsidR="005C58D9">
        <w:t>Project F</w:t>
      </w:r>
      <w:r>
        <w:t xml:space="preserve"> was 30 mg/kg/day as </w:t>
      </w:r>
      <w:r w:rsidR="005C58D9">
        <w:t>PROJECT F</w:t>
      </w:r>
      <w:r>
        <w:t xml:space="preserve"> for males and females because granular degeneration of the hepatocytes in the liver in the highest dose group and moribund or dead animals were observed. The test article-related changes noted during the dosing period or at the end of dosing period recovered by Week 4 of the recovery period.</w:t>
      </w:r>
    </w:p>
    <w:sectPr w:rsidR="007A13A0" w:rsidSect="00E62016">
      <w:footerReference w:type="default" r:id="rId7"/>
      <w:pgSz w:w="11906" w:h="16838" w:code="9"/>
      <w:pgMar w:top="1418" w:right="851" w:bottom="1418" w:left="851" w:header="851" w:footer="851" w:gutter="567"/>
      <w:cols w:space="425"/>
      <w:docGrid w:type="linesAndChars" w:linePitch="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40ED" w:rsidRDefault="007240ED" w:rsidP="00321748">
      <w:r>
        <w:separator/>
      </w:r>
    </w:p>
  </w:endnote>
  <w:endnote w:type="continuationSeparator" w:id="0">
    <w:p w:rsidR="007240ED" w:rsidRDefault="007240ED" w:rsidP="0032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NewRoman,Bold">
    <w:altName w:val="游ゴシック"/>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416" w:rsidRDefault="00571416">
    <w:pPr>
      <w:pStyle w:val="a7"/>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40ED" w:rsidRDefault="007240ED" w:rsidP="00321748">
      <w:r>
        <w:separator/>
      </w:r>
    </w:p>
  </w:footnote>
  <w:footnote w:type="continuationSeparator" w:id="0">
    <w:p w:rsidR="007240ED" w:rsidRDefault="007240ED" w:rsidP="00321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5118"/>
    <w:multiLevelType w:val="multilevel"/>
    <w:tmpl w:val="0DB2A062"/>
    <w:lvl w:ilvl="0">
      <w:start w:val="3"/>
      <w:numFmt w:val="decimal"/>
      <w:lvlText w:val="%1."/>
      <w:lvlJc w:val="left"/>
      <w:pPr>
        <w:ind w:left="637" w:hanging="396"/>
        <w:jc w:val="right"/>
      </w:pPr>
      <w:rPr>
        <w:rFonts w:ascii="Calibri" w:eastAsia="Calibri" w:hAnsi="Calibri" w:cs="Calibri" w:hint="default"/>
        <w:b/>
        <w:bCs/>
        <w:spacing w:val="-1"/>
        <w:w w:val="99"/>
        <w:sz w:val="32"/>
        <w:szCs w:val="32"/>
      </w:rPr>
    </w:lvl>
    <w:lvl w:ilvl="1">
      <w:start w:val="1"/>
      <w:numFmt w:val="decimal"/>
      <w:lvlText w:val="%1.%2."/>
      <w:lvlJc w:val="left"/>
      <w:pPr>
        <w:ind w:left="865" w:hanging="624"/>
      </w:pPr>
      <w:rPr>
        <w:rFonts w:ascii="Calibri" w:eastAsia="Calibri" w:hAnsi="Calibri" w:cs="Calibri" w:hint="default"/>
        <w:b/>
        <w:bCs/>
        <w:spacing w:val="-1"/>
        <w:w w:val="100"/>
        <w:sz w:val="28"/>
        <w:szCs w:val="28"/>
      </w:rPr>
    </w:lvl>
    <w:lvl w:ilvl="2">
      <w:start w:val="1"/>
      <w:numFmt w:val="lowerRoman"/>
      <w:lvlText w:val="(%3)"/>
      <w:lvlJc w:val="left"/>
      <w:pPr>
        <w:ind w:left="1320" w:hanging="721"/>
      </w:pPr>
      <w:rPr>
        <w:rFonts w:ascii="Calibri" w:eastAsia="Calibri" w:hAnsi="Calibri" w:cs="Calibri" w:hint="default"/>
        <w:spacing w:val="-1"/>
        <w:w w:val="100"/>
        <w:sz w:val="22"/>
        <w:szCs w:val="22"/>
      </w:rPr>
    </w:lvl>
    <w:lvl w:ilvl="3">
      <w:numFmt w:val="bullet"/>
      <w:lvlText w:val="•"/>
      <w:lvlJc w:val="left"/>
      <w:pPr>
        <w:ind w:left="1320" w:hanging="721"/>
      </w:pPr>
      <w:rPr>
        <w:rFonts w:hint="default"/>
      </w:rPr>
    </w:lvl>
    <w:lvl w:ilvl="4">
      <w:numFmt w:val="bullet"/>
      <w:lvlText w:val="•"/>
      <w:lvlJc w:val="left"/>
      <w:pPr>
        <w:ind w:left="3940" w:hanging="721"/>
      </w:pPr>
      <w:rPr>
        <w:rFonts w:hint="default"/>
      </w:rPr>
    </w:lvl>
    <w:lvl w:ilvl="5">
      <w:numFmt w:val="bullet"/>
      <w:lvlText w:val="•"/>
      <w:lvlJc w:val="left"/>
      <w:pPr>
        <w:ind w:left="3759" w:hanging="721"/>
      </w:pPr>
      <w:rPr>
        <w:rFonts w:hint="default"/>
      </w:rPr>
    </w:lvl>
    <w:lvl w:ilvl="6">
      <w:numFmt w:val="bullet"/>
      <w:lvlText w:val="•"/>
      <w:lvlJc w:val="left"/>
      <w:pPr>
        <w:ind w:left="3578" w:hanging="721"/>
      </w:pPr>
      <w:rPr>
        <w:rFonts w:hint="default"/>
      </w:rPr>
    </w:lvl>
    <w:lvl w:ilvl="7">
      <w:numFmt w:val="bullet"/>
      <w:lvlText w:val="•"/>
      <w:lvlJc w:val="left"/>
      <w:pPr>
        <w:ind w:left="3397" w:hanging="721"/>
      </w:pPr>
      <w:rPr>
        <w:rFonts w:hint="default"/>
      </w:rPr>
    </w:lvl>
    <w:lvl w:ilvl="8">
      <w:numFmt w:val="bullet"/>
      <w:lvlText w:val="•"/>
      <w:lvlJc w:val="left"/>
      <w:pPr>
        <w:ind w:left="3216" w:hanging="72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VerticalSpacing w:val="17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B0"/>
    <w:rsid w:val="0002312A"/>
    <w:rsid w:val="000804FC"/>
    <w:rsid w:val="0009083A"/>
    <w:rsid w:val="000934E2"/>
    <w:rsid w:val="000F6409"/>
    <w:rsid w:val="0012153B"/>
    <w:rsid w:val="0015063C"/>
    <w:rsid w:val="002206D5"/>
    <w:rsid w:val="00280895"/>
    <w:rsid w:val="002C7EB3"/>
    <w:rsid w:val="002D7B26"/>
    <w:rsid w:val="00305291"/>
    <w:rsid w:val="003065FF"/>
    <w:rsid w:val="00321748"/>
    <w:rsid w:val="00361285"/>
    <w:rsid w:val="00380F69"/>
    <w:rsid w:val="003A0A7C"/>
    <w:rsid w:val="003C3D3C"/>
    <w:rsid w:val="003F667A"/>
    <w:rsid w:val="004929BD"/>
    <w:rsid w:val="00571416"/>
    <w:rsid w:val="005835E5"/>
    <w:rsid w:val="005B7D2B"/>
    <w:rsid w:val="005C58D9"/>
    <w:rsid w:val="00667206"/>
    <w:rsid w:val="006C2900"/>
    <w:rsid w:val="006D1EC1"/>
    <w:rsid w:val="006F292D"/>
    <w:rsid w:val="0071344D"/>
    <w:rsid w:val="00714904"/>
    <w:rsid w:val="007240ED"/>
    <w:rsid w:val="0078042E"/>
    <w:rsid w:val="007A13A0"/>
    <w:rsid w:val="007B04E7"/>
    <w:rsid w:val="007C55F6"/>
    <w:rsid w:val="007C6290"/>
    <w:rsid w:val="008E19B0"/>
    <w:rsid w:val="009376DC"/>
    <w:rsid w:val="00950A3B"/>
    <w:rsid w:val="00953BD7"/>
    <w:rsid w:val="00977F68"/>
    <w:rsid w:val="00A13523"/>
    <w:rsid w:val="00AA621D"/>
    <w:rsid w:val="00AC22DF"/>
    <w:rsid w:val="00BC0EC2"/>
    <w:rsid w:val="00C20ABD"/>
    <w:rsid w:val="00C75423"/>
    <w:rsid w:val="00C93565"/>
    <w:rsid w:val="00D0213C"/>
    <w:rsid w:val="00D154DC"/>
    <w:rsid w:val="00D86D90"/>
    <w:rsid w:val="00D87BA5"/>
    <w:rsid w:val="00DA3A6D"/>
    <w:rsid w:val="00E62016"/>
    <w:rsid w:val="00E924DB"/>
    <w:rsid w:val="00ED218C"/>
    <w:rsid w:val="00EE3238"/>
    <w:rsid w:val="00F13C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049CB38-DDA4-4213-888E-F97547B1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BA5"/>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1748"/>
    <w:pPr>
      <w:tabs>
        <w:tab w:val="center" w:pos="4252"/>
        <w:tab w:val="right" w:pos="8504"/>
      </w:tabs>
      <w:snapToGrid w:val="0"/>
    </w:pPr>
  </w:style>
  <w:style w:type="character" w:customStyle="1" w:styleId="a4">
    <w:name w:val="ヘッダー (文字)"/>
    <w:basedOn w:val="a0"/>
    <w:link w:val="a3"/>
    <w:uiPriority w:val="99"/>
    <w:rsid w:val="00321748"/>
    <w:rPr>
      <w:sz w:val="24"/>
    </w:rPr>
  </w:style>
  <w:style w:type="paragraph" w:styleId="a5">
    <w:name w:val="footer"/>
    <w:basedOn w:val="a"/>
    <w:link w:val="a6"/>
    <w:uiPriority w:val="99"/>
    <w:unhideWhenUsed/>
    <w:rsid w:val="00321748"/>
    <w:pPr>
      <w:tabs>
        <w:tab w:val="center" w:pos="4252"/>
        <w:tab w:val="right" w:pos="8504"/>
      </w:tabs>
      <w:snapToGrid w:val="0"/>
    </w:pPr>
  </w:style>
  <w:style w:type="character" w:customStyle="1" w:styleId="a6">
    <w:name w:val="フッター (文字)"/>
    <w:basedOn w:val="a0"/>
    <w:link w:val="a5"/>
    <w:uiPriority w:val="99"/>
    <w:rsid w:val="00321748"/>
    <w:rPr>
      <w:sz w:val="24"/>
    </w:rPr>
  </w:style>
  <w:style w:type="paragraph" w:styleId="a7">
    <w:name w:val="Body Text"/>
    <w:basedOn w:val="a"/>
    <w:link w:val="a8"/>
    <w:uiPriority w:val="1"/>
    <w:qFormat/>
    <w:rsid w:val="00321748"/>
    <w:pPr>
      <w:autoSpaceDE w:val="0"/>
      <w:autoSpaceDN w:val="0"/>
      <w:jc w:val="left"/>
    </w:pPr>
    <w:rPr>
      <w:rFonts w:eastAsia="Times New Roman"/>
      <w:kern w:val="0"/>
      <w:szCs w:val="24"/>
      <w:lang w:eastAsia="en-US"/>
    </w:rPr>
  </w:style>
  <w:style w:type="character" w:customStyle="1" w:styleId="a8">
    <w:name w:val="本文 (文字)"/>
    <w:basedOn w:val="a0"/>
    <w:link w:val="a7"/>
    <w:uiPriority w:val="1"/>
    <w:rsid w:val="00321748"/>
    <w:rPr>
      <w:rFonts w:eastAsia="Times New Roman"/>
      <w:kern w:val="0"/>
      <w:sz w:val="24"/>
      <w:szCs w:val="24"/>
      <w:lang w:eastAsia="en-US"/>
    </w:rPr>
  </w:style>
  <w:style w:type="table" w:customStyle="1" w:styleId="TableNormal">
    <w:name w:val="Table Normal"/>
    <w:uiPriority w:val="2"/>
    <w:semiHidden/>
    <w:unhideWhenUsed/>
    <w:qFormat/>
    <w:rsid w:val="00950A3B"/>
    <w:pPr>
      <w:widowControl w:val="0"/>
      <w:autoSpaceDE w:val="0"/>
      <w:autoSpaceDN w:val="0"/>
    </w:pPr>
    <w:rPr>
      <w:rFonts w:asciiTheme="minorHAnsi" w:eastAsiaTheme="minorEastAsia" w:hAnsiTheme="minorHAnsi" w:cstheme="minorBidi"/>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50A3B"/>
    <w:pPr>
      <w:autoSpaceDE w:val="0"/>
      <w:autoSpaceDN w:val="0"/>
      <w:jc w:val="left"/>
    </w:pPr>
    <w:rPr>
      <w:rFonts w:ascii="Courier New" w:eastAsia="Courier New" w:hAnsi="Courier New" w:cs="Courier New"/>
      <w:kern w:val="0"/>
      <w:sz w:val="22"/>
      <w:lang w:eastAsia="en-US"/>
    </w:rPr>
  </w:style>
  <w:style w:type="table" w:customStyle="1" w:styleId="TableNormal1">
    <w:name w:val="Table Normal1"/>
    <w:uiPriority w:val="2"/>
    <w:semiHidden/>
    <w:unhideWhenUsed/>
    <w:qFormat/>
    <w:rsid w:val="003065FF"/>
    <w:pPr>
      <w:widowControl w:val="0"/>
      <w:autoSpaceDE w:val="0"/>
      <w:autoSpaceDN w:val="0"/>
    </w:pPr>
    <w:rPr>
      <w:rFonts w:ascii="Calibri" w:hAnsi="Calibri"/>
      <w:kern w:val="0"/>
      <w:sz w:val="22"/>
      <w:lang w:eastAsia="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571416"/>
    <w:pPr>
      <w:widowControl w:val="0"/>
      <w:autoSpaceDE w:val="0"/>
      <w:autoSpaceDN w:val="0"/>
    </w:pPr>
    <w:rPr>
      <w:rFonts w:ascii="Calibri" w:hAnsi="Calibri"/>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428CC5-8926-49E7-A057-D4906887AF16}"/>
</file>

<file path=customXml/itemProps2.xml><?xml version="1.0" encoding="utf-8"?>
<ds:datastoreItem xmlns:ds="http://schemas.openxmlformats.org/officeDocument/2006/customXml" ds:itemID="{963821C6-3553-402A-9469-42DA995ADF9D}"/>
</file>

<file path=customXml/itemProps3.xml><?xml version="1.0" encoding="utf-8"?>
<ds:datastoreItem xmlns:ds="http://schemas.openxmlformats.org/officeDocument/2006/customXml" ds:itemID="{049EBAD7-B2F7-47E8-B5FC-22C27155677C}"/>
</file>

<file path=docProps/app.xml><?xml version="1.0" encoding="utf-8"?>
<Properties xmlns="http://schemas.openxmlformats.org/officeDocument/2006/extended-properties" xmlns:vt="http://schemas.openxmlformats.org/officeDocument/2006/docPropsVTypes">
  <Template>Normal</Template>
  <TotalTime>39</TotalTime>
  <Pages>1</Pages>
  <Words>1129</Words>
  <Characters>6440</Characters>
  <Application>Microsoft Office Word</Application>
  <DocSecurity>0</DocSecurity>
  <Lines>53</Lines>
  <Paragraphs>15</Paragraphs>
  <ScaleCrop>false</ScaleCrop>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 Yudai(渡辺 雄大)</dc:creator>
  <cp:keywords/>
  <dc:description/>
  <cp:lastModifiedBy>Watanabe, Yudai(渡辺 雄大)</cp:lastModifiedBy>
  <cp:revision>27</cp:revision>
  <dcterms:created xsi:type="dcterms:W3CDTF">2021-06-23T13:15:00Z</dcterms:created>
  <dcterms:modified xsi:type="dcterms:W3CDTF">2021-06-30T11:55:00Z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0x0101007EA8C9399C6F4249AB6A1823D3F13C35</vt:lpwstr>
  </property>
</Properties>
</file>