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1017" w:rsidRDefault="00161017">
      <w:pPr>
        <w:pStyle w:val="a3"/>
        <w:spacing w:before="4"/>
        <w:rPr>
          <w:sz w:val="20"/>
        </w:rPr>
      </w:pPr>
    </w:p>
    <w:p w:rsidR="00161017" w:rsidRDefault="00D753BB">
      <w:pPr>
        <w:pStyle w:val="3"/>
        <w:numPr>
          <w:ilvl w:val="2"/>
          <w:numId w:val="9"/>
        </w:numPr>
        <w:tabs>
          <w:tab w:val="left" w:pos="1067"/>
          <w:tab w:val="left" w:pos="1068"/>
        </w:tabs>
        <w:spacing w:before="121"/>
      </w:pPr>
      <w:bookmarkStart w:id="0" w:name="4.1.3_Safety_Pharmacology"/>
      <w:bookmarkStart w:id="1" w:name="_bookmark24"/>
      <w:bookmarkEnd w:id="0"/>
      <w:bookmarkEnd w:id="1"/>
      <w:r>
        <w:t>Safety</w:t>
      </w:r>
      <w:r>
        <w:rPr>
          <w:spacing w:val="-2"/>
        </w:rPr>
        <w:t xml:space="preserve"> </w:t>
      </w:r>
      <w:r>
        <w:t>Pharmacology</w:t>
      </w:r>
    </w:p>
    <w:p w:rsidR="00161017" w:rsidRDefault="00D753BB">
      <w:pPr>
        <w:pStyle w:val="a3"/>
        <w:spacing w:before="139" w:line="261" w:lineRule="auto"/>
        <w:ind w:left="215" w:right="2128"/>
      </w:pPr>
      <w:r>
        <w:t>A total of 4 safety pharmacology studies were performed in accordance with Good Laboratory Practice and guidelines of the International Conference on Harmonization of Technical Requirements for Registration of Pharmaceuticals for Human Use. Tabulated results of safety pharmacology studies can be found in [End-of-Text Table 1.2].</w:t>
      </w:r>
    </w:p>
    <w:p w:rsidR="00161017" w:rsidRDefault="00D753BB">
      <w:pPr>
        <w:pStyle w:val="3"/>
        <w:numPr>
          <w:ilvl w:val="3"/>
          <w:numId w:val="9"/>
        </w:numPr>
        <w:tabs>
          <w:tab w:val="left" w:pos="1068"/>
        </w:tabs>
        <w:spacing w:before="122"/>
      </w:pPr>
      <w:bookmarkStart w:id="2" w:name="4.1.3.1_Effects_on_CNS"/>
      <w:bookmarkStart w:id="3" w:name="_bookmark25"/>
      <w:bookmarkEnd w:id="2"/>
      <w:bookmarkEnd w:id="3"/>
      <w:r>
        <w:t>Effects on</w:t>
      </w:r>
      <w:r>
        <w:rPr>
          <w:spacing w:val="-3"/>
        </w:rPr>
        <w:t xml:space="preserve"> </w:t>
      </w:r>
      <w:r>
        <w:t>CNS</w:t>
      </w:r>
    </w:p>
    <w:p w:rsidR="00161017" w:rsidRDefault="006568EB" w:rsidP="00D753BB">
      <w:pPr>
        <w:pStyle w:val="a3"/>
        <w:spacing w:before="139" w:line="261" w:lineRule="auto"/>
        <w:ind w:left="215" w:right="1753"/>
        <w:rPr>
          <w:sz w:val="20"/>
        </w:rPr>
      </w:pPr>
      <w:r>
        <w:t>PROJECT H</w:t>
      </w:r>
      <w:r w:rsidR="00D753BB">
        <w:t xml:space="preserve"> was orally administered as single dose to male Sprague Dawley rats at dose levels of 1, 10, 30 and 60 mg/kg [</w:t>
      </w:r>
      <w:r>
        <w:t>Project H</w:t>
      </w:r>
      <w:r w:rsidR="00D753BB">
        <w:t>-PT-0003]. Rodent general behavior and neurobehavioral function were evaluated by a modified functional observational battery.</w:t>
      </w:r>
    </w:p>
    <w:p w:rsidR="00161017" w:rsidRDefault="00D753BB">
      <w:pPr>
        <w:pStyle w:val="a3"/>
        <w:spacing w:before="230" w:line="261" w:lineRule="auto"/>
        <w:ind w:left="215" w:right="1548"/>
      </w:pPr>
      <w:r>
        <w:t>At 1 mg/kg, no effects were observed. At 10 mg/kg or more, a decrease in locomotor activity, reddening of skin and a dose-dependent decrease in rectal temperature were noted. At</w:t>
      </w:r>
    </w:p>
    <w:p w:rsidR="00161017" w:rsidRDefault="00D753BB">
      <w:pPr>
        <w:pStyle w:val="a3"/>
        <w:spacing w:line="261" w:lineRule="auto"/>
        <w:ind w:left="215" w:right="1548"/>
      </w:pPr>
      <w:r>
        <w:t xml:space="preserve">30 mg/kg or more, incomplete eyelid opening, slight flaccidity in abdominal tone, prone position, a low level of arousal, soft stool, limp extensor thrust reflex were noted. In addition, bradypnea, a decrease in the escape response, disappearance of proprioceptive positioning reaction, piloerection were also noted at 60 mg/kg </w:t>
      </w:r>
      <w:r w:rsidR="006568EB">
        <w:t>PROJECT H</w:t>
      </w:r>
      <w:r>
        <w:t>. All findings disappeared within 24 h.</w:t>
      </w:r>
    </w:p>
    <w:p w:rsidR="00161017" w:rsidRDefault="00D753BB">
      <w:pPr>
        <w:pStyle w:val="3"/>
        <w:numPr>
          <w:ilvl w:val="3"/>
          <w:numId w:val="9"/>
        </w:numPr>
        <w:tabs>
          <w:tab w:val="left" w:pos="1068"/>
        </w:tabs>
        <w:spacing w:before="119"/>
      </w:pPr>
      <w:bookmarkStart w:id="4" w:name="4.1.3.2_Effects_on_hERG_Current"/>
      <w:bookmarkStart w:id="5" w:name="_bookmark26"/>
      <w:bookmarkEnd w:id="4"/>
      <w:bookmarkEnd w:id="5"/>
      <w:r>
        <w:t>Effects on hERG</w:t>
      </w:r>
      <w:r>
        <w:rPr>
          <w:spacing w:val="-2"/>
        </w:rPr>
        <w:t xml:space="preserve"> </w:t>
      </w:r>
      <w:r>
        <w:t>Current</w:t>
      </w:r>
    </w:p>
    <w:p w:rsidR="00161017" w:rsidRDefault="00D753BB">
      <w:pPr>
        <w:pStyle w:val="a3"/>
        <w:spacing w:before="139" w:line="261" w:lineRule="auto"/>
        <w:ind w:left="215" w:right="1701"/>
      </w:pPr>
      <w:r>
        <w:t xml:space="preserve">The effects of </w:t>
      </w:r>
      <w:r w:rsidR="006568EB">
        <w:t>PROJECT H</w:t>
      </w:r>
      <w:r>
        <w:t xml:space="preserve"> on the hERG current were studied in hERG-transfected HEK293 cells by the whole-cell patch-clamp technique [</w:t>
      </w:r>
      <w:r w:rsidR="006568EB">
        <w:t>Project H</w:t>
      </w:r>
      <w:r>
        <w:t xml:space="preserve">-PT-0001]. </w:t>
      </w:r>
      <w:r w:rsidR="006568EB">
        <w:t>PROJECT H</w:t>
      </w:r>
      <w:r>
        <w:t xml:space="preserve"> suppressed the hERG current in hERG-transfected HEK293 cells in a concentration-dependent manner with an IC</w:t>
      </w:r>
      <w:r>
        <w:rPr>
          <w:vertAlign w:val="subscript"/>
        </w:rPr>
        <w:t>50</w:t>
      </w:r>
      <w:r>
        <w:t xml:space="preserve"> of 3.6 μmol/L (approximately 1.1 μg/mL).</w:t>
      </w:r>
    </w:p>
    <w:p w:rsidR="00161017" w:rsidRDefault="00D753BB">
      <w:pPr>
        <w:pStyle w:val="3"/>
        <w:numPr>
          <w:ilvl w:val="3"/>
          <w:numId w:val="9"/>
        </w:numPr>
        <w:tabs>
          <w:tab w:val="left" w:pos="1068"/>
        </w:tabs>
        <w:spacing w:before="122"/>
      </w:pPr>
      <w:bookmarkStart w:id="6" w:name="4.1.3.3_Effects_on_Action_Potential_Dura"/>
      <w:bookmarkStart w:id="7" w:name="_bookmark27"/>
      <w:bookmarkEnd w:id="6"/>
      <w:bookmarkEnd w:id="7"/>
      <w:r>
        <w:t>Effects on Action Potential Duration in Isolated Papillary</w:t>
      </w:r>
      <w:r>
        <w:rPr>
          <w:spacing w:val="-4"/>
        </w:rPr>
        <w:t xml:space="preserve"> </w:t>
      </w:r>
      <w:r>
        <w:t>Muscles</w:t>
      </w:r>
    </w:p>
    <w:p w:rsidR="00161017" w:rsidRDefault="00D753BB">
      <w:pPr>
        <w:pStyle w:val="a3"/>
        <w:spacing w:before="139" w:line="261" w:lineRule="auto"/>
        <w:ind w:left="215" w:right="1940"/>
      </w:pPr>
      <w:r>
        <w:t xml:space="preserve">The effects of </w:t>
      </w:r>
      <w:r w:rsidR="006568EB">
        <w:t>PROJECT H</w:t>
      </w:r>
      <w:r>
        <w:t xml:space="preserve"> on action potentials in isolated guinea-pig papillary muscles were studied by the glass-electrode technique under a surface-superfusing condition</w:t>
      </w:r>
    </w:p>
    <w:p w:rsidR="00161017" w:rsidRDefault="00D753BB">
      <w:pPr>
        <w:pStyle w:val="a3"/>
        <w:spacing w:line="274" w:lineRule="exact"/>
        <w:ind w:left="215"/>
      </w:pPr>
      <w:r>
        <w:t>[</w:t>
      </w:r>
      <w:r w:rsidR="006568EB">
        <w:t>Project H</w:t>
      </w:r>
      <w:r>
        <w:t xml:space="preserve">-PT-0002]. </w:t>
      </w:r>
      <w:r w:rsidR="006568EB">
        <w:t>PROJECT H</w:t>
      </w:r>
      <w:r>
        <w:t xml:space="preserve"> did not affect the action-potentials at concentrations of up to</w:t>
      </w:r>
    </w:p>
    <w:p w:rsidR="00161017" w:rsidRDefault="00D753BB">
      <w:pPr>
        <w:pStyle w:val="a3"/>
        <w:spacing w:before="24" w:line="261" w:lineRule="auto"/>
        <w:ind w:left="215" w:right="2198"/>
      </w:pPr>
      <w:r>
        <w:t xml:space="preserve">2.69 μmol/L (0.808 μg/mL). At 9.23 μmol/L (2.77 μg/mL), </w:t>
      </w:r>
      <w:r w:rsidR="006568EB">
        <w:t>PROJECT H</w:t>
      </w:r>
      <w:r>
        <w:t xml:space="preserve"> shortened APD</w:t>
      </w:r>
      <w:r>
        <w:rPr>
          <w:vertAlign w:val="subscript"/>
        </w:rPr>
        <w:t>30</w:t>
      </w:r>
      <w:r>
        <w:t xml:space="preserve"> (−6.1%), prolonged APD</w:t>
      </w:r>
      <w:r>
        <w:rPr>
          <w:vertAlign w:val="subscript"/>
        </w:rPr>
        <w:t>30-90</w:t>
      </w:r>
      <w:r>
        <w:t xml:space="preserve"> (20.6%), and decreased dV/dt </w:t>
      </w:r>
      <w:r>
        <w:rPr>
          <w:vertAlign w:val="subscript"/>
        </w:rPr>
        <w:t>max</w:t>
      </w:r>
      <w:r>
        <w:t xml:space="preserve"> (−30.1%).</w:t>
      </w:r>
    </w:p>
    <w:p w:rsidR="00161017" w:rsidRDefault="00D753BB">
      <w:pPr>
        <w:pStyle w:val="3"/>
        <w:spacing w:before="123"/>
        <w:ind w:left="215" w:firstLine="0"/>
      </w:pPr>
      <w:bookmarkStart w:id="8" w:name="4.1.3.4_Effects_on_Cardiovascular_and_Re"/>
      <w:bookmarkStart w:id="9" w:name="_bookmark28"/>
      <w:bookmarkEnd w:id="8"/>
      <w:bookmarkEnd w:id="9"/>
      <w:r>
        <w:t>4.1.3.4 Effects on Cardiovascular and Respiratory Systems</w:t>
      </w:r>
    </w:p>
    <w:p w:rsidR="00161017" w:rsidRDefault="006568EB">
      <w:pPr>
        <w:pStyle w:val="a3"/>
        <w:spacing w:before="139" w:line="261" w:lineRule="auto"/>
        <w:ind w:left="215" w:right="1641"/>
      </w:pPr>
      <w:r>
        <w:t>PROJECT H</w:t>
      </w:r>
      <w:r w:rsidR="00D753BB">
        <w:t xml:space="preserve"> was orally administered once to 4 cynomolgus monkeys implanted with transmitters of a telemetry system at dose levels of 1, 3, 10, 30 and 60 mg/kg under unanesthetized conditions [</w:t>
      </w:r>
      <w:r>
        <w:t>Project H</w:t>
      </w:r>
      <w:r w:rsidR="00D753BB">
        <w:t>-PT-0004]. There were no changes at 1 mg/kg. At 10 mg/kg or more, decreases in DBP, MBP, and heart rate, prolongation of PR interval, increase in arterial carbon dioxide tension were noted. In addition, a suppression of diurnal elevation of intra-abdominal body temperature and transient decrease in the body temperature were observed at 10 and 30 mg/kg or more, respectively. At 30 mg/kg or more, vomiting, crouching position, and a decrease in food consumption were noted.</w:t>
      </w:r>
    </w:p>
    <w:p w:rsidR="00161017" w:rsidRDefault="00161017">
      <w:pPr>
        <w:pStyle w:val="a3"/>
        <w:spacing w:before="139"/>
        <w:ind w:left="215"/>
      </w:pPr>
      <w:bookmarkStart w:id="10" w:name="4.2_Pharmacokinetics_and_Product_Metabol"/>
      <w:bookmarkStart w:id="11" w:name="_bookmark29"/>
      <w:bookmarkEnd w:id="10"/>
      <w:bookmarkEnd w:id="11"/>
    </w:p>
    <w:p w:rsidR="00161017" w:rsidRDefault="00D753BB" w:rsidP="00DC3F52">
      <w:pPr>
        <w:pStyle w:val="2"/>
        <w:numPr>
          <w:ilvl w:val="1"/>
          <w:numId w:val="5"/>
        </w:numPr>
        <w:tabs>
          <w:tab w:val="left" w:pos="1067"/>
          <w:tab w:val="left" w:pos="1068"/>
        </w:tabs>
        <w:spacing w:before="124"/>
      </w:pPr>
      <w:bookmarkStart w:id="12" w:name="4.3_Toxicology"/>
      <w:bookmarkStart w:id="13" w:name="_bookmark48"/>
      <w:bookmarkStart w:id="14" w:name="_GoBack"/>
      <w:bookmarkEnd w:id="12"/>
      <w:bookmarkEnd w:id="13"/>
      <w:bookmarkEnd w:id="14"/>
      <w:r>
        <w:t>Toxicology</w:t>
      </w:r>
    </w:p>
    <w:p w:rsidR="00161017" w:rsidRDefault="00D753BB">
      <w:pPr>
        <w:pStyle w:val="a3"/>
        <w:spacing w:before="140" w:line="261" w:lineRule="auto"/>
        <w:ind w:left="215" w:right="1925"/>
      </w:pPr>
      <w:r>
        <w:lastRenderedPageBreak/>
        <w:t>A total of 10 definitive GLP toxicity studies and 3 preliminary studies (including in vitro studies) were conducted in rats, cynomolgus monkeys, and rabbits. All definitive studies were performed in accordance with Good Laboratory Practices and guidelines of International</w:t>
      </w:r>
      <w:r>
        <w:rPr>
          <w:spacing w:val="-7"/>
        </w:rPr>
        <w:t xml:space="preserve"> </w:t>
      </w:r>
      <w:r>
        <w:t>Conference</w:t>
      </w:r>
      <w:r>
        <w:rPr>
          <w:spacing w:val="-7"/>
        </w:rPr>
        <w:t xml:space="preserve"> </w:t>
      </w:r>
      <w:r>
        <w:t>on</w:t>
      </w:r>
      <w:r>
        <w:rPr>
          <w:spacing w:val="-7"/>
        </w:rPr>
        <w:t xml:space="preserve"> </w:t>
      </w:r>
      <w:r>
        <w:t>Harmonisation</w:t>
      </w:r>
      <w:r>
        <w:rPr>
          <w:spacing w:val="-7"/>
        </w:rPr>
        <w:t xml:space="preserve"> </w:t>
      </w:r>
      <w:r>
        <w:t>of</w:t>
      </w:r>
      <w:r>
        <w:rPr>
          <w:spacing w:val="-7"/>
        </w:rPr>
        <w:t xml:space="preserve"> </w:t>
      </w:r>
      <w:r>
        <w:t>Technical</w:t>
      </w:r>
      <w:r>
        <w:rPr>
          <w:spacing w:val="-6"/>
        </w:rPr>
        <w:t xml:space="preserve"> </w:t>
      </w:r>
      <w:r>
        <w:t>Requirements</w:t>
      </w:r>
      <w:r>
        <w:rPr>
          <w:spacing w:val="-7"/>
        </w:rPr>
        <w:t xml:space="preserve"> </w:t>
      </w:r>
      <w:r>
        <w:t>for</w:t>
      </w:r>
      <w:r>
        <w:rPr>
          <w:spacing w:val="-7"/>
        </w:rPr>
        <w:t xml:space="preserve"> </w:t>
      </w:r>
      <w:r>
        <w:t>Registration</w:t>
      </w:r>
      <w:r>
        <w:rPr>
          <w:spacing w:val="-7"/>
        </w:rPr>
        <w:t xml:space="preserve"> </w:t>
      </w:r>
      <w:r>
        <w:t xml:space="preserve">of Pharmaceuticals for Human Use. An overview of toxicology studies of </w:t>
      </w:r>
      <w:r w:rsidR="006568EB">
        <w:t>PROJECT H</w:t>
      </w:r>
      <w:r>
        <w:t xml:space="preserve"> can be found in [End of-Text Table</w:t>
      </w:r>
      <w:r>
        <w:rPr>
          <w:spacing w:val="-4"/>
        </w:rPr>
        <w:t xml:space="preserve"> </w:t>
      </w:r>
      <w:r>
        <w:t>3.1].</w:t>
      </w:r>
    </w:p>
    <w:p w:rsidR="00161017" w:rsidRDefault="00D753BB">
      <w:pPr>
        <w:pStyle w:val="3"/>
        <w:numPr>
          <w:ilvl w:val="2"/>
          <w:numId w:val="4"/>
        </w:numPr>
        <w:tabs>
          <w:tab w:val="left" w:pos="1067"/>
          <w:tab w:val="left" w:pos="1068"/>
        </w:tabs>
        <w:spacing w:before="120"/>
      </w:pPr>
      <w:bookmarkStart w:id="15" w:name="4.3.1_Single-dose_Toxicity"/>
      <w:bookmarkStart w:id="16" w:name="_bookmark49"/>
      <w:bookmarkEnd w:id="15"/>
      <w:bookmarkEnd w:id="16"/>
      <w:r>
        <w:t>Single-dose</w:t>
      </w:r>
      <w:r>
        <w:rPr>
          <w:spacing w:val="-2"/>
        </w:rPr>
        <w:t xml:space="preserve"> </w:t>
      </w:r>
      <w:r>
        <w:t>Toxicity</w:t>
      </w:r>
    </w:p>
    <w:p w:rsidR="00161017" w:rsidRDefault="00D753BB">
      <w:pPr>
        <w:pStyle w:val="a3"/>
        <w:spacing w:before="139"/>
        <w:ind w:left="215"/>
      </w:pPr>
      <w:r>
        <w:t>Two definitive single-dose toxicity studies were conducted.</w:t>
      </w:r>
    </w:p>
    <w:p w:rsidR="00161017" w:rsidRDefault="00D753BB">
      <w:pPr>
        <w:pStyle w:val="3"/>
        <w:numPr>
          <w:ilvl w:val="3"/>
          <w:numId w:val="4"/>
        </w:numPr>
        <w:tabs>
          <w:tab w:val="left" w:pos="1068"/>
        </w:tabs>
        <w:spacing w:before="149"/>
      </w:pPr>
      <w:bookmarkStart w:id="17" w:name="4.3.1.1_Single-dose_Oral_Toxicity_in_Rat"/>
      <w:bookmarkStart w:id="18" w:name="_bookmark50"/>
      <w:bookmarkEnd w:id="17"/>
      <w:bookmarkEnd w:id="18"/>
      <w:r>
        <w:t>Single-dose Oral Toxicity in</w:t>
      </w:r>
      <w:r>
        <w:rPr>
          <w:spacing w:val="-5"/>
        </w:rPr>
        <w:t xml:space="preserve"> </w:t>
      </w:r>
      <w:r>
        <w:t>Rats</w:t>
      </w:r>
    </w:p>
    <w:p w:rsidR="00161017" w:rsidRDefault="006568EB">
      <w:pPr>
        <w:pStyle w:val="a3"/>
        <w:spacing w:before="139" w:line="261" w:lineRule="auto"/>
        <w:ind w:left="215" w:right="1686"/>
      </w:pPr>
      <w:r>
        <w:t>PROJECT H</w:t>
      </w:r>
      <w:r w:rsidR="00D753BB">
        <w:t xml:space="preserve"> was orally administered once at dose levels of 60, 200, and 300 mg/kg to male rats and 30, 100, and 300 mg/kg to female rats, respectively [</w:t>
      </w:r>
      <w:r>
        <w:t>Project H</w:t>
      </w:r>
      <w:r w:rsidR="00D753BB">
        <w:t>-TX-0001]. All males and</w:t>
      </w:r>
    </w:p>
    <w:p w:rsidR="00161017" w:rsidRDefault="00D753BB" w:rsidP="00D753BB">
      <w:pPr>
        <w:pStyle w:val="a3"/>
        <w:spacing w:line="261" w:lineRule="auto"/>
        <w:ind w:left="215" w:right="1925"/>
        <w:rPr>
          <w:sz w:val="20"/>
        </w:rPr>
      </w:pPr>
      <w:r>
        <w:t>4 out of 5 females died within 6 h after dosing at 300 mg/kg. At 300 mg/kg, clonic convulsion, lateral position, gasping, salivation and moist fur around urethral orifice were observed. Skin flushes were observed at 30 mg/kg or more, and decreased spontaneous motility and salivation were noted at 60 mg/kg or more. A slight and transient decrease in body weight was noted at 200 mg/kg.</w:t>
      </w:r>
    </w:p>
    <w:p w:rsidR="00161017" w:rsidRDefault="00161017">
      <w:pPr>
        <w:pStyle w:val="a3"/>
        <w:spacing w:before="4"/>
        <w:rPr>
          <w:sz w:val="20"/>
        </w:rPr>
      </w:pPr>
    </w:p>
    <w:p w:rsidR="00161017" w:rsidRDefault="00D753BB">
      <w:pPr>
        <w:pStyle w:val="3"/>
        <w:numPr>
          <w:ilvl w:val="3"/>
          <w:numId w:val="4"/>
        </w:numPr>
        <w:tabs>
          <w:tab w:val="left" w:pos="1068"/>
        </w:tabs>
        <w:spacing w:before="1"/>
      </w:pPr>
      <w:bookmarkStart w:id="19" w:name="4.3.1.2_Single-dose_Oral_Toxicity_in_Cyn"/>
      <w:bookmarkStart w:id="20" w:name="_bookmark51"/>
      <w:bookmarkEnd w:id="19"/>
      <w:bookmarkEnd w:id="20"/>
      <w:r>
        <w:t>Single-dose Oral Toxicity in Cynomolgus</w:t>
      </w:r>
      <w:r>
        <w:rPr>
          <w:spacing w:val="-5"/>
        </w:rPr>
        <w:t xml:space="preserve"> </w:t>
      </w:r>
      <w:r>
        <w:t>Monkeys</w:t>
      </w:r>
    </w:p>
    <w:p w:rsidR="00161017" w:rsidRDefault="006568EB">
      <w:pPr>
        <w:pStyle w:val="a3"/>
        <w:spacing w:before="139"/>
        <w:ind w:left="215"/>
      </w:pPr>
      <w:r>
        <w:t>PROJECT H</w:t>
      </w:r>
      <w:r w:rsidR="00D753BB">
        <w:t xml:space="preserve"> was orally administered once at dose levels of 30 and 60 mg/kg to 1 male and</w:t>
      </w:r>
    </w:p>
    <w:p w:rsidR="00161017" w:rsidRDefault="00D753BB">
      <w:pPr>
        <w:pStyle w:val="a3"/>
        <w:spacing w:before="24" w:line="261" w:lineRule="auto"/>
        <w:ind w:left="215" w:right="1659"/>
      </w:pPr>
      <w:r>
        <w:t>1 female cynomolgus monkeys [</w:t>
      </w:r>
      <w:r w:rsidR="006568EB">
        <w:t>Project H</w:t>
      </w:r>
      <w:r>
        <w:t>-TX-0002]. No animal died or was euthanized due to moribundity at any dose. A decrease or tendency of decrease in food consumption was noted in both animals on day of dosing at 30 mg/kg or more. Vomiting and salivation were observed in both animals from 0.5 to 5 h after dosing at 60 mg/kg, in addition, retching was observed in the female at 0.5 h after dosing.</w:t>
      </w:r>
    </w:p>
    <w:p w:rsidR="00161017" w:rsidRDefault="00D753BB">
      <w:pPr>
        <w:pStyle w:val="3"/>
        <w:numPr>
          <w:ilvl w:val="2"/>
          <w:numId w:val="4"/>
        </w:numPr>
        <w:tabs>
          <w:tab w:val="left" w:pos="1067"/>
          <w:tab w:val="left" w:pos="1068"/>
        </w:tabs>
        <w:spacing w:before="121"/>
      </w:pPr>
      <w:bookmarkStart w:id="21" w:name="4.3.2_Repeat-dose_Toxicity"/>
      <w:bookmarkStart w:id="22" w:name="_bookmark52"/>
      <w:bookmarkEnd w:id="21"/>
      <w:bookmarkEnd w:id="22"/>
      <w:r>
        <w:t>Repeat-dose</w:t>
      </w:r>
      <w:r>
        <w:rPr>
          <w:spacing w:val="-2"/>
        </w:rPr>
        <w:t xml:space="preserve"> </w:t>
      </w:r>
      <w:r>
        <w:t>Toxicity</w:t>
      </w:r>
    </w:p>
    <w:p w:rsidR="00161017" w:rsidRDefault="00D753BB">
      <w:pPr>
        <w:pStyle w:val="a3"/>
        <w:spacing w:before="139" w:line="261" w:lineRule="auto"/>
        <w:ind w:left="215" w:right="2086"/>
      </w:pPr>
      <w:r>
        <w:t>One preliminary 1-week oral toxicity study in cynomolgus monkeys and two definitive 4-week oral toxicity studies in rats and cynomolgus monkeys, and one additional 4-week toxicity study in rats were conducted. Tabulated results of these studies are provided [End-of-Text Tables 3.5, 3.5.1, 3.5.2.and 3.5.3].</w:t>
      </w:r>
    </w:p>
    <w:p w:rsidR="00161017" w:rsidRDefault="00D753BB">
      <w:pPr>
        <w:pStyle w:val="3"/>
        <w:numPr>
          <w:ilvl w:val="3"/>
          <w:numId w:val="4"/>
        </w:numPr>
        <w:tabs>
          <w:tab w:val="left" w:pos="1068"/>
        </w:tabs>
        <w:spacing w:before="121"/>
      </w:pPr>
      <w:bookmarkStart w:id="23" w:name="4.3.2.1_Definitive_4-Week_Repeat-dose_Or"/>
      <w:bookmarkStart w:id="24" w:name="_bookmark53"/>
      <w:bookmarkEnd w:id="23"/>
      <w:bookmarkEnd w:id="24"/>
      <w:r>
        <w:t>Definitive 4-Week Repeat-dose Oral Toxicity in</w:t>
      </w:r>
      <w:r>
        <w:rPr>
          <w:spacing w:val="-3"/>
        </w:rPr>
        <w:t xml:space="preserve"> </w:t>
      </w:r>
      <w:r>
        <w:t>Rats</w:t>
      </w:r>
    </w:p>
    <w:p w:rsidR="00161017" w:rsidRDefault="006568EB">
      <w:pPr>
        <w:pStyle w:val="a3"/>
        <w:spacing w:before="140" w:line="261" w:lineRule="auto"/>
        <w:ind w:left="215" w:right="1548"/>
      </w:pPr>
      <w:r>
        <w:t>PROJECT H</w:t>
      </w:r>
      <w:r w:rsidR="00D753BB">
        <w:t xml:space="preserve"> was orally administered to rats once daily for 4 weeks at dose levels of 0, 1, 10, 30, and 60 mg/kg per day to males and 0, 1, 3, 10, and 30 mg/kg per day to females.</w:t>
      </w:r>
    </w:p>
    <w:p w:rsidR="00161017" w:rsidRDefault="00D753BB">
      <w:pPr>
        <w:pStyle w:val="a3"/>
        <w:spacing w:line="274" w:lineRule="exact"/>
        <w:ind w:left="215"/>
      </w:pPr>
      <w:r>
        <w:t>[</w:t>
      </w:r>
      <w:r w:rsidR="006568EB">
        <w:t>Project H</w:t>
      </w:r>
      <w:r>
        <w:t>-TX-0003].</w:t>
      </w:r>
    </w:p>
    <w:p w:rsidR="00161017" w:rsidRDefault="00D753BB">
      <w:pPr>
        <w:pStyle w:val="a3"/>
        <w:spacing w:before="144" w:line="261" w:lineRule="auto"/>
        <w:ind w:left="215" w:right="1620"/>
      </w:pPr>
      <w:r>
        <w:t xml:space="preserve">There were no </w:t>
      </w:r>
      <w:r w:rsidR="006568EB">
        <w:t>PROJECT H</w:t>
      </w:r>
      <w:r>
        <w:t>-related changes in males at 1 mg/kg and females up to 3 mg/kg. At 10 mg/kg per day or more, skin flushes were observed in both sexes. Decrease in urinary specific gravity or increase in urinary volume were noted in males at 10 mg/kg per day or more and females at 30 mg/kg per day. A decrease in food consumption, and centrilobular hypertrophy in the liver were observed in both sexes at 30 mg/kg per day and males at</w:t>
      </w:r>
    </w:p>
    <w:p w:rsidR="00161017" w:rsidRDefault="00D753BB">
      <w:pPr>
        <w:pStyle w:val="a3"/>
        <w:spacing w:line="261" w:lineRule="auto"/>
        <w:ind w:left="215" w:right="1694"/>
      </w:pPr>
      <w:r>
        <w:t xml:space="preserve">60 mg/kg per day, in addition, suppressed body weight gain, shortening of prothrombin time (PT) and activated partial thromboplastin time (APTT) were noted in males. Salivation, </w:t>
      </w:r>
      <w:r>
        <w:lastRenderedPageBreak/>
        <w:t>increases in total cholesterol, alanine aminotransferase (ALT), relative liver weight, hypertrophy of follicular cells in the thyroid, and erosion in the glandular stomach were observed in females and males at 30 and 60 mg/kg per day, respectively. Suppressed body weight gain, decreases in body temperature, serum triglyceride and glucose, the weights of the spleen and thymus, increases in serum total cholesterol, inorganic phosphorus calcium, the weights of the liver and thyroids were noted in males at 60 mg/kg per day. At this dose level, white pulp atrophy in the spleen, thymic atrophy, granulomatous inflammation and bronchiolar epithelial hypertrophy and alveolar foam cell in the lung were noted, in addition, vacuolar changes in the proximal tubules in the kidney, epithelium in the epididymis and the retinal pigment epithelium in the eye which suggests phospholipidosis were observed in one male rat. Vacuolated lymphocyte ratio and serum level of di-22:6-BMP [</w:t>
      </w:r>
      <w:r w:rsidR="006568EB">
        <w:t>Project H</w:t>
      </w:r>
      <w:r>
        <w:t>-TX-0018] were increased at week 4 of dosing.</w:t>
      </w:r>
    </w:p>
    <w:p w:rsidR="00161017" w:rsidRDefault="00D753BB" w:rsidP="00D753BB">
      <w:pPr>
        <w:pStyle w:val="a3"/>
        <w:spacing w:before="104" w:line="261" w:lineRule="auto"/>
        <w:ind w:left="215" w:right="1620"/>
        <w:rPr>
          <w:sz w:val="20"/>
        </w:rPr>
      </w:pPr>
      <w:r>
        <w:t>After a 4-week recovery, the findings except for the decrease in urinary specific gravity and an increase in urine volume were recovered or were partially recovered. The reversibility of vacuolar changes in multiple organs could not be evaluated because of the low incidence. It was concluded that the NOAELs in this study were 1 and 3 mg/kg per day for males and females, respectively.</w:t>
      </w:r>
    </w:p>
    <w:p w:rsidR="00161017" w:rsidRDefault="00161017">
      <w:pPr>
        <w:pStyle w:val="a3"/>
        <w:spacing w:before="4"/>
        <w:rPr>
          <w:sz w:val="20"/>
        </w:rPr>
      </w:pPr>
    </w:p>
    <w:p w:rsidR="00161017" w:rsidRDefault="00D753BB">
      <w:pPr>
        <w:pStyle w:val="3"/>
        <w:numPr>
          <w:ilvl w:val="3"/>
          <w:numId w:val="4"/>
        </w:numPr>
        <w:tabs>
          <w:tab w:val="left" w:pos="1068"/>
        </w:tabs>
        <w:spacing w:before="1"/>
      </w:pPr>
      <w:bookmarkStart w:id="25" w:name="4.3.2.2_Additional_4-Week_Repeat-dose_Or"/>
      <w:bookmarkStart w:id="26" w:name="_bookmark54"/>
      <w:bookmarkEnd w:id="25"/>
      <w:bookmarkEnd w:id="26"/>
      <w:r>
        <w:t>Additional 4-Week Repeat-dose Oral Toxicity in</w:t>
      </w:r>
      <w:r>
        <w:rPr>
          <w:spacing w:val="-2"/>
        </w:rPr>
        <w:t xml:space="preserve"> </w:t>
      </w:r>
      <w:r>
        <w:t>Rats</w:t>
      </w:r>
    </w:p>
    <w:p w:rsidR="00161017" w:rsidRDefault="00D753BB">
      <w:pPr>
        <w:pStyle w:val="a3"/>
        <w:spacing w:before="139" w:line="261" w:lineRule="auto"/>
        <w:ind w:left="215" w:right="1660"/>
      </w:pPr>
      <w:r>
        <w:t xml:space="preserve">To evaluate the reversibility of the decreased urinary specific gravity and increases in urinary volume and vacuolar changes, an additional 4-week toxicity study with 13-week recovery was conducted using male rats at </w:t>
      </w:r>
      <w:r w:rsidR="006568EB">
        <w:t>PROJECT H</w:t>
      </w:r>
      <w:r>
        <w:t xml:space="preserve"> dose of 30 and 60 mg/kg per day.  Twenty </w:t>
      </w:r>
      <w:r>
        <w:rPr>
          <w:spacing w:val="-2"/>
        </w:rPr>
        <w:t xml:space="preserve">and </w:t>
      </w:r>
      <w:r>
        <w:t>60 male rats were dosed 30 and 60 mg/kg per day, respectively [</w:t>
      </w:r>
      <w:r w:rsidR="006568EB">
        <w:t>Project H</w:t>
      </w:r>
      <w:r>
        <w:t>-TX-0019]. The systemic exposure levels were similar to the previous study [</w:t>
      </w:r>
      <w:r w:rsidR="006568EB">
        <w:t>Project H</w:t>
      </w:r>
      <w:r>
        <w:t>-TX-0003]. Dose dependent increases in urinary volume and water intake and a decrease in urinary specific gravity were reproduced. The changes were reversible and after a 4 week recovery period levels had returned to normal. The vacuolar changes were not observed in the second study, however, both urine and serum levels of di-22:6-BMP increased dose dependently at week 4 of dosing. The di-22:6-BMP concentrations returned to control levels by 4-week recovery. It was concluded that the urinary changes caused by a 4-week treatment were reversible. No vacuolization or phospholipidosis was observed in any of the 30 animals dosed</w:t>
      </w:r>
      <w:r>
        <w:rPr>
          <w:spacing w:val="-6"/>
        </w:rPr>
        <w:t xml:space="preserve"> </w:t>
      </w:r>
      <w:r>
        <w:t>with</w:t>
      </w:r>
    </w:p>
    <w:p w:rsidR="00161017" w:rsidRDefault="00D753BB">
      <w:pPr>
        <w:pStyle w:val="a3"/>
        <w:spacing w:line="266" w:lineRule="exact"/>
        <w:ind w:left="215"/>
      </w:pPr>
      <w:r>
        <w:t xml:space="preserve">60 mg/kg per day </w:t>
      </w:r>
      <w:r w:rsidR="006568EB">
        <w:t>PROJECT H</w:t>
      </w:r>
      <w:r>
        <w:t xml:space="preserve"> in a second 4-week repeated dose study.</w:t>
      </w:r>
    </w:p>
    <w:p w:rsidR="00161017" w:rsidRDefault="00D753BB">
      <w:pPr>
        <w:pStyle w:val="3"/>
        <w:numPr>
          <w:ilvl w:val="3"/>
          <w:numId w:val="4"/>
        </w:numPr>
        <w:tabs>
          <w:tab w:val="left" w:pos="1068"/>
        </w:tabs>
        <w:spacing w:before="149"/>
      </w:pPr>
      <w:bookmarkStart w:id="27" w:name="4.3.2.3_Exploratory_1-Week_Repeat-dose_O"/>
      <w:bookmarkStart w:id="28" w:name="_bookmark55"/>
      <w:bookmarkEnd w:id="27"/>
      <w:bookmarkEnd w:id="28"/>
      <w:r>
        <w:t>Exploratory 1-Week Repeat-dose Oral Toxicity in Cynomolgus</w:t>
      </w:r>
      <w:r>
        <w:rPr>
          <w:spacing w:val="-7"/>
        </w:rPr>
        <w:t xml:space="preserve"> </w:t>
      </w:r>
      <w:r>
        <w:t>Monkeys</w:t>
      </w:r>
    </w:p>
    <w:p w:rsidR="00161017" w:rsidRDefault="00D753BB">
      <w:pPr>
        <w:pStyle w:val="a3"/>
        <w:spacing w:before="139" w:line="261" w:lineRule="auto"/>
        <w:ind w:left="215" w:right="1746"/>
      </w:pPr>
      <w:r>
        <w:t>AS256</w:t>
      </w:r>
      <w:r w:rsidR="006568EB">
        <w:t>Project H</w:t>
      </w:r>
      <w:r>
        <w:t xml:space="preserve">-FM (fumarate of </w:t>
      </w:r>
      <w:r w:rsidR="006568EB">
        <w:t>PROJECT H</w:t>
      </w:r>
      <w:r>
        <w:t>) was orally administered at dose levels of 3, 10, and 30 mg/kg per day to 1 male and 1 female cynomolgus monkey per group once daily for 1 week [</w:t>
      </w:r>
      <w:r w:rsidR="006568EB">
        <w:t>Project H</w:t>
      </w:r>
      <w:r>
        <w:t>-TX-0015].</w:t>
      </w:r>
    </w:p>
    <w:p w:rsidR="00161017" w:rsidRDefault="00D753BB">
      <w:pPr>
        <w:pStyle w:val="a3"/>
        <w:spacing w:before="117" w:line="261" w:lineRule="auto"/>
        <w:ind w:left="215" w:right="1701"/>
      </w:pPr>
      <w:r>
        <w:t xml:space="preserve">There were no changes in animals at 3 mg/kg per day and the female at 10 mg/kg per day, suggesting the NOAEL. A decrease in heart rate was noted in the male at 10 mg/kg per day at 6 h after the first dose. In the female dosed with 30 mg/kg per day, clonic convulsion, sitting or lateral position, and disappearance or suppression of touch response were observed at 1 h after dosing on days 2 and 4. After the convulsion on day 4, vertical nystagmus was observed. Decreased spontaneous activity and vomiting were also observed in the female on days 2 to 4. These observations were transient and were not observed 4 h or later after </w:t>
      </w:r>
      <w:r>
        <w:lastRenderedPageBreak/>
        <w:t>dosing. The dose level for the female in the highest dose group started at 30 mg/kg and then decreased to 20 mg/kg on day 5 and later since clonic convulsion was observed in the</w:t>
      </w:r>
    </w:p>
    <w:p w:rsidR="00161017" w:rsidRDefault="00D753BB">
      <w:pPr>
        <w:pStyle w:val="a3"/>
        <w:spacing w:line="261" w:lineRule="auto"/>
        <w:ind w:left="215" w:right="1620"/>
      </w:pPr>
      <w:r>
        <w:t>30 mg/kg dosed female on days 2 and 4. Decreases in body weight, food consumption, body temperature and heart rate, and prolonged corrected QT (QTc) interval were observed in the female. In the male at 30 mg/kg per day, decrease in body temperature and blood pressure, spontaneous activity, food consumption and body weight, suppression of touch response, sitting position, vomiting and salivation were observed. Under the conditions of the present study, the NOAEL of AS256</w:t>
      </w:r>
      <w:r w:rsidR="006568EB">
        <w:t>Project H</w:t>
      </w:r>
      <w:r>
        <w:t xml:space="preserve"> was 3 and 10 mg/kg per day for male and female, respectively.</w:t>
      </w:r>
    </w:p>
    <w:p w:rsidR="00161017" w:rsidRPr="006568EB" w:rsidRDefault="00D753BB">
      <w:pPr>
        <w:pStyle w:val="3"/>
        <w:numPr>
          <w:ilvl w:val="3"/>
          <w:numId w:val="4"/>
        </w:numPr>
        <w:tabs>
          <w:tab w:val="left" w:pos="1068"/>
        </w:tabs>
        <w:spacing w:before="112"/>
        <w:rPr>
          <w:highlight w:val="cyan"/>
        </w:rPr>
      </w:pPr>
      <w:bookmarkStart w:id="29" w:name="4.3.2.4_4-Week_Repeat-dose_Oral_Toxicity"/>
      <w:bookmarkStart w:id="30" w:name="_bookmark56"/>
      <w:bookmarkEnd w:id="29"/>
      <w:bookmarkEnd w:id="30"/>
      <w:r w:rsidRPr="006568EB">
        <w:rPr>
          <w:highlight w:val="cyan"/>
        </w:rPr>
        <w:t>4-Week Repeat-dose Oral Toxicity in Cynomolgus</w:t>
      </w:r>
      <w:r w:rsidRPr="006568EB">
        <w:rPr>
          <w:spacing w:val="-2"/>
          <w:highlight w:val="cyan"/>
        </w:rPr>
        <w:t xml:space="preserve"> </w:t>
      </w:r>
      <w:r w:rsidRPr="006568EB">
        <w:rPr>
          <w:highlight w:val="cyan"/>
        </w:rPr>
        <w:t>Monkeys</w:t>
      </w:r>
    </w:p>
    <w:p w:rsidR="00161017" w:rsidRPr="006568EB" w:rsidRDefault="006568EB">
      <w:pPr>
        <w:pStyle w:val="a3"/>
        <w:spacing w:before="139" w:line="261" w:lineRule="auto"/>
        <w:ind w:left="215" w:right="1740"/>
        <w:rPr>
          <w:highlight w:val="cyan"/>
        </w:rPr>
      </w:pPr>
      <w:r w:rsidRPr="006568EB">
        <w:rPr>
          <w:highlight w:val="cyan"/>
        </w:rPr>
        <w:t>PROJECT H</w:t>
      </w:r>
      <w:r w:rsidR="00D753BB" w:rsidRPr="006568EB">
        <w:rPr>
          <w:highlight w:val="cyan"/>
        </w:rPr>
        <w:t xml:space="preserve"> was orally administered to 4 male and 4 female cynomolgus monkeys for 4 weeks at dose levels of 0, 3, 10, and 20 mg/kg per day [</w:t>
      </w:r>
      <w:r w:rsidRPr="006568EB">
        <w:rPr>
          <w:highlight w:val="cyan"/>
        </w:rPr>
        <w:t>Project H</w:t>
      </w:r>
      <w:r w:rsidR="00D753BB" w:rsidRPr="006568EB">
        <w:rPr>
          <w:highlight w:val="cyan"/>
        </w:rPr>
        <w:t>-TX-0004].</w:t>
      </w:r>
    </w:p>
    <w:p w:rsidR="00161017" w:rsidRPr="006568EB" w:rsidRDefault="00D753BB" w:rsidP="00D753BB">
      <w:pPr>
        <w:pStyle w:val="a3"/>
        <w:spacing w:before="119" w:line="261" w:lineRule="auto"/>
        <w:ind w:left="215" w:right="1837"/>
        <w:rPr>
          <w:sz w:val="20"/>
          <w:highlight w:val="cyan"/>
        </w:rPr>
      </w:pPr>
      <w:r w:rsidRPr="006568EB">
        <w:rPr>
          <w:highlight w:val="cyan"/>
        </w:rPr>
        <w:t>There were no changes at 3 mg/kg per day. A decrease or tendency toward a decrease in body weight and decreases in food consumption and albumin/globulin ratio, and increased globulin were observed at 10 mg/kg per day or more. At 20 mg/kg per day, decreases in</w:t>
      </w:r>
    </w:p>
    <w:p w:rsidR="00161017" w:rsidRPr="006568EB" w:rsidRDefault="00D753BB">
      <w:pPr>
        <w:pStyle w:val="a3"/>
        <w:spacing w:before="230" w:line="261" w:lineRule="auto"/>
        <w:ind w:left="215" w:right="1701"/>
        <w:rPr>
          <w:highlight w:val="cyan"/>
        </w:rPr>
      </w:pPr>
      <w:r w:rsidRPr="006568EB">
        <w:rPr>
          <w:highlight w:val="cyan"/>
        </w:rPr>
        <w:t>spontaneous activity (slight) and body temperature, vomiting, and salivation were observed. In addition, the following findings are observed: prolongation of both QRS duration and PR interval in 1 male, , decreases in hemoglobin concentration and hematocrit value and increased reticulocyte ratio in 1 male, decreased albumin in 1 male, increased platelet in 2 males and 2 females and eosinophil and large unstained cell counts in 2 females each. The relative liver weight increased in both sexes at 20 mg/kg per day. Although various findings and changes were observed as mentioned above, no histopathological findings were detected in any organs. All findings observed in the dosing period at 20 mg/kg per day disappeared after a 4-week recovery period.</w:t>
      </w:r>
    </w:p>
    <w:p w:rsidR="00161017" w:rsidRDefault="00D753BB">
      <w:pPr>
        <w:pStyle w:val="a3"/>
        <w:spacing w:before="112"/>
        <w:ind w:left="215"/>
      </w:pPr>
      <w:r w:rsidRPr="006568EB">
        <w:rPr>
          <w:highlight w:val="cyan"/>
        </w:rPr>
        <w:t>It was concluded that the NOAEL was 3 mg/kg per day.</w:t>
      </w:r>
    </w:p>
    <w:p w:rsidR="00161017" w:rsidRDefault="00D753BB">
      <w:pPr>
        <w:pStyle w:val="3"/>
        <w:numPr>
          <w:ilvl w:val="2"/>
          <w:numId w:val="4"/>
        </w:numPr>
        <w:tabs>
          <w:tab w:val="left" w:pos="1067"/>
          <w:tab w:val="left" w:pos="1068"/>
        </w:tabs>
        <w:spacing w:before="149"/>
      </w:pPr>
      <w:bookmarkStart w:id="31" w:name="4.3.3_Genotoxicity"/>
      <w:bookmarkStart w:id="32" w:name="_bookmark57"/>
      <w:bookmarkEnd w:id="31"/>
      <w:bookmarkEnd w:id="32"/>
      <w:r>
        <w:t>Genotoxicity</w:t>
      </w:r>
    </w:p>
    <w:p w:rsidR="00161017" w:rsidRDefault="00D753BB">
      <w:pPr>
        <w:pStyle w:val="a3"/>
        <w:spacing w:before="139"/>
        <w:ind w:left="215"/>
      </w:pPr>
      <w:r>
        <w:t>Two definitive in vitro genotoxicity studies were conducted.</w:t>
      </w:r>
    </w:p>
    <w:p w:rsidR="00161017" w:rsidRPr="006568EB" w:rsidRDefault="00D753BB">
      <w:pPr>
        <w:pStyle w:val="3"/>
        <w:numPr>
          <w:ilvl w:val="3"/>
          <w:numId w:val="4"/>
        </w:numPr>
        <w:tabs>
          <w:tab w:val="left" w:pos="1068"/>
        </w:tabs>
        <w:spacing w:before="149"/>
        <w:rPr>
          <w:highlight w:val="yellow"/>
        </w:rPr>
      </w:pPr>
      <w:bookmarkStart w:id="33" w:name="4.3.3.1_In_Vitro_Reverse_Mutation"/>
      <w:bookmarkStart w:id="34" w:name="_bookmark58"/>
      <w:bookmarkEnd w:id="33"/>
      <w:bookmarkEnd w:id="34"/>
      <w:r w:rsidRPr="006568EB">
        <w:rPr>
          <w:highlight w:val="yellow"/>
        </w:rPr>
        <w:t>In Vitro Reverse</w:t>
      </w:r>
      <w:r w:rsidRPr="006568EB">
        <w:rPr>
          <w:spacing w:val="-1"/>
          <w:highlight w:val="yellow"/>
        </w:rPr>
        <w:t xml:space="preserve"> </w:t>
      </w:r>
      <w:r w:rsidRPr="006568EB">
        <w:rPr>
          <w:highlight w:val="yellow"/>
        </w:rPr>
        <w:t>Mutation</w:t>
      </w:r>
    </w:p>
    <w:p w:rsidR="00161017" w:rsidRDefault="00D753BB">
      <w:pPr>
        <w:pStyle w:val="a3"/>
        <w:spacing w:before="140" w:line="261" w:lineRule="auto"/>
        <w:ind w:left="215" w:right="1727"/>
      </w:pPr>
      <w:r w:rsidRPr="006568EB">
        <w:rPr>
          <w:highlight w:val="yellow"/>
        </w:rPr>
        <w:t xml:space="preserve">A reverse mutation test was performed with </w:t>
      </w:r>
      <w:r w:rsidRPr="006568EB">
        <w:rPr>
          <w:i/>
          <w:highlight w:val="yellow"/>
        </w:rPr>
        <w:t xml:space="preserve">Salmonella typhimurium </w:t>
      </w:r>
      <w:r w:rsidRPr="006568EB">
        <w:rPr>
          <w:highlight w:val="yellow"/>
        </w:rPr>
        <w:t xml:space="preserve">(TA100, TA1535, TA98, and TA1537) and </w:t>
      </w:r>
      <w:r w:rsidRPr="006568EB">
        <w:rPr>
          <w:i/>
          <w:highlight w:val="yellow"/>
        </w:rPr>
        <w:t xml:space="preserve">Escherichia coli </w:t>
      </w:r>
      <w:r w:rsidRPr="006568EB">
        <w:rPr>
          <w:highlight w:val="yellow"/>
        </w:rPr>
        <w:t>(WP2 uvrA), using the preincubation method with and without metabolic activation [</w:t>
      </w:r>
      <w:r w:rsidR="006568EB" w:rsidRPr="006568EB">
        <w:rPr>
          <w:highlight w:val="yellow"/>
        </w:rPr>
        <w:t>Project H</w:t>
      </w:r>
      <w:r w:rsidRPr="006568EB">
        <w:rPr>
          <w:highlight w:val="yellow"/>
        </w:rPr>
        <w:t xml:space="preserve">-TX-0005]. </w:t>
      </w:r>
      <w:r w:rsidR="006568EB" w:rsidRPr="006568EB">
        <w:rPr>
          <w:highlight w:val="yellow"/>
        </w:rPr>
        <w:t>PROJECT H</w:t>
      </w:r>
      <w:r w:rsidRPr="006568EB">
        <w:rPr>
          <w:highlight w:val="yellow"/>
        </w:rPr>
        <w:t xml:space="preserve"> inhibited the growth of all the strains at 625 μg/plate without metabolic activation and 1250 μg/plate with metabolic activation. No precipitation on the plate was observed with any treatment.  The mean number of revertant colonies did not reach double that of the negative control for any strain at any concentration, regardless of the presence or absence of metabolic activation. It was concluded that </w:t>
      </w:r>
      <w:r w:rsidR="006568EB" w:rsidRPr="006568EB">
        <w:rPr>
          <w:highlight w:val="yellow"/>
        </w:rPr>
        <w:t>PROJECT H</w:t>
      </w:r>
      <w:r w:rsidRPr="006568EB">
        <w:rPr>
          <w:highlight w:val="yellow"/>
        </w:rPr>
        <w:t xml:space="preserve"> has no potential to induce gene mutation in bacteria.</w:t>
      </w:r>
    </w:p>
    <w:p w:rsidR="00161017" w:rsidRDefault="00D753BB">
      <w:pPr>
        <w:pStyle w:val="3"/>
        <w:numPr>
          <w:ilvl w:val="3"/>
          <w:numId w:val="4"/>
        </w:numPr>
        <w:tabs>
          <w:tab w:val="left" w:pos="1068"/>
        </w:tabs>
        <w:spacing w:before="118"/>
      </w:pPr>
      <w:bookmarkStart w:id="35" w:name="4.3.3.2_In_Vitro_Chromosome_Aberration"/>
      <w:bookmarkStart w:id="36" w:name="_bookmark59"/>
      <w:bookmarkEnd w:id="35"/>
      <w:bookmarkEnd w:id="36"/>
      <w:r>
        <w:t>In Vitro Chromosome</w:t>
      </w:r>
      <w:r>
        <w:rPr>
          <w:spacing w:val="-1"/>
        </w:rPr>
        <w:t xml:space="preserve"> </w:t>
      </w:r>
      <w:r>
        <w:t>Aberration</w:t>
      </w:r>
    </w:p>
    <w:p w:rsidR="00161017" w:rsidRDefault="00D753BB">
      <w:pPr>
        <w:pStyle w:val="a3"/>
        <w:spacing w:before="139"/>
        <w:ind w:left="215"/>
      </w:pPr>
      <w:r>
        <w:t>A chromosome aberration test was performed with cultured mammalian (CHL) cells in</w:t>
      </w:r>
    </w:p>
    <w:p w:rsidR="00161017" w:rsidRDefault="00D753BB">
      <w:pPr>
        <w:pStyle w:val="a3"/>
        <w:spacing w:before="24" w:line="261" w:lineRule="auto"/>
        <w:ind w:left="215" w:right="1600"/>
      </w:pPr>
      <w:r>
        <w:t>short-term treatments for 6 h with and without metabolic activation, and continuous treatment for 24 h without metabolic activation [</w:t>
      </w:r>
      <w:r w:rsidR="006568EB">
        <w:t>Project H</w:t>
      </w:r>
      <w:r>
        <w:t xml:space="preserve">-TX-0006]. In the 6 h treatment with and </w:t>
      </w:r>
      <w:r>
        <w:lastRenderedPageBreak/>
        <w:t>without metabolic activation, chromosomal aberrations were analyzed over a concentration range of 60 to 70 μg/mL and 35 to 45 μg/mL, respectively. In the 24 h treatment group without metabolic activation, chromosomal aberrations were analyzed over a concentration range of</w:t>
      </w:r>
    </w:p>
    <w:p w:rsidR="00161017" w:rsidRDefault="00D753BB">
      <w:pPr>
        <w:pStyle w:val="a3"/>
        <w:spacing w:line="272" w:lineRule="exact"/>
        <w:ind w:left="215"/>
      </w:pPr>
      <w:r>
        <w:t>5 to 10 μg/mL.</w:t>
      </w:r>
    </w:p>
    <w:p w:rsidR="00161017" w:rsidRDefault="006568EB">
      <w:pPr>
        <w:pStyle w:val="a3"/>
        <w:spacing w:before="144" w:line="261" w:lineRule="auto"/>
        <w:ind w:left="215" w:right="1925"/>
      </w:pPr>
      <w:r>
        <w:t>PROJECT H</w:t>
      </w:r>
      <w:r w:rsidR="00D753BB">
        <w:t xml:space="preserve"> did not induce statistically significant increase in the number of chromosomal aberrant cells compared with the negative control. It was concluded that </w:t>
      </w:r>
      <w:r>
        <w:t>PROJECT H</w:t>
      </w:r>
      <w:r w:rsidR="00D753BB">
        <w:t xml:space="preserve"> has no potential to induce chromosomal aberrations in CHL cells.</w:t>
      </w:r>
    </w:p>
    <w:p w:rsidR="00161017" w:rsidRDefault="00D753BB">
      <w:pPr>
        <w:pStyle w:val="3"/>
        <w:numPr>
          <w:ilvl w:val="2"/>
          <w:numId w:val="4"/>
        </w:numPr>
        <w:tabs>
          <w:tab w:val="left" w:pos="1067"/>
          <w:tab w:val="left" w:pos="1068"/>
        </w:tabs>
        <w:spacing w:before="122"/>
      </w:pPr>
      <w:bookmarkStart w:id="37" w:name="4.3.4_Carcinogenicity"/>
      <w:bookmarkStart w:id="38" w:name="_bookmark60"/>
      <w:bookmarkEnd w:id="37"/>
      <w:bookmarkEnd w:id="38"/>
      <w:r>
        <w:t>Carcinogenicity</w:t>
      </w:r>
    </w:p>
    <w:p w:rsidR="00161017" w:rsidRDefault="00D753BB">
      <w:pPr>
        <w:pStyle w:val="a3"/>
        <w:spacing w:before="140"/>
        <w:ind w:left="215"/>
      </w:pPr>
      <w:r>
        <w:t xml:space="preserve">No carcinogenicity studies have been performed with </w:t>
      </w:r>
      <w:r w:rsidR="006568EB">
        <w:t>PROJECT H</w:t>
      </w:r>
      <w:r>
        <w:t xml:space="preserve"> so far.</w:t>
      </w:r>
    </w:p>
    <w:p w:rsidR="00161017" w:rsidRDefault="00D753BB">
      <w:pPr>
        <w:pStyle w:val="3"/>
        <w:numPr>
          <w:ilvl w:val="2"/>
          <w:numId w:val="4"/>
        </w:numPr>
        <w:tabs>
          <w:tab w:val="left" w:pos="1067"/>
          <w:tab w:val="left" w:pos="1068"/>
        </w:tabs>
        <w:spacing w:before="148"/>
      </w:pPr>
      <w:bookmarkStart w:id="39" w:name="4.3.5_Reproductive_and_Developmental_Tox"/>
      <w:bookmarkStart w:id="40" w:name="_bookmark61"/>
      <w:bookmarkEnd w:id="39"/>
      <w:bookmarkEnd w:id="40"/>
      <w:r>
        <w:t>Reproductive and Developmental</w:t>
      </w:r>
      <w:r>
        <w:rPr>
          <w:spacing w:val="-5"/>
        </w:rPr>
        <w:t xml:space="preserve"> </w:t>
      </w:r>
      <w:r>
        <w:t>Toxicity</w:t>
      </w:r>
    </w:p>
    <w:p w:rsidR="00161017" w:rsidRDefault="00D753BB" w:rsidP="00D753BB">
      <w:pPr>
        <w:pStyle w:val="a3"/>
        <w:spacing w:before="140" w:line="261" w:lineRule="auto"/>
        <w:ind w:left="215" w:right="1734"/>
        <w:rPr>
          <w:sz w:val="20"/>
        </w:rPr>
      </w:pPr>
      <w:r>
        <w:t>Two definitive embryo-fetal development studies in rats and rabbits with dose-range finding studies were conducted.</w:t>
      </w:r>
    </w:p>
    <w:p w:rsidR="00161017" w:rsidRDefault="00161017">
      <w:pPr>
        <w:pStyle w:val="a3"/>
        <w:spacing w:before="4"/>
        <w:rPr>
          <w:sz w:val="20"/>
        </w:rPr>
      </w:pPr>
    </w:p>
    <w:p w:rsidR="00161017" w:rsidRDefault="00D753BB">
      <w:pPr>
        <w:pStyle w:val="3"/>
        <w:numPr>
          <w:ilvl w:val="3"/>
          <w:numId w:val="4"/>
        </w:numPr>
        <w:tabs>
          <w:tab w:val="left" w:pos="1068"/>
        </w:tabs>
        <w:spacing w:before="1"/>
      </w:pPr>
      <w:bookmarkStart w:id="41" w:name="4.3.5.1_Effects_on_Embryo-fetal_Developm"/>
      <w:bookmarkStart w:id="42" w:name="_bookmark62"/>
      <w:bookmarkEnd w:id="41"/>
      <w:bookmarkEnd w:id="42"/>
      <w:r>
        <w:t>Effects on Embryo-fetal</w:t>
      </w:r>
      <w:r>
        <w:rPr>
          <w:spacing w:val="-16"/>
        </w:rPr>
        <w:t xml:space="preserve"> </w:t>
      </w:r>
      <w:r>
        <w:t>Development</w:t>
      </w:r>
    </w:p>
    <w:p w:rsidR="00161017" w:rsidRDefault="00D753BB">
      <w:pPr>
        <w:tabs>
          <w:tab w:val="left" w:pos="1347"/>
        </w:tabs>
        <w:spacing w:before="144"/>
        <w:ind w:left="215"/>
        <w:rPr>
          <w:b/>
          <w:sz w:val="24"/>
        </w:rPr>
      </w:pPr>
      <w:bookmarkStart w:id="43" w:name="4.3.5.1.1_Effects_on_Embryo-fetal_Develo"/>
      <w:bookmarkEnd w:id="43"/>
      <w:r>
        <w:rPr>
          <w:b/>
          <w:sz w:val="24"/>
        </w:rPr>
        <w:t>4.3.5.1.1</w:t>
      </w:r>
      <w:r>
        <w:rPr>
          <w:b/>
          <w:sz w:val="24"/>
        </w:rPr>
        <w:tab/>
        <w:t>Effects on Embryo-fetal Development in</w:t>
      </w:r>
      <w:r>
        <w:rPr>
          <w:b/>
          <w:spacing w:val="-33"/>
          <w:sz w:val="24"/>
        </w:rPr>
        <w:t xml:space="preserve"> </w:t>
      </w:r>
      <w:r>
        <w:rPr>
          <w:b/>
          <w:sz w:val="24"/>
        </w:rPr>
        <w:t>Rats</w:t>
      </w:r>
    </w:p>
    <w:p w:rsidR="00161017" w:rsidRDefault="006568EB">
      <w:pPr>
        <w:pStyle w:val="a3"/>
        <w:spacing w:before="139" w:line="261" w:lineRule="auto"/>
        <w:ind w:left="215" w:right="1886"/>
        <w:jc w:val="both"/>
      </w:pPr>
      <w:r>
        <w:t>PROJECT H</w:t>
      </w:r>
      <w:r w:rsidR="00D753BB">
        <w:t xml:space="preserve"> was administered orally from day 7 to day 17 of gestation at dose levels of 3, 10, and 30 mg/kg per day to pregnant rats [</w:t>
      </w:r>
      <w:r>
        <w:t>Project H</w:t>
      </w:r>
      <w:r w:rsidR="00D753BB">
        <w:t>-TX-0009]. In dams, skin flushes (reddening) was observed at 3 mg/kg per day or more. Decreased food consumption was noted at</w:t>
      </w:r>
    </w:p>
    <w:p w:rsidR="00161017" w:rsidRDefault="00D753BB">
      <w:pPr>
        <w:pStyle w:val="a3"/>
        <w:spacing w:line="261" w:lineRule="auto"/>
        <w:ind w:left="215" w:right="1933"/>
      </w:pPr>
      <w:r>
        <w:t xml:space="preserve">10 mg/kg per day or more, in addition, low body weight and suppressed body weight gain were noted at 30 mg/kg per day, respectively. In fetuses dosed with 30 mg/kg per day </w:t>
      </w:r>
      <w:r w:rsidR="006568EB">
        <w:t>PROJECT H</w:t>
      </w:r>
      <w:r>
        <w:t>, low body weight and low numbers of ossified sternebrae and sacral and caudal vertebrae suggesting growth retardation, likely due to maternal toxicity, were observed. It was concluded that the NOAEL was less than 3 mg/kg per day for dams and 10 mg/kg per day for embryo-fetal development.</w:t>
      </w:r>
    </w:p>
    <w:p w:rsidR="00161017" w:rsidRDefault="00D753BB">
      <w:pPr>
        <w:pStyle w:val="3"/>
        <w:numPr>
          <w:ilvl w:val="3"/>
          <w:numId w:val="4"/>
        </w:numPr>
        <w:tabs>
          <w:tab w:val="left" w:pos="1068"/>
        </w:tabs>
        <w:spacing w:before="117"/>
      </w:pPr>
      <w:bookmarkStart w:id="44" w:name="4.3.5.2_Effects_on_Embryo-fetal_Developm"/>
      <w:bookmarkStart w:id="45" w:name="_bookmark63"/>
      <w:bookmarkEnd w:id="44"/>
      <w:bookmarkEnd w:id="45"/>
      <w:r>
        <w:t>Effects on Embryo-fetal Development in</w:t>
      </w:r>
      <w:r>
        <w:rPr>
          <w:spacing w:val="-1"/>
        </w:rPr>
        <w:t xml:space="preserve"> </w:t>
      </w:r>
      <w:r>
        <w:t>Rabbits</w:t>
      </w:r>
    </w:p>
    <w:p w:rsidR="00161017" w:rsidRDefault="006568EB">
      <w:pPr>
        <w:pStyle w:val="a3"/>
        <w:spacing w:before="140" w:line="261" w:lineRule="auto"/>
        <w:ind w:left="215" w:right="1620"/>
      </w:pPr>
      <w:r>
        <w:t>PROJECT H</w:t>
      </w:r>
      <w:r w:rsidR="00D753BB">
        <w:t xml:space="preserve"> was orally administered from day 6 to day 18 of gestation to pregnant rabbits at dose levels of 1, 3, and 10 mg/kg per day [</w:t>
      </w:r>
      <w:r>
        <w:t>Project H</w:t>
      </w:r>
      <w:r w:rsidR="00D753BB">
        <w:t>-TX-0010]. In dams, suppressed body weight gain and decreased food consumption were noted at 10 mg/kg per day. No test article-related changes were noted in the number of live fetuses, number of embryo-fetal deaths, postimplantation loss rate, sex ratio, or external, placental, skeletal, or visceral findings up to 10 mg/kg per day.</w:t>
      </w:r>
    </w:p>
    <w:p w:rsidR="00161017" w:rsidRDefault="00D753BB">
      <w:pPr>
        <w:pStyle w:val="a3"/>
        <w:spacing w:before="115" w:line="261" w:lineRule="auto"/>
        <w:ind w:left="215" w:right="1891"/>
      </w:pPr>
      <w:r>
        <w:t>It was concluded that the NOAEL was 3 mg/kg per day for dams and 10 mg/kg per day for embryo-fetal development.</w:t>
      </w:r>
    </w:p>
    <w:p w:rsidR="00161017" w:rsidRDefault="00D753BB">
      <w:pPr>
        <w:pStyle w:val="3"/>
        <w:numPr>
          <w:ilvl w:val="2"/>
          <w:numId w:val="4"/>
        </w:numPr>
        <w:tabs>
          <w:tab w:val="left" w:pos="1067"/>
          <w:tab w:val="left" w:pos="1068"/>
        </w:tabs>
        <w:spacing w:before="123"/>
      </w:pPr>
      <w:bookmarkStart w:id="46" w:name="4.3.6_Local_Tolerance"/>
      <w:bookmarkStart w:id="47" w:name="_bookmark64"/>
      <w:bookmarkEnd w:id="46"/>
      <w:bookmarkEnd w:id="47"/>
      <w:r>
        <w:t>Local</w:t>
      </w:r>
      <w:r>
        <w:rPr>
          <w:spacing w:val="-2"/>
        </w:rPr>
        <w:t xml:space="preserve"> </w:t>
      </w:r>
      <w:r>
        <w:t>Tolerance</w:t>
      </w:r>
    </w:p>
    <w:p w:rsidR="00161017" w:rsidRDefault="00D753BB">
      <w:pPr>
        <w:pStyle w:val="a3"/>
        <w:spacing w:before="139"/>
        <w:ind w:left="215"/>
      </w:pPr>
      <w:r>
        <w:t xml:space="preserve">No studies have been performed with </w:t>
      </w:r>
      <w:r w:rsidR="006568EB">
        <w:t>PROJECT H</w:t>
      </w:r>
      <w:r>
        <w:t xml:space="preserve"> so far.</w:t>
      </w:r>
    </w:p>
    <w:p w:rsidR="00161017" w:rsidRDefault="00D753BB">
      <w:pPr>
        <w:pStyle w:val="3"/>
        <w:numPr>
          <w:ilvl w:val="2"/>
          <w:numId w:val="4"/>
        </w:numPr>
        <w:tabs>
          <w:tab w:val="left" w:pos="1067"/>
          <w:tab w:val="left" w:pos="1068"/>
        </w:tabs>
        <w:spacing w:before="149"/>
      </w:pPr>
      <w:bookmarkStart w:id="48" w:name="4.3.7_Other_Toxicity_Studies"/>
      <w:bookmarkStart w:id="49" w:name="_bookmark65"/>
      <w:bookmarkEnd w:id="48"/>
      <w:bookmarkEnd w:id="49"/>
      <w:r>
        <w:t>Other Toxicity</w:t>
      </w:r>
      <w:r>
        <w:rPr>
          <w:spacing w:val="-1"/>
        </w:rPr>
        <w:t xml:space="preserve"> </w:t>
      </w:r>
      <w:r>
        <w:t>Studies</w:t>
      </w:r>
    </w:p>
    <w:p w:rsidR="00161017" w:rsidRDefault="00D753BB">
      <w:pPr>
        <w:pStyle w:val="a3"/>
        <w:spacing w:before="139" w:line="261" w:lineRule="auto"/>
        <w:ind w:left="215" w:right="1548"/>
      </w:pPr>
      <w:r>
        <w:t xml:space="preserve">An in vitro 3T3-NRU phototoxicity study was performed with cultured mammalian cells (Balb/c 3T3 cells) at 33.2, 46.5, 65.1, 91.1, 128, 179, 250, and 350 μg/mL in the presence and </w:t>
      </w:r>
      <w:r>
        <w:lastRenderedPageBreak/>
        <w:t>absence of UV-A irradiation [</w:t>
      </w:r>
      <w:r w:rsidR="006568EB">
        <w:t>Project H</w:t>
      </w:r>
      <w:r>
        <w:t>-TX-0016]. The IC</w:t>
      </w:r>
      <w:r>
        <w:rPr>
          <w:sz w:val="16"/>
        </w:rPr>
        <w:t xml:space="preserve">50 </w:t>
      </w:r>
      <w:r>
        <w:t xml:space="preserve">was calculated in both the presence and absence of irradiation, and the photo irritation factor (actual value: 1.017) was less than 2. Therefore, </w:t>
      </w:r>
      <w:r w:rsidR="006568EB">
        <w:t>PROJECT H</w:t>
      </w:r>
      <w:r>
        <w:t xml:space="preserve"> was categorized into no phototoxicity.</w:t>
      </w:r>
    </w:p>
    <w:p w:rsidR="00161017" w:rsidRDefault="00D753BB">
      <w:pPr>
        <w:pStyle w:val="2"/>
        <w:tabs>
          <w:tab w:val="left" w:pos="1067"/>
        </w:tabs>
        <w:spacing w:before="95"/>
        <w:ind w:right="1693"/>
      </w:pPr>
      <w:bookmarkStart w:id="50" w:name="4.4_Integrated_Nonclinical_Overview_and_"/>
      <w:bookmarkStart w:id="51" w:name="_bookmark66"/>
      <w:bookmarkEnd w:id="50"/>
      <w:bookmarkEnd w:id="51"/>
      <w:r>
        <w:t>4.4</w:t>
      </w:r>
      <w:r>
        <w:tab/>
        <w:t>Integrated Nonclinical Overview and Conclusion: Potential Clinical Relevance</w:t>
      </w:r>
    </w:p>
    <w:p w:rsidR="00161017" w:rsidRDefault="00D753BB" w:rsidP="006568EB">
      <w:pPr>
        <w:pStyle w:val="a3"/>
        <w:spacing w:before="140" w:line="261" w:lineRule="auto"/>
        <w:ind w:left="215" w:right="1920"/>
      </w:pPr>
      <w:r>
        <w:t>SUI is a symptom defined by the International Continence Society as involuntary leakage from the urethra, synchronous with exertion/effort, or sneezing or coughing [Abrams et al, 2002]. The urinary continence mechanisms include two different pathways, a sympathetic and a somatic storage reflex. When the bladder fills, it accommodates bladder expansion which maintains a low bladder pressure. As filling increases, activation of the spinal sympathetic reflex induces detrusor muscle relaxation, and activation of α-adrenergic receptors in the urethral smooth muscle increases the outlet resistance. The spinal reflex mediated by pelvic nerve afferent fibers also causes activation of efferent pudendal</w:t>
      </w:r>
      <w:r w:rsidR="006568EB">
        <w:t xml:space="preserve"> </w:t>
      </w:r>
      <w:r>
        <w:t>motoneurons in Onuf’s nucleus, which is located in the ventral horn of the sacral spinal cord, resulting in contractile responses of the striated (external) urethral sphincter. The urethral rhabdosphincter activity is partially controlled by serotonergic and adrenergic receptors in the Onuf’s nucleus. Conscious or reflexive valsalva maneuvers such as coughing, sneezing and laughing activate pudendal motoneurons in Onuf’s nucleus. This reflex contraction is thought to be involved in the quick response in maintaining continence during sudden increases in abdominal pressure.</w:t>
      </w:r>
    </w:p>
    <w:p w:rsidR="00161017" w:rsidRDefault="00D753BB">
      <w:pPr>
        <w:pStyle w:val="a3"/>
        <w:spacing w:before="114" w:line="261" w:lineRule="auto"/>
        <w:ind w:left="215" w:right="1880"/>
      </w:pPr>
      <w:r>
        <w:t>Based on the physiological continence mechanisms, the concept of promoting the motor neuron reflex to close the external urethral sphincter pharmacologically is thought to be an appropriate approach in the treatment of SUI. Duloxetine is the only pharmacological treatment of SUI related to this concept. . This serotonin (5-HT) /norepinephrine reuptake inhibitor, approved in some EU countries, activates 5-HT</w:t>
      </w:r>
      <w:r>
        <w:rPr>
          <w:vertAlign w:val="subscript"/>
        </w:rPr>
        <w:t>2</w:t>
      </w:r>
      <w:r>
        <w:t xml:space="preserve"> and α</w:t>
      </w:r>
      <w:r>
        <w:rPr>
          <w:vertAlign w:val="subscript"/>
        </w:rPr>
        <w:t>1</w:t>
      </w:r>
      <w:r>
        <w:t>-adrenergic receptors on sacral pudendal motoneurons in the Onuf’s nucleus resulting in increased serotonin and norepinephrine availability and consequent EUS activation [Jost and Marsalek, 2003; Thor and Katofiasc, 1995].</w:t>
      </w:r>
    </w:p>
    <w:p w:rsidR="00161017" w:rsidRDefault="00D753BB">
      <w:pPr>
        <w:pStyle w:val="a3"/>
        <w:spacing w:before="114" w:line="261" w:lineRule="auto"/>
        <w:ind w:left="215" w:right="1761"/>
      </w:pPr>
      <w:r>
        <w:t>5-HT</w:t>
      </w:r>
      <w:r>
        <w:rPr>
          <w:vertAlign w:val="subscript"/>
        </w:rPr>
        <w:t>2C</w:t>
      </w:r>
      <w:r>
        <w:t xml:space="preserve"> receptors in humans are predominantly distributed in the CNS including the Onuf’s nucleus, but little or none are found in peripheral tissues. The only 5-HT</w:t>
      </w:r>
      <w:r>
        <w:rPr>
          <w:vertAlign w:val="subscript"/>
        </w:rPr>
        <w:t>2C</w:t>
      </w:r>
      <w:r>
        <w:t xml:space="preserve"> selective agonist on the market is lorcaserin, which was approved by the FDA (but not in EU) for the treatment of obesity.</w:t>
      </w:r>
    </w:p>
    <w:p w:rsidR="00161017" w:rsidRDefault="00D753BB">
      <w:pPr>
        <w:pStyle w:val="a3"/>
        <w:spacing w:before="116" w:line="261" w:lineRule="auto"/>
        <w:ind w:left="215" w:right="1762"/>
      </w:pPr>
      <w:r>
        <w:t>In addition to 5-HT</w:t>
      </w:r>
      <w:r>
        <w:rPr>
          <w:vertAlign w:val="subscript"/>
        </w:rPr>
        <w:t>2C</w:t>
      </w:r>
      <w:r>
        <w:t xml:space="preserve">, </w:t>
      </w:r>
      <w:r w:rsidR="006568EB">
        <w:t>PROJECT H</w:t>
      </w:r>
      <w:r>
        <w:t xml:space="preserve"> was found to be an agonist of human 5-HT</w:t>
      </w:r>
      <w:r>
        <w:rPr>
          <w:vertAlign w:val="subscript"/>
        </w:rPr>
        <w:t>1A</w:t>
      </w:r>
      <w:r>
        <w:t>, 5-HT</w:t>
      </w:r>
      <w:r>
        <w:rPr>
          <w:vertAlign w:val="subscript"/>
        </w:rPr>
        <w:t>2A,</w:t>
      </w:r>
      <w:r>
        <w:t xml:space="preserve"> and 5-HT</w:t>
      </w:r>
      <w:r>
        <w:rPr>
          <w:vertAlign w:val="subscript"/>
        </w:rPr>
        <w:t>7</w:t>
      </w:r>
      <w:r>
        <w:t xml:space="preserve"> receptors [</w:t>
      </w:r>
      <w:r w:rsidR="006568EB">
        <w:t>Project H</w:t>
      </w:r>
      <w:r>
        <w:t>-PH-9011] and an antagonist of human 5-HT</w:t>
      </w:r>
      <w:r>
        <w:rPr>
          <w:vertAlign w:val="subscript"/>
        </w:rPr>
        <w:t>2B</w:t>
      </w:r>
      <w:r>
        <w:t xml:space="preserve"> and β</w:t>
      </w:r>
      <w:r>
        <w:rPr>
          <w:vertAlign w:val="subscript"/>
        </w:rPr>
        <w:t>2</w:t>
      </w:r>
      <w:r>
        <w:t xml:space="preserve"> adrenoceptors. The functional selectivity of </w:t>
      </w:r>
      <w:r w:rsidR="006568EB">
        <w:t>PROJECT H</w:t>
      </w:r>
      <w:r>
        <w:t xml:space="preserve"> for human 5-HT</w:t>
      </w:r>
      <w:r>
        <w:rPr>
          <w:vertAlign w:val="subscript"/>
        </w:rPr>
        <w:t>2C</w:t>
      </w:r>
      <w:r>
        <w:t xml:space="preserve"> over these receptors is &gt;100 fold based on the EC</w:t>
      </w:r>
      <w:r>
        <w:rPr>
          <w:vertAlign w:val="subscript"/>
        </w:rPr>
        <w:t>50</w:t>
      </w:r>
      <w:r>
        <w:t>, or IC</w:t>
      </w:r>
      <w:r>
        <w:rPr>
          <w:vertAlign w:val="subscript"/>
        </w:rPr>
        <w:t>50</w:t>
      </w:r>
      <w:r>
        <w:t xml:space="preserve"> value.</w:t>
      </w:r>
    </w:p>
    <w:p w:rsidR="00161017" w:rsidRDefault="00D753BB">
      <w:pPr>
        <w:pStyle w:val="a3"/>
        <w:spacing w:before="117" w:line="261" w:lineRule="auto"/>
        <w:ind w:left="215" w:right="1713"/>
      </w:pPr>
      <w:r>
        <w:t xml:space="preserve">In the guinea pig cystometry experiment, </w:t>
      </w:r>
      <w:r w:rsidR="006568EB">
        <w:t>PROJECT H</w:t>
      </w:r>
      <w:r>
        <w:t xml:space="preserve"> enhanced EUS-EMG activity at iv doses of 1 and 3 mg/kg and increased intra-urethral pressure during the filling phase at an iv dose of 3 mg/kg. This effect on EUS-EMG activity was blocked by a 5-HT</w:t>
      </w:r>
      <w:r>
        <w:rPr>
          <w:vertAlign w:val="subscript"/>
        </w:rPr>
        <w:t>2C</w:t>
      </w:r>
      <w:r>
        <w:t xml:space="preserve"> receptor antagonist. Duloxetine is reported to increase EUS-EMG activity in anesthetized cats with acetic acid irritated bladders [Thor KB and Katofiasc MA, 1995]. </w:t>
      </w:r>
      <w:r>
        <w:rPr>
          <w:spacing w:val="-3"/>
        </w:rPr>
        <w:t xml:space="preserve">In </w:t>
      </w:r>
      <w:r>
        <w:t xml:space="preserve">the same model, </w:t>
      </w:r>
      <w:r w:rsidR="006568EB">
        <w:t>PROJECT H</w:t>
      </w:r>
      <w:r>
        <w:t xml:space="preserve"> showed increase in EUS-EMG activity 200% over vehicle effect at 0.03 mg/kg iv. The corresponding unbound plasma level was calculated to be 0.63 ng/mL, which is 2.7-</w:t>
      </w:r>
      <w:r>
        <w:lastRenderedPageBreak/>
        <w:t>fold higher than the in vitro EC</w:t>
      </w:r>
      <w:r>
        <w:rPr>
          <w:vertAlign w:val="subscript"/>
        </w:rPr>
        <w:t>50</w:t>
      </w:r>
      <w:r>
        <w:t xml:space="preserve"> for </w:t>
      </w:r>
      <w:r w:rsidR="006568EB">
        <w:t>PROJECT H</w:t>
      </w:r>
      <w:r>
        <w:t xml:space="preserve"> for cat 5-HT</w:t>
      </w:r>
      <w:r>
        <w:rPr>
          <w:vertAlign w:val="subscript"/>
        </w:rPr>
        <w:t>2C</w:t>
      </w:r>
      <w:r>
        <w:t xml:space="preserve"> receptors. These data suggest that </w:t>
      </w:r>
      <w:r w:rsidR="006568EB">
        <w:t>PROJECT H</w:t>
      </w:r>
      <w:r>
        <w:t xml:space="preserve"> at an unbound plasma level of 0.63 ng/mL might have clinical effectiveness in incontinence episode frequency in SUI</w:t>
      </w:r>
      <w:r>
        <w:rPr>
          <w:spacing w:val="-9"/>
        </w:rPr>
        <w:t xml:space="preserve"> </w:t>
      </w:r>
      <w:r>
        <w:t>patients.</w:t>
      </w:r>
    </w:p>
    <w:p w:rsidR="00161017" w:rsidRDefault="00D753BB" w:rsidP="00D753BB">
      <w:pPr>
        <w:pStyle w:val="a3"/>
        <w:spacing w:before="112" w:line="261" w:lineRule="auto"/>
        <w:ind w:left="215" w:right="1726"/>
        <w:rPr>
          <w:sz w:val="20"/>
        </w:rPr>
      </w:pPr>
      <w:r>
        <w:t>C</w:t>
      </w:r>
      <w:r>
        <w:rPr>
          <w:vertAlign w:val="subscript"/>
        </w:rPr>
        <w:t>max</w:t>
      </w:r>
      <w:r>
        <w:t xml:space="preserve"> and AUC</w:t>
      </w:r>
      <w:r>
        <w:rPr>
          <w:vertAlign w:val="subscript"/>
        </w:rPr>
        <w:t>inf</w:t>
      </w:r>
      <w:r>
        <w:t xml:space="preserve"> increased more than dose-proportionally after a single oral administration (1 to 10 mg/kg) in rats and monkeys. The oral bioavailability increased with dose, with 18.1% for rats and 3.6% for monkeys at 1 mg/kg, while at 10 mg/kg, it was 83.4% and 24.2%, respectively. Brain penetration studies showed good CNS transfer of </w:t>
      </w:r>
      <w:r w:rsidR="006568EB">
        <w:t>PROJECT H</w:t>
      </w:r>
      <w:r>
        <w:t xml:space="preserve"> in all animals tested (rats, guinea pigs, and</w:t>
      </w:r>
      <w:r>
        <w:rPr>
          <w:spacing w:val="-4"/>
        </w:rPr>
        <w:t xml:space="preserve"> </w:t>
      </w:r>
      <w:r>
        <w:t>cats).</w:t>
      </w:r>
    </w:p>
    <w:p w:rsidR="00161017" w:rsidRDefault="00D753BB">
      <w:pPr>
        <w:pStyle w:val="a3"/>
        <w:spacing w:before="230" w:line="261" w:lineRule="auto"/>
        <w:ind w:left="215" w:right="1620"/>
      </w:pPr>
      <w:r>
        <w:t xml:space="preserve">The in vitro plasma protein binding ratio of </w:t>
      </w:r>
      <w:r w:rsidR="006568EB">
        <w:t>PROJECT H</w:t>
      </w:r>
      <w:r>
        <w:t xml:space="preserve"> was 73.87% to 86.17% in mouse, rat, rabbit, dog, monkey, cat, and human. LDL and HDL were considered to be the major binding proteins of </w:t>
      </w:r>
      <w:r w:rsidR="006568EB">
        <w:t>PROJECT H</w:t>
      </w:r>
      <w:r>
        <w:t xml:space="preserve"> in human plasma. Enterohepatic circulation was found in rats.</w:t>
      </w:r>
    </w:p>
    <w:p w:rsidR="00161017" w:rsidRDefault="00D753BB">
      <w:pPr>
        <w:pStyle w:val="a3"/>
        <w:spacing w:before="117" w:line="261" w:lineRule="auto"/>
        <w:ind w:left="215" w:right="1925"/>
      </w:pPr>
      <w:r>
        <w:t xml:space="preserve">No human-specific </w:t>
      </w:r>
      <w:r w:rsidR="006568EB">
        <w:t>PROJECT H</w:t>
      </w:r>
      <w:r>
        <w:t xml:space="preserve"> metabolites were formed in vitro by liver microsomes or hepatocytes. The main isoform responsible for CYP-mediated metabolism of </w:t>
      </w:r>
      <w:r w:rsidR="006568EB">
        <w:t>PROJECT H</w:t>
      </w:r>
      <w:r>
        <w:t xml:space="preserve"> in humans was CYP3A4/5, while CYP1A2 and CYP2D6 may also be involved. Irreversible inhibition of CYP2D6 was observed. </w:t>
      </w:r>
      <w:r w:rsidR="006568EB">
        <w:t>PROJECT H</w:t>
      </w:r>
      <w:r>
        <w:t xml:space="preserve"> is expected to have a low in vivo P-gp liability, and good CNS penetration is expected in humans.</w:t>
      </w:r>
    </w:p>
    <w:p w:rsidR="00161017" w:rsidRDefault="00D753BB">
      <w:pPr>
        <w:pStyle w:val="a3"/>
        <w:spacing w:before="116" w:line="261" w:lineRule="auto"/>
        <w:ind w:left="215" w:right="1721"/>
      </w:pPr>
      <w:r>
        <w:t xml:space="preserve">In the in vitro safety pharmacology studies, </w:t>
      </w:r>
      <w:r w:rsidR="006568EB">
        <w:t>PROJECT H</w:t>
      </w:r>
      <w:r>
        <w:t xml:space="preserve"> suppressed the hERG current with an IC</w:t>
      </w:r>
      <w:r>
        <w:rPr>
          <w:vertAlign w:val="subscript"/>
        </w:rPr>
        <w:t>50</w:t>
      </w:r>
      <w:r>
        <w:t xml:space="preserve"> of 3.6 μmol/L (1.1 μg/mL) and shortened APD</w:t>
      </w:r>
      <w:r>
        <w:rPr>
          <w:vertAlign w:val="subscript"/>
        </w:rPr>
        <w:t>30</w:t>
      </w:r>
      <w:r>
        <w:t>, prolonged APD</w:t>
      </w:r>
      <w:r>
        <w:rPr>
          <w:vertAlign w:val="subscript"/>
        </w:rPr>
        <w:t>30-90</w:t>
      </w:r>
      <w:r>
        <w:t>, and decreased dV/dt max at 9.23 μmol/L (2.77 μg/mL) in isolated guinea-pig papillary muscle. These concentrations are 1750-fold and 4400-fold higher than C</w:t>
      </w:r>
      <w:r>
        <w:rPr>
          <w:vertAlign w:val="subscript"/>
        </w:rPr>
        <w:t>eff,u</w:t>
      </w:r>
      <w:r>
        <w:t xml:space="preserve">, and therefore, </w:t>
      </w:r>
      <w:r w:rsidR="006568EB">
        <w:t>PROJECT H</w:t>
      </w:r>
      <w:r>
        <w:t xml:space="preserve"> is unlikely to prolong the QT interval at pharmacologically relevant plasma exposure levels. In the CV safety pharmacology study in cynomolgus monkeys, decreased diastolic blood pressure and heart rate and prolonged PR interval were observed at 10 mg/kg or more</w:t>
      </w:r>
    </w:p>
    <w:p w:rsidR="00161017" w:rsidRDefault="00D753BB">
      <w:pPr>
        <w:pStyle w:val="a3"/>
        <w:spacing w:line="261" w:lineRule="auto"/>
        <w:ind w:left="215" w:right="1620"/>
      </w:pPr>
      <w:r>
        <w:t>(C</w:t>
      </w:r>
      <w:r>
        <w:rPr>
          <w:vertAlign w:val="subscript"/>
        </w:rPr>
        <w:t>max</w:t>
      </w:r>
      <w:r>
        <w:t>,</w:t>
      </w:r>
      <w:r>
        <w:rPr>
          <w:vertAlign w:val="subscript"/>
        </w:rPr>
        <w:t>u</w:t>
      </w:r>
      <w:r>
        <w:t xml:space="preserve"> is 73x C</w:t>
      </w:r>
      <w:r>
        <w:rPr>
          <w:vertAlign w:val="subscript"/>
        </w:rPr>
        <w:t>eff,u</w:t>
      </w:r>
      <w:r>
        <w:t>) [</w:t>
      </w:r>
      <w:hyperlink w:anchor="_bookmark67" w:history="1">
        <w:r>
          <w:t>Table 2</w:t>
        </w:r>
      </w:hyperlink>
      <w:r>
        <w:t>], occurring around the t</w:t>
      </w:r>
      <w:r>
        <w:rPr>
          <w:vertAlign w:val="subscript"/>
        </w:rPr>
        <w:t>max</w:t>
      </w:r>
      <w:r>
        <w:t>. In the 4-week repeated dose toxicity study in cynomolgus monkeys, prolongation of QRS duration was observed at 20 mg/kg per day or more (C</w:t>
      </w:r>
      <w:r>
        <w:rPr>
          <w:vertAlign w:val="subscript"/>
        </w:rPr>
        <w:t>max,u</w:t>
      </w:r>
      <w:r>
        <w:t xml:space="preserve"> was 66-fold higher than C</w:t>
      </w:r>
      <w:r>
        <w:rPr>
          <w:vertAlign w:val="subscript"/>
        </w:rPr>
        <w:t>eff,u</w:t>
      </w:r>
      <w:r>
        <w:t>). The mechanism of these rate changes has not been determined. Nevertheless, since there was no baroreflex response between blood pressure and heart rate, an indirect action via suppression of CNS rather than a direct action on blood vessels or heart is considered. Flushed skin due to increased cutaneous blood flow was observed in rats only.</w:t>
      </w:r>
    </w:p>
    <w:p w:rsidR="00161017" w:rsidRDefault="00D753BB">
      <w:pPr>
        <w:pStyle w:val="a3"/>
        <w:spacing w:before="109" w:line="261" w:lineRule="auto"/>
        <w:ind w:left="215" w:right="1659"/>
      </w:pPr>
      <w:r>
        <w:t xml:space="preserve">CNS effects, such as decreases in general activity, body temperature, food consumption and body weight (gain) were observed in both rats and cynomolgus monkeys. These CNS effects could be either attributed to the primary pharmacological activity of </w:t>
      </w:r>
      <w:r w:rsidR="006568EB">
        <w:t>PROJECT H</w:t>
      </w:r>
      <w:r>
        <w:t>, or to activation of secondary target receptors (5HT</w:t>
      </w:r>
      <w:r>
        <w:rPr>
          <w:vertAlign w:val="subscript"/>
        </w:rPr>
        <w:t>1A</w:t>
      </w:r>
      <w:r>
        <w:t>, 5HT</w:t>
      </w:r>
      <w:r>
        <w:rPr>
          <w:vertAlign w:val="subscript"/>
        </w:rPr>
        <w:t>2A</w:t>
      </w:r>
      <w:r>
        <w:t xml:space="preserve"> and 5HT</w:t>
      </w:r>
      <w:r>
        <w:rPr>
          <w:vertAlign w:val="subscript"/>
        </w:rPr>
        <w:t>7</w:t>
      </w:r>
      <w:r>
        <w:t>). In the preliminary</w:t>
      </w:r>
    </w:p>
    <w:p w:rsidR="00161017" w:rsidRDefault="00D753BB">
      <w:pPr>
        <w:pStyle w:val="a3"/>
        <w:spacing w:line="261" w:lineRule="auto"/>
        <w:ind w:left="215" w:right="1607"/>
      </w:pPr>
      <w:r>
        <w:t>1-week repeat dose toxicity study, clonic convulsions were observed in rats at the lethal dose (300 mg/kg) after a single oral dose and at a dose of 30 mg/kg per day in one female monkey. No convulsions occurred in the 4-week GLP study (3, 10, 20 mg/kg/day).</w:t>
      </w:r>
    </w:p>
    <w:p w:rsidR="00161017" w:rsidRDefault="00D753BB">
      <w:pPr>
        <w:pStyle w:val="a3"/>
        <w:spacing w:before="114" w:line="261" w:lineRule="auto"/>
        <w:ind w:left="215" w:right="1654"/>
      </w:pPr>
      <w:r w:rsidRPr="006568EB">
        <w:rPr>
          <w:highlight w:val="magenta"/>
        </w:rPr>
        <w:t xml:space="preserve">In the 4-week toxicity study in rats, vacuolar changes in the kidney, epididymis and eye were observed in 1 male animal at 60 mg/kg per day. The vacuolation was considered suggestive of phospholipidosis. An additional 4-week repeated dose study was conducted, specifically aimed at characterizing the phospholipidosis occurrence and reversibility in a larger group of </w:t>
      </w:r>
      <w:r w:rsidRPr="006568EB">
        <w:rPr>
          <w:highlight w:val="magenta"/>
        </w:rPr>
        <w:lastRenderedPageBreak/>
        <w:t>male rats.</w:t>
      </w:r>
      <w:r>
        <w:t xml:space="preserve"> However, in this study, no vacuolization or phospholipidosis was observed in any of the 30 animals dosed with 60 mg/kg per day </w:t>
      </w:r>
      <w:r w:rsidR="006568EB">
        <w:t>PROJECT H</w:t>
      </w:r>
      <w:r>
        <w:t>. Urine and serum levels of</w:t>
      </w:r>
    </w:p>
    <w:p w:rsidR="00161017" w:rsidRDefault="00D753BB">
      <w:pPr>
        <w:pStyle w:val="a3"/>
        <w:spacing w:line="261" w:lineRule="auto"/>
        <w:ind w:left="215" w:right="1853"/>
      </w:pPr>
      <w:r>
        <w:t>di-22:6-BMP increased dose dependently at week 4 of dosing but returned to control levels by 4-week recovery.</w:t>
      </w:r>
    </w:p>
    <w:p w:rsidR="00161017" w:rsidRDefault="00D753BB" w:rsidP="006568EB">
      <w:pPr>
        <w:pStyle w:val="a3"/>
        <w:spacing w:before="114" w:line="261" w:lineRule="auto"/>
        <w:ind w:left="215" w:right="1628"/>
      </w:pPr>
      <w:r w:rsidRPr="006568EB">
        <w:rPr>
          <w:highlight w:val="magenta"/>
        </w:rPr>
        <w:t>In the 4-week repeated dose toxicity study in rats, increased liver and thyroid weights were noted in males at 60 mg/kg per day and females at 30 mg/kg per day; ALT activity also increased in these females. Histopathological examination revealed centrilobular hypertrophy in the liver, with smooth endoplasmic reticulum proliferation confirmed by electron</w:t>
      </w:r>
      <w:r w:rsidR="006568EB">
        <w:rPr>
          <w:highlight w:val="magenta"/>
        </w:rPr>
        <w:t xml:space="preserve"> </w:t>
      </w:r>
      <w:r w:rsidRPr="006568EB">
        <w:rPr>
          <w:highlight w:val="magenta"/>
        </w:rPr>
        <w:t>microscopy.</w:t>
      </w:r>
      <w:r>
        <w:t xml:space="preserve"> There was no evidence of hepatocellular damage. This suggests that the centrilobular hypertrophy in the liver was caused by induction of hepatic drug-metabolizing enzymes as an adaptive change of hepatocytes [Amacher et al, 1998; Popp and Cattley, 1998]. Thyroid follicular cell hypertrophy is a well-known phenomenon that occurs secondary to an increased hepatic thyroid hormone glucuronidation [Wu and Farrelly, 2006]. These findings resolved after 4-weeks of drug cessation.</w:t>
      </w:r>
    </w:p>
    <w:p w:rsidR="00161017" w:rsidRDefault="00D753BB">
      <w:pPr>
        <w:pStyle w:val="a3"/>
        <w:spacing w:before="115" w:line="261" w:lineRule="auto"/>
        <w:ind w:left="215" w:right="1653"/>
      </w:pPr>
      <w:r>
        <w:t xml:space="preserve">In monkeys, decreases in erythrocyte count, hemoglobin, and hematocrit and increases in platelets, eosinophil and large unstained cell counts occurred. In rats, white pulp atrophy in the spleen was observed. Standard monitoring of hematological parameters (hemoglobin, hematocrit, RBC counts, and reticulocyte counts) in clinical studies is sufficient to detect any hematological effects of </w:t>
      </w:r>
      <w:r w:rsidR="006568EB">
        <w:t>PROJECT H</w:t>
      </w:r>
      <w:r>
        <w:t xml:space="preserve"> in humans.</w:t>
      </w:r>
    </w:p>
    <w:p w:rsidR="00161017" w:rsidRDefault="006568EB">
      <w:pPr>
        <w:pStyle w:val="a3"/>
        <w:spacing w:before="116" w:line="261" w:lineRule="auto"/>
        <w:ind w:left="215" w:right="1620"/>
      </w:pPr>
      <w:r>
        <w:t>PROJECT H</w:t>
      </w:r>
      <w:r w:rsidR="00D753BB">
        <w:t xml:space="preserve"> revealed no genotoxicity potential in the in vitro reverse mutation and chromosome aberration tests. In addition, </w:t>
      </w:r>
      <w:r>
        <w:t>PROJECT H</w:t>
      </w:r>
      <w:r w:rsidR="00D753BB">
        <w:t xml:space="preserve"> did not induce phototoxicity in the in vitro 3T3 NRU assay.</w:t>
      </w:r>
    </w:p>
    <w:p w:rsidR="00161017" w:rsidRDefault="00D753BB">
      <w:pPr>
        <w:pStyle w:val="a3"/>
        <w:spacing w:before="117" w:line="261" w:lineRule="auto"/>
        <w:ind w:left="215" w:right="1625"/>
      </w:pPr>
      <w:r>
        <w:t xml:space="preserve">In the embryo-fetal development studies in rats and rabbits, </w:t>
      </w:r>
      <w:r w:rsidR="006568EB">
        <w:t>PROJECT H</w:t>
      </w:r>
      <w:r>
        <w:t xml:space="preserve"> was not teratogenic, but did show maternal toxicity (e.g., low body weight, decreased body weight gain and food consumption). </w:t>
      </w:r>
      <w:r>
        <w:rPr>
          <w:spacing w:val="-4"/>
        </w:rPr>
        <w:t xml:space="preserve">In </w:t>
      </w:r>
      <w:r>
        <w:t>rats, growth retardation in fetuses was observed at the highest dose level. The NOAELs for dams were less than 3 mg/kg per day in rats and 3 mg/kg per day in rabbits, and the NOAELs for embryo-fetal development were 10 mg/kg per day in both rats and rabbits.</w:t>
      </w:r>
    </w:p>
    <w:p w:rsidR="00161017" w:rsidRDefault="00D753BB">
      <w:pPr>
        <w:pStyle w:val="a3"/>
        <w:spacing w:before="115" w:line="261" w:lineRule="auto"/>
        <w:ind w:left="215" w:right="1746"/>
      </w:pPr>
      <w:r>
        <w:t>Overall, several toxicological findings were identified in the safety pharmacology and toxicity studies. These included effects on CNS, cardiovascular and respiratory systems, increase in urinary volume, and phospholipidosis-like changes. The safety margins on some of these findings were small or less than one [</w:t>
      </w:r>
      <w:hyperlink w:anchor="_bookmark67" w:history="1">
        <w:r>
          <w:t>Table 2</w:t>
        </w:r>
      </w:hyperlink>
      <w:r>
        <w:t xml:space="preserve">], however, the findings with small safety margins are of mild severity, are reversible and can be monitored in phase 1 clinical studies. The relevance of the safety findings for clinical studies and the mitigation strategy for the phase 1 clinical studies is presented in </w:t>
      </w:r>
      <w:hyperlink w:anchor="_bookmark68" w:history="1">
        <w:r>
          <w:t xml:space="preserve">Table 3. </w:t>
        </w:r>
      </w:hyperlink>
      <w:r>
        <w:t>The occurrence of clonic convulsion in one animal in the 1-week exploratory toxicity study in cynomolgus monkeys warrants the setting of an initial clinical exposure cap.</w:t>
      </w:r>
    </w:p>
    <w:p w:rsidR="00161017" w:rsidRDefault="00161017">
      <w:pPr>
        <w:spacing w:line="261" w:lineRule="auto"/>
        <w:sectPr w:rsidR="00161017">
          <w:pgSz w:w="12240" w:h="15840"/>
          <w:pgMar w:top="1240" w:right="0" w:bottom="940" w:left="1400" w:header="581" w:footer="748" w:gutter="0"/>
          <w:cols w:space="720"/>
        </w:sectPr>
      </w:pPr>
    </w:p>
    <w:p w:rsidR="00161017" w:rsidRDefault="00161017">
      <w:pPr>
        <w:pStyle w:val="a3"/>
        <w:rPr>
          <w:sz w:val="20"/>
        </w:rPr>
      </w:pPr>
    </w:p>
    <w:p w:rsidR="00161017" w:rsidRDefault="00D753BB">
      <w:pPr>
        <w:pStyle w:val="3"/>
        <w:tabs>
          <w:tab w:val="left" w:pos="1626"/>
        </w:tabs>
        <w:spacing w:before="208"/>
        <w:ind w:left="1626" w:right="2406" w:hanging="1412"/>
      </w:pPr>
      <w:bookmarkStart w:id="52" w:name="_bookmark67"/>
      <w:bookmarkEnd w:id="52"/>
      <w:r>
        <w:t>Table 2</w:t>
      </w:r>
      <w:r>
        <w:tab/>
        <w:t>Exposure Ratio Between Toxicokinetic Values and the</w:t>
      </w:r>
      <w:r>
        <w:rPr>
          <w:spacing w:val="-21"/>
        </w:rPr>
        <w:t xml:space="preserve"> </w:t>
      </w:r>
      <w:r>
        <w:t>Anticipated Effective Exposure (Unbound</w:t>
      </w:r>
      <w:r>
        <w:rPr>
          <w:spacing w:val="-1"/>
        </w:rPr>
        <w:t xml:space="preserve"> </w:t>
      </w:r>
      <w:r>
        <w:t>Fraction)</w:t>
      </w:r>
    </w:p>
    <w:p w:rsidR="00161017" w:rsidRDefault="00161017">
      <w:pPr>
        <w:pStyle w:val="a3"/>
        <w:spacing w:before="6"/>
        <w:rPr>
          <w:b/>
          <w:sz w:val="5"/>
        </w:rPr>
      </w:pPr>
    </w:p>
    <w:tbl>
      <w:tblPr>
        <w:tblStyle w:val="TableNormal"/>
        <w:tblW w:w="0" w:type="auto"/>
        <w:tblInd w:w="2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843"/>
        <w:gridCol w:w="708"/>
        <w:gridCol w:w="852"/>
        <w:gridCol w:w="1133"/>
        <w:gridCol w:w="994"/>
        <w:gridCol w:w="1133"/>
        <w:gridCol w:w="994"/>
        <w:gridCol w:w="1133"/>
      </w:tblGrid>
      <w:tr w:rsidR="00161017">
        <w:trPr>
          <w:trHeight w:val="229"/>
        </w:trPr>
        <w:tc>
          <w:tcPr>
            <w:tcW w:w="1843" w:type="dxa"/>
            <w:vMerge w:val="restart"/>
            <w:tcBorders>
              <w:bottom w:val="single" w:sz="4" w:space="0" w:color="000000"/>
            </w:tcBorders>
          </w:tcPr>
          <w:p w:rsidR="00161017" w:rsidRDefault="00161017">
            <w:pPr>
              <w:pStyle w:val="TableParagraph"/>
              <w:spacing w:before="1"/>
              <w:jc w:val="left"/>
              <w:rPr>
                <w:b/>
                <w:sz w:val="21"/>
              </w:rPr>
            </w:pPr>
          </w:p>
          <w:p w:rsidR="00161017" w:rsidRDefault="00D753BB">
            <w:pPr>
              <w:pStyle w:val="TableParagraph"/>
              <w:ind w:left="100"/>
              <w:jc w:val="left"/>
              <w:rPr>
                <w:b/>
                <w:sz w:val="20"/>
              </w:rPr>
            </w:pPr>
            <w:r>
              <w:rPr>
                <w:b/>
                <w:sz w:val="20"/>
              </w:rPr>
              <w:t>Study type</w:t>
            </w:r>
          </w:p>
        </w:tc>
        <w:tc>
          <w:tcPr>
            <w:tcW w:w="708" w:type="dxa"/>
            <w:vMerge w:val="restart"/>
            <w:tcBorders>
              <w:bottom w:val="single" w:sz="4" w:space="0" w:color="000000"/>
            </w:tcBorders>
          </w:tcPr>
          <w:p w:rsidR="00161017" w:rsidRDefault="00161017">
            <w:pPr>
              <w:pStyle w:val="TableParagraph"/>
              <w:spacing w:before="1"/>
              <w:jc w:val="left"/>
              <w:rPr>
                <w:b/>
                <w:sz w:val="21"/>
              </w:rPr>
            </w:pPr>
          </w:p>
          <w:p w:rsidR="00161017" w:rsidRDefault="00D753BB">
            <w:pPr>
              <w:pStyle w:val="TableParagraph"/>
              <w:ind w:left="194"/>
              <w:jc w:val="left"/>
              <w:rPr>
                <w:b/>
                <w:sz w:val="20"/>
              </w:rPr>
            </w:pPr>
            <w:r>
              <w:rPr>
                <w:b/>
                <w:sz w:val="20"/>
              </w:rPr>
              <w:t>Sex</w:t>
            </w:r>
          </w:p>
        </w:tc>
        <w:tc>
          <w:tcPr>
            <w:tcW w:w="852" w:type="dxa"/>
            <w:vMerge w:val="restart"/>
            <w:tcBorders>
              <w:bottom w:val="single" w:sz="4" w:space="0" w:color="000000"/>
            </w:tcBorders>
          </w:tcPr>
          <w:p w:rsidR="00161017" w:rsidRDefault="00D753BB">
            <w:pPr>
              <w:pStyle w:val="TableParagraph"/>
              <w:spacing w:before="127"/>
              <w:ind w:left="83" w:firstLine="127"/>
              <w:jc w:val="left"/>
              <w:rPr>
                <w:b/>
                <w:sz w:val="20"/>
              </w:rPr>
            </w:pPr>
            <w:r>
              <w:rPr>
                <w:b/>
                <w:sz w:val="20"/>
              </w:rPr>
              <w:t xml:space="preserve">Dose </w:t>
            </w:r>
            <w:r>
              <w:rPr>
                <w:b/>
                <w:w w:val="95"/>
                <w:sz w:val="20"/>
              </w:rPr>
              <w:t>(mg/kg)</w:t>
            </w:r>
          </w:p>
        </w:tc>
        <w:tc>
          <w:tcPr>
            <w:tcW w:w="4254" w:type="dxa"/>
            <w:gridSpan w:val="4"/>
          </w:tcPr>
          <w:p w:rsidR="00161017" w:rsidRDefault="00D753BB">
            <w:pPr>
              <w:pStyle w:val="TableParagraph"/>
              <w:spacing w:line="210" w:lineRule="exact"/>
              <w:ind w:left="1469" w:right="1452"/>
              <w:rPr>
                <w:b/>
                <w:sz w:val="20"/>
              </w:rPr>
            </w:pPr>
            <w:r>
              <w:rPr>
                <w:b/>
                <w:sz w:val="20"/>
              </w:rPr>
              <w:t>Exposure ratio</w:t>
            </w:r>
          </w:p>
        </w:tc>
        <w:tc>
          <w:tcPr>
            <w:tcW w:w="1133" w:type="dxa"/>
            <w:vMerge w:val="restart"/>
            <w:tcBorders>
              <w:bottom w:val="single" w:sz="4" w:space="0" w:color="000000"/>
            </w:tcBorders>
          </w:tcPr>
          <w:p w:rsidR="00161017" w:rsidRDefault="00161017">
            <w:pPr>
              <w:pStyle w:val="TableParagraph"/>
              <w:spacing w:before="1"/>
              <w:jc w:val="left"/>
              <w:rPr>
                <w:b/>
                <w:sz w:val="21"/>
              </w:rPr>
            </w:pPr>
          </w:p>
          <w:p w:rsidR="00161017" w:rsidRDefault="00D753BB">
            <w:pPr>
              <w:pStyle w:val="TableParagraph"/>
              <w:ind w:left="133"/>
              <w:jc w:val="left"/>
              <w:rPr>
                <w:b/>
                <w:sz w:val="20"/>
              </w:rPr>
            </w:pPr>
            <w:r>
              <w:rPr>
                <w:b/>
                <w:sz w:val="20"/>
              </w:rPr>
              <w:t>Study No.</w:t>
            </w:r>
          </w:p>
        </w:tc>
      </w:tr>
      <w:tr w:rsidR="00161017">
        <w:trPr>
          <w:trHeight w:val="229"/>
        </w:trPr>
        <w:tc>
          <w:tcPr>
            <w:tcW w:w="1843" w:type="dxa"/>
            <w:vMerge/>
            <w:tcBorders>
              <w:top w:val="nil"/>
              <w:bottom w:val="single" w:sz="4" w:space="0" w:color="000000"/>
            </w:tcBorders>
          </w:tcPr>
          <w:p w:rsidR="00161017" w:rsidRDefault="00161017">
            <w:pPr>
              <w:rPr>
                <w:sz w:val="2"/>
                <w:szCs w:val="2"/>
              </w:rPr>
            </w:pPr>
          </w:p>
        </w:tc>
        <w:tc>
          <w:tcPr>
            <w:tcW w:w="708" w:type="dxa"/>
            <w:vMerge/>
            <w:tcBorders>
              <w:top w:val="nil"/>
              <w:bottom w:val="single" w:sz="4" w:space="0" w:color="000000"/>
            </w:tcBorders>
          </w:tcPr>
          <w:p w:rsidR="00161017" w:rsidRDefault="00161017">
            <w:pPr>
              <w:rPr>
                <w:sz w:val="2"/>
                <w:szCs w:val="2"/>
              </w:rPr>
            </w:pPr>
          </w:p>
        </w:tc>
        <w:tc>
          <w:tcPr>
            <w:tcW w:w="852" w:type="dxa"/>
            <w:vMerge/>
            <w:tcBorders>
              <w:top w:val="nil"/>
              <w:bottom w:val="single" w:sz="4" w:space="0" w:color="000000"/>
            </w:tcBorders>
          </w:tcPr>
          <w:p w:rsidR="00161017" w:rsidRDefault="00161017">
            <w:pPr>
              <w:rPr>
                <w:sz w:val="2"/>
                <w:szCs w:val="2"/>
              </w:rPr>
            </w:pPr>
          </w:p>
        </w:tc>
        <w:tc>
          <w:tcPr>
            <w:tcW w:w="2127" w:type="dxa"/>
            <w:gridSpan w:val="2"/>
            <w:tcBorders>
              <w:bottom w:val="single" w:sz="4" w:space="0" w:color="000000"/>
            </w:tcBorders>
          </w:tcPr>
          <w:p w:rsidR="00161017" w:rsidRDefault="00D753BB">
            <w:pPr>
              <w:pStyle w:val="TableParagraph"/>
              <w:spacing w:line="210" w:lineRule="exact"/>
              <w:ind w:left="705" w:right="689"/>
              <w:rPr>
                <w:b/>
                <w:sz w:val="13"/>
              </w:rPr>
            </w:pPr>
            <w:r>
              <w:rPr>
                <w:b/>
                <w:position w:val="3"/>
                <w:sz w:val="20"/>
              </w:rPr>
              <w:t>C</w:t>
            </w:r>
            <w:r>
              <w:rPr>
                <w:b/>
                <w:sz w:val="13"/>
              </w:rPr>
              <w:t>max,u</w:t>
            </w:r>
          </w:p>
        </w:tc>
        <w:tc>
          <w:tcPr>
            <w:tcW w:w="2127" w:type="dxa"/>
            <w:gridSpan w:val="2"/>
            <w:tcBorders>
              <w:bottom w:val="single" w:sz="4" w:space="0" w:color="000000"/>
            </w:tcBorders>
          </w:tcPr>
          <w:p w:rsidR="00161017" w:rsidRDefault="00D753BB">
            <w:pPr>
              <w:pStyle w:val="TableParagraph"/>
              <w:spacing w:line="210" w:lineRule="exact"/>
              <w:ind w:left="705" w:right="692"/>
              <w:rPr>
                <w:b/>
                <w:sz w:val="13"/>
              </w:rPr>
            </w:pPr>
            <w:r>
              <w:rPr>
                <w:b/>
                <w:position w:val="3"/>
                <w:sz w:val="20"/>
              </w:rPr>
              <w:t>AUC</w:t>
            </w:r>
            <w:r>
              <w:rPr>
                <w:b/>
                <w:sz w:val="13"/>
              </w:rPr>
              <w:t>24,u</w:t>
            </w:r>
          </w:p>
        </w:tc>
        <w:tc>
          <w:tcPr>
            <w:tcW w:w="1133" w:type="dxa"/>
            <w:vMerge/>
            <w:tcBorders>
              <w:top w:val="nil"/>
              <w:bottom w:val="single" w:sz="4" w:space="0" w:color="000000"/>
            </w:tcBorders>
          </w:tcPr>
          <w:p w:rsidR="00161017" w:rsidRDefault="00161017">
            <w:pPr>
              <w:rPr>
                <w:sz w:val="2"/>
                <w:szCs w:val="2"/>
              </w:rPr>
            </w:pPr>
          </w:p>
        </w:tc>
      </w:tr>
      <w:tr w:rsidR="00161017">
        <w:trPr>
          <w:trHeight w:val="230"/>
        </w:trPr>
        <w:tc>
          <w:tcPr>
            <w:tcW w:w="1843" w:type="dxa"/>
            <w:vMerge/>
            <w:tcBorders>
              <w:top w:val="nil"/>
              <w:bottom w:val="single" w:sz="4" w:space="0" w:color="000000"/>
            </w:tcBorders>
          </w:tcPr>
          <w:p w:rsidR="00161017" w:rsidRDefault="00161017">
            <w:pPr>
              <w:rPr>
                <w:sz w:val="2"/>
                <w:szCs w:val="2"/>
              </w:rPr>
            </w:pPr>
          </w:p>
        </w:tc>
        <w:tc>
          <w:tcPr>
            <w:tcW w:w="708" w:type="dxa"/>
            <w:vMerge/>
            <w:tcBorders>
              <w:top w:val="nil"/>
              <w:bottom w:val="single" w:sz="4" w:space="0" w:color="000000"/>
            </w:tcBorders>
          </w:tcPr>
          <w:p w:rsidR="00161017" w:rsidRDefault="00161017">
            <w:pPr>
              <w:rPr>
                <w:sz w:val="2"/>
                <w:szCs w:val="2"/>
              </w:rPr>
            </w:pPr>
          </w:p>
        </w:tc>
        <w:tc>
          <w:tcPr>
            <w:tcW w:w="852" w:type="dxa"/>
            <w:vMerge/>
            <w:tcBorders>
              <w:top w:val="nil"/>
              <w:bottom w:val="single" w:sz="4" w:space="0" w:color="000000"/>
            </w:tcBorders>
          </w:tcPr>
          <w:p w:rsidR="00161017" w:rsidRDefault="00161017">
            <w:pPr>
              <w:rPr>
                <w:sz w:val="2"/>
                <w:szCs w:val="2"/>
              </w:rPr>
            </w:pPr>
          </w:p>
        </w:tc>
        <w:tc>
          <w:tcPr>
            <w:tcW w:w="1133" w:type="dxa"/>
            <w:tcBorders>
              <w:top w:val="single" w:sz="4" w:space="0" w:color="000000"/>
              <w:bottom w:val="single" w:sz="4" w:space="0" w:color="000000"/>
            </w:tcBorders>
          </w:tcPr>
          <w:p w:rsidR="00161017" w:rsidRDefault="00D753BB">
            <w:pPr>
              <w:pStyle w:val="TableParagraph"/>
              <w:spacing w:line="210" w:lineRule="exact"/>
              <w:ind w:left="124" w:right="107"/>
              <w:rPr>
                <w:b/>
                <w:sz w:val="20"/>
              </w:rPr>
            </w:pPr>
            <w:r>
              <w:rPr>
                <w:b/>
                <w:sz w:val="20"/>
              </w:rPr>
              <w:t>First dose</w:t>
            </w:r>
          </w:p>
        </w:tc>
        <w:tc>
          <w:tcPr>
            <w:tcW w:w="994" w:type="dxa"/>
            <w:tcBorders>
              <w:top w:val="single" w:sz="4" w:space="0" w:color="000000"/>
              <w:bottom w:val="single" w:sz="4" w:space="0" w:color="000000"/>
            </w:tcBorders>
          </w:tcPr>
          <w:p w:rsidR="00161017" w:rsidRDefault="00D753BB">
            <w:pPr>
              <w:pStyle w:val="TableParagraph"/>
              <w:spacing w:line="210" w:lineRule="exact"/>
              <w:ind w:left="59" w:right="65"/>
              <w:rPr>
                <w:b/>
                <w:sz w:val="20"/>
              </w:rPr>
            </w:pPr>
            <w:r>
              <w:rPr>
                <w:b/>
                <w:sz w:val="20"/>
              </w:rPr>
              <w:t>Last dose</w:t>
            </w:r>
          </w:p>
        </w:tc>
        <w:tc>
          <w:tcPr>
            <w:tcW w:w="1133" w:type="dxa"/>
            <w:tcBorders>
              <w:top w:val="single" w:sz="4" w:space="0" w:color="000000"/>
              <w:bottom w:val="single" w:sz="4" w:space="0" w:color="000000"/>
            </w:tcBorders>
          </w:tcPr>
          <w:p w:rsidR="00161017" w:rsidRDefault="00D753BB">
            <w:pPr>
              <w:pStyle w:val="TableParagraph"/>
              <w:spacing w:line="210" w:lineRule="exact"/>
              <w:ind w:left="123" w:right="108"/>
              <w:rPr>
                <w:b/>
                <w:sz w:val="20"/>
              </w:rPr>
            </w:pPr>
            <w:r>
              <w:rPr>
                <w:b/>
                <w:sz w:val="20"/>
              </w:rPr>
              <w:t>First dose</w:t>
            </w:r>
          </w:p>
        </w:tc>
        <w:tc>
          <w:tcPr>
            <w:tcW w:w="994" w:type="dxa"/>
            <w:tcBorders>
              <w:top w:val="single" w:sz="4" w:space="0" w:color="000000"/>
              <w:bottom w:val="single" w:sz="4" w:space="0" w:color="000000"/>
            </w:tcBorders>
          </w:tcPr>
          <w:p w:rsidR="00161017" w:rsidRDefault="00D753BB">
            <w:pPr>
              <w:pStyle w:val="TableParagraph"/>
              <w:spacing w:line="210" w:lineRule="exact"/>
              <w:ind w:left="61" w:right="63"/>
              <w:rPr>
                <w:b/>
                <w:sz w:val="20"/>
              </w:rPr>
            </w:pPr>
            <w:r>
              <w:rPr>
                <w:b/>
                <w:sz w:val="20"/>
              </w:rPr>
              <w:t>Last dose</w:t>
            </w:r>
          </w:p>
        </w:tc>
        <w:tc>
          <w:tcPr>
            <w:tcW w:w="1133" w:type="dxa"/>
            <w:vMerge/>
            <w:tcBorders>
              <w:top w:val="nil"/>
              <w:bottom w:val="single" w:sz="4" w:space="0" w:color="000000"/>
            </w:tcBorders>
          </w:tcPr>
          <w:p w:rsidR="00161017" w:rsidRDefault="00161017">
            <w:pPr>
              <w:rPr>
                <w:sz w:val="2"/>
                <w:szCs w:val="2"/>
              </w:rPr>
            </w:pPr>
          </w:p>
        </w:tc>
      </w:tr>
      <w:tr w:rsidR="00161017">
        <w:trPr>
          <w:trHeight w:val="460"/>
        </w:trPr>
        <w:tc>
          <w:tcPr>
            <w:tcW w:w="1843" w:type="dxa"/>
            <w:vMerge w:val="restart"/>
            <w:tcBorders>
              <w:top w:val="single" w:sz="4" w:space="0" w:color="000000"/>
              <w:bottom w:val="single" w:sz="4" w:space="0" w:color="000000"/>
            </w:tcBorders>
          </w:tcPr>
          <w:p w:rsidR="00161017" w:rsidRDefault="00161017">
            <w:pPr>
              <w:pStyle w:val="TableParagraph"/>
              <w:spacing w:before="1"/>
              <w:jc w:val="left"/>
              <w:rPr>
                <w:b/>
                <w:sz w:val="31"/>
              </w:rPr>
            </w:pPr>
          </w:p>
          <w:p w:rsidR="00161017" w:rsidRDefault="00D753BB">
            <w:pPr>
              <w:pStyle w:val="TableParagraph"/>
              <w:ind w:left="11"/>
              <w:jc w:val="left"/>
              <w:rPr>
                <w:sz w:val="20"/>
              </w:rPr>
            </w:pPr>
            <w:r>
              <w:rPr>
                <w:sz w:val="20"/>
              </w:rPr>
              <w:t>SD rats:</w:t>
            </w:r>
          </w:p>
          <w:p w:rsidR="00161017" w:rsidRDefault="00D753BB">
            <w:pPr>
              <w:pStyle w:val="TableParagraph"/>
              <w:spacing w:before="1"/>
              <w:ind w:left="11" w:right="198"/>
              <w:jc w:val="left"/>
              <w:rPr>
                <w:sz w:val="20"/>
              </w:rPr>
            </w:pPr>
            <w:r>
              <w:rPr>
                <w:sz w:val="20"/>
              </w:rPr>
              <w:t>(non-GLP) Exploratory 1-week oral dose toxicity study</w:t>
            </w:r>
          </w:p>
        </w:tc>
        <w:tc>
          <w:tcPr>
            <w:tcW w:w="708" w:type="dxa"/>
            <w:tcBorders>
              <w:top w:val="single" w:sz="4" w:space="0" w:color="000000"/>
              <w:bottom w:val="single" w:sz="4" w:space="0" w:color="000000"/>
            </w:tcBorders>
          </w:tcPr>
          <w:p w:rsidR="00161017" w:rsidRDefault="00D753BB">
            <w:pPr>
              <w:pStyle w:val="TableParagraph"/>
              <w:spacing w:line="223" w:lineRule="exact"/>
              <w:rPr>
                <w:sz w:val="20"/>
              </w:rPr>
            </w:pPr>
            <w:r>
              <w:rPr>
                <w:w w:val="99"/>
                <w:sz w:val="20"/>
              </w:rPr>
              <w:t>M</w:t>
            </w:r>
          </w:p>
          <w:p w:rsidR="00161017" w:rsidRDefault="00D753BB">
            <w:pPr>
              <w:pStyle w:val="TableParagraph"/>
              <w:spacing w:line="217" w:lineRule="exact"/>
              <w:ind w:right="1"/>
              <w:rPr>
                <w:sz w:val="20"/>
              </w:rPr>
            </w:pPr>
            <w:r>
              <w:rPr>
                <w:w w:val="99"/>
                <w:sz w:val="20"/>
              </w:rPr>
              <w:t>F</w:t>
            </w:r>
          </w:p>
        </w:tc>
        <w:tc>
          <w:tcPr>
            <w:tcW w:w="852" w:type="dxa"/>
            <w:tcBorders>
              <w:top w:val="single" w:sz="4" w:space="0" w:color="000000"/>
              <w:bottom w:val="single" w:sz="4" w:space="0" w:color="000000"/>
            </w:tcBorders>
          </w:tcPr>
          <w:p w:rsidR="00161017" w:rsidRDefault="00D753BB">
            <w:pPr>
              <w:pStyle w:val="TableParagraph"/>
              <w:spacing w:line="223" w:lineRule="exact"/>
              <w:ind w:left="1"/>
              <w:rPr>
                <w:sz w:val="20"/>
              </w:rPr>
            </w:pPr>
            <w:r>
              <w:rPr>
                <w:w w:val="99"/>
                <w:sz w:val="20"/>
              </w:rPr>
              <w:t>3</w:t>
            </w:r>
          </w:p>
          <w:p w:rsidR="00161017" w:rsidRDefault="00D753BB">
            <w:pPr>
              <w:pStyle w:val="TableParagraph"/>
              <w:spacing w:line="217" w:lineRule="exact"/>
              <w:ind w:left="1"/>
              <w:rPr>
                <w:sz w:val="20"/>
              </w:rPr>
            </w:pPr>
            <w:r>
              <w:rPr>
                <w:w w:val="99"/>
                <w:sz w:val="20"/>
              </w:rPr>
              <w:t>3</w:t>
            </w:r>
          </w:p>
        </w:tc>
        <w:tc>
          <w:tcPr>
            <w:tcW w:w="1133" w:type="dxa"/>
            <w:tcBorders>
              <w:top w:val="single" w:sz="4" w:space="0" w:color="000000"/>
              <w:bottom w:val="single" w:sz="4" w:space="0" w:color="000000"/>
            </w:tcBorders>
          </w:tcPr>
          <w:p w:rsidR="00161017" w:rsidRDefault="00D753BB">
            <w:pPr>
              <w:pStyle w:val="TableParagraph"/>
              <w:spacing w:line="223" w:lineRule="exact"/>
              <w:ind w:left="124" w:right="103"/>
              <w:rPr>
                <w:sz w:val="20"/>
              </w:rPr>
            </w:pPr>
            <w:r>
              <w:rPr>
                <w:sz w:val="20"/>
              </w:rPr>
              <w:t>4.1</w:t>
            </w:r>
          </w:p>
          <w:p w:rsidR="00161017" w:rsidRDefault="00D753BB">
            <w:pPr>
              <w:pStyle w:val="TableParagraph"/>
              <w:spacing w:line="217" w:lineRule="exact"/>
              <w:ind w:left="124" w:right="103"/>
              <w:rPr>
                <w:sz w:val="20"/>
              </w:rPr>
            </w:pPr>
            <w:r>
              <w:rPr>
                <w:sz w:val="20"/>
              </w:rPr>
              <w:t>7.5</w:t>
            </w:r>
          </w:p>
        </w:tc>
        <w:tc>
          <w:tcPr>
            <w:tcW w:w="994" w:type="dxa"/>
            <w:tcBorders>
              <w:top w:val="single" w:sz="4" w:space="0" w:color="000000"/>
              <w:bottom w:val="single" w:sz="4" w:space="0" w:color="000000"/>
            </w:tcBorders>
          </w:tcPr>
          <w:p w:rsidR="00161017" w:rsidRDefault="00D753BB">
            <w:pPr>
              <w:pStyle w:val="TableParagraph"/>
              <w:spacing w:line="223" w:lineRule="exact"/>
              <w:ind w:left="61" w:right="62"/>
              <w:rPr>
                <w:sz w:val="20"/>
              </w:rPr>
            </w:pPr>
            <w:r>
              <w:rPr>
                <w:sz w:val="20"/>
              </w:rPr>
              <w:t>2.6</w:t>
            </w:r>
          </w:p>
          <w:p w:rsidR="00161017" w:rsidRDefault="00D753BB">
            <w:pPr>
              <w:pStyle w:val="TableParagraph"/>
              <w:spacing w:line="217" w:lineRule="exact"/>
              <w:ind w:left="61" w:right="62"/>
              <w:rPr>
                <w:sz w:val="20"/>
              </w:rPr>
            </w:pPr>
            <w:r>
              <w:rPr>
                <w:sz w:val="20"/>
              </w:rPr>
              <w:t>5.9</w:t>
            </w:r>
          </w:p>
        </w:tc>
        <w:tc>
          <w:tcPr>
            <w:tcW w:w="1133" w:type="dxa"/>
            <w:tcBorders>
              <w:top w:val="single" w:sz="4" w:space="0" w:color="000000"/>
              <w:bottom w:val="single" w:sz="4" w:space="0" w:color="000000"/>
            </w:tcBorders>
          </w:tcPr>
          <w:p w:rsidR="00161017" w:rsidRDefault="00D753BB">
            <w:pPr>
              <w:pStyle w:val="TableParagraph"/>
              <w:spacing w:line="223" w:lineRule="exact"/>
              <w:ind w:left="124" w:right="104"/>
              <w:rPr>
                <w:sz w:val="20"/>
              </w:rPr>
            </w:pPr>
            <w:r>
              <w:rPr>
                <w:sz w:val="20"/>
              </w:rPr>
              <w:t>2.0</w:t>
            </w:r>
          </w:p>
          <w:p w:rsidR="00161017" w:rsidRDefault="00D753BB">
            <w:pPr>
              <w:pStyle w:val="TableParagraph"/>
              <w:spacing w:line="217" w:lineRule="exact"/>
              <w:ind w:left="124" w:right="104"/>
              <w:rPr>
                <w:sz w:val="20"/>
              </w:rPr>
            </w:pPr>
            <w:r>
              <w:rPr>
                <w:sz w:val="20"/>
              </w:rPr>
              <w:t>3.6</w:t>
            </w:r>
          </w:p>
        </w:tc>
        <w:tc>
          <w:tcPr>
            <w:tcW w:w="994" w:type="dxa"/>
            <w:tcBorders>
              <w:top w:val="single" w:sz="4" w:space="0" w:color="000000"/>
              <w:bottom w:val="single" w:sz="4" w:space="0" w:color="000000"/>
            </w:tcBorders>
          </w:tcPr>
          <w:p w:rsidR="00161017" w:rsidRDefault="00D753BB">
            <w:pPr>
              <w:pStyle w:val="TableParagraph"/>
              <w:spacing w:line="223" w:lineRule="exact"/>
              <w:ind w:left="61" w:right="61"/>
              <w:rPr>
                <w:sz w:val="20"/>
              </w:rPr>
            </w:pPr>
            <w:r>
              <w:rPr>
                <w:sz w:val="20"/>
              </w:rPr>
              <w:t>1.6</w:t>
            </w:r>
          </w:p>
          <w:p w:rsidR="00161017" w:rsidRDefault="00D753BB">
            <w:pPr>
              <w:pStyle w:val="TableParagraph"/>
              <w:spacing w:line="217" w:lineRule="exact"/>
              <w:ind w:left="61" w:right="61"/>
              <w:rPr>
                <w:sz w:val="20"/>
              </w:rPr>
            </w:pPr>
            <w:r>
              <w:rPr>
                <w:sz w:val="20"/>
              </w:rPr>
              <w:t>1.9</w:t>
            </w:r>
          </w:p>
        </w:tc>
        <w:tc>
          <w:tcPr>
            <w:tcW w:w="1133" w:type="dxa"/>
            <w:vMerge w:val="restart"/>
            <w:tcBorders>
              <w:top w:val="single" w:sz="4" w:space="0" w:color="000000"/>
              <w:bottom w:val="single" w:sz="4" w:space="0" w:color="000000"/>
            </w:tcBorders>
          </w:tcPr>
          <w:p w:rsidR="00161017" w:rsidRDefault="00161017">
            <w:pPr>
              <w:pStyle w:val="TableParagraph"/>
              <w:jc w:val="left"/>
              <w:rPr>
                <w:b/>
              </w:rPr>
            </w:pPr>
          </w:p>
          <w:p w:rsidR="00161017" w:rsidRDefault="00161017">
            <w:pPr>
              <w:pStyle w:val="TableParagraph"/>
              <w:jc w:val="left"/>
              <w:rPr>
                <w:b/>
              </w:rPr>
            </w:pPr>
          </w:p>
          <w:p w:rsidR="00161017" w:rsidRDefault="006568EB">
            <w:pPr>
              <w:pStyle w:val="TableParagraph"/>
              <w:spacing w:before="197"/>
              <w:ind w:left="107" w:right="108"/>
              <w:rPr>
                <w:sz w:val="20"/>
              </w:rPr>
            </w:pPr>
            <w:r>
              <w:rPr>
                <w:sz w:val="20"/>
              </w:rPr>
              <w:t>Project H</w:t>
            </w:r>
            <w:r w:rsidR="00D753BB">
              <w:rPr>
                <w:sz w:val="20"/>
              </w:rPr>
              <w:t>-TX-</w:t>
            </w:r>
          </w:p>
          <w:p w:rsidR="00161017" w:rsidRDefault="00D753BB">
            <w:pPr>
              <w:pStyle w:val="TableParagraph"/>
              <w:spacing w:before="1"/>
              <w:ind w:left="108" w:right="108"/>
              <w:rPr>
                <w:sz w:val="20"/>
              </w:rPr>
            </w:pPr>
            <w:r>
              <w:rPr>
                <w:sz w:val="20"/>
              </w:rPr>
              <w:t>0014</w:t>
            </w:r>
          </w:p>
        </w:tc>
      </w:tr>
      <w:tr w:rsidR="00161017">
        <w:trPr>
          <w:trHeight w:val="460"/>
        </w:trPr>
        <w:tc>
          <w:tcPr>
            <w:tcW w:w="1843" w:type="dxa"/>
            <w:vMerge/>
            <w:tcBorders>
              <w:top w:val="nil"/>
              <w:bottom w:val="single" w:sz="4" w:space="0" w:color="000000"/>
            </w:tcBorders>
          </w:tcPr>
          <w:p w:rsidR="00161017" w:rsidRDefault="00161017">
            <w:pPr>
              <w:rPr>
                <w:sz w:val="2"/>
                <w:szCs w:val="2"/>
              </w:rPr>
            </w:pPr>
          </w:p>
        </w:tc>
        <w:tc>
          <w:tcPr>
            <w:tcW w:w="708" w:type="dxa"/>
            <w:tcBorders>
              <w:top w:val="single" w:sz="4" w:space="0" w:color="000000"/>
              <w:bottom w:val="single" w:sz="4" w:space="0" w:color="000000"/>
            </w:tcBorders>
          </w:tcPr>
          <w:p w:rsidR="00161017" w:rsidRDefault="00D753BB">
            <w:pPr>
              <w:pStyle w:val="TableParagraph"/>
              <w:spacing w:line="223" w:lineRule="exact"/>
              <w:rPr>
                <w:sz w:val="20"/>
              </w:rPr>
            </w:pPr>
            <w:r>
              <w:rPr>
                <w:w w:val="99"/>
                <w:sz w:val="20"/>
              </w:rPr>
              <w:t>M</w:t>
            </w:r>
          </w:p>
          <w:p w:rsidR="00161017" w:rsidRDefault="00D753BB">
            <w:pPr>
              <w:pStyle w:val="TableParagraph"/>
              <w:spacing w:line="217" w:lineRule="exact"/>
              <w:ind w:right="1"/>
              <w:rPr>
                <w:sz w:val="20"/>
              </w:rPr>
            </w:pPr>
            <w:r>
              <w:rPr>
                <w:w w:val="99"/>
                <w:sz w:val="20"/>
              </w:rPr>
              <w:t>F</w:t>
            </w:r>
          </w:p>
        </w:tc>
        <w:tc>
          <w:tcPr>
            <w:tcW w:w="852" w:type="dxa"/>
            <w:tcBorders>
              <w:top w:val="single" w:sz="4" w:space="0" w:color="000000"/>
              <w:bottom w:val="single" w:sz="4" w:space="0" w:color="000000"/>
            </w:tcBorders>
          </w:tcPr>
          <w:p w:rsidR="00161017" w:rsidRDefault="00D753BB">
            <w:pPr>
              <w:pStyle w:val="TableParagraph"/>
              <w:spacing w:line="223" w:lineRule="exact"/>
              <w:ind w:left="246" w:right="244"/>
              <w:rPr>
                <w:sz w:val="20"/>
              </w:rPr>
            </w:pPr>
            <w:r>
              <w:rPr>
                <w:sz w:val="20"/>
              </w:rPr>
              <w:t>10</w:t>
            </w:r>
          </w:p>
          <w:p w:rsidR="00161017" w:rsidRDefault="00D753BB">
            <w:pPr>
              <w:pStyle w:val="TableParagraph"/>
              <w:spacing w:line="217" w:lineRule="exact"/>
              <w:ind w:left="246" w:right="244"/>
              <w:rPr>
                <w:sz w:val="20"/>
              </w:rPr>
            </w:pPr>
            <w:r>
              <w:rPr>
                <w:sz w:val="20"/>
              </w:rPr>
              <w:t>10</w:t>
            </w:r>
          </w:p>
        </w:tc>
        <w:tc>
          <w:tcPr>
            <w:tcW w:w="1133" w:type="dxa"/>
            <w:tcBorders>
              <w:top w:val="single" w:sz="4" w:space="0" w:color="000000"/>
              <w:bottom w:val="single" w:sz="4" w:space="0" w:color="000000"/>
            </w:tcBorders>
          </w:tcPr>
          <w:p w:rsidR="00161017" w:rsidRDefault="00D753BB">
            <w:pPr>
              <w:pStyle w:val="TableParagraph"/>
              <w:spacing w:line="223" w:lineRule="exact"/>
              <w:ind w:left="124" w:right="105"/>
              <w:rPr>
                <w:sz w:val="20"/>
              </w:rPr>
            </w:pPr>
            <w:r>
              <w:rPr>
                <w:sz w:val="20"/>
              </w:rPr>
              <w:t>17</w:t>
            </w:r>
          </w:p>
          <w:p w:rsidR="00161017" w:rsidRDefault="00D753BB">
            <w:pPr>
              <w:pStyle w:val="TableParagraph"/>
              <w:spacing w:line="217" w:lineRule="exact"/>
              <w:ind w:left="124" w:right="105"/>
              <w:rPr>
                <w:sz w:val="20"/>
              </w:rPr>
            </w:pPr>
            <w:r>
              <w:rPr>
                <w:sz w:val="20"/>
              </w:rPr>
              <w:t>27</w:t>
            </w:r>
          </w:p>
        </w:tc>
        <w:tc>
          <w:tcPr>
            <w:tcW w:w="994" w:type="dxa"/>
            <w:tcBorders>
              <w:top w:val="single" w:sz="4" w:space="0" w:color="000000"/>
              <w:bottom w:val="single" w:sz="4" w:space="0" w:color="000000"/>
            </w:tcBorders>
          </w:tcPr>
          <w:p w:rsidR="00161017" w:rsidRDefault="00D753BB">
            <w:pPr>
              <w:pStyle w:val="TableParagraph"/>
              <w:spacing w:line="223" w:lineRule="exact"/>
              <w:ind w:left="61" w:right="61"/>
              <w:rPr>
                <w:sz w:val="20"/>
              </w:rPr>
            </w:pPr>
            <w:r>
              <w:rPr>
                <w:sz w:val="20"/>
              </w:rPr>
              <w:t>20</w:t>
            </w:r>
          </w:p>
          <w:p w:rsidR="00161017" w:rsidRDefault="00D753BB">
            <w:pPr>
              <w:pStyle w:val="TableParagraph"/>
              <w:spacing w:line="217" w:lineRule="exact"/>
              <w:ind w:left="61" w:right="61"/>
              <w:rPr>
                <w:sz w:val="20"/>
              </w:rPr>
            </w:pPr>
            <w:r>
              <w:rPr>
                <w:sz w:val="20"/>
              </w:rPr>
              <w:t>35</w:t>
            </w:r>
          </w:p>
        </w:tc>
        <w:tc>
          <w:tcPr>
            <w:tcW w:w="1133" w:type="dxa"/>
            <w:tcBorders>
              <w:top w:val="single" w:sz="4" w:space="0" w:color="000000"/>
              <w:bottom w:val="single" w:sz="4" w:space="0" w:color="000000"/>
            </w:tcBorders>
          </w:tcPr>
          <w:p w:rsidR="00161017" w:rsidRDefault="00D753BB">
            <w:pPr>
              <w:pStyle w:val="TableParagraph"/>
              <w:spacing w:line="223" w:lineRule="exact"/>
              <w:ind w:left="124" w:right="104"/>
              <w:rPr>
                <w:sz w:val="20"/>
              </w:rPr>
            </w:pPr>
            <w:r>
              <w:rPr>
                <w:sz w:val="20"/>
              </w:rPr>
              <w:t>9.5</w:t>
            </w:r>
          </w:p>
          <w:p w:rsidR="00161017" w:rsidRDefault="00D753BB">
            <w:pPr>
              <w:pStyle w:val="TableParagraph"/>
              <w:spacing w:line="217" w:lineRule="exact"/>
              <w:ind w:left="124" w:right="106"/>
              <w:rPr>
                <w:sz w:val="20"/>
              </w:rPr>
            </w:pPr>
            <w:r>
              <w:rPr>
                <w:sz w:val="20"/>
              </w:rPr>
              <w:t>17</w:t>
            </w:r>
          </w:p>
        </w:tc>
        <w:tc>
          <w:tcPr>
            <w:tcW w:w="994" w:type="dxa"/>
            <w:tcBorders>
              <w:top w:val="single" w:sz="4" w:space="0" w:color="000000"/>
              <w:bottom w:val="single" w:sz="4" w:space="0" w:color="000000"/>
            </w:tcBorders>
          </w:tcPr>
          <w:p w:rsidR="00161017" w:rsidRDefault="00D753BB">
            <w:pPr>
              <w:pStyle w:val="TableParagraph"/>
              <w:spacing w:line="223" w:lineRule="exact"/>
              <w:ind w:left="61" w:right="58"/>
              <w:rPr>
                <w:sz w:val="20"/>
              </w:rPr>
            </w:pPr>
            <w:r>
              <w:rPr>
                <w:sz w:val="20"/>
              </w:rPr>
              <w:t>17</w:t>
            </w:r>
          </w:p>
          <w:p w:rsidR="00161017" w:rsidRDefault="00D753BB">
            <w:pPr>
              <w:pStyle w:val="TableParagraph"/>
              <w:spacing w:line="217" w:lineRule="exact"/>
              <w:ind w:left="61" w:right="58"/>
              <w:rPr>
                <w:sz w:val="20"/>
              </w:rPr>
            </w:pPr>
            <w:r>
              <w:rPr>
                <w:sz w:val="20"/>
              </w:rPr>
              <w:t>27</w:t>
            </w:r>
          </w:p>
        </w:tc>
        <w:tc>
          <w:tcPr>
            <w:tcW w:w="1133" w:type="dxa"/>
            <w:vMerge/>
            <w:tcBorders>
              <w:top w:val="nil"/>
              <w:bottom w:val="single" w:sz="4" w:space="0" w:color="000000"/>
            </w:tcBorders>
          </w:tcPr>
          <w:p w:rsidR="00161017" w:rsidRDefault="00161017">
            <w:pPr>
              <w:rPr>
                <w:sz w:val="2"/>
                <w:szCs w:val="2"/>
              </w:rPr>
            </w:pPr>
          </w:p>
        </w:tc>
      </w:tr>
      <w:tr w:rsidR="00161017">
        <w:trPr>
          <w:trHeight w:val="458"/>
        </w:trPr>
        <w:tc>
          <w:tcPr>
            <w:tcW w:w="1843" w:type="dxa"/>
            <w:vMerge/>
            <w:tcBorders>
              <w:top w:val="nil"/>
              <w:bottom w:val="single" w:sz="4" w:space="0" w:color="000000"/>
            </w:tcBorders>
          </w:tcPr>
          <w:p w:rsidR="00161017" w:rsidRDefault="00161017">
            <w:pPr>
              <w:rPr>
                <w:sz w:val="2"/>
                <w:szCs w:val="2"/>
              </w:rPr>
            </w:pPr>
          </w:p>
        </w:tc>
        <w:tc>
          <w:tcPr>
            <w:tcW w:w="708" w:type="dxa"/>
            <w:tcBorders>
              <w:top w:val="single" w:sz="4" w:space="0" w:color="000000"/>
              <w:bottom w:val="single" w:sz="4" w:space="0" w:color="000000"/>
            </w:tcBorders>
          </w:tcPr>
          <w:p w:rsidR="00161017" w:rsidRDefault="00D753BB">
            <w:pPr>
              <w:pStyle w:val="TableParagraph"/>
              <w:spacing w:line="223" w:lineRule="exact"/>
              <w:rPr>
                <w:sz w:val="20"/>
              </w:rPr>
            </w:pPr>
            <w:r>
              <w:rPr>
                <w:w w:val="99"/>
                <w:sz w:val="20"/>
              </w:rPr>
              <w:t>M</w:t>
            </w:r>
          </w:p>
          <w:p w:rsidR="00161017" w:rsidRDefault="00D753BB">
            <w:pPr>
              <w:pStyle w:val="TableParagraph"/>
              <w:spacing w:line="215" w:lineRule="exact"/>
              <w:ind w:right="1"/>
              <w:rPr>
                <w:sz w:val="20"/>
              </w:rPr>
            </w:pPr>
            <w:r>
              <w:rPr>
                <w:w w:val="99"/>
                <w:sz w:val="20"/>
              </w:rPr>
              <w:t>F</w:t>
            </w:r>
          </w:p>
        </w:tc>
        <w:tc>
          <w:tcPr>
            <w:tcW w:w="852" w:type="dxa"/>
            <w:tcBorders>
              <w:top w:val="single" w:sz="4" w:space="0" w:color="000000"/>
              <w:bottom w:val="single" w:sz="4" w:space="0" w:color="000000"/>
            </w:tcBorders>
          </w:tcPr>
          <w:p w:rsidR="00161017" w:rsidRDefault="00D753BB">
            <w:pPr>
              <w:pStyle w:val="TableParagraph"/>
              <w:spacing w:line="223" w:lineRule="exact"/>
              <w:ind w:left="246" w:right="244"/>
              <w:rPr>
                <w:sz w:val="20"/>
              </w:rPr>
            </w:pPr>
            <w:r>
              <w:rPr>
                <w:sz w:val="20"/>
              </w:rPr>
              <w:t>30</w:t>
            </w:r>
          </w:p>
          <w:p w:rsidR="00161017" w:rsidRDefault="00D753BB">
            <w:pPr>
              <w:pStyle w:val="TableParagraph"/>
              <w:spacing w:line="215" w:lineRule="exact"/>
              <w:ind w:left="246" w:right="244"/>
              <w:rPr>
                <w:sz w:val="20"/>
              </w:rPr>
            </w:pPr>
            <w:r>
              <w:rPr>
                <w:sz w:val="20"/>
              </w:rPr>
              <w:t>30</w:t>
            </w:r>
          </w:p>
        </w:tc>
        <w:tc>
          <w:tcPr>
            <w:tcW w:w="1133" w:type="dxa"/>
            <w:tcBorders>
              <w:top w:val="single" w:sz="4" w:space="0" w:color="000000"/>
              <w:bottom w:val="single" w:sz="4" w:space="0" w:color="000000"/>
            </w:tcBorders>
          </w:tcPr>
          <w:p w:rsidR="00161017" w:rsidRDefault="00D753BB">
            <w:pPr>
              <w:pStyle w:val="TableParagraph"/>
              <w:spacing w:line="223" w:lineRule="exact"/>
              <w:ind w:left="124" w:right="105"/>
              <w:rPr>
                <w:sz w:val="20"/>
              </w:rPr>
            </w:pPr>
            <w:r>
              <w:rPr>
                <w:sz w:val="20"/>
              </w:rPr>
              <w:t>42</w:t>
            </w:r>
          </w:p>
          <w:p w:rsidR="00161017" w:rsidRDefault="00D753BB">
            <w:pPr>
              <w:pStyle w:val="TableParagraph"/>
              <w:spacing w:line="215" w:lineRule="exact"/>
              <w:ind w:left="124" w:right="105"/>
              <w:rPr>
                <w:sz w:val="20"/>
              </w:rPr>
            </w:pPr>
            <w:r>
              <w:rPr>
                <w:sz w:val="20"/>
              </w:rPr>
              <w:t>95</w:t>
            </w:r>
          </w:p>
        </w:tc>
        <w:tc>
          <w:tcPr>
            <w:tcW w:w="994" w:type="dxa"/>
            <w:tcBorders>
              <w:top w:val="single" w:sz="4" w:space="0" w:color="000000"/>
              <w:bottom w:val="single" w:sz="4" w:space="0" w:color="000000"/>
            </w:tcBorders>
          </w:tcPr>
          <w:p w:rsidR="00161017" w:rsidRDefault="00D753BB">
            <w:pPr>
              <w:pStyle w:val="TableParagraph"/>
              <w:spacing w:line="223" w:lineRule="exact"/>
              <w:ind w:left="61" w:right="61"/>
              <w:rPr>
                <w:sz w:val="20"/>
              </w:rPr>
            </w:pPr>
            <w:r>
              <w:rPr>
                <w:sz w:val="20"/>
              </w:rPr>
              <w:t>125</w:t>
            </w:r>
          </w:p>
          <w:p w:rsidR="00161017" w:rsidRDefault="00D753BB">
            <w:pPr>
              <w:pStyle w:val="TableParagraph"/>
              <w:spacing w:line="215" w:lineRule="exact"/>
              <w:ind w:left="61" w:right="61"/>
              <w:rPr>
                <w:sz w:val="20"/>
              </w:rPr>
            </w:pPr>
            <w:r>
              <w:rPr>
                <w:sz w:val="20"/>
              </w:rPr>
              <w:t>94</w:t>
            </w:r>
          </w:p>
        </w:tc>
        <w:tc>
          <w:tcPr>
            <w:tcW w:w="1133" w:type="dxa"/>
            <w:tcBorders>
              <w:top w:val="single" w:sz="4" w:space="0" w:color="000000"/>
              <w:bottom w:val="single" w:sz="4" w:space="0" w:color="000000"/>
            </w:tcBorders>
          </w:tcPr>
          <w:p w:rsidR="00161017" w:rsidRDefault="00D753BB">
            <w:pPr>
              <w:pStyle w:val="TableParagraph"/>
              <w:spacing w:line="223" w:lineRule="exact"/>
              <w:ind w:left="124" w:right="106"/>
              <w:rPr>
                <w:sz w:val="20"/>
              </w:rPr>
            </w:pPr>
            <w:r>
              <w:rPr>
                <w:sz w:val="20"/>
              </w:rPr>
              <w:t>35</w:t>
            </w:r>
          </w:p>
          <w:p w:rsidR="00161017" w:rsidRDefault="00D753BB">
            <w:pPr>
              <w:pStyle w:val="TableParagraph"/>
              <w:spacing w:line="215" w:lineRule="exact"/>
              <w:ind w:left="124" w:right="106"/>
              <w:rPr>
                <w:sz w:val="20"/>
              </w:rPr>
            </w:pPr>
            <w:r>
              <w:rPr>
                <w:sz w:val="20"/>
              </w:rPr>
              <w:t>105</w:t>
            </w:r>
          </w:p>
        </w:tc>
        <w:tc>
          <w:tcPr>
            <w:tcW w:w="994" w:type="dxa"/>
            <w:tcBorders>
              <w:top w:val="single" w:sz="4" w:space="0" w:color="000000"/>
              <w:bottom w:val="single" w:sz="4" w:space="0" w:color="000000"/>
            </w:tcBorders>
          </w:tcPr>
          <w:p w:rsidR="00161017" w:rsidRDefault="00D753BB">
            <w:pPr>
              <w:pStyle w:val="TableParagraph"/>
              <w:spacing w:line="223" w:lineRule="exact"/>
              <w:ind w:left="61" w:right="58"/>
              <w:rPr>
                <w:sz w:val="20"/>
              </w:rPr>
            </w:pPr>
            <w:r>
              <w:rPr>
                <w:sz w:val="20"/>
              </w:rPr>
              <w:t>93</w:t>
            </w:r>
          </w:p>
          <w:p w:rsidR="00161017" w:rsidRDefault="00D753BB">
            <w:pPr>
              <w:pStyle w:val="TableParagraph"/>
              <w:spacing w:line="215" w:lineRule="exact"/>
              <w:ind w:left="61" w:right="58"/>
              <w:rPr>
                <w:sz w:val="20"/>
              </w:rPr>
            </w:pPr>
            <w:r>
              <w:rPr>
                <w:sz w:val="20"/>
              </w:rPr>
              <w:t>103</w:t>
            </w:r>
          </w:p>
        </w:tc>
        <w:tc>
          <w:tcPr>
            <w:tcW w:w="1133" w:type="dxa"/>
            <w:vMerge/>
            <w:tcBorders>
              <w:top w:val="nil"/>
              <w:bottom w:val="single" w:sz="4" w:space="0" w:color="000000"/>
            </w:tcBorders>
          </w:tcPr>
          <w:p w:rsidR="00161017" w:rsidRDefault="00161017">
            <w:pPr>
              <w:rPr>
                <w:sz w:val="2"/>
                <w:szCs w:val="2"/>
              </w:rPr>
            </w:pPr>
          </w:p>
        </w:tc>
      </w:tr>
      <w:tr w:rsidR="00161017">
        <w:trPr>
          <w:trHeight w:val="230"/>
        </w:trPr>
        <w:tc>
          <w:tcPr>
            <w:tcW w:w="1843" w:type="dxa"/>
            <w:vMerge/>
            <w:tcBorders>
              <w:top w:val="nil"/>
              <w:bottom w:val="single" w:sz="4" w:space="0" w:color="000000"/>
            </w:tcBorders>
          </w:tcPr>
          <w:p w:rsidR="00161017" w:rsidRDefault="00161017">
            <w:pPr>
              <w:rPr>
                <w:sz w:val="2"/>
                <w:szCs w:val="2"/>
              </w:rPr>
            </w:pPr>
          </w:p>
        </w:tc>
        <w:tc>
          <w:tcPr>
            <w:tcW w:w="708" w:type="dxa"/>
            <w:tcBorders>
              <w:top w:val="single" w:sz="4" w:space="0" w:color="000000"/>
              <w:bottom w:val="single" w:sz="4" w:space="0" w:color="000000"/>
            </w:tcBorders>
          </w:tcPr>
          <w:p w:rsidR="00161017" w:rsidRDefault="00D753BB">
            <w:pPr>
              <w:pStyle w:val="TableParagraph"/>
              <w:spacing w:line="210" w:lineRule="exact"/>
              <w:ind w:left="254"/>
              <w:jc w:val="left"/>
              <w:rPr>
                <w:sz w:val="20"/>
              </w:rPr>
            </w:pPr>
            <w:r>
              <w:rPr>
                <w:w w:val="99"/>
                <w:sz w:val="20"/>
              </w:rPr>
              <w:t>M</w:t>
            </w:r>
          </w:p>
        </w:tc>
        <w:tc>
          <w:tcPr>
            <w:tcW w:w="852" w:type="dxa"/>
            <w:tcBorders>
              <w:top w:val="single" w:sz="4" w:space="0" w:color="000000"/>
              <w:bottom w:val="single" w:sz="4" w:space="0" w:color="000000"/>
            </w:tcBorders>
          </w:tcPr>
          <w:p w:rsidR="00161017" w:rsidRDefault="00D753BB">
            <w:pPr>
              <w:pStyle w:val="TableParagraph"/>
              <w:spacing w:line="210" w:lineRule="exact"/>
              <w:ind w:right="261"/>
              <w:jc w:val="right"/>
              <w:rPr>
                <w:sz w:val="20"/>
              </w:rPr>
            </w:pPr>
            <w:r>
              <w:rPr>
                <w:sz w:val="20"/>
              </w:rPr>
              <w:t>100</w:t>
            </w:r>
          </w:p>
        </w:tc>
        <w:tc>
          <w:tcPr>
            <w:tcW w:w="1133" w:type="dxa"/>
            <w:tcBorders>
              <w:top w:val="single" w:sz="4" w:space="0" w:color="000000"/>
              <w:bottom w:val="single" w:sz="4" w:space="0" w:color="000000"/>
            </w:tcBorders>
          </w:tcPr>
          <w:p w:rsidR="00161017" w:rsidRDefault="00D753BB">
            <w:pPr>
              <w:pStyle w:val="TableParagraph"/>
              <w:spacing w:line="210" w:lineRule="exact"/>
              <w:ind w:left="124" w:right="105"/>
              <w:rPr>
                <w:sz w:val="20"/>
              </w:rPr>
            </w:pPr>
            <w:r>
              <w:rPr>
                <w:sz w:val="20"/>
              </w:rPr>
              <w:t>236</w:t>
            </w:r>
          </w:p>
        </w:tc>
        <w:tc>
          <w:tcPr>
            <w:tcW w:w="994" w:type="dxa"/>
            <w:tcBorders>
              <w:top w:val="single" w:sz="4" w:space="0" w:color="000000"/>
              <w:bottom w:val="single" w:sz="4" w:space="0" w:color="000000"/>
            </w:tcBorders>
          </w:tcPr>
          <w:p w:rsidR="00161017" w:rsidRDefault="00D753BB">
            <w:pPr>
              <w:pStyle w:val="TableParagraph"/>
              <w:spacing w:line="210" w:lineRule="exact"/>
              <w:ind w:left="61" w:right="61"/>
              <w:rPr>
                <w:sz w:val="20"/>
              </w:rPr>
            </w:pPr>
            <w:r>
              <w:rPr>
                <w:sz w:val="20"/>
              </w:rPr>
              <w:t>888</w:t>
            </w:r>
          </w:p>
        </w:tc>
        <w:tc>
          <w:tcPr>
            <w:tcW w:w="1133" w:type="dxa"/>
            <w:tcBorders>
              <w:top w:val="single" w:sz="4" w:space="0" w:color="000000"/>
              <w:bottom w:val="single" w:sz="4" w:space="0" w:color="000000"/>
            </w:tcBorders>
          </w:tcPr>
          <w:p w:rsidR="00161017" w:rsidRDefault="00D753BB">
            <w:pPr>
              <w:pStyle w:val="TableParagraph"/>
              <w:spacing w:line="210" w:lineRule="exact"/>
              <w:ind w:left="124" w:right="106"/>
              <w:rPr>
                <w:sz w:val="20"/>
              </w:rPr>
            </w:pPr>
            <w:r>
              <w:rPr>
                <w:sz w:val="20"/>
              </w:rPr>
              <w:t>333</w:t>
            </w:r>
          </w:p>
        </w:tc>
        <w:tc>
          <w:tcPr>
            <w:tcW w:w="994" w:type="dxa"/>
            <w:tcBorders>
              <w:top w:val="single" w:sz="4" w:space="0" w:color="000000"/>
              <w:bottom w:val="single" w:sz="4" w:space="0" w:color="000000"/>
            </w:tcBorders>
          </w:tcPr>
          <w:p w:rsidR="00161017" w:rsidRDefault="00D753BB">
            <w:pPr>
              <w:pStyle w:val="TableParagraph"/>
              <w:spacing w:line="210" w:lineRule="exact"/>
              <w:ind w:left="61" w:right="58"/>
              <w:rPr>
                <w:sz w:val="20"/>
              </w:rPr>
            </w:pPr>
            <w:r>
              <w:rPr>
                <w:sz w:val="20"/>
              </w:rPr>
              <w:t>1204</w:t>
            </w:r>
          </w:p>
        </w:tc>
        <w:tc>
          <w:tcPr>
            <w:tcW w:w="1133" w:type="dxa"/>
            <w:vMerge/>
            <w:tcBorders>
              <w:top w:val="nil"/>
              <w:bottom w:val="single" w:sz="4" w:space="0" w:color="000000"/>
            </w:tcBorders>
          </w:tcPr>
          <w:p w:rsidR="00161017" w:rsidRDefault="00161017">
            <w:pPr>
              <w:rPr>
                <w:sz w:val="2"/>
                <w:szCs w:val="2"/>
              </w:rPr>
            </w:pPr>
          </w:p>
        </w:tc>
      </w:tr>
      <w:tr w:rsidR="00161017">
        <w:trPr>
          <w:trHeight w:val="230"/>
        </w:trPr>
        <w:tc>
          <w:tcPr>
            <w:tcW w:w="1843" w:type="dxa"/>
            <w:vMerge/>
            <w:tcBorders>
              <w:top w:val="nil"/>
              <w:bottom w:val="single" w:sz="4" w:space="0" w:color="000000"/>
            </w:tcBorders>
          </w:tcPr>
          <w:p w:rsidR="00161017" w:rsidRDefault="00161017">
            <w:pPr>
              <w:rPr>
                <w:sz w:val="2"/>
                <w:szCs w:val="2"/>
              </w:rPr>
            </w:pPr>
          </w:p>
        </w:tc>
        <w:tc>
          <w:tcPr>
            <w:tcW w:w="708" w:type="dxa"/>
            <w:tcBorders>
              <w:top w:val="single" w:sz="4" w:space="0" w:color="000000"/>
              <w:bottom w:val="single" w:sz="4" w:space="0" w:color="000000"/>
            </w:tcBorders>
          </w:tcPr>
          <w:p w:rsidR="00161017" w:rsidRDefault="00D753BB">
            <w:pPr>
              <w:pStyle w:val="TableParagraph"/>
              <w:spacing w:line="210" w:lineRule="exact"/>
              <w:ind w:left="287"/>
              <w:jc w:val="left"/>
              <w:rPr>
                <w:sz w:val="20"/>
              </w:rPr>
            </w:pPr>
            <w:r>
              <w:rPr>
                <w:w w:val="99"/>
                <w:sz w:val="20"/>
              </w:rPr>
              <w:t>F</w:t>
            </w:r>
          </w:p>
        </w:tc>
        <w:tc>
          <w:tcPr>
            <w:tcW w:w="852" w:type="dxa"/>
            <w:tcBorders>
              <w:top w:val="single" w:sz="4" w:space="0" w:color="000000"/>
              <w:bottom w:val="single" w:sz="4" w:space="0" w:color="000000"/>
            </w:tcBorders>
          </w:tcPr>
          <w:p w:rsidR="00161017" w:rsidRDefault="00D753BB">
            <w:pPr>
              <w:pStyle w:val="TableParagraph"/>
              <w:spacing w:line="210" w:lineRule="exact"/>
              <w:ind w:right="311"/>
              <w:jc w:val="right"/>
              <w:rPr>
                <w:sz w:val="20"/>
              </w:rPr>
            </w:pPr>
            <w:r>
              <w:rPr>
                <w:sz w:val="20"/>
              </w:rPr>
              <w:t>60</w:t>
            </w:r>
          </w:p>
        </w:tc>
        <w:tc>
          <w:tcPr>
            <w:tcW w:w="1133" w:type="dxa"/>
            <w:tcBorders>
              <w:top w:val="single" w:sz="4" w:space="0" w:color="000000"/>
              <w:bottom w:val="single" w:sz="4" w:space="0" w:color="000000"/>
            </w:tcBorders>
          </w:tcPr>
          <w:p w:rsidR="00161017" w:rsidRDefault="00D753BB">
            <w:pPr>
              <w:pStyle w:val="TableParagraph"/>
              <w:spacing w:line="210" w:lineRule="exact"/>
              <w:ind w:left="124" w:right="105"/>
              <w:rPr>
                <w:sz w:val="20"/>
              </w:rPr>
            </w:pPr>
            <w:r>
              <w:rPr>
                <w:sz w:val="20"/>
              </w:rPr>
              <w:t>225</w:t>
            </w:r>
          </w:p>
        </w:tc>
        <w:tc>
          <w:tcPr>
            <w:tcW w:w="994" w:type="dxa"/>
            <w:tcBorders>
              <w:top w:val="single" w:sz="4" w:space="0" w:color="000000"/>
              <w:bottom w:val="single" w:sz="4" w:space="0" w:color="000000"/>
            </w:tcBorders>
          </w:tcPr>
          <w:p w:rsidR="00161017" w:rsidRDefault="00D753BB">
            <w:pPr>
              <w:pStyle w:val="TableParagraph"/>
              <w:spacing w:line="210" w:lineRule="exact"/>
              <w:ind w:left="61" w:right="61"/>
              <w:rPr>
                <w:sz w:val="20"/>
              </w:rPr>
            </w:pPr>
            <w:r>
              <w:rPr>
                <w:sz w:val="20"/>
              </w:rPr>
              <w:t>469</w:t>
            </w:r>
          </w:p>
        </w:tc>
        <w:tc>
          <w:tcPr>
            <w:tcW w:w="1133" w:type="dxa"/>
            <w:tcBorders>
              <w:top w:val="single" w:sz="4" w:space="0" w:color="000000"/>
              <w:bottom w:val="single" w:sz="4" w:space="0" w:color="000000"/>
            </w:tcBorders>
          </w:tcPr>
          <w:p w:rsidR="00161017" w:rsidRDefault="00D753BB">
            <w:pPr>
              <w:pStyle w:val="TableParagraph"/>
              <w:spacing w:line="210" w:lineRule="exact"/>
              <w:ind w:left="124" w:right="106"/>
              <w:rPr>
                <w:sz w:val="20"/>
              </w:rPr>
            </w:pPr>
            <w:r>
              <w:rPr>
                <w:sz w:val="20"/>
              </w:rPr>
              <w:t>228</w:t>
            </w:r>
          </w:p>
        </w:tc>
        <w:tc>
          <w:tcPr>
            <w:tcW w:w="994" w:type="dxa"/>
            <w:tcBorders>
              <w:top w:val="single" w:sz="4" w:space="0" w:color="000000"/>
              <w:bottom w:val="single" w:sz="4" w:space="0" w:color="000000"/>
            </w:tcBorders>
          </w:tcPr>
          <w:p w:rsidR="00161017" w:rsidRDefault="00D753BB">
            <w:pPr>
              <w:pStyle w:val="TableParagraph"/>
              <w:spacing w:line="210" w:lineRule="exact"/>
              <w:ind w:left="61" w:right="58"/>
              <w:rPr>
                <w:sz w:val="20"/>
              </w:rPr>
            </w:pPr>
            <w:r>
              <w:rPr>
                <w:sz w:val="20"/>
              </w:rPr>
              <w:t>576</w:t>
            </w:r>
          </w:p>
        </w:tc>
        <w:tc>
          <w:tcPr>
            <w:tcW w:w="1133" w:type="dxa"/>
            <w:vMerge/>
            <w:tcBorders>
              <w:top w:val="nil"/>
              <w:bottom w:val="single" w:sz="4" w:space="0" w:color="000000"/>
            </w:tcBorders>
          </w:tcPr>
          <w:p w:rsidR="00161017" w:rsidRDefault="00161017">
            <w:pPr>
              <w:rPr>
                <w:sz w:val="2"/>
                <w:szCs w:val="2"/>
              </w:rPr>
            </w:pPr>
          </w:p>
        </w:tc>
      </w:tr>
      <w:tr w:rsidR="00161017">
        <w:trPr>
          <w:trHeight w:val="460"/>
        </w:trPr>
        <w:tc>
          <w:tcPr>
            <w:tcW w:w="1843" w:type="dxa"/>
            <w:vMerge w:val="restart"/>
            <w:tcBorders>
              <w:top w:val="single" w:sz="4" w:space="0" w:color="000000"/>
              <w:bottom w:val="single" w:sz="4" w:space="0" w:color="000000"/>
            </w:tcBorders>
          </w:tcPr>
          <w:p w:rsidR="00161017" w:rsidRDefault="00161017">
            <w:pPr>
              <w:pStyle w:val="TableParagraph"/>
              <w:jc w:val="left"/>
              <w:rPr>
                <w:b/>
              </w:rPr>
            </w:pPr>
          </w:p>
          <w:p w:rsidR="00161017" w:rsidRDefault="00161017">
            <w:pPr>
              <w:pStyle w:val="TableParagraph"/>
              <w:spacing w:before="4"/>
              <w:jc w:val="left"/>
              <w:rPr>
                <w:b/>
                <w:sz w:val="29"/>
              </w:rPr>
            </w:pPr>
          </w:p>
          <w:p w:rsidR="00161017" w:rsidRDefault="00D753BB">
            <w:pPr>
              <w:pStyle w:val="TableParagraph"/>
              <w:spacing w:line="229" w:lineRule="exact"/>
              <w:ind w:left="11"/>
              <w:jc w:val="left"/>
              <w:rPr>
                <w:sz w:val="20"/>
              </w:rPr>
            </w:pPr>
            <w:r>
              <w:rPr>
                <w:sz w:val="20"/>
              </w:rPr>
              <w:t>SD rats:</w:t>
            </w:r>
          </w:p>
          <w:p w:rsidR="00161017" w:rsidRDefault="00D753BB">
            <w:pPr>
              <w:pStyle w:val="TableParagraph"/>
              <w:ind w:left="11" w:right="425"/>
              <w:jc w:val="left"/>
              <w:rPr>
                <w:sz w:val="20"/>
              </w:rPr>
            </w:pPr>
            <w:r>
              <w:rPr>
                <w:sz w:val="20"/>
              </w:rPr>
              <w:t>4-week oral dose toxicity study</w:t>
            </w:r>
          </w:p>
        </w:tc>
        <w:tc>
          <w:tcPr>
            <w:tcW w:w="708" w:type="dxa"/>
            <w:tcBorders>
              <w:top w:val="single" w:sz="4" w:space="0" w:color="000000"/>
              <w:bottom w:val="single" w:sz="4" w:space="0" w:color="000000"/>
            </w:tcBorders>
          </w:tcPr>
          <w:p w:rsidR="00161017" w:rsidRDefault="00D753BB">
            <w:pPr>
              <w:pStyle w:val="TableParagraph"/>
              <w:spacing w:line="224" w:lineRule="exact"/>
              <w:rPr>
                <w:sz w:val="20"/>
              </w:rPr>
            </w:pPr>
            <w:r>
              <w:rPr>
                <w:w w:val="99"/>
                <w:sz w:val="20"/>
              </w:rPr>
              <w:t>M</w:t>
            </w:r>
          </w:p>
          <w:p w:rsidR="00161017" w:rsidRDefault="00D753BB">
            <w:pPr>
              <w:pStyle w:val="TableParagraph"/>
              <w:spacing w:line="216" w:lineRule="exact"/>
              <w:ind w:right="1"/>
              <w:rPr>
                <w:sz w:val="20"/>
              </w:rPr>
            </w:pPr>
            <w:r>
              <w:rPr>
                <w:w w:val="99"/>
                <w:sz w:val="20"/>
              </w:rPr>
              <w:t>F</w:t>
            </w:r>
          </w:p>
        </w:tc>
        <w:tc>
          <w:tcPr>
            <w:tcW w:w="852" w:type="dxa"/>
            <w:tcBorders>
              <w:top w:val="single" w:sz="4" w:space="0" w:color="000000"/>
              <w:bottom w:val="single" w:sz="4" w:space="0" w:color="000000"/>
            </w:tcBorders>
          </w:tcPr>
          <w:p w:rsidR="00161017" w:rsidRDefault="00D753BB">
            <w:pPr>
              <w:pStyle w:val="TableParagraph"/>
              <w:spacing w:line="224" w:lineRule="exact"/>
              <w:ind w:left="1"/>
              <w:rPr>
                <w:sz w:val="20"/>
              </w:rPr>
            </w:pPr>
            <w:r>
              <w:rPr>
                <w:w w:val="99"/>
                <w:sz w:val="20"/>
              </w:rPr>
              <w:t>1</w:t>
            </w:r>
          </w:p>
          <w:p w:rsidR="00161017" w:rsidRDefault="00D753BB">
            <w:pPr>
              <w:pStyle w:val="TableParagraph"/>
              <w:spacing w:line="216" w:lineRule="exact"/>
              <w:ind w:left="1"/>
              <w:rPr>
                <w:sz w:val="20"/>
              </w:rPr>
            </w:pPr>
            <w:r>
              <w:rPr>
                <w:w w:val="99"/>
                <w:sz w:val="20"/>
              </w:rPr>
              <w:t>1</w:t>
            </w:r>
          </w:p>
        </w:tc>
        <w:tc>
          <w:tcPr>
            <w:tcW w:w="1133" w:type="dxa"/>
            <w:tcBorders>
              <w:top w:val="single" w:sz="4" w:space="0" w:color="000000"/>
              <w:bottom w:val="single" w:sz="4" w:space="0" w:color="000000"/>
            </w:tcBorders>
          </w:tcPr>
          <w:p w:rsidR="00161017" w:rsidRDefault="00D753BB">
            <w:pPr>
              <w:pStyle w:val="TableParagraph"/>
              <w:spacing w:line="224" w:lineRule="exact"/>
              <w:ind w:left="124" w:right="103"/>
              <w:rPr>
                <w:sz w:val="20"/>
              </w:rPr>
            </w:pPr>
            <w:r>
              <w:rPr>
                <w:sz w:val="20"/>
              </w:rPr>
              <w:t>0.9</w:t>
            </w:r>
          </w:p>
          <w:p w:rsidR="00161017" w:rsidRDefault="00D753BB">
            <w:pPr>
              <w:pStyle w:val="TableParagraph"/>
              <w:spacing w:line="216" w:lineRule="exact"/>
              <w:ind w:left="124" w:right="103"/>
              <w:rPr>
                <w:sz w:val="20"/>
              </w:rPr>
            </w:pPr>
            <w:r>
              <w:rPr>
                <w:sz w:val="20"/>
              </w:rPr>
              <w:t>2.5</w:t>
            </w:r>
          </w:p>
        </w:tc>
        <w:tc>
          <w:tcPr>
            <w:tcW w:w="994" w:type="dxa"/>
            <w:tcBorders>
              <w:top w:val="single" w:sz="4" w:space="0" w:color="000000"/>
              <w:bottom w:val="single" w:sz="4" w:space="0" w:color="000000"/>
            </w:tcBorders>
          </w:tcPr>
          <w:p w:rsidR="00161017" w:rsidRDefault="00D753BB">
            <w:pPr>
              <w:pStyle w:val="TableParagraph"/>
              <w:spacing w:line="224" w:lineRule="exact"/>
              <w:ind w:left="61" w:right="62"/>
              <w:rPr>
                <w:sz w:val="20"/>
              </w:rPr>
            </w:pPr>
            <w:r>
              <w:rPr>
                <w:sz w:val="20"/>
              </w:rPr>
              <w:t>1.4</w:t>
            </w:r>
          </w:p>
          <w:p w:rsidR="00161017" w:rsidRDefault="00D753BB">
            <w:pPr>
              <w:pStyle w:val="TableParagraph"/>
              <w:spacing w:line="216" w:lineRule="exact"/>
              <w:ind w:left="61" w:right="62"/>
              <w:rPr>
                <w:sz w:val="20"/>
              </w:rPr>
            </w:pPr>
            <w:r>
              <w:rPr>
                <w:sz w:val="20"/>
              </w:rPr>
              <w:t>3.8</w:t>
            </w:r>
          </w:p>
        </w:tc>
        <w:tc>
          <w:tcPr>
            <w:tcW w:w="1133" w:type="dxa"/>
            <w:tcBorders>
              <w:top w:val="single" w:sz="4" w:space="0" w:color="000000"/>
              <w:bottom w:val="single" w:sz="4" w:space="0" w:color="000000"/>
            </w:tcBorders>
          </w:tcPr>
          <w:p w:rsidR="00161017" w:rsidRDefault="00D753BB">
            <w:pPr>
              <w:pStyle w:val="TableParagraph"/>
              <w:spacing w:line="224" w:lineRule="exact"/>
              <w:ind w:left="124" w:right="104"/>
              <w:rPr>
                <w:sz w:val="20"/>
              </w:rPr>
            </w:pPr>
            <w:r>
              <w:rPr>
                <w:sz w:val="20"/>
              </w:rPr>
              <w:t>0.5</w:t>
            </w:r>
          </w:p>
          <w:p w:rsidR="00161017" w:rsidRDefault="00D753BB">
            <w:pPr>
              <w:pStyle w:val="TableParagraph"/>
              <w:spacing w:line="216" w:lineRule="exact"/>
              <w:ind w:left="124" w:right="104"/>
              <w:rPr>
                <w:sz w:val="20"/>
              </w:rPr>
            </w:pPr>
            <w:r>
              <w:rPr>
                <w:sz w:val="20"/>
              </w:rPr>
              <w:t>1.1</w:t>
            </w:r>
          </w:p>
        </w:tc>
        <w:tc>
          <w:tcPr>
            <w:tcW w:w="994" w:type="dxa"/>
            <w:tcBorders>
              <w:top w:val="single" w:sz="4" w:space="0" w:color="000000"/>
              <w:bottom w:val="single" w:sz="4" w:space="0" w:color="000000"/>
            </w:tcBorders>
          </w:tcPr>
          <w:p w:rsidR="00161017" w:rsidRDefault="00D753BB">
            <w:pPr>
              <w:pStyle w:val="TableParagraph"/>
              <w:spacing w:line="224" w:lineRule="exact"/>
              <w:ind w:left="61" w:right="61"/>
              <w:rPr>
                <w:sz w:val="20"/>
              </w:rPr>
            </w:pPr>
            <w:r>
              <w:rPr>
                <w:sz w:val="20"/>
              </w:rPr>
              <w:t>0.7</w:t>
            </w:r>
          </w:p>
          <w:p w:rsidR="00161017" w:rsidRDefault="00D753BB">
            <w:pPr>
              <w:pStyle w:val="TableParagraph"/>
              <w:spacing w:line="216" w:lineRule="exact"/>
              <w:ind w:left="61" w:right="61"/>
              <w:rPr>
                <w:sz w:val="20"/>
              </w:rPr>
            </w:pPr>
            <w:r>
              <w:rPr>
                <w:sz w:val="20"/>
              </w:rPr>
              <w:t>1.3</w:t>
            </w:r>
          </w:p>
        </w:tc>
        <w:tc>
          <w:tcPr>
            <w:tcW w:w="1133" w:type="dxa"/>
            <w:vMerge w:val="restart"/>
            <w:tcBorders>
              <w:top w:val="single" w:sz="4" w:space="0" w:color="000000"/>
              <w:bottom w:val="single" w:sz="4" w:space="0" w:color="000000"/>
            </w:tcBorders>
          </w:tcPr>
          <w:p w:rsidR="00161017" w:rsidRDefault="00161017">
            <w:pPr>
              <w:pStyle w:val="TableParagraph"/>
              <w:jc w:val="left"/>
              <w:rPr>
                <w:b/>
              </w:rPr>
            </w:pPr>
          </w:p>
          <w:p w:rsidR="00161017" w:rsidRDefault="00161017">
            <w:pPr>
              <w:pStyle w:val="TableParagraph"/>
              <w:jc w:val="left"/>
              <w:rPr>
                <w:b/>
              </w:rPr>
            </w:pPr>
          </w:p>
          <w:p w:rsidR="00161017" w:rsidRDefault="006568EB">
            <w:pPr>
              <w:pStyle w:val="TableParagraph"/>
              <w:spacing w:before="197"/>
              <w:ind w:left="107" w:right="108"/>
              <w:rPr>
                <w:sz w:val="20"/>
              </w:rPr>
            </w:pPr>
            <w:r>
              <w:rPr>
                <w:sz w:val="20"/>
              </w:rPr>
              <w:t>Project H</w:t>
            </w:r>
            <w:r w:rsidR="00D753BB">
              <w:rPr>
                <w:sz w:val="20"/>
              </w:rPr>
              <w:t>-TX-</w:t>
            </w:r>
          </w:p>
          <w:p w:rsidR="00161017" w:rsidRDefault="00D753BB">
            <w:pPr>
              <w:pStyle w:val="TableParagraph"/>
              <w:spacing w:before="1"/>
              <w:ind w:left="108" w:right="108"/>
              <w:rPr>
                <w:sz w:val="20"/>
              </w:rPr>
            </w:pPr>
            <w:r>
              <w:rPr>
                <w:sz w:val="20"/>
              </w:rPr>
              <w:t>0003</w:t>
            </w:r>
          </w:p>
        </w:tc>
      </w:tr>
      <w:tr w:rsidR="00161017">
        <w:trPr>
          <w:trHeight w:val="230"/>
        </w:trPr>
        <w:tc>
          <w:tcPr>
            <w:tcW w:w="1843" w:type="dxa"/>
            <w:vMerge/>
            <w:tcBorders>
              <w:top w:val="nil"/>
              <w:bottom w:val="single" w:sz="4" w:space="0" w:color="000000"/>
            </w:tcBorders>
          </w:tcPr>
          <w:p w:rsidR="00161017" w:rsidRDefault="00161017">
            <w:pPr>
              <w:rPr>
                <w:sz w:val="2"/>
                <w:szCs w:val="2"/>
              </w:rPr>
            </w:pPr>
          </w:p>
        </w:tc>
        <w:tc>
          <w:tcPr>
            <w:tcW w:w="708" w:type="dxa"/>
            <w:tcBorders>
              <w:top w:val="single" w:sz="4" w:space="0" w:color="000000"/>
              <w:bottom w:val="single" w:sz="4" w:space="0" w:color="000000"/>
            </w:tcBorders>
          </w:tcPr>
          <w:p w:rsidR="00161017" w:rsidRDefault="00D753BB">
            <w:pPr>
              <w:pStyle w:val="TableParagraph"/>
              <w:spacing w:line="210" w:lineRule="exact"/>
              <w:ind w:left="287"/>
              <w:jc w:val="left"/>
              <w:rPr>
                <w:sz w:val="20"/>
              </w:rPr>
            </w:pPr>
            <w:r>
              <w:rPr>
                <w:w w:val="99"/>
                <w:sz w:val="20"/>
              </w:rPr>
              <w:t>F</w:t>
            </w:r>
          </w:p>
        </w:tc>
        <w:tc>
          <w:tcPr>
            <w:tcW w:w="852" w:type="dxa"/>
            <w:tcBorders>
              <w:top w:val="single" w:sz="4" w:space="0" w:color="000000"/>
              <w:bottom w:val="single" w:sz="4" w:space="0" w:color="000000"/>
            </w:tcBorders>
          </w:tcPr>
          <w:p w:rsidR="00161017" w:rsidRDefault="00D753BB">
            <w:pPr>
              <w:pStyle w:val="TableParagraph"/>
              <w:spacing w:line="210" w:lineRule="exact"/>
              <w:ind w:left="1"/>
              <w:rPr>
                <w:sz w:val="20"/>
              </w:rPr>
            </w:pPr>
            <w:r>
              <w:rPr>
                <w:w w:val="99"/>
                <w:sz w:val="20"/>
              </w:rPr>
              <w:t>3</w:t>
            </w:r>
          </w:p>
        </w:tc>
        <w:tc>
          <w:tcPr>
            <w:tcW w:w="1133" w:type="dxa"/>
            <w:tcBorders>
              <w:top w:val="single" w:sz="4" w:space="0" w:color="000000"/>
              <w:bottom w:val="single" w:sz="4" w:space="0" w:color="000000"/>
            </w:tcBorders>
          </w:tcPr>
          <w:p w:rsidR="00161017" w:rsidRDefault="00D753BB">
            <w:pPr>
              <w:pStyle w:val="TableParagraph"/>
              <w:spacing w:line="210" w:lineRule="exact"/>
              <w:ind w:left="124" w:right="103"/>
              <w:rPr>
                <w:sz w:val="20"/>
              </w:rPr>
            </w:pPr>
            <w:r>
              <w:rPr>
                <w:sz w:val="20"/>
              </w:rPr>
              <w:t>8.2</w:t>
            </w:r>
          </w:p>
        </w:tc>
        <w:tc>
          <w:tcPr>
            <w:tcW w:w="994" w:type="dxa"/>
            <w:tcBorders>
              <w:top w:val="single" w:sz="4" w:space="0" w:color="000000"/>
              <w:bottom w:val="single" w:sz="4" w:space="0" w:color="000000"/>
            </w:tcBorders>
          </w:tcPr>
          <w:p w:rsidR="00161017" w:rsidRDefault="00D753BB">
            <w:pPr>
              <w:pStyle w:val="TableParagraph"/>
              <w:spacing w:line="210" w:lineRule="exact"/>
              <w:ind w:left="61" w:right="61"/>
              <w:rPr>
                <w:sz w:val="20"/>
              </w:rPr>
            </w:pPr>
            <w:r>
              <w:rPr>
                <w:sz w:val="20"/>
              </w:rPr>
              <w:t>10</w:t>
            </w:r>
          </w:p>
        </w:tc>
        <w:tc>
          <w:tcPr>
            <w:tcW w:w="1133" w:type="dxa"/>
            <w:tcBorders>
              <w:top w:val="single" w:sz="4" w:space="0" w:color="000000"/>
              <w:bottom w:val="single" w:sz="4" w:space="0" w:color="000000"/>
            </w:tcBorders>
          </w:tcPr>
          <w:p w:rsidR="00161017" w:rsidRDefault="00D753BB">
            <w:pPr>
              <w:pStyle w:val="TableParagraph"/>
              <w:spacing w:line="210" w:lineRule="exact"/>
              <w:ind w:left="124" w:right="104"/>
              <w:rPr>
                <w:sz w:val="20"/>
              </w:rPr>
            </w:pPr>
            <w:r>
              <w:rPr>
                <w:sz w:val="20"/>
              </w:rPr>
              <w:t>4.0</w:t>
            </w:r>
          </w:p>
        </w:tc>
        <w:tc>
          <w:tcPr>
            <w:tcW w:w="994" w:type="dxa"/>
            <w:tcBorders>
              <w:top w:val="single" w:sz="4" w:space="0" w:color="000000"/>
              <w:bottom w:val="single" w:sz="4" w:space="0" w:color="000000"/>
            </w:tcBorders>
          </w:tcPr>
          <w:p w:rsidR="00161017" w:rsidRDefault="00D753BB">
            <w:pPr>
              <w:pStyle w:val="TableParagraph"/>
              <w:spacing w:line="210" w:lineRule="exact"/>
              <w:ind w:left="61" w:right="61"/>
              <w:rPr>
                <w:sz w:val="20"/>
              </w:rPr>
            </w:pPr>
            <w:r>
              <w:rPr>
                <w:sz w:val="20"/>
              </w:rPr>
              <w:t>5.7</w:t>
            </w:r>
          </w:p>
        </w:tc>
        <w:tc>
          <w:tcPr>
            <w:tcW w:w="1133" w:type="dxa"/>
            <w:vMerge/>
            <w:tcBorders>
              <w:top w:val="nil"/>
              <w:bottom w:val="single" w:sz="4" w:space="0" w:color="000000"/>
            </w:tcBorders>
          </w:tcPr>
          <w:p w:rsidR="00161017" w:rsidRDefault="00161017">
            <w:pPr>
              <w:rPr>
                <w:sz w:val="2"/>
                <w:szCs w:val="2"/>
              </w:rPr>
            </w:pPr>
          </w:p>
        </w:tc>
      </w:tr>
      <w:tr w:rsidR="00161017">
        <w:trPr>
          <w:trHeight w:val="460"/>
        </w:trPr>
        <w:tc>
          <w:tcPr>
            <w:tcW w:w="1843" w:type="dxa"/>
            <w:vMerge/>
            <w:tcBorders>
              <w:top w:val="nil"/>
              <w:bottom w:val="single" w:sz="4" w:space="0" w:color="000000"/>
            </w:tcBorders>
          </w:tcPr>
          <w:p w:rsidR="00161017" w:rsidRDefault="00161017">
            <w:pPr>
              <w:rPr>
                <w:sz w:val="2"/>
                <w:szCs w:val="2"/>
              </w:rPr>
            </w:pPr>
          </w:p>
        </w:tc>
        <w:tc>
          <w:tcPr>
            <w:tcW w:w="708" w:type="dxa"/>
            <w:tcBorders>
              <w:top w:val="single" w:sz="4" w:space="0" w:color="000000"/>
              <w:bottom w:val="single" w:sz="4" w:space="0" w:color="000000"/>
            </w:tcBorders>
          </w:tcPr>
          <w:p w:rsidR="00161017" w:rsidRDefault="00D753BB">
            <w:pPr>
              <w:pStyle w:val="TableParagraph"/>
              <w:spacing w:line="223" w:lineRule="exact"/>
              <w:rPr>
                <w:sz w:val="20"/>
              </w:rPr>
            </w:pPr>
            <w:r>
              <w:rPr>
                <w:w w:val="99"/>
                <w:sz w:val="20"/>
              </w:rPr>
              <w:t>M</w:t>
            </w:r>
          </w:p>
          <w:p w:rsidR="00161017" w:rsidRDefault="00D753BB">
            <w:pPr>
              <w:pStyle w:val="TableParagraph"/>
              <w:spacing w:line="217" w:lineRule="exact"/>
              <w:ind w:right="1"/>
              <w:rPr>
                <w:sz w:val="20"/>
              </w:rPr>
            </w:pPr>
            <w:r>
              <w:rPr>
                <w:w w:val="99"/>
                <w:sz w:val="20"/>
              </w:rPr>
              <w:t>F</w:t>
            </w:r>
          </w:p>
        </w:tc>
        <w:tc>
          <w:tcPr>
            <w:tcW w:w="852" w:type="dxa"/>
            <w:tcBorders>
              <w:top w:val="single" w:sz="4" w:space="0" w:color="000000"/>
              <w:bottom w:val="single" w:sz="4" w:space="0" w:color="000000"/>
            </w:tcBorders>
          </w:tcPr>
          <w:p w:rsidR="00161017" w:rsidRDefault="00D753BB">
            <w:pPr>
              <w:pStyle w:val="TableParagraph"/>
              <w:spacing w:line="223" w:lineRule="exact"/>
              <w:ind w:left="246" w:right="244"/>
              <w:rPr>
                <w:sz w:val="20"/>
              </w:rPr>
            </w:pPr>
            <w:r>
              <w:rPr>
                <w:sz w:val="20"/>
              </w:rPr>
              <w:t>10</w:t>
            </w:r>
          </w:p>
          <w:p w:rsidR="00161017" w:rsidRDefault="00D753BB">
            <w:pPr>
              <w:pStyle w:val="TableParagraph"/>
              <w:spacing w:line="217" w:lineRule="exact"/>
              <w:ind w:left="246" w:right="244"/>
              <w:rPr>
                <w:sz w:val="20"/>
              </w:rPr>
            </w:pPr>
            <w:r>
              <w:rPr>
                <w:sz w:val="20"/>
              </w:rPr>
              <w:t>10</w:t>
            </w:r>
          </w:p>
        </w:tc>
        <w:tc>
          <w:tcPr>
            <w:tcW w:w="1133" w:type="dxa"/>
            <w:tcBorders>
              <w:top w:val="single" w:sz="4" w:space="0" w:color="000000"/>
              <w:bottom w:val="single" w:sz="4" w:space="0" w:color="000000"/>
            </w:tcBorders>
          </w:tcPr>
          <w:p w:rsidR="00161017" w:rsidRDefault="00D753BB">
            <w:pPr>
              <w:pStyle w:val="TableParagraph"/>
              <w:spacing w:line="223" w:lineRule="exact"/>
              <w:ind w:left="124" w:right="105"/>
              <w:rPr>
                <w:sz w:val="20"/>
              </w:rPr>
            </w:pPr>
            <w:r>
              <w:rPr>
                <w:sz w:val="20"/>
              </w:rPr>
              <w:t>15</w:t>
            </w:r>
          </w:p>
          <w:p w:rsidR="00161017" w:rsidRDefault="00D753BB">
            <w:pPr>
              <w:pStyle w:val="TableParagraph"/>
              <w:spacing w:line="217" w:lineRule="exact"/>
              <w:ind w:left="124" w:right="105"/>
              <w:rPr>
                <w:sz w:val="20"/>
              </w:rPr>
            </w:pPr>
            <w:r>
              <w:rPr>
                <w:sz w:val="20"/>
              </w:rPr>
              <w:t>32</w:t>
            </w:r>
          </w:p>
        </w:tc>
        <w:tc>
          <w:tcPr>
            <w:tcW w:w="994" w:type="dxa"/>
            <w:tcBorders>
              <w:top w:val="single" w:sz="4" w:space="0" w:color="000000"/>
              <w:bottom w:val="single" w:sz="4" w:space="0" w:color="000000"/>
            </w:tcBorders>
          </w:tcPr>
          <w:p w:rsidR="00161017" w:rsidRDefault="00D753BB">
            <w:pPr>
              <w:pStyle w:val="TableParagraph"/>
              <w:spacing w:line="223" w:lineRule="exact"/>
              <w:ind w:left="61" w:right="61"/>
              <w:rPr>
                <w:sz w:val="20"/>
              </w:rPr>
            </w:pPr>
            <w:r>
              <w:rPr>
                <w:sz w:val="20"/>
              </w:rPr>
              <w:t>21</w:t>
            </w:r>
          </w:p>
          <w:p w:rsidR="00161017" w:rsidRDefault="00D753BB">
            <w:pPr>
              <w:pStyle w:val="TableParagraph"/>
              <w:spacing w:line="217" w:lineRule="exact"/>
              <w:ind w:left="61" w:right="61"/>
              <w:rPr>
                <w:sz w:val="20"/>
              </w:rPr>
            </w:pPr>
            <w:r>
              <w:rPr>
                <w:sz w:val="20"/>
              </w:rPr>
              <w:t>50</w:t>
            </w:r>
          </w:p>
        </w:tc>
        <w:tc>
          <w:tcPr>
            <w:tcW w:w="1133" w:type="dxa"/>
            <w:tcBorders>
              <w:top w:val="single" w:sz="4" w:space="0" w:color="000000"/>
              <w:bottom w:val="single" w:sz="4" w:space="0" w:color="000000"/>
            </w:tcBorders>
          </w:tcPr>
          <w:p w:rsidR="00161017" w:rsidRDefault="00D753BB">
            <w:pPr>
              <w:pStyle w:val="TableParagraph"/>
              <w:spacing w:line="223" w:lineRule="exact"/>
              <w:ind w:left="124" w:right="106"/>
              <w:rPr>
                <w:sz w:val="20"/>
              </w:rPr>
            </w:pPr>
            <w:r>
              <w:rPr>
                <w:sz w:val="20"/>
              </w:rPr>
              <w:t>11</w:t>
            </w:r>
          </w:p>
          <w:p w:rsidR="00161017" w:rsidRDefault="00D753BB">
            <w:pPr>
              <w:pStyle w:val="TableParagraph"/>
              <w:spacing w:line="217" w:lineRule="exact"/>
              <w:ind w:left="124" w:right="106"/>
              <w:rPr>
                <w:sz w:val="20"/>
              </w:rPr>
            </w:pPr>
            <w:r>
              <w:rPr>
                <w:sz w:val="20"/>
              </w:rPr>
              <w:t>29</w:t>
            </w:r>
          </w:p>
        </w:tc>
        <w:tc>
          <w:tcPr>
            <w:tcW w:w="994" w:type="dxa"/>
            <w:tcBorders>
              <w:top w:val="single" w:sz="4" w:space="0" w:color="000000"/>
              <w:bottom w:val="single" w:sz="4" w:space="0" w:color="000000"/>
            </w:tcBorders>
          </w:tcPr>
          <w:p w:rsidR="00161017" w:rsidRDefault="00D753BB">
            <w:pPr>
              <w:pStyle w:val="TableParagraph"/>
              <w:spacing w:line="223" w:lineRule="exact"/>
              <w:ind w:left="61" w:right="58"/>
              <w:rPr>
                <w:sz w:val="20"/>
              </w:rPr>
            </w:pPr>
            <w:r>
              <w:rPr>
                <w:sz w:val="20"/>
              </w:rPr>
              <w:t>19</w:t>
            </w:r>
          </w:p>
          <w:p w:rsidR="00161017" w:rsidRDefault="00D753BB">
            <w:pPr>
              <w:pStyle w:val="TableParagraph"/>
              <w:spacing w:line="217" w:lineRule="exact"/>
              <w:ind w:left="61" w:right="58"/>
              <w:rPr>
                <w:sz w:val="20"/>
              </w:rPr>
            </w:pPr>
            <w:r>
              <w:rPr>
                <w:sz w:val="20"/>
              </w:rPr>
              <w:t>36</w:t>
            </w:r>
          </w:p>
        </w:tc>
        <w:tc>
          <w:tcPr>
            <w:tcW w:w="1133" w:type="dxa"/>
            <w:vMerge/>
            <w:tcBorders>
              <w:top w:val="nil"/>
              <w:bottom w:val="single" w:sz="4" w:space="0" w:color="000000"/>
            </w:tcBorders>
          </w:tcPr>
          <w:p w:rsidR="00161017" w:rsidRDefault="00161017">
            <w:pPr>
              <w:rPr>
                <w:sz w:val="2"/>
                <w:szCs w:val="2"/>
              </w:rPr>
            </w:pPr>
          </w:p>
        </w:tc>
      </w:tr>
      <w:tr w:rsidR="00161017">
        <w:trPr>
          <w:trHeight w:val="460"/>
        </w:trPr>
        <w:tc>
          <w:tcPr>
            <w:tcW w:w="1843" w:type="dxa"/>
            <w:vMerge/>
            <w:tcBorders>
              <w:top w:val="nil"/>
              <w:bottom w:val="single" w:sz="4" w:space="0" w:color="000000"/>
            </w:tcBorders>
          </w:tcPr>
          <w:p w:rsidR="00161017" w:rsidRDefault="00161017">
            <w:pPr>
              <w:rPr>
                <w:sz w:val="2"/>
                <w:szCs w:val="2"/>
              </w:rPr>
            </w:pPr>
          </w:p>
        </w:tc>
        <w:tc>
          <w:tcPr>
            <w:tcW w:w="708" w:type="dxa"/>
            <w:tcBorders>
              <w:top w:val="single" w:sz="4" w:space="0" w:color="000000"/>
              <w:bottom w:val="single" w:sz="4" w:space="0" w:color="000000"/>
            </w:tcBorders>
          </w:tcPr>
          <w:p w:rsidR="00161017" w:rsidRDefault="00D753BB">
            <w:pPr>
              <w:pStyle w:val="TableParagraph"/>
              <w:spacing w:line="223" w:lineRule="exact"/>
              <w:rPr>
                <w:sz w:val="20"/>
              </w:rPr>
            </w:pPr>
            <w:r>
              <w:rPr>
                <w:w w:val="99"/>
                <w:sz w:val="20"/>
              </w:rPr>
              <w:t>M</w:t>
            </w:r>
          </w:p>
          <w:p w:rsidR="00161017" w:rsidRDefault="00D753BB">
            <w:pPr>
              <w:pStyle w:val="TableParagraph"/>
              <w:spacing w:line="217" w:lineRule="exact"/>
              <w:ind w:right="1"/>
              <w:rPr>
                <w:sz w:val="20"/>
              </w:rPr>
            </w:pPr>
            <w:r>
              <w:rPr>
                <w:w w:val="99"/>
                <w:sz w:val="20"/>
              </w:rPr>
              <w:t>F</w:t>
            </w:r>
          </w:p>
        </w:tc>
        <w:tc>
          <w:tcPr>
            <w:tcW w:w="852" w:type="dxa"/>
            <w:tcBorders>
              <w:top w:val="single" w:sz="4" w:space="0" w:color="000000"/>
              <w:bottom w:val="single" w:sz="4" w:space="0" w:color="000000"/>
            </w:tcBorders>
          </w:tcPr>
          <w:p w:rsidR="00161017" w:rsidRDefault="00D753BB">
            <w:pPr>
              <w:pStyle w:val="TableParagraph"/>
              <w:spacing w:line="223" w:lineRule="exact"/>
              <w:ind w:left="246" w:right="244"/>
              <w:rPr>
                <w:sz w:val="20"/>
              </w:rPr>
            </w:pPr>
            <w:r>
              <w:rPr>
                <w:sz w:val="20"/>
              </w:rPr>
              <w:t>30</w:t>
            </w:r>
          </w:p>
          <w:p w:rsidR="00161017" w:rsidRDefault="00D753BB">
            <w:pPr>
              <w:pStyle w:val="TableParagraph"/>
              <w:spacing w:line="217" w:lineRule="exact"/>
              <w:ind w:left="246" w:right="244"/>
              <w:rPr>
                <w:sz w:val="20"/>
              </w:rPr>
            </w:pPr>
            <w:r>
              <w:rPr>
                <w:sz w:val="20"/>
              </w:rPr>
              <w:t>30</w:t>
            </w:r>
          </w:p>
        </w:tc>
        <w:tc>
          <w:tcPr>
            <w:tcW w:w="1133" w:type="dxa"/>
            <w:tcBorders>
              <w:top w:val="single" w:sz="4" w:space="0" w:color="000000"/>
              <w:bottom w:val="single" w:sz="4" w:space="0" w:color="000000"/>
            </w:tcBorders>
          </w:tcPr>
          <w:p w:rsidR="00161017" w:rsidRDefault="00D753BB">
            <w:pPr>
              <w:pStyle w:val="TableParagraph"/>
              <w:spacing w:line="223" w:lineRule="exact"/>
              <w:ind w:left="124" w:right="105"/>
              <w:rPr>
                <w:sz w:val="20"/>
              </w:rPr>
            </w:pPr>
            <w:r>
              <w:rPr>
                <w:sz w:val="20"/>
              </w:rPr>
              <w:t>54</w:t>
            </w:r>
          </w:p>
          <w:p w:rsidR="00161017" w:rsidRDefault="00D753BB">
            <w:pPr>
              <w:pStyle w:val="TableParagraph"/>
              <w:spacing w:line="217" w:lineRule="exact"/>
              <w:ind w:left="124" w:right="105"/>
              <w:rPr>
                <w:sz w:val="20"/>
              </w:rPr>
            </w:pPr>
            <w:r>
              <w:rPr>
                <w:sz w:val="20"/>
              </w:rPr>
              <w:t>90</w:t>
            </w:r>
          </w:p>
        </w:tc>
        <w:tc>
          <w:tcPr>
            <w:tcW w:w="994" w:type="dxa"/>
            <w:tcBorders>
              <w:top w:val="single" w:sz="4" w:space="0" w:color="000000"/>
              <w:bottom w:val="single" w:sz="4" w:space="0" w:color="000000"/>
            </w:tcBorders>
          </w:tcPr>
          <w:p w:rsidR="00161017" w:rsidRDefault="00D753BB">
            <w:pPr>
              <w:pStyle w:val="TableParagraph"/>
              <w:spacing w:line="223" w:lineRule="exact"/>
              <w:ind w:left="61" w:right="61"/>
              <w:rPr>
                <w:sz w:val="20"/>
              </w:rPr>
            </w:pPr>
            <w:r>
              <w:rPr>
                <w:sz w:val="20"/>
              </w:rPr>
              <w:t>90</w:t>
            </w:r>
          </w:p>
          <w:p w:rsidR="00161017" w:rsidRDefault="00D753BB">
            <w:pPr>
              <w:pStyle w:val="TableParagraph"/>
              <w:spacing w:line="217" w:lineRule="exact"/>
              <w:ind w:left="61" w:right="61"/>
              <w:rPr>
                <w:sz w:val="20"/>
              </w:rPr>
            </w:pPr>
            <w:r>
              <w:rPr>
                <w:sz w:val="20"/>
              </w:rPr>
              <w:t>127</w:t>
            </w:r>
          </w:p>
        </w:tc>
        <w:tc>
          <w:tcPr>
            <w:tcW w:w="1133" w:type="dxa"/>
            <w:tcBorders>
              <w:top w:val="single" w:sz="4" w:space="0" w:color="000000"/>
              <w:bottom w:val="single" w:sz="4" w:space="0" w:color="000000"/>
            </w:tcBorders>
          </w:tcPr>
          <w:p w:rsidR="00161017" w:rsidRDefault="00D753BB">
            <w:pPr>
              <w:pStyle w:val="TableParagraph"/>
              <w:spacing w:line="223" w:lineRule="exact"/>
              <w:ind w:left="124" w:right="106"/>
              <w:rPr>
                <w:sz w:val="20"/>
              </w:rPr>
            </w:pPr>
            <w:r>
              <w:rPr>
                <w:sz w:val="20"/>
              </w:rPr>
              <w:t>46</w:t>
            </w:r>
          </w:p>
          <w:p w:rsidR="00161017" w:rsidRDefault="00D753BB">
            <w:pPr>
              <w:pStyle w:val="TableParagraph"/>
              <w:spacing w:line="217" w:lineRule="exact"/>
              <w:ind w:left="124" w:right="106"/>
              <w:rPr>
                <w:sz w:val="20"/>
              </w:rPr>
            </w:pPr>
            <w:r>
              <w:rPr>
                <w:sz w:val="20"/>
              </w:rPr>
              <w:t>91</w:t>
            </w:r>
          </w:p>
        </w:tc>
        <w:tc>
          <w:tcPr>
            <w:tcW w:w="994" w:type="dxa"/>
            <w:tcBorders>
              <w:top w:val="single" w:sz="4" w:space="0" w:color="000000"/>
              <w:bottom w:val="single" w:sz="4" w:space="0" w:color="000000"/>
            </w:tcBorders>
          </w:tcPr>
          <w:p w:rsidR="00161017" w:rsidRDefault="00D753BB">
            <w:pPr>
              <w:pStyle w:val="TableParagraph"/>
              <w:spacing w:line="223" w:lineRule="exact"/>
              <w:ind w:left="61" w:right="58"/>
              <w:rPr>
                <w:sz w:val="20"/>
              </w:rPr>
            </w:pPr>
            <w:r>
              <w:rPr>
                <w:sz w:val="20"/>
              </w:rPr>
              <w:t>107</w:t>
            </w:r>
          </w:p>
          <w:p w:rsidR="00161017" w:rsidRDefault="00D753BB">
            <w:pPr>
              <w:pStyle w:val="TableParagraph"/>
              <w:spacing w:line="217" w:lineRule="exact"/>
              <w:ind w:left="61" w:right="58"/>
              <w:rPr>
                <w:sz w:val="20"/>
              </w:rPr>
            </w:pPr>
            <w:r>
              <w:rPr>
                <w:sz w:val="20"/>
              </w:rPr>
              <w:t>149</w:t>
            </w:r>
          </w:p>
        </w:tc>
        <w:tc>
          <w:tcPr>
            <w:tcW w:w="1133" w:type="dxa"/>
            <w:vMerge/>
            <w:tcBorders>
              <w:top w:val="nil"/>
              <w:bottom w:val="single" w:sz="4" w:space="0" w:color="000000"/>
            </w:tcBorders>
          </w:tcPr>
          <w:p w:rsidR="00161017" w:rsidRDefault="00161017">
            <w:pPr>
              <w:rPr>
                <w:sz w:val="2"/>
                <w:szCs w:val="2"/>
              </w:rPr>
            </w:pPr>
          </w:p>
        </w:tc>
      </w:tr>
      <w:tr w:rsidR="00161017">
        <w:trPr>
          <w:trHeight w:val="230"/>
        </w:trPr>
        <w:tc>
          <w:tcPr>
            <w:tcW w:w="1843" w:type="dxa"/>
            <w:vMerge/>
            <w:tcBorders>
              <w:top w:val="nil"/>
              <w:bottom w:val="single" w:sz="4" w:space="0" w:color="000000"/>
            </w:tcBorders>
          </w:tcPr>
          <w:p w:rsidR="00161017" w:rsidRDefault="00161017">
            <w:pPr>
              <w:rPr>
                <w:sz w:val="2"/>
                <w:szCs w:val="2"/>
              </w:rPr>
            </w:pPr>
          </w:p>
        </w:tc>
        <w:tc>
          <w:tcPr>
            <w:tcW w:w="708" w:type="dxa"/>
            <w:tcBorders>
              <w:top w:val="single" w:sz="4" w:space="0" w:color="000000"/>
              <w:bottom w:val="single" w:sz="4" w:space="0" w:color="000000"/>
            </w:tcBorders>
          </w:tcPr>
          <w:p w:rsidR="00161017" w:rsidRDefault="00D753BB">
            <w:pPr>
              <w:pStyle w:val="TableParagraph"/>
              <w:spacing w:line="210" w:lineRule="exact"/>
              <w:ind w:left="254"/>
              <w:jc w:val="left"/>
              <w:rPr>
                <w:sz w:val="20"/>
              </w:rPr>
            </w:pPr>
            <w:r>
              <w:rPr>
                <w:w w:val="99"/>
                <w:sz w:val="20"/>
              </w:rPr>
              <w:t>M</w:t>
            </w:r>
          </w:p>
        </w:tc>
        <w:tc>
          <w:tcPr>
            <w:tcW w:w="852" w:type="dxa"/>
            <w:tcBorders>
              <w:top w:val="single" w:sz="4" w:space="0" w:color="000000"/>
              <w:bottom w:val="single" w:sz="4" w:space="0" w:color="000000"/>
            </w:tcBorders>
          </w:tcPr>
          <w:p w:rsidR="00161017" w:rsidRDefault="00D753BB">
            <w:pPr>
              <w:pStyle w:val="TableParagraph"/>
              <w:spacing w:line="210" w:lineRule="exact"/>
              <w:ind w:right="311"/>
              <w:jc w:val="right"/>
              <w:rPr>
                <w:sz w:val="20"/>
              </w:rPr>
            </w:pPr>
            <w:r>
              <w:rPr>
                <w:sz w:val="20"/>
              </w:rPr>
              <w:t>60</w:t>
            </w:r>
          </w:p>
        </w:tc>
        <w:tc>
          <w:tcPr>
            <w:tcW w:w="1133" w:type="dxa"/>
            <w:tcBorders>
              <w:top w:val="single" w:sz="4" w:space="0" w:color="000000"/>
              <w:bottom w:val="single" w:sz="4" w:space="0" w:color="000000"/>
            </w:tcBorders>
          </w:tcPr>
          <w:p w:rsidR="00161017" w:rsidRDefault="00D753BB">
            <w:pPr>
              <w:pStyle w:val="TableParagraph"/>
              <w:spacing w:line="210" w:lineRule="exact"/>
              <w:ind w:left="124" w:right="105"/>
              <w:rPr>
                <w:sz w:val="20"/>
              </w:rPr>
            </w:pPr>
            <w:r>
              <w:rPr>
                <w:sz w:val="20"/>
              </w:rPr>
              <w:t>105</w:t>
            </w:r>
          </w:p>
        </w:tc>
        <w:tc>
          <w:tcPr>
            <w:tcW w:w="994" w:type="dxa"/>
            <w:tcBorders>
              <w:top w:val="single" w:sz="4" w:space="0" w:color="000000"/>
              <w:bottom w:val="single" w:sz="4" w:space="0" w:color="000000"/>
            </w:tcBorders>
          </w:tcPr>
          <w:p w:rsidR="00161017" w:rsidRDefault="00D753BB">
            <w:pPr>
              <w:pStyle w:val="TableParagraph"/>
              <w:spacing w:line="210" w:lineRule="exact"/>
              <w:ind w:left="61" w:right="61"/>
              <w:rPr>
                <w:sz w:val="20"/>
              </w:rPr>
            </w:pPr>
            <w:r>
              <w:rPr>
                <w:sz w:val="20"/>
              </w:rPr>
              <w:t>252</w:t>
            </w:r>
          </w:p>
        </w:tc>
        <w:tc>
          <w:tcPr>
            <w:tcW w:w="1133" w:type="dxa"/>
            <w:tcBorders>
              <w:top w:val="single" w:sz="4" w:space="0" w:color="000000"/>
              <w:bottom w:val="single" w:sz="4" w:space="0" w:color="000000"/>
            </w:tcBorders>
          </w:tcPr>
          <w:p w:rsidR="00161017" w:rsidRDefault="00D753BB">
            <w:pPr>
              <w:pStyle w:val="TableParagraph"/>
              <w:spacing w:line="210" w:lineRule="exact"/>
              <w:ind w:left="124" w:right="106"/>
              <w:rPr>
                <w:sz w:val="20"/>
              </w:rPr>
            </w:pPr>
            <w:r>
              <w:rPr>
                <w:sz w:val="20"/>
              </w:rPr>
              <w:t>105</w:t>
            </w:r>
          </w:p>
        </w:tc>
        <w:tc>
          <w:tcPr>
            <w:tcW w:w="994" w:type="dxa"/>
            <w:tcBorders>
              <w:top w:val="single" w:sz="4" w:space="0" w:color="000000"/>
              <w:bottom w:val="single" w:sz="4" w:space="0" w:color="000000"/>
            </w:tcBorders>
          </w:tcPr>
          <w:p w:rsidR="00161017" w:rsidRDefault="00D753BB">
            <w:pPr>
              <w:pStyle w:val="TableParagraph"/>
              <w:spacing w:line="210" w:lineRule="exact"/>
              <w:ind w:left="61" w:right="58"/>
              <w:rPr>
                <w:sz w:val="20"/>
              </w:rPr>
            </w:pPr>
            <w:r>
              <w:rPr>
                <w:sz w:val="20"/>
              </w:rPr>
              <w:t>326</w:t>
            </w:r>
          </w:p>
        </w:tc>
        <w:tc>
          <w:tcPr>
            <w:tcW w:w="1133" w:type="dxa"/>
            <w:vMerge/>
            <w:tcBorders>
              <w:top w:val="nil"/>
              <w:bottom w:val="single" w:sz="4" w:space="0" w:color="000000"/>
            </w:tcBorders>
          </w:tcPr>
          <w:p w:rsidR="00161017" w:rsidRDefault="00161017">
            <w:pPr>
              <w:rPr>
                <w:sz w:val="2"/>
                <w:szCs w:val="2"/>
              </w:rPr>
            </w:pPr>
          </w:p>
        </w:tc>
      </w:tr>
      <w:tr w:rsidR="00161017">
        <w:trPr>
          <w:trHeight w:val="230"/>
        </w:trPr>
        <w:tc>
          <w:tcPr>
            <w:tcW w:w="1843" w:type="dxa"/>
            <w:vMerge w:val="restart"/>
            <w:tcBorders>
              <w:top w:val="single" w:sz="4" w:space="0" w:color="000000"/>
              <w:bottom w:val="single" w:sz="4" w:space="0" w:color="000000"/>
            </w:tcBorders>
          </w:tcPr>
          <w:p w:rsidR="00161017" w:rsidRDefault="00D753BB">
            <w:pPr>
              <w:pStyle w:val="TableParagraph"/>
              <w:spacing w:line="223" w:lineRule="exact"/>
              <w:ind w:left="11"/>
              <w:jc w:val="left"/>
              <w:rPr>
                <w:sz w:val="20"/>
              </w:rPr>
            </w:pPr>
            <w:r>
              <w:rPr>
                <w:sz w:val="20"/>
              </w:rPr>
              <w:t>SD rats: additional</w:t>
            </w:r>
          </w:p>
          <w:p w:rsidR="00161017" w:rsidRDefault="00D753BB">
            <w:pPr>
              <w:pStyle w:val="TableParagraph"/>
              <w:spacing w:line="230" w:lineRule="atLeast"/>
              <w:ind w:left="11" w:right="425"/>
              <w:jc w:val="left"/>
              <w:rPr>
                <w:sz w:val="20"/>
              </w:rPr>
            </w:pPr>
            <w:r>
              <w:rPr>
                <w:sz w:val="20"/>
              </w:rPr>
              <w:t>4-week oral dose toxicity study</w:t>
            </w:r>
          </w:p>
        </w:tc>
        <w:tc>
          <w:tcPr>
            <w:tcW w:w="708" w:type="dxa"/>
            <w:tcBorders>
              <w:top w:val="single" w:sz="4" w:space="0" w:color="000000"/>
              <w:bottom w:val="single" w:sz="4" w:space="0" w:color="000000"/>
            </w:tcBorders>
          </w:tcPr>
          <w:p w:rsidR="00161017" w:rsidRDefault="00D753BB">
            <w:pPr>
              <w:pStyle w:val="TableParagraph"/>
              <w:spacing w:line="210" w:lineRule="exact"/>
              <w:ind w:left="254"/>
              <w:jc w:val="left"/>
              <w:rPr>
                <w:sz w:val="20"/>
              </w:rPr>
            </w:pPr>
            <w:r>
              <w:rPr>
                <w:w w:val="99"/>
                <w:sz w:val="20"/>
              </w:rPr>
              <w:t>M</w:t>
            </w:r>
          </w:p>
        </w:tc>
        <w:tc>
          <w:tcPr>
            <w:tcW w:w="852" w:type="dxa"/>
            <w:tcBorders>
              <w:top w:val="single" w:sz="4" w:space="0" w:color="000000"/>
              <w:bottom w:val="single" w:sz="4" w:space="0" w:color="000000"/>
            </w:tcBorders>
          </w:tcPr>
          <w:p w:rsidR="00161017" w:rsidRDefault="00D753BB">
            <w:pPr>
              <w:pStyle w:val="TableParagraph"/>
              <w:spacing w:line="210" w:lineRule="exact"/>
              <w:ind w:right="311"/>
              <w:jc w:val="right"/>
              <w:rPr>
                <w:sz w:val="20"/>
              </w:rPr>
            </w:pPr>
            <w:r>
              <w:rPr>
                <w:sz w:val="20"/>
              </w:rPr>
              <w:t>30</w:t>
            </w:r>
          </w:p>
        </w:tc>
        <w:tc>
          <w:tcPr>
            <w:tcW w:w="1133" w:type="dxa"/>
            <w:tcBorders>
              <w:top w:val="single" w:sz="4" w:space="0" w:color="000000"/>
              <w:bottom w:val="single" w:sz="4" w:space="0" w:color="000000"/>
            </w:tcBorders>
          </w:tcPr>
          <w:p w:rsidR="00161017" w:rsidRDefault="00D753BB">
            <w:pPr>
              <w:pStyle w:val="TableParagraph"/>
              <w:spacing w:line="210" w:lineRule="exact"/>
              <w:ind w:left="124" w:right="105"/>
              <w:rPr>
                <w:sz w:val="20"/>
              </w:rPr>
            </w:pPr>
            <w:r>
              <w:rPr>
                <w:sz w:val="20"/>
              </w:rPr>
              <w:t>58</w:t>
            </w:r>
          </w:p>
        </w:tc>
        <w:tc>
          <w:tcPr>
            <w:tcW w:w="994" w:type="dxa"/>
            <w:tcBorders>
              <w:top w:val="single" w:sz="4" w:space="0" w:color="000000"/>
              <w:bottom w:val="single" w:sz="4" w:space="0" w:color="000000"/>
            </w:tcBorders>
          </w:tcPr>
          <w:p w:rsidR="00161017" w:rsidRDefault="00D753BB">
            <w:pPr>
              <w:pStyle w:val="TableParagraph"/>
              <w:spacing w:line="210" w:lineRule="exact"/>
              <w:ind w:left="61" w:right="61"/>
              <w:rPr>
                <w:sz w:val="20"/>
              </w:rPr>
            </w:pPr>
            <w:r>
              <w:rPr>
                <w:sz w:val="20"/>
              </w:rPr>
              <w:t>136</w:t>
            </w:r>
          </w:p>
        </w:tc>
        <w:tc>
          <w:tcPr>
            <w:tcW w:w="1133" w:type="dxa"/>
            <w:tcBorders>
              <w:top w:val="single" w:sz="4" w:space="0" w:color="000000"/>
              <w:bottom w:val="single" w:sz="4" w:space="0" w:color="000000"/>
            </w:tcBorders>
          </w:tcPr>
          <w:p w:rsidR="00161017" w:rsidRDefault="00D753BB">
            <w:pPr>
              <w:pStyle w:val="TableParagraph"/>
              <w:spacing w:line="210" w:lineRule="exact"/>
              <w:ind w:left="124" w:right="106"/>
              <w:rPr>
                <w:sz w:val="20"/>
              </w:rPr>
            </w:pPr>
            <w:r>
              <w:rPr>
                <w:sz w:val="20"/>
              </w:rPr>
              <w:t>46</w:t>
            </w:r>
          </w:p>
        </w:tc>
        <w:tc>
          <w:tcPr>
            <w:tcW w:w="994" w:type="dxa"/>
            <w:tcBorders>
              <w:top w:val="single" w:sz="4" w:space="0" w:color="000000"/>
              <w:bottom w:val="single" w:sz="4" w:space="0" w:color="000000"/>
            </w:tcBorders>
          </w:tcPr>
          <w:p w:rsidR="00161017" w:rsidRDefault="00D753BB">
            <w:pPr>
              <w:pStyle w:val="TableParagraph"/>
              <w:spacing w:line="210" w:lineRule="exact"/>
              <w:ind w:left="61" w:right="58"/>
              <w:rPr>
                <w:sz w:val="20"/>
              </w:rPr>
            </w:pPr>
            <w:r>
              <w:rPr>
                <w:sz w:val="20"/>
              </w:rPr>
              <w:t>114</w:t>
            </w:r>
          </w:p>
        </w:tc>
        <w:tc>
          <w:tcPr>
            <w:tcW w:w="1133" w:type="dxa"/>
            <w:vMerge w:val="restart"/>
            <w:tcBorders>
              <w:top w:val="single" w:sz="4" w:space="0" w:color="000000"/>
              <w:bottom w:val="single" w:sz="4" w:space="0" w:color="000000"/>
            </w:tcBorders>
          </w:tcPr>
          <w:p w:rsidR="00161017" w:rsidRDefault="006568EB">
            <w:pPr>
              <w:pStyle w:val="TableParagraph"/>
              <w:spacing w:before="108"/>
              <w:ind w:left="107" w:right="108"/>
              <w:rPr>
                <w:sz w:val="20"/>
              </w:rPr>
            </w:pPr>
            <w:r>
              <w:rPr>
                <w:sz w:val="20"/>
              </w:rPr>
              <w:t>Project H</w:t>
            </w:r>
            <w:r w:rsidR="00D753BB">
              <w:rPr>
                <w:sz w:val="20"/>
              </w:rPr>
              <w:t>-TX-</w:t>
            </w:r>
          </w:p>
          <w:p w:rsidR="00161017" w:rsidRDefault="00D753BB">
            <w:pPr>
              <w:pStyle w:val="TableParagraph"/>
              <w:ind w:left="108" w:right="108"/>
              <w:rPr>
                <w:sz w:val="20"/>
              </w:rPr>
            </w:pPr>
            <w:r>
              <w:rPr>
                <w:sz w:val="20"/>
              </w:rPr>
              <w:t>0019</w:t>
            </w:r>
          </w:p>
        </w:tc>
      </w:tr>
      <w:tr w:rsidR="00161017">
        <w:trPr>
          <w:trHeight w:val="450"/>
        </w:trPr>
        <w:tc>
          <w:tcPr>
            <w:tcW w:w="1843" w:type="dxa"/>
            <w:vMerge/>
            <w:tcBorders>
              <w:top w:val="nil"/>
              <w:bottom w:val="single" w:sz="4" w:space="0" w:color="000000"/>
            </w:tcBorders>
          </w:tcPr>
          <w:p w:rsidR="00161017" w:rsidRDefault="00161017">
            <w:pPr>
              <w:rPr>
                <w:sz w:val="2"/>
                <w:szCs w:val="2"/>
              </w:rPr>
            </w:pPr>
          </w:p>
        </w:tc>
        <w:tc>
          <w:tcPr>
            <w:tcW w:w="708" w:type="dxa"/>
            <w:tcBorders>
              <w:top w:val="single" w:sz="4" w:space="0" w:color="000000"/>
              <w:bottom w:val="single" w:sz="4" w:space="0" w:color="000000"/>
            </w:tcBorders>
          </w:tcPr>
          <w:p w:rsidR="00161017" w:rsidRDefault="00D753BB">
            <w:pPr>
              <w:pStyle w:val="TableParagraph"/>
              <w:spacing w:before="103"/>
              <w:ind w:left="254"/>
              <w:jc w:val="left"/>
              <w:rPr>
                <w:sz w:val="20"/>
              </w:rPr>
            </w:pPr>
            <w:r>
              <w:rPr>
                <w:w w:val="99"/>
                <w:sz w:val="20"/>
              </w:rPr>
              <w:t>M</w:t>
            </w:r>
          </w:p>
        </w:tc>
        <w:tc>
          <w:tcPr>
            <w:tcW w:w="852" w:type="dxa"/>
            <w:tcBorders>
              <w:top w:val="single" w:sz="4" w:space="0" w:color="000000"/>
              <w:bottom w:val="single" w:sz="4" w:space="0" w:color="000000"/>
            </w:tcBorders>
          </w:tcPr>
          <w:p w:rsidR="00161017" w:rsidRDefault="00D753BB">
            <w:pPr>
              <w:pStyle w:val="TableParagraph"/>
              <w:spacing w:before="103"/>
              <w:ind w:right="311"/>
              <w:jc w:val="right"/>
              <w:rPr>
                <w:sz w:val="20"/>
              </w:rPr>
            </w:pPr>
            <w:r>
              <w:rPr>
                <w:sz w:val="20"/>
              </w:rPr>
              <w:t>60</w:t>
            </w:r>
          </w:p>
        </w:tc>
        <w:tc>
          <w:tcPr>
            <w:tcW w:w="1133" w:type="dxa"/>
            <w:tcBorders>
              <w:top w:val="single" w:sz="4" w:space="0" w:color="000000"/>
              <w:bottom w:val="single" w:sz="4" w:space="0" w:color="000000"/>
            </w:tcBorders>
          </w:tcPr>
          <w:p w:rsidR="00161017" w:rsidRDefault="00D753BB">
            <w:pPr>
              <w:pStyle w:val="TableParagraph"/>
              <w:spacing w:before="103"/>
              <w:ind w:left="124" w:right="105"/>
              <w:rPr>
                <w:sz w:val="20"/>
              </w:rPr>
            </w:pPr>
            <w:r>
              <w:rPr>
                <w:sz w:val="20"/>
              </w:rPr>
              <w:t>122</w:t>
            </w:r>
          </w:p>
        </w:tc>
        <w:tc>
          <w:tcPr>
            <w:tcW w:w="994" w:type="dxa"/>
            <w:tcBorders>
              <w:top w:val="single" w:sz="4" w:space="0" w:color="000000"/>
              <w:bottom w:val="single" w:sz="4" w:space="0" w:color="000000"/>
            </w:tcBorders>
          </w:tcPr>
          <w:p w:rsidR="00161017" w:rsidRDefault="00D753BB">
            <w:pPr>
              <w:pStyle w:val="TableParagraph"/>
              <w:spacing w:before="103"/>
              <w:ind w:left="61" w:right="61"/>
              <w:rPr>
                <w:sz w:val="20"/>
              </w:rPr>
            </w:pPr>
            <w:r>
              <w:rPr>
                <w:sz w:val="20"/>
              </w:rPr>
              <w:t>471</w:t>
            </w:r>
          </w:p>
        </w:tc>
        <w:tc>
          <w:tcPr>
            <w:tcW w:w="1133" w:type="dxa"/>
            <w:tcBorders>
              <w:top w:val="single" w:sz="4" w:space="0" w:color="000000"/>
              <w:bottom w:val="single" w:sz="4" w:space="0" w:color="000000"/>
            </w:tcBorders>
          </w:tcPr>
          <w:p w:rsidR="00161017" w:rsidRDefault="00D753BB">
            <w:pPr>
              <w:pStyle w:val="TableParagraph"/>
              <w:spacing w:before="103"/>
              <w:ind w:left="124" w:right="106"/>
              <w:rPr>
                <w:sz w:val="20"/>
              </w:rPr>
            </w:pPr>
            <w:r>
              <w:rPr>
                <w:sz w:val="20"/>
              </w:rPr>
              <w:t>116</w:t>
            </w:r>
          </w:p>
        </w:tc>
        <w:tc>
          <w:tcPr>
            <w:tcW w:w="994" w:type="dxa"/>
            <w:tcBorders>
              <w:top w:val="single" w:sz="4" w:space="0" w:color="000000"/>
              <w:bottom w:val="single" w:sz="4" w:space="0" w:color="000000"/>
            </w:tcBorders>
          </w:tcPr>
          <w:p w:rsidR="00161017" w:rsidRDefault="00D753BB">
            <w:pPr>
              <w:pStyle w:val="TableParagraph"/>
              <w:spacing w:before="103"/>
              <w:ind w:left="61" w:right="58"/>
              <w:rPr>
                <w:sz w:val="20"/>
              </w:rPr>
            </w:pPr>
            <w:r>
              <w:rPr>
                <w:sz w:val="20"/>
              </w:rPr>
              <w:t>363</w:t>
            </w:r>
          </w:p>
        </w:tc>
        <w:tc>
          <w:tcPr>
            <w:tcW w:w="1133" w:type="dxa"/>
            <w:vMerge/>
            <w:tcBorders>
              <w:top w:val="nil"/>
              <w:bottom w:val="single" w:sz="4" w:space="0" w:color="000000"/>
            </w:tcBorders>
          </w:tcPr>
          <w:p w:rsidR="00161017" w:rsidRDefault="00161017">
            <w:pPr>
              <w:rPr>
                <w:sz w:val="2"/>
                <w:szCs w:val="2"/>
              </w:rPr>
            </w:pPr>
          </w:p>
        </w:tc>
      </w:tr>
      <w:tr w:rsidR="00161017">
        <w:trPr>
          <w:trHeight w:val="230"/>
        </w:trPr>
        <w:tc>
          <w:tcPr>
            <w:tcW w:w="1843" w:type="dxa"/>
            <w:vMerge w:val="restart"/>
            <w:tcBorders>
              <w:top w:val="single" w:sz="4" w:space="0" w:color="000000"/>
              <w:bottom w:val="single" w:sz="4" w:space="0" w:color="000000"/>
            </w:tcBorders>
          </w:tcPr>
          <w:p w:rsidR="00161017" w:rsidRDefault="00D753BB">
            <w:pPr>
              <w:pStyle w:val="TableParagraph"/>
              <w:spacing w:before="2"/>
              <w:ind w:left="11"/>
              <w:jc w:val="left"/>
              <w:rPr>
                <w:sz w:val="20"/>
              </w:rPr>
            </w:pPr>
            <w:r>
              <w:rPr>
                <w:sz w:val="20"/>
              </w:rPr>
              <w:t>SD rats:</w:t>
            </w:r>
          </w:p>
          <w:p w:rsidR="00161017" w:rsidRDefault="00D753BB">
            <w:pPr>
              <w:pStyle w:val="TableParagraph"/>
              <w:spacing w:before="1" w:line="230" w:lineRule="atLeast"/>
              <w:ind w:left="11" w:right="275"/>
              <w:jc w:val="left"/>
              <w:rPr>
                <w:sz w:val="20"/>
              </w:rPr>
            </w:pPr>
            <w:r>
              <w:rPr>
                <w:sz w:val="20"/>
              </w:rPr>
              <w:t>Embryo-fetal development study</w:t>
            </w:r>
          </w:p>
        </w:tc>
        <w:tc>
          <w:tcPr>
            <w:tcW w:w="708" w:type="dxa"/>
            <w:tcBorders>
              <w:top w:val="single" w:sz="4" w:space="0" w:color="000000"/>
              <w:bottom w:val="single" w:sz="4" w:space="0" w:color="000000"/>
            </w:tcBorders>
          </w:tcPr>
          <w:p w:rsidR="00161017" w:rsidRDefault="00D753BB">
            <w:pPr>
              <w:pStyle w:val="TableParagraph"/>
              <w:spacing w:line="210" w:lineRule="exact"/>
              <w:ind w:left="287"/>
              <w:jc w:val="left"/>
              <w:rPr>
                <w:sz w:val="20"/>
              </w:rPr>
            </w:pPr>
            <w:r>
              <w:rPr>
                <w:w w:val="99"/>
                <w:sz w:val="20"/>
              </w:rPr>
              <w:t>F</w:t>
            </w:r>
          </w:p>
        </w:tc>
        <w:tc>
          <w:tcPr>
            <w:tcW w:w="852" w:type="dxa"/>
            <w:tcBorders>
              <w:top w:val="single" w:sz="4" w:space="0" w:color="000000"/>
              <w:bottom w:val="single" w:sz="4" w:space="0" w:color="000000"/>
            </w:tcBorders>
          </w:tcPr>
          <w:p w:rsidR="00161017" w:rsidRDefault="00D753BB">
            <w:pPr>
              <w:pStyle w:val="TableParagraph"/>
              <w:spacing w:line="210" w:lineRule="exact"/>
              <w:ind w:left="1"/>
              <w:rPr>
                <w:sz w:val="20"/>
              </w:rPr>
            </w:pPr>
            <w:r>
              <w:rPr>
                <w:w w:val="99"/>
                <w:sz w:val="20"/>
              </w:rPr>
              <w:t>3</w:t>
            </w:r>
          </w:p>
        </w:tc>
        <w:tc>
          <w:tcPr>
            <w:tcW w:w="1133" w:type="dxa"/>
            <w:tcBorders>
              <w:top w:val="single" w:sz="4" w:space="0" w:color="000000"/>
              <w:bottom w:val="single" w:sz="4" w:space="0" w:color="000000"/>
            </w:tcBorders>
          </w:tcPr>
          <w:p w:rsidR="00161017" w:rsidRDefault="00D753BB">
            <w:pPr>
              <w:pStyle w:val="TableParagraph"/>
              <w:spacing w:line="210" w:lineRule="exact"/>
              <w:ind w:left="124" w:right="105"/>
              <w:rPr>
                <w:sz w:val="20"/>
              </w:rPr>
            </w:pPr>
            <w:r>
              <w:rPr>
                <w:sz w:val="20"/>
              </w:rPr>
              <w:t>10</w:t>
            </w:r>
          </w:p>
        </w:tc>
        <w:tc>
          <w:tcPr>
            <w:tcW w:w="994" w:type="dxa"/>
            <w:tcBorders>
              <w:top w:val="single" w:sz="4" w:space="0" w:color="000000"/>
              <w:bottom w:val="single" w:sz="4" w:space="0" w:color="000000"/>
            </w:tcBorders>
          </w:tcPr>
          <w:p w:rsidR="00161017" w:rsidRDefault="00D753BB">
            <w:pPr>
              <w:pStyle w:val="TableParagraph"/>
              <w:spacing w:line="210" w:lineRule="exact"/>
              <w:ind w:left="61" w:right="61"/>
              <w:rPr>
                <w:sz w:val="20"/>
              </w:rPr>
            </w:pPr>
            <w:r>
              <w:rPr>
                <w:sz w:val="20"/>
              </w:rPr>
              <w:t>12</w:t>
            </w:r>
          </w:p>
        </w:tc>
        <w:tc>
          <w:tcPr>
            <w:tcW w:w="1133" w:type="dxa"/>
            <w:tcBorders>
              <w:top w:val="single" w:sz="4" w:space="0" w:color="000000"/>
              <w:bottom w:val="single" w:sz="4" w:space="0" w:color="000000"/>
            </w:tcBorders>
          </w:tcPr>
          <w:p w:rsidR="00161017" w:rsidRDefault="00D753BB">
            <w:pPr>
              <w:pStyle w:val="TableParagraph"/>
              <w:spacing w:line="210" w:lineRule="exact"/>
              <w:ind w:left="124" w:right="104"/>
              <w:rPr>
                <w:sz w:val="20"/>
              </w:rPr>
            </w:pPr>
            <w:r>
              <w:rPr>
                <w:sz w:val="20"/>
              </w:rPr>
              <w:t>3.7</w:t>
            </w:r>
          </w:p>
        </w:tc>
        <w:tc>
          <w:tcPr>
            <w:tcW w:w="994" w:type="dxa"/>
            <w:tcBorders>
              <w:top w:val="single" w:sz="4" w:space="0" w:color="000000"/>
              <w:bottom w:val="single" w:sz="4" w:space="0" w:color="000000"/>
            </w:tcBorders>
          </w:tcPr>
          <w:p w:rsidR="00161017" w:rsidRDefault="00D753BB">
            <w:pPr>
              <w:pStyle w:val="TableParagraph"/>
              <w:spacing w:line="210" w:lineRule="exact"/>
              <w:ind w:left="61" w:right="61"/>
              <w:rPr>
                <w:sz w:val="20"/>
              </w:rPr>
            </w:pPr>
            <w:r>
              <w:rPr>
                <w:sz w:val="20"/>
              </w:rPr>
              <w:t>5.4</w:t>
            </w:r>
          </w:p>
        </w:tc>
        <w:tc>
          <w:tcPr>
            <w:tcW w:w="1133" w:type="dxa"/>
            <w:vMerge w:val="restart"/>
            <w:tcBorders>
              <w:top w:val="single" w:sz="4" w:space="0" w:color="000000"/>
              <w:bottom w:val="single" w:sz="4" w:space="0" w:color="000000"/>
            </w:tcBorders>
          </w:tcPr>
          <w:p w:rsidR="00161017" w:rsidRDefault="006568EB">
            <w:pPr>
              <w:pStyle w:val="TableParagraph"/>
              <w:spacing w:before="118"/>
              <w:ind w:left="107" w:right="108"/>
              <w:rPr>
                <w:sz w:val="20"/>
              </w:rPr>
            </w:pPr>
            <w:r>
              <w:rPr>
                <w:sz w:val="20"/>
              </w:rPr>
              <w:t>Project H</w:t>
            </w:r>
            <w:r w:rsidR="00D753BB">
              <w:rPr>
                <w:sz w:val="20"/>
              </w:rPr>
              <w:t>-TX-</w:t>
            </w:r>
          </w:p>
          <w:p w:rsidR="00161017" w:rsidRDefault="00D753BB">
            <w:pPr>
              <w:pStyle w:val="TableParagraph"/>
              <w:ind w:left="108" w:right="108"/>
              <w:rPr>
                <w:sz w:val="20"/>
              </w:rPr>
            </w:pPr>
            <w:r>
              <w:rPr>
                <w:sz w:val="20"/>
              </w:rPr>
              <w:t>0009</w:t>
            </w:r>
          </w:p>
        </w:tc>
      </w:tr>
      <w:tr w:rsidR="00161017">
        <w:trPr>
          <w:trHeight w:val="230"/>
        </w:trPr>
        <w:tc>
          <w:tcPr>
            <w:tcW w:w="1843" w:type="dxa"/>
            <w:vMerge/>
            <w:tcBorders>
              <w:top w:val="nil"/>
              <w:bottom w:val="single" w:sz="4" w:space="0" w:color="000000"/>
            </w:tcBorders>
          </w:tcPr>
          <w:p w:rsidR="00161017" w:rsidRDefault="00161017">
            <w:pPr>
              <w:rPr>
                <w:sz w:val="2"/>
                <w:szCs w:val="2"/>
              </w:rPr>
            </w:pPr>
          </w:p>
        </w:tc>
        <w:tc>
          <w:tcPr>
            <w:tcW w:w="708" w:type="dxa"/>
            <w:tcBorders>
              <w:top w:val="single" w:sz="4" w:space="0" w:color="000000"/>
              <w:bottom w:val="single" w:sz="4" w:space="0" w:color="000000"/>
            </w:tcBorders>
          </w:tcPr>
          <w:p w:rsidR="00161017" w:rsidRDefault="00D753BB">
            <w:pPr>
              <w:pStyle w:val="TableParagraph"/>
              <w:spacing w:line="210" w:lineRule="exact"/>
              <w:ind w:left="287"/>
              <w:jc w:val="left"/>
              <w:rPr>
                <w:sz w:val="20"/>
              </w:rPr>
            </w:pPr>
            <w:r>
              <w:rPr>
                <w:w w:val="99"/>
                <w:sz w:val="20"/>
              </w:rPr>
              <w:t>F</w:t>
            </w:r>
          </w:p>
        </w:tc>
        <w:tc>
          <w:tcPr>
            <w:tcW w:w="852" w:type="dxa"/>
            <w:tcBorders>
              <w:top w:val="single" w:sz="4" w:space="0" w:color="000000"/>
              <w:bottom w:val="single" w:sz="4" w:space="0" w:color="000000"/>
            </w:tcBorders>
          </w:tcPr>
          <w:p w:rsidR="00161017" w:rsidRDefault="00D753BB">
            <w:pPr>
              <w:pStyle w:val="TableParagraph"/>
              <w:spacing w:line="210" w:lineRule="exact"/>
              <w:ind w:right="245"/>
              <w:jc w:val="right"/>
              <w:rPr>
                <w:sz w:val="20"/>
              </w:rPr>
            </w:pPr>
            <w:r>
              <w:rPr>
                <w:sz w:val="20"/>
                <w:u w:val="single"/>
              </w:rPr>
              <w:t>10 †</w:t>
            </w:r>
          </w:p>
        </w:tc>
        <w:tc>
          <w:tcPr>
            <w:tcW w:w="1133" w:type="dxa"/>
            <w:tcBorders>
              <w:top w:val="single" w:sz="4" w:space="0" w:color="000000"/>
              <w:bottom w:val="single" w:sz="4" w:space="0" w:color="000000"/>
            </w:tcBorders>
          </w:tcPr>
          <w:p w:rsidR="00161017" w:rsidRDefault="00D753BB">
            <w:pPr>
              <w:pStyle w:val="TableParagraph"/>
              <w:spacing w:line="210" w:lineRule="exact"/>
              <w:ind w:left="124" w:right="105"/>
              <w:rPr>
                <w:sz w:val="20"/>
              </w:rPr>
            </w:pPr>
            <w:r>
              <w:rPr>
                <w:sz w:val="20"/>
              </w:rPr>
              <w:t>48</w:t>
            </w:r>
          </w:p>
        </w:tc>
        <w:tc>
          <w:tcPr>
            <w:tcW w:w="994" w:type="dxa"/>
            <w:tcBorders>
              <w:top w:val="single" w:sz="4" w:space="0" w:color="000000"/>
              <w:bottom w:val="single" w:sz="4" w:space="0" w:color="000000"/>
            </w:tcBorders>
          </w:tcPr>
          <w:p w:rsidR="00161017" w:rsidRDefault="00D753BB">
            <w:pPr>
              <w:pStyle w:val="TableParagraph"/>
              <w:spacing w:line="210" w:lineRule="exact"/>
              <w:ind w:left="61" w:right="61"/>
              <w:rPr>
                <w:sz w:val="20"/>
              </w:rPr>
            </w:pPr>
            <w:r>
              <w:rPr>
                <w:sz w:val="20"/>
              </w:rPr>
              <w:t>33</w:t>
            </w:r>
          </w:p>
        </w:tc>
        <w:tc>
          <w:tcPr>
            <w:tcW w:w="1133" w:type="dxa"/>
            <w:tcBorders>
              <w:top w:val="single" w:sz="4" w:space="0" w:color="000000"/>
              <w:bottom w:val="single" w:sz="4" w:space="0" w:color="000000"/>
            </w:tcBorders>
          </w:tcPr>
          <w:p w:rsidR="00161017" w:rsidRDefault="00D753BB">
            <w:pPr>
              <w:pStyle w:val="TableParagraph"/>
              <w:spacing w:line="210" w:lineRule="exact"/>
              <w:ind w:left="124" w:right="106"/>
              <w:rPr>
                <w:sz w:val="20"/>
              </w:rPr>
            </w:pPr>
            <w:r>
              <w:rPr>
                <w:sz w:val="20"/>
              </w:rPr>
              <w:t>24</w:t>
            </w:r>
          </w:p>
        </w:tc>
        <w:tc>
          <w:tcPr>
            <w:tcW w:w="994" w:type="dxa"/>
            <w:tcBorders>
              <w:top w:val="single" w:sz="4" w:space="0" w:color="000000"/>
              <w:bottom w:val="single" w:sz="4" w:space="0" w:color="000000"/>
            </w:tcBorders>
          </w:tcPr>
          <w:p w:rsidR="00161017" w:rsidRDefault="00D753BB">
            <w:pPr>
              <w:pStyle w:val="TableParagraph"/>
              <w:spacing w:line="210" w:lineRule="exact"/>
              <w:ind w:left="61" w:right="58"/>
              <w:rPr>
                <w:sz w:val="20"/>
              </w:rPr>
            </w:pPr>
            <w:r>
              <w:rPr>
                <w:sz w:val="20"/>
              </w:rPr>
              <w:t>30</w:t>
            </w:r>
          </w:p>
        </w:tc>
        <w:tc>
          <w:tcPr>
            <w:tcW w:w="1133" w:type="dxa"/>
            <w:vMerge/>
            <w:tcBorders>
              <w:top w:val="nil"/>
              <w:bottom w:val="single" w:sz="4" w:space="0" w:color="000000"/>
            </w:tcBorders>
          </w:tcPr>
          <w:p w:rsidR="00161017" w:rsidRDefault="00161017">
            <w:pPr>
              <w:rPr>
                <w:sz w:val="2"/>
                <w:szCs w:val="2"/>
              </w:rPr>
            </w:pPr>
          </w:p>
        </w:tc>
      </w:tr>
      <w:tr w:rsidR="00161017">
        <w:trPr>
          <w:trHeight w:val="230"/>
        </w:trPr>
        <w:tc>
          <w:tcPr>
            <w:tcW w:w="1843" w:type="dxa"/>
            <w:vMerge/>
            <w:tcBorders>
              <w:top w:val="nil"/>
              <w:bottom w:val="single" w:sz="4" w:space="0" w:color="000000"/>
            </w:tcBorders>
          </w:tcPr>
          <w:p w:rsidR="00161017" w:rsidRDefault="00161017">
            <w:pPr>
              <w:rPr>
                <w:sz w:val="2"/>
                <w:szCs w:val="2"/>
              </w:rPr>
            </w:pPr>
          </w:p>
        </w:tc>
        <w:tc>
          <w:tcPr>
            <w:tcW w:w="708" w:type="dxa"/>
            <w:tcBorders>
              <w:top w:val="single" w:sz="4" w:space="0" w:color="000000"/>
              <w:bottom w:val="single" w:sz="4" w:space="0" w:color="000000"/>
            </w:tcBorders>
          </w:tcPr>
          <w:p w:rsidR="00161017" w:rsidRDefault="00D753BB">
            <w:pPr>
              <w:pStyle w:val="TableParagraph"/>
              <w:spacing w:line="210" w:lineRule="exact"/>
              <w:ind w:left="287"/>
              <w:jc w:val="left"/>
              <w:rPr>
                <w:sz w:val="20"/>
              </w:rPr>
            </w:pPr>
            <w:r>
              <w:rPr>
                <w:w w:val="99"/>
                <w:sz w:val="20"/>
              </w:rPr>
              <w:t>F</w:t>
            </w:r>
          </w:p>
        </w:tc>
        <w:tc>
          <w:tcPr>
            <w:tcW w:w="852" w:type="dxa"/>
            <w:tcBorders>
              <w:top w:val="single" w:sz="4" w:space="0" w:color="000000"/>
              <w:bottom w:val="single" w:sz="4" w:space="0" w:color="000000"/>
            </w:tcBorders>
          </w:tcPr>
          <w:p w:rsidR="00161017" w:rsidRDefault="00D753BB">
            <w:pPr>
              <w:pStyle w:val="TableParagraph"/>
              <w:spacing w:line="210" w:lineRule="exact"/>
              <w:ind w:right="311"/>
              <w:jc w:val="right"/>
              <w:rPr>
                <w:sz w:val="20"/>
              </w:rPr>
            </w:pPr>
            <w:r>
              <w:rPr>
                <w:sz w:val="20"/>
              </w:rPr>
              <w:t>30</w:t>
            </w:r>
          </w:p>
        </w:tc>
        <w:tc>
          <w:tcPr>
            <w:tcW w:w="1133" w:type="dxa"/>
            <w:tcBorders>
              <w:top w:val="single" w:sz="4" w:space="0" w:color="000000"/>
              <w:bottom w:val="single" w:sz="4" w:space="0" w:color="000000"/>
            </w:tcBorders>
          </w:tcPr>
          <w:p w:rsidR="00161017" w:rsidRDefault="00D753BB">
            <w:pPr>
              <w:pStyle w:val="TableParagraph"/>
              <w:spacing w:line="210" w:lineRule="exact"/>
              <w:ind w:left="124" w:right="105"/>
              <w:rPr>
                <w:sz w:val="20"/>
              </w:rPr>
            </w:pPr>
            <w:r>
              <w:rPr>
                <w:sz w:val="20"/>
              </w:rPr>
              <w:t>152</w:t>
            </w:r>
          </w:p>
        </w:tc>
        <w:tc>
          <w:tcPr>
            <w:tcW w:w="994" w:type="dxa"/>
            <w:tcBorders>
              <w:top w:val="single" w:sz="4" w:space="0" w:color="000000"/>
              <w:bottom w:val="single" w:sz="4" w:space="0" w:color="000000"/>
            </w:tcBorders>
          </w:tcPr>
          <w:p w:rsidR="00161017" w:rsidRDefault="00D753BB">
            <w:pPr>
              <w:pStyle w:val="TableParagraph"/>
              <w:spacing w:line="210" w:lineRule="exact"/>
              <w:ind w:left="61" w:right="61"/>
              <w:rPr>
                <w:sz w:val="20"/>
              </w:rPr>
            </w:pPr>
            <w:r>
              <w:rPr>
                <w:sz w:val="20"/>
              </w:rPr>
              <w:t>124</w:t>
            </w:r>
          </w:p>
        </w:tc>
        <w:tc>
          <w:tcPr>
            <w:tcW w:w="1133" w:type="dxa"/>
            <w:tcBorders>
              <w:top w:val="single" w:sz="4" w:space="0" w:color="000000"/>
              <w:bottom w:val="single" w:sz="4" w:space="0" w:color="000000"/>
            </w:tcBorders>
          </w:tcPr>
          <w:p w:rsidR="00161017" w:rsidRDefault="00D753BB">
            <w:pPr>
              <w:pStyle w:val="TableParagraph"/>
              <w:spacing w:line="210" w:lineRule="exact"/>
              <w:ind w:left="124" w:right="106"/>
              <w:rPr>
                <w:sz w:val="20"/>
              </w:rPr>
            </w:pPr>
            <w:r>
              <w:rPr>
                <w:sz w:val="20"/>
              </w:rPr>
              <w:t>89</w:t>
            </w:r>
          </w:p>
        </w:tc>
        <w:tc>
          <w:tcPr>
            <w:tcW w:w="994" w:type="dxa"/>
            <w:tcBorders>
              <w:top w:val="single" w:sz="4" w:space="0" w:color="000000"/>
              <w:bottom w:val="single" w:sz="4" w:space="0" w:color="000000"/>
            </w:tcBorders>
          </w:tcPr>
          <w:p w:rsidR="00161017" w:rsidRDefault="00D753BB">
            <w:pPr>
              <w:pStyle w:val="TableParagraph"/>
              <w:spacing w:line="210" w:lineRule="exact"/>
              <w:ind w:left="61" w:right="58"/>
              <w:rPr>
                <w:sz w:val="20"/>
              </w:rPr>
            </w:pPr>
            <w:r>
              <w:rPr>
                <w:sz w:val="20"/>
              </w:rPr>
              <w:t>152</w:t>
            </w:r>
          </w:p>
        </w:tc>
        <w:tc>
          <w:tcPr>
            <w:tcW w:w="1133" w:type="dxa"/>
            <w:vMerge/>
            <w:tcBorders>
              <w:top w:val="nil"/>
              <w:bottom w:val="single" w:sz="4" w:space="0" w:color="000000"/>
            </w:tcBorders>
          </w:tcPr>
          <w:p w:rsidR="00161017" w:rsidRDefault="00161017">
            <w:pPr>
              <w:rPr>
                <w:sz w:val="2"/>
                <w:szCs w:val="2"/>
              </w:rPr>
            </w:pPr>
          </w:p>
        </w:tc>
      </w:tr>
      <w:tr w:rsidR="00161017">
        <w:trPr>
          <w:trHeight w:val="230"/>
        </w:trPr>
        <w:tc>
          <w:tcPr>
            <w:tcW w:w="1843" w:type="dxa"/>
            <w:vMerge w:val="restart"/>
            <w:tcBorders>
              <w:top w:val="single" w:sz="4" w:space="0" w:color="000000"/>
              <w:bottom w:val="single" w:sz="4" w:space="0" w:color="000000"/>
            </w:tcBorders>
          </w:tcPr>
          <w:p w:rsidR="00161017" w:rsidRDefault="00D753BB">
            <w:pPr>
              <w:pStyle w:val="TableParagraph"/>
              <w:spacing w:before="127"/>
              <w:ind w:left="11" w:right="198"/>
              <w:jc w:val="left"/>
              <w:rPr>
                <w:sz w:val="20"/>
              </w:rPr>
            </w:pPr>
            <w:r>
              <w:rPr>
                <w:w w:val="95"/>
                <w:sz w:val="20"/>
              </w:rPr>
              <w:t xml:space="preserve">Cynomolgus </w:t>
            </w:r>
            <w:r>
              <w:rPr>
                <w:sz w:val="20"/>
              </w:rPr>
              <w:t>monkeys:</w:t>
            </w:r>
          </w:p>
          <w:p w:rsidR="00161017" w:rsidRDefault="00D753BB">
            <w:pPr>
              <w:pStyle w:val="TableParagraph"/>
              <w:spacing w:before="1"/>
              <w:ind w:left="11"/>
              <w:jc w:val="left"/>
              <w:rPr>
                <w:sz w:val="20"/>
              </w:rPr>
            </w:pPr>
            <w:r>
              <w:rPr>
                <w:sz w:val="20"/>
              </w:rPr>
              <w:t>Safety pharmacology study</w:t>
            </w:r>
          </w:p>
        </w:tc>
        <w:tc>
          <w:tcPr>
            <w:tcW w:w="708" w:type="dxa"/>
            <w:tcBorders>
              <w:top w:val="single" w:sz="4" w:space="0" w:color="000000"/>
              <w:bottom w:val="single" w:sz="4" w:space="0" w:color="000000"/>
            </w:tcBorders>
          </w:tcPr>
          <w:p w:rsidR="00161017" w:rsidRDefault="00D753BB">
            <w:pPr>
              <w:pStyle w:val="TableParagraph"/>
              <w:spacing w:line="210" w:lineRule="exact"/>
              <w:ind w:left="254"/>
              <w:jc w:val="left"/>
              <w:rPr>
                <w:sz w:val="20"/>
              </w:rPr>
            </w:pPr>
            <w:r>
              <w:rPr>
                <w:w w:val="99"/>
                <w:sz w:val="20"/>
              </w:rPr>
              <w:t>M</w:t>
            </w:r>
          </w:p>
        </w:tc>
        <w:tc>
          <w:tcPr>
            <w:tcW w:w="852" w:type="dxa"/>
            <w:tcBorders>
              <w:top w:val="single" w:sz="4" w:space="0" w:color="000000"/>
              <w:bottom w:val="single" w:sz="4" w:space="0" w:color="000000"/>
            </w:tcBorders>
          </w:tcPr>
          <w:p w:rsidR="00161017" w:rsidRDefault="00D753BB">
            <w:pPr>
              <w:pStyle w:val="TableParagraph"/>
              <w:spacing w:line="210" w:lineRule="exact"/>
              <w:ind w:left="1"/>
              <w:rPr>
                <w:sz w:val="20"/>
              </w:rPr>
            </w:pPr>
            <w:r>
              <w:rPr>
                <w:w w:val="99"/>
                <w:sz w:val="20"/>
              </w:rPr>
              <w:t>1</w:t>
            </w:r>
          </w:p>
        </w:tc>
        <w:tc>
          <w:tcPr>
            <w:tcW w:w="1133" w:type="dxa"/>
            <w:tcBorders>
              <w:top w:val="single" w:sz="4" w:space="0" w:color="000000"/>
              <w:bottom w:val="single" w:sz="4" w:space="0" w:color="000000"/>
            </w:tcBorders>
          </w:tcPr>
          <w:p w:rsidR="00161017" w:rsidRDefault="00D753BB">
            <w:pPr>
              <w:pStyle w:val="TableParagraph"/>
              <w:spacing w:line="210" w:lineRule="exact"/>
              <w:ind w:left="124" w:right="103"/>
              <w:rPr>
                <w:sz w:val="20"/>
              </w:rPr>
            </w:pPr>
            <w:r>
              <w:rPr>
                <w:sz w:val="20"/>
              </w:rPr>
              <w:t>2.0</w:t>
            </w:r>
          </w:p>
        </w:tc>
        <w:tc>
          <w:tcPr>
            <w:tcW w:w="994" w:type="dxa"/>
            <w:tcBorders>
              <w:top w:val="single" w:sz="4" w:space="0" w:color="000000"/>
              <w:bottom w:val="single" w:sz="4" w:space="0" w:color="000000"/>
            </w:tcBorders>
          </w:tcPr>
          <w:p w:rsidR="00161017" w:rsidRDefault="00D753BB">
            <w:pPr>
              <w:pStyle w:val="TableParagraph"/>
              <w:spacing w:line="210" w:lineRule="exact"/>
              <w:ind w:left="61" w:right="64"/>
              <w:rPr>
                <w:sz w:val="20"/>
              </w:rPr>
            </w:pPr>
            <w:r>
              <w:rPr>
                <w:sz w:val="20"/>
              </w:rPr>
              <w:t>NA</w:t>
            </w:r>
          </w:p>
        </w:tc>
        <w:tc>
          <w:tcPr>
            <w:tcW w:w="1133" w:type="dxa"/>
            <w:tcBorders>
              <w:top w:val="single" w:sz="4" w:space="0" w:color="000000"/>
              <w:bottom w:val="single" w:sz="4" w:space="0" w:color="000000"/>
            </w:tcBorders>
          </w:tcPr>
          <w:p w:rsidR="00161017" w:rsidRDefault="00D753BB">
            <w:pPr>
              <w:pStyle w:val="TableParagraph"/>
              <w:spacing w:line="210" w:lineRule="exact"/>
              <w:ind w:left="124" w:right="104"/>
              <w:rPr>
                <w:sz w:val="20"/>
              </w:rPr>
            </w:pPr>
            <w:r>
              <w:rPr>
                <w:sz w:val="20"/>
              </w:rPr>
              <w:t>1.4</w:t>
            </w:r>
          </w:p>
        </w:tc>
        <w:tc>
          <w:tcPr>
            <w:tcW w:w="994" w:type="dxa"/>
            <w:tcBorders>
              <w:top w:val="single" w:sz="4" w:space="0" w:color="000000"/>
              <w:bottom w:val="single" w:sz="4" w:space="0" w:color="000000"/>
            </w:tcBorders>
          </w:tcPr>
          <w:p w:rsidR="00161017" w:rsidRDefault="00D753BB">
            <w:pPr>
              <w:pStyle w:val="TableParagraph"/>
              <w:spacing w:line="210" w:lineRule="exact"/>
              <w:ind w:left="61" w:right="62"/>
              <w:rPr>
                <w:sz w:val="20"/>
              </w:rPr>
            </w:pPr>
            <w:r>
              <w:rPr>
                <w:sz w:val="20"/>
              </w:rPr>
              <w:t>NA</w:t>
            </w:r>
          </w:p>
        </w:tc>
        <w:tc>
          <w:tcPr>
            <w:tcW w:w="1133" w:type="dxa"/>
            <w:vMerge w:val="restart"/>
            <w:tcBorders>
              <w:top w:val="single" w:sz="4" w:space="0" w:color="000000"/>
              <w:bottom w:val="single" w:sz="4" w:space="0" w:color="000000"/>
            </w:tcBorders>
          </w:tcPr>
          <w:p w:rsidR="00161017" w:rsidRDefault="00161017">
            <w:pPr>
              <w:pStyle w:val="TableParagraph"/>
              <w:spacing w:before="1"/>
              <w:jc w:val="left"/>
              <w:rPr>
                <w:b/>
                <w:sz w:val="31"/>
              </w:rPr>
            </w:pPr>
          </w:p>
          <w:p w:rsidR="00161017" w:rsidRDefault="006568EB">
            <w:pPr>
              <w:pStyle w:val="TableParagraph"/>
              <w:ind w:left="108" w:right="108"/>
              <w:rPr>
                <w:sz w:val="20"/>
              </w:rPr>
            </w:pPr>
            <w:r>
              <w:rPr>
                <w:sz w:val="20"/>
              </w:rPr>
              <w:t>Project H</w:t>
            </w:r>
            <w:r w:rsidR="00D753BB">
              <w:rPr>
                <w:sz w:val="20"/>
              </w:rPr>
              <w:t>-PT-</w:t>
            </w:r>
          </w:p>
          <w:p w:rsidR="00161017" w:rsidRDefault="00D753BB">
            <w:pPr>
              <w:pStyle w:val="TableParagraph"/>
              <w:spacing w:before="1"/>
              <w:ind w:left="108" w:right="108"/>
              <w:rPr>
                <w:sz w:val="20"/>
              </w:rPr>
            </w:pPr>
            <w:r>
              <w:rPr>
                <w:sz w:val="20"/>
              </w:rPr>
              <w:t>0004</w:t>
            </w:r>
          </w:p>
        </w:tc>
      </w:tr>
      <w:tr w:rsidR="00161017">
        <w:trPr>
          <w:trHeight w:val="230"/>
        </w:trPr>
        <w:tc>
          <w:tcPr>
            <w:tcW w:w="1843" w:type="dxa"/>
            <w:vMerge/>
            <w:tcBorders>
              <w:top w:val="nil"/>
              <w:bottom w:val="single" w:sz="4" w:space="0" w:color="000000"/>
            </w:tcBorders>
          </w:tcPr>
          <w:p w:rsidR="00161017" w:rsidRDefault="00161017">
            <w:pPr>
              <w:rPr>
                <w:sz w:val="2"/>
                <w:szCs w:val="2"/>
              </w:rPr>
            </w:pPr>
          </w:p>
        </w:tc>
        <w:tc>
          <w:tcPr>
            <w:tcW w:w="708" w:type="dxa"/>
            <w:tcBorders>
              <w:top w:val="single" w:sz="4" w:space="0" w:color="000000"/>
              <w:bottom w:val="single" w:sz="4" w:space="0" w:color="000000"/>
            </w:tcBorders>
          </w:tcPr>
          <w:p w:rsidR="00161017" w:rsidRDefault="00D753BB">
            <w:pPr>
              <w:pStyle w:val="TableParagraph"/>
              <w:spacing w:line="210" w:lineRule="exact"/>
              <w:ind w:left="254"/>
              <w:jc w:val="left"/>
              <w:rPr>
                <w:sz w:val="20"/>
              </w:rPr>
            </w:pPr>
            <w:r>
              <w:rPr>
                <w:w w:val="99"/>
                <w:sz w:val="20"/>
              </w:rPr>
              <w:t>M</w:t>
            </w:r>
          </w:p>
        </w:tc>
        <w:tc>
          <w:tcPr>
            <w:tcW w:w="852" w:type="dxa"/>
            <w:tcBorders>
              <w:top w:val="single" w:sz="4" w:space="0" w:color="000000"/>
              <w:bottom w:val="single" w:sz="4" w:space="0" w:color="000000"/>
            </w:tcBorders>
          </w:tcPr>
          <w:p w:rsidR="00161017" w:rsidRDefault="00D753BB">
            <w:pPr>
              <w:pStyle w:val="TableParagraph"/>
              <w:spacing w:line="210" w:lineRule="exact"/>
              <w:ind w:left="1"/>
              <w:rPr>
                <w:sz w:val="20"/>
              </w:rPr>
            </w:pPr>
            <w:r>
              <w:rPr>
                <w:w w:val="99"/>
                <w:sz w:val="20"/>
              </w:rPr>
              <w:t>3</w:t>
            </w:r>
          </w:p>
        </w:tc>
        <w:tc>
          <w:tcPr>
            <w:tcW w:w="1133" w:type="dxa"/>
            <w:tcBorders>
              <w:top w:val="single" w:sz="4" w:space="0" w:color="000000"/>
              <w:bottom w:val="single" w:sz="4" w:space="0" w:color="000000"/>
            </w:tcBorders>
          </w:tcPr>
          <w:p w:rsidR="00161017" w:rsidRDefault="00D753BB">
            <w:pPr>
              <w:pStyle w:val="TableParagraph"/>
              <w:spacing w:line="210" w:lineRule="exact"/>
              <w:ind w:left="124" w:right="103"/>
              <w:rPr>
                <w:sz w:val="20"/>
              </w:rPr>
            </w:pPr>
            <w:r>
              <w:rPr>
                <w:sz w:val="20"/>
              </w:rPr>
              <w:t>11.4</w:t>
            </w:r>
          </w:p>
        </w:tc>
        <w:tc>
          <w:tcPr>
            <w:tcW w:w="994" w:type="dxa"/>
            <w:tcBorders>
              <w:top w:val="single" w:sz="4" w:space="0" w:color="000000"/>
              <w:bottom w:val="single" w:sz="4" w:space="0" w:color="000000"/>
            </w:tcBorders>
          </w:tcPr>
          <w:p w:rsidR="00161017" w:rsidRDefault="00D753BB">
            <w:pPr>
              <w:pStyle w:val="TableParagraph"/>
              <w:spacing w:line="210" w:lineRule="exact"/>
              <w:ind w:left="61" w:right="64"/>
              <w:rPr>
                <w:sz w:val="20"/>
              </w:rPr>
            </w:pPr>
            <w:r>
              <w:rPr>
                <w:sz w:val="20"/>
              </w:rPr>
              <w:t>NA</w:t>
            </w:r>
          </w:p>
        </w:tc>
        <w:tc>
          <w:tcPr>
            <w:tcW w:w="1133" w:type="dxa"/>
            <w:tcBorders>
              <w:top w:val="single" w:sz="4" w:space="0" w:color="000000"/>
              <w:bottom w:val="single" w:sz="4" w:space="0" w:color="000000"/>
            </w:tcBorders>
          </w:tcPr>
          <w:p w:rsidR="00161017" w:rsidRDefault="00D753BB">
            <w:pPr>
              <w:pStyle w:val="TableParagraph"/>
              <w:spacing w:line="210" w:lineRule="exact"/>
              <w:ind w:left="124" w:right="104"/>
              <w:rPr>
                <w:sz w:val="20"/>
              </w:rPr>
            </w:pPr>
            <w:r>
              <w:rPr>
                <w:sz w:val="20"/>
              </w:rPr>
              <w:t>7.4</w:t>
            </w:r>
          </w:p>
        </w:tc>
        <w:tc>
          <w:tcPr>
            <w:tcW w:w="994" w:type="dxa"/>
            <w:tcBorders>
              <w:top w:val="single" w:sz="4" w:space="0" w:color="000000"/>
              <w:bottom w:val="single" w:sz="4" w:space="0" w:color="000000"/>
            </w:tcBorders>
          </w:tcPr>
          <w:p w:rsidR="00161017" w:rsidRDefault="00D753BB">
            <w:pPr>
              <w:pStyle w:val="TableParagraph"/>
              <w:spacing w:line="210" w:lineRule="exact"/>
              <w:ind w:left="61" w:right="62"/>
              <w:rPr>
                <w:sz w:val="20"/>
              </w:rPr>
            </w:pPr>
            <w:r>
              <w:rPr>
                <w:sz w:val="20"/>
              </w:rPr>
              <w:t>NA</w:t>
            </w:r>
          </w:p>
        </w:tc>
        <w:tc>
          <w:tcPr>
            <w:tcW w:w="1133" w:type="dxa"/>
            <w:vMerge/>
            <w:tcBorders>
              <w:top w:val="nil"/>
              <w:bottom w:val="single" w:sz="4" w:space="0" w:color="000000"/>
            </w:tcBorders>
          </w:tcPr>
          <w:p w:rsidR="00161017" w:rsidRDefault="00161017">
            <w:pPr>
              <w:rPr>
                <w:sz w:val="2"/>
                <w:szCs w:val="2"/>
              </w:rPr>
            </w:pPr>
          </w:p>
        </w:tc>
      </w:tr>
      <w:tr w:rsidR="00161017">
        <w:trPr>
          <w:trHeight w:val="230"/>
        </w:trPr>
        <w:tc>
          <w:tcPr>
            <w:tcW w:w="1843" w:type="dxa"/>
            <w:vMerge/>
            <w:tcBorders>
              <w:top w:val="nil"/>
              <w:bottom w:val="single" w:sz="4" w:space="0" w:color="000000"/>
            </w:tcBorders>
          </w:tcPr>
          <w:p w:rsidR="00161017" w:rsidRDefault="00161017">
            <w:pPr>
              <w:rPr>
                <w:sz w:val="2"/>
                <w:szCs w:val="2"/>
              </w:rPr>
            </w:pPr>
          </w:p>
        </w:tc>
        <w:tc>
          <w:tcPr>
            <w:tcW w:w="708" w:type="dxa"/>
            <w:tcBorders>
              <w:top w:val="single" w:sz="4" w:space="0" w:color="000000"/>
              <w:bottom w:val="single" w:sz="4" w:space="0" w:color="000000"/>
            </w:tcBorders>
          </w:tcPr>
          <w:p w:rsidR="00161017" w:rsidRDefault="00D753BB">
            <w:pPr>
              <w:pStyle w:val="TableParagraph"/>
              <w:spacing w:line="210" w:lineRule="exact"/>
              <w:ind w:left="254"/>
              <w:jc w:val="left"/>
              <w:rPr>
                <w:sz w:val="20"/>
              </w:rPr>
            </w:pPr>
            <w:r>
              <w:rPr>
                <w:w w:val="99"/>
                <w:sz w:val="20"/>
              </w:rPr>
              <w:t>M</w:t>
            </w:r>
          </w:p>
        </w:tc>
        <w:tc>
          <w:tcPr>
            <w:tcW w:w="852" w:type="dxa"/>
            <w:tcBorders>
              <w:top w:val="single" w:sz="4" w:space="0" w:color="000000"/>
              <w:bottom w:val="single" w:sz="4" w:space="0" w:color="000000"/>
            </w:tcBorders>
          </w:tcPr>
          <w:p w:rsidR="00161017" w:rsidRDefault="00D753BB">
            <w:pPr>
              <w:pStyle w:val="TableParagraph"/>
              <w:spacing w:line="210" w:lineRule="exact"/>
              <w:ind w:right="311"/>
              <w:jc w:val="right"/>
              <w:rPr>
                <w:sz w:val="20"/>
              </w:rPr>
            </w:pPr>
            <w:r>
              <w:rPr>
                <w:sz w:val="20"/>
              </w:rPr>
              <w:t>10</w:t>
            </w:r>
          </w:p>
        </w:tc>
        <w:tc>
          <w:tcPr>
            <w:tcW w:w="1133" w:type="dxa"/>
            <w:tcBorders>
              <w:top w:val="single" w:sz="4" w:space="0" w:color="000000"/>
              <w:bottom w:val="single" w:sz="4" w:space="0" w:color="000000"/>
            </w:tcBorders>
          </w:tcPr>
          <w:p w:rsidR="00161017" w:rsidRDefault="00D753BB">
            <w:pPr>
              <w:pStyle w:val="TableParagraph"/>
              <w:spacing w:line="210" w:lineRule="exact"/>
              <w:ind w:left="124" w:right="103"/>
              <w:rPr>
                <w:sz w:val="20"/>
              </w:rPr>
            </w:pPr>
            <w:r>
              <w:rPr>
                <w:sz w:val="20"/>
              </w:rPr>
              <w:t>73.1</w:t>
            </w:r>
          </w:p>
        </w:tc>
        <w:tc>
          <w:tcPr>
            <w:tcW w:w="994" w:type="dxa"/>
            <w:tcBorders>
              <w:top w:val="single" w:sz="4" w:space="0" w:color="000000"/>
              <w:bottom w:val="single" w:sz="4" w:space="0" w:color="000000"/>
            </w:tcBorders>
          </w:tcPr>
          <w:p w:rsidR="00161017" w:rsidRDefault="00D753BB">
            <w:pPr>
              <w:pStyle w:val="TableParagraph"/>
              <w:spacing w:line="210" w:lineRule="exact"/>
              <w:ind w:left="61" w:right="64"/>
              <w:rPr>
                <w:sz w:val="20"/>
              </w:rPr>
            </w:pPr>
            <w:r>
              <w:rPr>
                <w:sz w:val="20"/>
              </w:rPr>
              <w:t>NA</w:t>
            </w:r>
          </w:p>
        </w:tc>
        <w:tc>
          <w:tcPr>
            <w:tcW w:w="1133" w:type="dxa"/>
            <w:tcBorders>
              <w:top w:val="single" w:sz="4" w:space="0" w:color="000000"/>
              <w:bottom w:val="single" w:sz="4" w:space="0" w:color="000000"/>
            </w:tcBorders>
          </w:tcPr>
          <w:p w:rsidR="00161017" w:rsidRDefault="00D753BB">
            <w:pPr>
              <w:pStyle w:val="TableParagraph"/>
              <w:spacing w:line="210" w:lineRule="exact"/>
              <w:ind w:left="124" w:right="104"/>
              <w:rPr>
                <w:sz w:val="20"/>
              </w:rPr>
            </w:pPr>
            <w:r>
              <w:rPr>
                <w:sz w:val="20"/>
              </w:rPr>
              <w:t>82.0</w:t>
            </w:r>
          </w:p>
        </w:tc>
        <w:tc>
          <w:tcPr>
            <w:tcW w:w="994" w:type="dxa"/>
            <w:tcBorders>
              <w:top w:val="single" w:sz="4" w:space="0" w:color="000000"/>
              <w:bottom w:val="single" w:sz="4" w:space="0" w:color="000000"/>
            </w:tcBorders>
          </w:tcPr>
          <w:p w:rsidR="00161017" w:rsidRDefault="00D753BB">
            <w:pPr>
              <w:pStyle w:val="TableParagraph"/>
              <w:spacing w:line="210" w:lineRule="exact"/>
              <w:ind w:left="61" w:right="62"/>
              <w:rPr>
                <w:sz w:val="20"/>
              </w:rPr>
            </w:pPr>
            <w:r>
              <w:rPr>
                <w:sz w:val="20"/>
              </w:rPr>
              <w:t>NA</w:t>
            </w:r>
          </w:p>
        </w:tc>
        <w:tc>
          <w:tcPr>
            <w:tcW w:w="1133" w:type="dxa"/>
            <w:vMerge/>
            <w:tcBorders>
              <w:top w:val="nil"/>
              <w:bottom w:val="single" w:sz="4" w:space="0" w:color="000000"/>
            </w:tcBorders>
          </w:tcPr>
          <w:p w:rsidR="00161017" w:rsidRDefault="00161017">
            <w:pPr>
              <w:rPr>
                <w:sz w:val="2"/>
                <w:szCs w:val="2"/>
              </w:rPr>
            </w:pPr>
          </w:p>
        </w:tc>
      </w:tr>
      <w:tr w:rsidR="00161017">
        <w:trPr>
          <w:trHeight w:val="227"/>
        </w:trPr>
        <w:tc>
          <w:tcPr>
            <w:tcW w:w="1843" w:type="dxa"/>
            <w:vMerge/>
            <w:tcBorders>
              <w:top w:val="nil"/>
              <w:bottom w:val="single" w:sz="4" w:space="0" w:color="000000"/>
            </w:tcBorders>
          </w:tcPr>
          <w:p w:rsidR="00161017" w:rsidRDefault="00161017">
            <w:pPr>
              <w:rPr>
                <w:sz w:val="2"/>
                <w:szCs w:val="2"/>
              </w:rPr>
            </w:pPr>
          </w:p>
        </w:tc>
        <w:tc>
          <w:tcPr>
            <w:tcW w:w="708" w:type="dxa"/>
            <w:tcBorders>
              <w:top w:val="single" w:sz="4" w:space="0" w:color="000000"/>
              <w:bottom w:val="single" w:sz="4" w:space="0" w:color="000000"/>
            </w:tcBorders>
          </w:tcPr>
          <w:p w:rsidR="00161017" w:rsidRDefault="00D753BB">
            <w:pPr>
              <w:pStyle w:val="TableParagraph"/>
              <w:spacing w:line="208" w:lineRule="exact"/>
              <w:ind w:left="254"/>
              <w:jc w:val="left"/>
              <w:rPr>
                <w:sz w:val="20"/>
              </w:rPr>
            </w:pPr>
            <w:r>
              <w:rPr>
                <w:w w:val="99"/>
                <w:sz w:val="20"/>
              </w:rPr>
              <w:t>M</w:t>
            </w:r>
          </w:p>
        </w:tc>
        <w:tc>
          <w:tcPr>
            <w:tcW w:w="852" w:type="dxa"/>
            <w:tcBorders>
              <w:top w:val="single" w:sz="4" w:space="0" w:color="000000"/>
              <w:bottom w:val="single" w:sz="4" w:space="0" w:color="000000"/>
            </w:tcBorders>
          </w:tcPr>
          <w:p w:rsidR="00161017" w:rsidRDefault="00D753BB">
            <w:pPr>
              <w:pStyle w:val="TableParagraph"/>
              <w:spacing w:line="208" w:lineRule="exact"/>
              <w:ind w:right="311"/>
              <w:jc w:val="right"/>
              <w:rPr>
                <w:sz w:val="20"/>
              </w:rPr>
            </w:pPr>
            <w:r>
              <w:rPr>
                <w:sz w:val="20"/>
              </w:rPr>
              <w:t>30</w:t>
            </w:r>
          </w:p>
        </w:tc>
        <w:tc>
          <w:tcPr>
            <w:tcW w:w="1133" w:type="dxa"/>
            <w:tcBorders>
              <w:top w:val="single" w:sz="4" w:space="0" w:color="000000"/>
              <w:bottom w:val="single" w:sz="4" w:space="0" w:color="000000"/>
            </w:tcBorders>
          </w:tcPr>
          <w:p w:rsidR="00161017" w:rsidRDefault="00D753BB">
            <w:pPr>
              <w:pStyle w:val="TableParagraph"/>
              <w:spacing w:line="208" w:lineRule="exact"/>
              <w:ind w:left="124" w:right="105"/>
              <w:rPr>
                <w:sz w:val="20"/>
              </w:rPr>
            </w:pPr>
            <w:r>
              <w:rPr>
                <w:sz w:val="20"/>
              </w:rPr>
              <w:t>164</w:t>
            </w:r>
          </w:p>
        </w:tc>
        <w:tc>
          <w:tcPr>
            <w:tcW w:w="994" w:type="dxa"/>
            <w:tcBorders>
              <w:top w:val="single" w:sz="4" w:space="0" w:color="000000"/>
              <w:bottom w:val="single" w:sz="4" w:space="0" w:color="000000"/>
            </w:tcBorders>
          </w:tcPr>
          <w:p w:rsidR="00161017" w:rsidRDefault="00D753BB">
            <w:pPr>
              <w:pStyle w:val="TableParagraph"/>
              <w:spacing w:line="208" w:lineRule="exact"/>
              <w:ind w:left="61" w:right="64"/>
              <w:rPr>
                <w:sz w:val="20"/>
              </w:rPr>
            </w:pPr>
            <w:r>
              <w:rPr>
                <w:sz w:val="20"/>
              </w:rPr>
              <w:t>NA</w:t>
            </w:r>
          </w:p>
        </w:tc>
        <w:tc>
          <w:tcPr>
            <w:tcW w:w="1133" w:type="dxa"/>
            <w:tcBorders>
              <w:top w:val="single" w:sz="4" w:space="0" w:color="000000"/>
              <w:bottom w:val="single" w:sz="4" w:space="0" w:color="000000"/>
            </w:tcBorders>
          </w:tcPr>
          <w:p w:rsidR="00161017" w:rsidRDefault="00D753BB">
            <w:pPr>
              <w:pStyle w:val="TableParagraph"/>
              <w:spacing w:line="208" w:lineRule="exact"/>
              <w:ind w:left="124" w:right="106"/>
              <w:rPr>
                <w:sz w:val="20"/>
              </w:rPr>
            </w:pPr>
            <w:r>
              <w:rPr>
                <w:sz w:val="20"/>
              </w:rPr>
              <w:t>161</w:t>
            </w:r>
          </w:p>
        </w:tc>
        <w:tc>
          <w:tcPr>
            <w:tcW w:w="994" w:type="dxa"/>
            <w:tcBorders>
              <w:top w:val="single" w:sz="4" w:space="0" w:color="000000"/>
              <w:bottom w:val="single" w:sz="4" w:space="0" w:color="000000"/>
            </w:tcBorders>
          </w:tcPr>
          <w:p w:rsidR="00161017" w:rsidRDefault="00D753BB">
            <w:pPr>
              <w:pStyle w:val="TableParagraph"/>
              <w:spacing w:line="208" w:lineRule="exact"/>
              <w:ind w:left="61" w:right="62"/>
              <w:rPr>
                <w:sz w:val="20"/>
              </w:rPr>
            </w:pPr>
            <w:r>
              <w:rPr>
                <w:sz w:val="20"/>
              </w:rPr>
              <w:t>NA</w:t>
            </w:r>
          </w:p>
        </w:tc>
        <w:tc>
          <w:tcPr>
            <w:tcW w:w="1133" w:type="dxa"/>
            <w:vMerge/>
            <w:tcBorders>
              <w:top w:val="nil"/>
              <w:bottom w:val="single" w:sz="4" w:space="0" w:color="000000"/>
            </w:tcBorders>
          </w:tcPr>
          <w:p w:rsidR="00161017" w:rsidRDefault="00161017">
            <w:pPr>
              <w:rPr>
                <w:sz w:val="2"/>
                <w:szCs w:val="2"/>
              </w:rPr>
            </w:pPr>
          </w:p>
        </w:tc>
      </w:tr>
      <w:tr w:rsidR="00161017">
        <w:trPr>
          <w:trHeight w:val="230"/>
        </w:trPr>
        <w:tc>
          <w:tcPr>
            <w:tcW w:w="1843" w:type="dxa"/>
            <w:vMerge/>
            <w:tcBorders>
              <w:top w:val="nil"/>
              <w:bottom w:val="single" w:sz="4" w:space="0" w:color="000000"/>
            </w:tcBorders>
          </w:tcPr>
          <w:p w:rsidR="00161017" w:rsidRDefault="00161017">
            <w:pPr>
              <w:rPr>
                <w:sz w:val="2"/>
                <w:szCs w:val="2"/>
              </w:rPr>
            </w:pPr>
          </w:p>
        </w:tc>
        <w:tc>
          <w:tcPr>
            <w:tcW w:w="708" w:type="dxa"/>
            <w:tcBorders>
              <w:top w:val="single" w:sz="4" w:space="0" w:color="000000"/>
              <w:bottom w:val="single" w:sz="4" w:space="0" w:color="000000"/>
            </w:tcBorders>
          </w:tcPr>
          <w:p w:rsidR="00161017" w:rsidRDefault="00D753BB">
            <w:pPr>
              <w:pStyle w:val="TableParagraph"/>
              <w:spacing w:line="210" w:lineRule="exact"/>
              <w:ind w:left="254"/>
              <w:jc w:val="left"/>
              <w:rPr>
                <w:sz w:val="20"/>
              </w:rPr>
            </w:pPr>
            <w:r>
              <w:rPr>
                <w:w w:val="99"/>
                <w:sz w:val="20"/>
              </w:rPr>
              <w:t>M</w:t>
            </w:r>
          </w:p>
        </w:tc>
        <w:tc>
          <w:tcPr>
            <w:tcW w:w="852" w:type="dxa"/>
            <w:tcBorders>
              <w:top w:val="single" w:sz="4" w:space="0" w:color="000000"/>
              <w:bottom w:val="single" w:sz="4" w:space="0" w:color="000000"/>
            </w:tcBorders>
          </w:tcPr>
          <w:p w:rsidR="00161017" w:rsidRDefault="00D753BB">
            <w:pPr>
              <w:pStyle w:val="TableParagraph"/>
              <w:spacing w:line="210" w:lineRule="exact"/>
              <w:ind w:right="311"/>
              <w:jc w:val="right"/>
              <w:rPr>
                <w:sz w:val="20"/>
              </w:rPr>
            </w:pPr>
            <w:r>
              <w:rPr>
                <w:sz w:val="20"/>
              </w:rPr>
              <w:t>60</w:t>
            </w:r>
          </w:p>
        </w:tc>
        <w:tc>
          <w:tcPr>
            <w:tcW w:w="1133" w:type="dxa"/>
            <w:tcBorders>
              <w:top w:val="single" w:sz="4" w:space="0" w:color="000000"/>
              <w:bottom w:val="single" w:sz="4" w:space="0" w:color="000000"/>
            </w:tcBorders>
          </w:tcPr>
          <w:p w:rsidR="00161017" w:rsidRDefault="00D753BB">
            <w:pPr>
              <w:pStyle w:val="TableParagraph"/>
              <w:spacing w:line="210" w:lineRule="exact"/>
              <w:ind w:left="124" w:right="105"/>
              <w:rPr>
                <w:sz w:val="20"/>
              </w:rPr>
            </w:pPr>
            <w:r>
              <w:rPr>
                <w:sz w:val="20"/>
              </w:rPr>
              <w:t>140</w:t>
            </w:r>
          </w:p>
        </w:tc>
        <w:tc>
          <w:tcPr>
            <w:tcW w:w="994" w:type="dxa"/>
            <w:tcBorders>
              <w:top w:val="single" w:sz="4" w:space="0" w:color="000000"/>
              <w:bottom w:val="single" w:sz="4" w:space="0" w:color="000000"/>
            </w:tcBorders>
          </w:tcPr>
          <w:p w:rsidR="00161017" w:rsidRDefault="00D753BB">
            <w:pPr>
              <w:pStyle w:val="TableParagraph"/>
              <w:spacing w:line="210" w:lineRule="exact"/>
              <w:ind w:left="61" w:right="64"/>
              <w:rPr>
                <w:sz w:val="20"/>
              </w:rPr>
            </w:pPr>
            <w:r>
              <w:rPr>
                <w:sz w:val="20"/>
              </w:rPr>
              <w:t>NA</w:t>
            </w:r>
          </w:p>
        </w:tc>
        <w:tc>
          <w:tcPr>
            <w:tcW w:w="1133" w:type="dxa"/>
            <w:tcBorders>
              <w:top w:val="single" w:sz="4" w:space="0" w:color="000000"/>
              <w:bottom w:val="single" w:sz="4" w:space="0" w:color="000000"/>
            </w:tcBorders>
          </w:tcPr>
          <w:p w:rsidR="00161017" w:rsidRDefault="00D753BB">
            <w:pPr>
              <w:pStyle w:val="TableParagraph"/>
              <w:spacing w:line="210" w:lineRule="exact"/>
              <w:ind w:left="124" w:right="106"/>
              <w:rPr>
                <w:sz w:val="20"/>
              </w:rPr>
            </w:pPr>
            <w:r>
              <w:rPr>
                <w:sz w:val="20"/>
              </w:rPr>
              <w:t>156</w:t>
            </w:r>
          </w:p>
        </w:tc>
        <w:tc>
          <w:tcPr>
            <w:tcW w:w="994" w:type="dxa"/>
            <w:tcBorders>
              <w:top w:val="single" w:sz="4" w:space="0" w:color="000000"/>
              <w:bottom w:val="single" w:sz="4" w:space="0" w:color="000000"/>
            </w:tcBorders>
          </w:tcPr>
          <w:p w:rsidR="00161017" w:rsidRDefault="00D753BB">
            <w:pPr>
              <w:pStyle w:val="TableParagraph"/>
              <w:spacing w:line="210" w:lineRule="exact"/>
              <w:ind w:left="61" w:right="62"/>
              <w:rPr>
                <w:sz w:val="20"/>
              </w:rPr>
            </w:pPr>
            <w:r>
              <w:rPr>
                <w:sz w:val="20"/>
              </w:rPr>
              <w:t>NA</w:t>
            </w:r>
          </w:p>
        </w:tc>
        <w:tc>
          <w:tcPr>
            <w:tcW w:w="1133" w:type="dxa"/>
            <w:vMerge/>
            <w:tcBorders>
              <w:top w:val="nil"/>
              <w:bottom w:val="single" w:sz="4" w:space="0" w:color="000000"/>
            </w:tcBorders>
          </w:tcPr>
          <w:p w:rsidR="00161017" w:rsidRDefault="00161017">
            <w:pPr>
              <w:rPr>
                <w:sz w:val="2"/>
                <w:szCs w:val="2"/>
              </w:rPr>
            </w:pPr>
          </w:p>
        </w:tc>
      </w:tr>
      <w:tr w:rsidR="00161017">
        <w:trPr>
          <w:trHeight w:val="460"/>
        </w:trPr>
        <w:tc>
          <w:tcPr>
            <w:tcW w:w="1843" w:type="dxa"/>
            <w:vMerge w:val="restart"/>
            <w:tcBorders>
              <w:top w:val="single" w:sz="4" w:space="0" w:color="000000"/>
              <w:bottom w:val="single" w:sz="4" w:space="0" w:color="000000"/>
            </w:tcBorders>
          </w:tcPr>
          <w:p w:rsidR="00161017" w:rsidRDefault="00D753BB">
            <w:pPr>
              <w:pStyle w:val="TableParagraph"/>
              <w:spacing w:before="5"/>
              <w:ind w:left="11" w:right="198"/>
              <w:jc w:val="left"/>
              <w:rPr>
                <w:sz w:val="20"/>
              </w:rPr>
            </w:pPr>
            <w:r>
              <w:rPr>
                <w:w w:val="95"/>
                <w:sz w:val="20"/>
              </w:rPr>
              <w:t xml:space="preserve">Cynomolgus </w:t>
            </w:r>
            <w:r>
              <w:rPr>
                <w:sz w:val="20"/>
              </w:rPr>
              <w:t>monkeys:</w:t>
            </w:r>
          </w:p>
          <w:p w:rsidR="00161017" w:rsidRDefault="00D753BB">
            <w:pPr>
              <w:pStyle w:val="TableParagraph"/>
              <w:spacing w:before="1" w:line="230" w:lineRule="exact"/>
              <w:ind w:left="11" w:right="198"/>
              <w:jc w:val="left"/>
              <w:rPr>
                <w:sz w:val="20"/>
              </w:rPr>
            </w:pPr>
            <w:r>
              <w:rPr>
                <w:sz w:val="20"/>
              </w:rPr>
              <w:t>(non-GLP) Exploratory 1-week oral dose toxicity study</w:t>
            </w:r>
          </w:p>
        </w:tc>
        <w:tc>
          <w:tcPr>
            <w:tcW w:w="708" w:type="dxa"/>
            <w:tcBorders>
              <w:top w:val="single" w:sz="4" w:space="0" w:color="000000"/>
              <w:bottom w:val="single" w:sz="4" w:space="0" w:color="000000"/>
            </w:tcBorders>
          </w:tcPr>
          <w:p w:rsidR="00161017" w:rsidRDefault="00D753BB">
            <w:pPr>
              <w:pStyle w:val="TableParagraph"/>
              <w:spacing w:line="228" w:lineRule="exact"/>
              <w:ind w:left="254" w:right="254"/>
              <w:rPr>
                <w:sz w:val="20"/>
              </w:rPr>
            </w:pPr>
            <w:r>
              <w:rPr>
                <w:sz w:val="20"/>
              </w:rPr>
              <w:t>M</w:t>
            </w:r>
            <w:r>
              <w:rPr>
                <w:w w:val="99"/>
                <w:sz w:val="20"/>
              </w:rPr>
              <w:t xml:space="preserve"> </w:t>
            </w:r>
            <w:r>
              <w:rPr>
                <w:sz w:val="20"/>
              </w:rPr>
              <w:t>F</w:t>
            </w:r>
          </w:p>
        </w:tc>
        <w:tc>
          <w:tcPr>
            <w:tcW w:w="852" w:type="dxa"/>
            <w:tcBorders>
              <w:top w:val="single" w:sz="4" w:space="0" w:color="000000"/>
              <w:bottom w:val="single" w:sz="4" w:space="0" w:color="000000"/>
            </w:tcBorders>
          </w:tcPr>
          <w:p w:rsidR="00161017" w:rsidRDefault="00D753BB">
            <w:pPr>
              <w:pStyle w:val="TableParagraph"/>
              <w:spacing w:line="224" w:lineRule="exact"/>
              <w:ind w:left="1"/>
              <w:rPr>
                <w:sz w:val="20"/>
              </w:rPr>
            </w:pPr>
            <w:r>
              <w:rPr>
                <w:w w:val="99"/>
                <w:sz w:val="20"/>
              </w:rPr>
              <w:t>3</w:t>
            </w:r>
          </w:p>
          <w:p w:rsidR="00161017" w:rsidRDefault="00D753BB">
            <w:pPr>
              <w:pStyle w:val="TableParagraph"/>
              <w:spacing w:line="216" w:lineRule="exact"/>
              <w:ind w:left="1"/>
              <w:rPr>
                <w:sz w:val="20"/>
              </w:rPr>
            </w:pPr>
            <w:r>
              <w:rPr>
                <w:w w:val="99"/>
                <w:sz w:val="20"/>
              </w:rPr>
              <w:t>3</w:t>
            </w:r>
          </w:p>
        </w:tc>
        <w:tc>
          <w:tcPr>
            <w:tcW w:w="1133" w:type="dxa"/>
            <w:tcBorders>
              <w:top w:val="single" w:sz="4" w:space="0" w:color="000000"/>
              <w:bottom w:val="single" w:sz="4" w:space="0" w:color="000000"/>
            </w:tcBorders>
          </w:tcPr>
          <w:p w:rsidR="00161017" w:rsidRDefault="00D753BB">
            <w:pPr>
              <w:pStyle w:val="TableParagraph"/>
              <w:spacing w:line="224" w:lineRule="exact"/>
              <w:ind w:left="124" w:right="103"/>
              <w:rPr>
                <w:sz w:val="20"/>
              </w:rPr>
            </w:pPr>
            <w:r>
              <w:rPr>
                <w:sz w:val="20"/>
              </w:rPr>
              <w:t>9.2</w:t>
            </w:r>
          </w:p>
          <w:p w:rsidR="00161017" w:rsidRDefault="00D753BB">
            <w:pPr>
              <w:pStyle w:val="TableParagraph"/>
              <w:spacing w:line="216" w:lineRule="exact"/>
              <w:ind w:left="124" w:right="105"/>
              <w:rPr>
                <w:sz w:val="20"/>
              </w:rPr>
            </w:pPr>
            <w:r>
              <w:rPr>
                <w:sz w:val="20"/>
              </w:rPr>
              <w:t>21</w:t>
            </w:r>
          </w:p>
        </w:tc>
        <w:tc>
          <w:tcPr>
            <w:tcW w:w="994" w:type="dxa"/>
            <w:tcBorders>
              <w:top w:val="single" w:sz="4" w:space="0" w:color="000000"/>
              <w:bottom w:val="single" w:sz="4" w:space="0" w:color="000000"/>
            </w:tcBorders>
          </w:tcPr>
          <w:p w:rsidR="00161017" w:rsidRDefault="00D753BB">
            <w:pPr>
              <w:pStyle w:val="TableParagraph"/>
              <w:spacing w:line="224" w:lineRule="exact"/>
              <w:ind w:left="61" w:right="61"/>
              <w:rPr>
                <w:sz w:val="20"/>
              </w:rPr>
            </w:pPr>
            <w:r>
              <w:rPr>
                <w:sz w:val="20"/>
              </w:rPr>
              <w:t>17</w:t>
            </w:r>
          </w:p>
          <w:p w:rsidR="00161017" w:rsidRDefault="00D753BB">
            <w:pPr>
              <w:pStyle w:val="TableParagraph"/>
              <w:spacing w:line="216" w:lineRule="exact"/>
              <w:ind w:left="61" w:right="61"/>
              <w:rPr>
                <w:sz w:val="20"/>
              </w:rPr>
            </w:pPr>
            <w:r>
              <w:rPr>
                <w:sz w:val="20"/>
              </w:rPr>
              <w:t>48</w:t>
            </w:r>
          </w:p>
        </w:tc>
        <w:tc>
          <w:tcPr>
            <w:tcW w:w="1133" w:type="dxa"/>
            <w:tcBorders>
              <w:top w:val="single" w:sz="4" w:space="0" w:color="000000"/>
              <w:bottom w:val="single" w:sz="4" w:space="0" w:color="000000"/>
            </w:tcBorders>
          </w:tcPr>
          <w:p w:rsidR="00161017" w:rsidRDefault="00D753BB">
            <w:pPr>
              <w:pStyle w:val="TableParagraph"/>
              <w:spacing w:line="224" w:lineRule="exact"/>
              <w:ind w:left="124" w:right="104"/>
              <w:rPr>
                <w:sz w:val="20"/>
              </w:rPr>
            </w:pPr>
            <w:r>
              <w:rPr>
                <w:sz w:val="20"/>
              </w:rPr>
              <w:t>5.3</w:t>
            </w:r>
          </w:p>
          <w:p w:rsidR="00161017" w:rsidRDefault="00D753BB">
            <w:pPr>
              <w:pStyle w:val="TableParagraph"/>
              <w:spacing w:line="216" w:lineRule="exact"/>
              <w:ind w:left="124" w:right="104"/>
              <w:rPr>
                <w:sz w:val="20"/>
              </w:rPr>
            </w:pPr>
            <w:r>
              <w:rPr>
                <w:sz w:val="20"/>
              </w:rPr>
              <w:t>8.6</w:t>
            </w:r>
          </w:p>
        </w:tc>
        <w:tc>
          <w:tcPr>
            <w:tcW w:w="994" w:type="dxa"/>
            <w:tcBorders>
              <w:top w:val="single" w:sz="4" w:space="0" w:color="000000"/>
              <w:bottom w:val="single" w:sz="4" w:space="0" w:color="000000"/>
            </w:tcBorders>
          </w:tcPr>
          <w:p w:rsidR="00161017" w:rsidRDefault="00D753BB">
            <w:pPr>
              <w:pStyle w:val="TableParagraph"/>
              <w:spacing w:line="224" w:lineRule="exact"/>
              <w:ind w:left="61" w:right="58"/>
              <w:rPr>
                <w:sz w:val="20"/>
              </w:rPr>
            </w:pPr>
            <w:r>
              <w:rPr>
                <w:sz w:val="20"/>
              </w:rPr>
              <w:t>13</w:t>
            </w:r>
          </w:p>
          <w:p w:rsidR="00161017" w:rsidRDefault="00D753BB">
            <w:pPr>
              <w:pStyle w:val="TableParagraph"/>
              <w:spacing w:line="216" w:lineRule="exact"/>
              <w:ind w:left="61" w:right="58"/>
              <w:rPr>
                <w:sz w:val="20"/>
              </w:rPr>
            </w:pPr>
            <w:r>
              <w:rPr>
                <w:sz w:val="20"/>
              </w:rPr>
              <w:t>16</w:t>
            </w:r>
          </w:p>
        </w:tc>
        <w:tc>
          <w:tcPr>
            <w:tcW w:w="1133" w:type="dxa"/>
            <w:vMerge w:val="restart"/>
            <w:tcBorders>
              <w:top w:val="single" w:sz="4" w:space="0" w:color="000000"/>
              <w:bottom w:val="single" w:sz="4" w:space="0" w:color="000000"/>
            </w:tcBorders>
          </w:tcPr>
          <w:p w:rsidR="00161017" w:rsidRDefault="00161017">
            <w:pPr>
              <w:pStyle w:val="TableParagraph"/>
              <w:jc w:val="left"/>
              <w:rPr>
                <w:b/>
              </w:rPr>
            </w:pPr>
          </w:p>
          <w:p w:rsidR="00161017" w:rsidRDefault="00161017">
            <w:pPr>
              <w:pStyle w:val="TableParagraph"/>
              <w:spacing w:before="3"/>
              <w:jc w:val="left"/>
              <w:rPr>
                <w:b/>
                <w:sz w:val="18"/>
              </w:rPr>
            </w:pPr>
          </w:p>
          <w:p w:rsidR="00161017" w:rsidRDefault="006568EB">
            <w:pPr>
              <w:pStyle w:val="TableParagraph"/>
              <w:ind w:left="107" w:right="108"/>
              <w:rPr>
                <w:sz w:val="20"/>
              </w:rPr>
            </w:pPr>
            <w:r>
              <w:rPr>
                <w:sz w:val="20"/>
              </w:rPr>
              <w:t>Project H</w:t>
            </w:r>
            <w:r w:rsidR="00D753BB">
              <w:rPr>
                <w:sz w:val="20"/>
              </w:rPr>
              <w:t>-TX-</w:t>
            </w:r>
          </w:p>
          <w:p w:rsidR="00161017" w:rsidRDefault="00D753BB">
            <w:pPr>
              <w:pStyle w:val="TableParagraph"/>
              <w:spacing w:before="1"/>
              <w:ind w:left="108" w:right="108"/>
              <w:rPr>
                <w:sz w:val="20"/>
              </w:rPr>
            </w:pPr>
            <w:r>
              <w:rPr>
                <w:sz w:val="20"/>
              </w:rPr>
              <w:t>0015</w:t>
            </w:r>
          </w:p>
        </w:tc>
      </w:tr>
      <w:tr w:rsidR="00161017">
        <w:trPr>
          <w:trHeight w:val="460"/>
        </w:trPr>
        <w:tc>
          <w:tcPr>
            <w:tcW w:w="1843" w:type="dxa"/>
            <w:vMerge/>
            <w:tcBorders>
              <w:top w:val="nil"/>
              <w:bottom w:val="single" w:sz="4" w:space="0" w:color="000000"/>
            </w:tcBorders>
          </w:tcPr>
          <w:p w:rsidR="00161017" w:rsidRDefault="00161017">
            <w:pPr>
              <w:rPr>
                <w:sz w:val="2"/>
                <w:szCs w:val="2"/>
              </w:rPr>
            </w:pPr>
          </w:p>
        </w:tc>
        <w:tc>
          <w:tcPr>
            <w:tcW w:w="708" w:type="dxa"/>
            <w:tcBorders>
              <w:top w:val="single" w:sz="4" w:space="0" w:color="000000"/>
              <w:bottom w:val="single" w:sz="4" w:space="0" w:color="000000"/>
            </w:tcBorders>
          </w:tcPr>
          <w:p w:rsidR="00161017" w:rsidRDefault="00D753BB">
            <w:pPr>
              <w:pStyle w:val="TableParagraph"/>
              <w:spacing w:line="223" w:lineRule="exact"/>
              <w:rPr>
                <w:sz w:val="20"/>
              </w:rPr>
            </w:pPr>
            <w:r>
              <w:rPr>
                <w:w w:val="99"/>
                <w:sz w:val="20"/>
              </w:rPr>
              <w:t>M</w:t>
            </w:r>
          </w:p>
          <w:p w:rsidR="00161017" w:rsidRDefault="00D753BB">
            <w:pPr>
              <w:pStyle w:val="TableParagraph"/>
              <w:spacing w:line="217" w:lineRule="exact"/>
              <w:ind w:right="1"/>
              <w:rPr>
                <w:sz w:val="20"/>
              </w:rPr>
            </w:pPr>
            <w:r>
              <w:rPr>
                <w:w w:val="99"/>
                <w:sz w:val="20"/>
              </w:rPr>
              <w:t>F</w:t>
            </w:r>
          </w:p>
        </w:tc>
        <w:tc>
          <w:tcPr>
            <w:tcW w:w="852" w:type="dxa"/>
            <w:tcBorders>
              <w:top w:val="single" w:sz="4" w:space="0" w:color="000000"/>
              <w:bottom w:val="single" w:sz="4" w:space="0" w:color="000000"/>
            </w:tcBorders>
          </w:tcPr>
          <w:p w:rsidR="00161017" w:rsidRDefault="00D753BB">
            <w:pPr>
              <w:pStyle w:val="TableParagraph"/>
              <w:spacing w:line="223" w:lineRule="exact"/>
              <w:ind w:left="246" w:right="244"/>
              <w:rPr>
                <w:sz w:val="20"/>
              </w:rPr>
            </w:pPr>
            <w:r>
              <w:rPr>
                <w:sz w:val="20"/>
              </w:rPr>
              <w:t>10</w:t>
            </w:r>
          </w:p>
          <w:p w:rsidR="00161017" w:rsidRDefault="00D753BB">
            <w:pPr>
              <w:pStyle w:val="TableParagraph"/>
              <w:spacing w:line="217" w:lineRule="exact"/>
              <w:ind w:left="246" w:right="244"/>
              <w:rPr>
                <w:sz w:val="20"/>
              </w:rPr>
            </w:pPr>
            <w:r>
              <w:rPr>
                <w:sz w:val="20"/>
                <w:u w:val="single"/>
              </w:rPr>
              <w:t>10</w:t>
            </w:r>
          </w:p>
        </w:tc>
        <w:tc>
          <w:tcPr>
            <w:tcW w:w="1133" w:type="dxa"/>
            <w:tcBorders>
              <w:top w:val="single" w:sz="4" w:space="0" w:color="000000"/>
              <w:bottom w:val="single" w:sz="4" w:space="0" w:color="000000"/>
            </w:tcBorders>
          </w:tcPr>
          <w:p w:rsidR="00161017" w:rsidRDefault="00D753BB">
            <w:pPr>
              <w:pStyle w:val="TableParagraph"/>
              <w:spacing w:line="223" w:lineRule="exact"/>
              <w:ind w:left="124" w:right="105"/>
              <w:rPr>
                <w:sz w:val="20"/>
              </w:rPr>
            </w:pPr>
            <w:r>
              <w:rPr>
                <w:sz w:val="20"/>
              </w:rPr>
              <w:t>30</w:t>
            </w:r>
          </w:p>
          <w:p w:rsidR="00161017" w:rsidRDefault="00D753BB">
            <w:pPr>
              <w:pStyle w:val="TableParagraph"/>
              <w:spacing w:line="217" w:lineRule="exact"/>
              <w:ind w:left="124" w:right="105"/>
              <w:rPr>
                <w:sz w:val="20"/>
              </w:rPr>
            </w:pPr>
            <w:r>
              <w:rPr>
                <w:sz w:val="20"/>
              </w:rPr>
              <w:t>91</w:t>
            </w:r>
          </w:p>
        </w:tc>
        <w:tc>
          <w:tcPr>
            <w:tcW w:w="994" w:type="dxa"/>
            <w:tcBorders>
              <w:top w:val="single" w:sz="4" w:space="0" w:color="000000"/>
              <w:bottom w:val="single" w:sz="4" w:space="0" w:color="000000"/>
            </w:tcBorders>
          </w:tcPr>
          <w:p w:rsidR="00161017" w:rsidRDefault="00D753BB">
            <w:pPr>
              <w:pStyle w:val="TableParagraph"/>
              <w:spacing w:line="223" w:lineRule="exact"/>
              <w:ind w:left="61" w:right="61"/>
              <w:rPr>
                <w:sz w:val="20"/>
              </w:rPr>
            </w:pPr>
            <w:r>
              <w:rPr>
                <w:sz w:val="20"/>
              </w:rPr>
              <w:t>95</w:t>
            </w:r>
          </w:p>
          <w:p w:rsidR="00161017" w:rsidRDefault="00D753BB">
            <w:pPr>
              <w:pStyle w:val="TableParagraph"/>
              <w:spacing w:line="217" w:lineRule="exact"/>
              <w:ind w:left="61" w:right="61"/>
              <w:rPr>
                <w:sz w:val="20"/>
              </w:rPr>
            </w:pPr>
            <w:r>
              <w:rPr>
                <w:sz w:val="20"/>
              </w:rPr>
              <w:t>195</w:t>
            </w:r>
          </w:p>
        </w:tc>
        <w:tc>
          <w:tcPr>
            <w:tcW w:w="1133" w:type="dxa"/>
            <w:tcBorders>
              <w:top w:val="single" w:sz="4" w:space="0" w:color="000000"/>
              <w:bottom w:val="single" w:sz="4" w:space="0" w:color="000000"/>
            </w:tcBorders>
          </w:tcPr>
          <w:p w:rsidR="00161017" w:rsidRDefault="00D753BB">
            <w:pPr>
              <w:pStyle w:val="TableParagraph"/>
              <w:spacing w:line="223" w:lineRule="exact"/>
              <w:ind w:left="124" w:right="106"/>
              <w:rPr>
                <w:sz w:val="20"/>
              </w:rPr>
            </w:pPr>
            <w:r>
              <w:rPr>
                <w:sz w:val="20"/>
              </w:rPr>
              <w:t>22</w:t>
            </w:r>
          </w:p>
          <w:p w:rsidR="00161017" w:rsidRDefault="00D753BB">
            <w:pPr>
              <w:pStyle w:val="TableParagraph"/>
              <w:spacing w:line="217" w:lineRule="exact"/>
              <w:ind w:left="124" w:right="106"/>
              <w:rPr>
                <w:sz w:val="20"/>
              </w:rPr>
            </w:pPr>
            <w:r>
              <w:rPr>
                <w:sz w:val="20"/>
              </w:rPr>
              <w:t>90</w:t>
            </w:r>
          </w:p>
        </w:tc>
        <w:tc>
          <w:tcPr>
            <w:tcW w:w="994" w:type="dxa"/>
            <w:tcBorders>
              <w:top w:val="single" w:sz="4" w:space="0" w:color="000000"/>
              <w:bottom w:val="single" w:sz="4" w:space="0" w:color="000000"/>
            </w:tcBorders>
          </w:tcPr>
          <w:p w:rsidR="00161017" w:rsidRDefault="00D753BB">
            <w:pPr>
              <w:pStyle w:val="TableParagraph"/>
              <w:spacing w:line="223" w:lineRule="exact"/>
              <w:ind w:left="61" w:right="58"/>
              <w:rPr>
                <w:sz w:val="20"/>
              </w:rPr>
            </w:pPr>
            <w:r>
              <w:rPr>
                <w:sz w:val="20"/>
              </w:rPr>
              <w:t>66</w:t>
            </w:r>
          </w:p>
          <w:p w:rsidR="00161017" w:rsidRDefault="00D753BB">
            <w:pPr>
              <w:pStyle w:val="TableParagraph"/>
              <w:spacing w:line="217" w:lineRule="exact"/>
              <w:ind w:left="61" w:right="58"/>
              <w:rPr>
                <w:sz w:val="20"/>
              </w:rPr>
            </w:pPr>
            <w:r>
              <w:rPr>
                <w:sz w:val="20"/>
              </w:rPr>
              <w:t>154</w:t>
            </w:r>
          </w:p>
        </w:tc>
        <w:tc>
          <w:tcPr>
            <w:tcW w:w="1133" w:type="dxa"/>
            <w:vMerge/>
            <w:tcBorders>
              <w:top w:val="nil"/>
              <w:bottom w:val="single" w:sz="4" w:space="0" w:color="000000"/>
            </w:tcBorders>
          </w:tcPr>
          <w:p w:rsidR="00161017" w:rsidRDefault="00161017">
            <w:pPr>
              <w:rPr>
                <w:sz w:val="2"/>
                <w:szCs w:val="2"/>
              </w:rPr>
            </w:pPr>
          </w:p>
        </w:tc>
      </w:tr>
      <w:tr w:rsidR="00161017">
        <w:trPr>
          <w:trHeight w:val="460"/>
        </w:trPr>
        <w:tc>
          <w:tcPr>
            <w:tcW w:w="1843" w:type="dxa"/>
            <w:vMerge/>
            <w:tcBorders>
              <w:top w:val="nil"/>
              <w:bottom w:val="single" w:sz="4" w:space="0" w:color="000000"/>
            </w:tcBorders>
          </w:tcPr>
          <w:p w:rsidR="00161017" w:rsidRDefault="00161017">
            <w:pPr>
              <w:rPr>
                <w:sz w:val="2"/>
                <w:szCs w:val="2"/>
              </w:rPr>
            </w:pPr>
          </w:p>
        </w:tc>
        <w:tc>
          <w:tcPr>
            <w:tcW w:w="708" w:type="dxa"/>
            <w:tcBorders>
              <w:top w:val="single" w:sz="4" w:space="0" w:color="000000"/>
              <w:bottom w:val="single" w:sz="4" w:space="0" w:color="000000"/>
            </w:tcBorders>
          </w:tcPr>
          <w:p w:rsidR="00161017" w:rsidRDefault="00D753BB">
            <w:pPr>
              <w:pStyle w:val="TableParagraph"/>
              <w:spacing w:line="223" w:lineRule="exact"/>
              <w:rPr>
                <w:sz w:val="20"/>
              </w:rPr>
            </w:pPr>
            <w:r>
              <w:rPr>
                <w:w w:val="99"/>
                <w:sz w:val="20"/>
              </w:rPr>
              <w:t>M</w:t>
            </w:r>
          </w:p>
          <w:p w:rsidR="00161017" w:rsidRDefault="00D753BB">
            <w:pPr>
              <w:pStyle w:val="TableParagraph"/>
              <w:spacing w:line="217" w:lineRule="exact"/>
              <w:ind w:right="1"/>
              <w:rPr>
                <w:sz w:val="20"/>
              </w:rPr>
            </w:pPr>
            <w:r>
              <w:rPr>
                <w:w w:val="99"/>
                <w:sz w:val="20"/>
              </w:rPr>
              <w:t>F</w:t>
            </w:r>
          </w:p>
        </w:tc>
        <w:tc>
          <w:tcPr>
            <w:tcW w:w="852" w:type="dxa"/>
            <w:tcBorders>
              <w:top w:val="single" w:sz="4" w:space="0" w:color="000000"/>
              <w:bottom w:val="single" w:sz="4" w:space="0" w:color="000000"/>
            </w:tcBorders>
          </w:tcPr>
          <w:p w:rsidR="00161017" w:rsidRDefault="00D753BB">
            <w:pPr>
              <w:pStyle w:val="TableParagraph"/>
              <w:spacing w:line="223" w:lineRule="exact"/>
              <w:ind w:left="246" w:right="244"/>
              <w:rPr>
                <w:sz w:val="20"/>
              </w:rPr>
            </w:pPr>
            <w:r>
              <w:rPr>
                <w:sz w:val="20"/>
              </w:rPr>
              <w:t>30</w:t>
            </w:r>
          </w:p>
          <w:p w:rsidR="00161017" w:rsidRDefault="00D753BB">
            <w:pPr>
              <w:pStyle w:val="TableParagraph"/>
              <w:spacing w:line="217" w:lineRule="exact"/>
              <w:ind w:left="246" w:right="245"/>
              <w:rPr>
                <w:sz w:val="20"/>
              </w:rPr>
            </w:pPr>
            <w:r>
              <w:rPr>
                <w:sz w:val="20"/>
              </w:rPr>
              <w:t>30‡</w:t>
            </w:r>
          </w:p>
        </w:tc>
        <w:tc>
          <w:tcPr>
            <w:tcW w:w="1133" w:type="dxa"/>
            <w:tcBorders>
              <w:top w:val="single" w:sz="4" w:space="0" w:color="000000"/>
              <w:bottom w:val="single" w:sz="4" w:space="0" w:color="000000"/>
            </w:tcBorders>
          </w:tcPr>
          <w:p w:rsidR="00161017" w:rsidRDefault="00D753BB">
            <w:pPr>
              <w:pStyle w:val="TableParagraph"/>
              <w:spacing w:line="223" w:lineRule="exact"/>
              <w:ind w:left="124" w:right="105"/>
              <w:rPr>
                <w:sz w:val="20"/>
              </w:rPr>
            </w:pPr>
            <w:r>
              <w:rPr>
                <w:sz w:val="20"/>
              </w:rPr>
              <w:t>192</w:t>
            </w:r>
          </w:p>
          <w:p w:rsidR="00161017" w:rsidRDefault="00D753BB">
            <w:pPr>
              <w:pStyle w:val="TableParagraph"/>
              <w:spacing w:line="217" w:lineRule="exact"/>
              <w:ind w:left="124" w:right="105"/>
              <w:rPr>
                <w:sz w:val="20"/>
              </w:rPr>
            </w:pPr>
            <w:r>
              <w:rPr>
                <w:sz w:val="20"/>
              </w:rPr>
              <w:t>179</w:t>
            </w:r>
          </w:p>
        </w:tc>
        <w:tc>
          <w:tcPr>
            <w:tcW w:w="994" w:type="dxa"/>
            <w:tcBorders>
              <w:top w:val="single" w:sz="4" w:space="0" w:color="000000"/>
              <w:bottom w:val="single" w:sz="4" w:space="0" w:color="000000"/>
            </w:tcBorders>
          </w:tcPr>
          <w:p w:rsidR="00161017" w:rsidRDefault="00D753BB">
            <w:pPr>
              <w:pStyle w:val="TableParagraph"/>
              <w:spacing w:line="223" w:lineRule="exact"/>
              <w:ind w:left="61" w:right="61"/>
              <w:rPr>
                <w:sz w:val="20"/>
              </w:rPr>
            </w:pPr>
            <w:r>
              <w:rPr>
                <w:sz w:val="20"/>
              </w:rPr>
              <w:t>373</w:t>
            </w:r>
          </w:p>
          <w:p w:rsidR="00161017" w:rsidRDefault="00D753BB">
            <w:pPr>
              <w:pStyle w:val="TableParagraph"/>
              <w:spacing w:line="217" w:lineRule="exact"/>
              <w:ind w:left="61" w:right="61"/>
              <w:rPr>
                <w:sz w:val="20"/>
              </w:rPr>
            </w:pPr>
            <w:r>
              <w:rPr>
                <w:sz w:val="20"/>
              </w:rPr>
              <w:t>529</w:t>
            </w:r>
          </w:p>
        </w:tc>
        <w:tc>
          <w:tcPr>
            <w:tcW w:w="1133" w:type="dxa"/>
            <w:tcBorders>
              <w:top w:val="single" w:sz="4" w:space="0" w:color="000000"/>
              <w:bottom w:val="single" w:sz="4" w:space="0" w:color="000000"/>
            </w:tcBorders>
          </w:tcPr>
          <w:p w:rsidR="00161017" w:rsidRDefault="00D753BB">
            <w:pPr>
              <w:pStyle w:val="TableParagraph"/>
              <w:spacing w:line="223" w:lineRule="exact"/>
              <w:ind w:left="124" w:right="106"/>
              <w:rPr>
                <w:sz w:val="20"/>
              </w:rPr>
            </w:pPr>
            <w:r>
              <w:rPr>
                <w:sz w:val="20"/>
              </w:rPr>
              <w:t>235</w:t>
            </w:r>
          </w:p>
          <w:p w:rsidR="00161017" w:rsidRDefault="00D753BB">
            <w:pPr>
              <w:pStyle w:val="TableParagraph"/>
              <w:spacing w:line="217" w:lineRule="exact"/>
              <w:ind w:left="124" w:right="106"/>
              <w:rPr>
                <w:sz w:val="20"/>
              </w:rPr>
            </w:pPr>
            <w:r>
              <w:rPr>
                <w:sz w:val="20"/>
              </w:rPr>
              <w:t>273</w:t>
            </w:r>
          </w:p>
        </w:tc>
        <w:tc>
          <w:tcPr>
            <w:tcW w:w="994" w:type="dxa"/>
            <w:tcBorders>
              <w:top w:val="single" w:sz="4" w:space="0" w:color="000000"/>
              <w:bottom w:val="single" w:sz="4" w:space="0" w:color="000000"/>
            </w:tcBorders>
          </w:tcPr>
          <w:p w:rsidR="00161017" w:rsidRDefault="00D753BB">
            <w:pPr>
              <w:pStyle w:val="TableParagraph"/>
              <w:spacing w:line="223" w:lineRule="exact"/>
              <w:ind w:left="61" w:right="58"/>
              <w:rPr>
                <w:sz w:val="20"/>
              </w:rPr>
            </w:pPr>
            <w:r>
              <w:rPr>
                <w:sz w:val="20"/>
              </w:rPr>
              <w:t>505</w:t>
            </w:r>
          </w:p>
          <w:p w:rsidR="00161017" w:rsidRDefault="00D753BB">
            <w:pPr>
              <w:pStyle w:val="TableParagraph"/>
              <w:spacing w:line="217" w:lineRule="exact"/>
              <w:ind w:left="61" w:right="58"/>
              <w:rPr>
                <w:sz w:val="20"/>
              </w:rPr>
            </w:pPr>
            <w:r>
              <w:rPr>
                <w:sz w:val="20"/>
              </w:rPr>
              <w:t>443</w:t>
            </w:r>
          </w:p>
        </w:tc>
        <w:tc>
          <w:tcPr>
            <w:tcW w:w="1133" w:type="dxa"/>
            <w:vMerge/>
            <w:tcBorders>
              <w:top w:val="nil"/>
              <w:bottom w:val="single" w:sz="4" w:space="0" w:color="000000"/>
            </w:tcBorders>
          </w:tcPr>
          <w:p w:rsidR="00161017" w:rsidRDefault="00161017">
            <w:pPr>
              <w:rPr>
                <w:sz w:val="2"/>
                <w:szCs w:val="2"/>
              </w:rPr>
            </w:pPr>
          </w:p>
        </w:tc>
      </w:tr>
      <w:tr w:rsidR="00161017">
        <w:trPr>
          <w:trHeight w:val="460"/>
        </w:trPr>
        <w:tc>
          <w:tcPr>
            <w:tcW w:w="1843" w:type="dxa"/>
            <w:vMerge w:val="restart"/>
            <w:tcBorders>
              <w:top w:val="single" w:sz="4" w:space="0" w:color="000000"/>
              <w:bottom w:val="single" w:sz="4" w:space="0" w:color="000000"/>
            </w:tcBorders>
          </w:tcPr>
          <w:p w:rsidR="00161017" w:rsidRDefault="00D753BB">
            <w:pPr>
              <w:pStyle w:val="TableParagraph"/>
              <w:spacing w:line="230" w:lineRule="exact"/>
              <w:ind w:left="11" w:right="521"/>
              <w:jc w:val="left"/>
              <w:rPr>
                <w:sz w:val="20"/>
              </w:rPr>
            </w:pPr>
            <w:r>
              <w:rPr>
                <w:sz w:val="20"/>
              </w:rPr>
              <w:t xml:space="preserve">Cynomolgus monkeys: Single oral </w:t>
            </w:r>
            <w:r>
              <w:rPr>
                <w:spacing w:val="-4"/>
                <w:sz w:val="20"/>
              </w:rPr>
              <w:t xml:space="preserve">dose </w:t>
            </w:r>
            <w:r>
              <w:rPr>
                <w:sz w:val="20"/>
              </w:rPr>
              <w:t>toxicity</w:t>
            </w:r>
            <w:r>
              <w:rPr>
                <w:spacing w:val="-1"/>
                <w:sz w:val="20"/>
              </w:rPr>
              <w:t xml:space="preserve"> </w:t>
            </w:r>
            <w:r>
              <w:rPr>
                <w:sz w:val="20"/>
              </w:rPr>
              <w:t>study</w:t>
            </w:r>
          </w:p>
        </w:tc>
        <w:tc>
          <w:tcPr>
            <w:tcW w:w="708" w:type="dxa"/>
            <w:tcBorders>
              <w:top w:val="single" w:sz="4" w:space="0" w:color="000000"/>
              <w:bottom w:val="single" w:sz="4" w:space="0" w:color="000000"/>
            </w:tcBorders>
          </w:tcPr>
          <w:p w:rsidR="00161017" w:rsidRDefault="00D753BB">
            <w:pPr>
              <w:pStyle w:val="TableParagraph"/>
              <w:spacing w:line="223" w:lineRule="exact"/>
              <w:rPr>
                <w:sz w:val="20"/>
              </w:rPr>
            </w:pPr>
            <w:r>
              <w:rPr>
                <w:w w:val="99"/>
                <w:sz w:val="20"/>
              </w:rPr>
              <w:t>M</w:t>
            </w:r>
          </w:p>
          <w:p w:rsidR="00161017" w:rsidRDefault="00D753BB">
            <w:pPr>
              <w:pStyle w:val="TableParagraph"/>
              <w:spacing w:line="217" w:lineRule="exact"/>
              <w:ind w:right="1"/>
              <w:rPr>
                <w:sz w:val="20"/>
              </w:rPr>
            </w:pPr>
            <w:r>
              <w:rPr>
                <w:w w:val="99"/>
                <w:sz w:val="20"/>
              </w:rPr>
              <w:t>F</w:t>
            </w:r>
          </w:p>
        </w:tc>
        <w:tc>
          <w:tcPr>
            <w:tcW w:w="852" w:type="dxa"/>
            <w:tcBorders>
              <w:top w:val="single" w:sz="4" w:space="0" w:color="000000"/>
              <w:bottom w:val="single" w:sz="4" w:space="0" w:color="000000"/>
            </w:tcBorders>
          </w:tcPr>
          <w:p w:rsidR="00161017" w:rsidRDefault="00D753BB">
            <w:pPr>
              <w:pStyle w:val="TableParagraph"/>
              <w:spacing w:line="223" w:lineRule="exact"/>
              <w:ind w:left="246" w:right="244"/>
              <w:rPr>
                <w:sz w:val="20"/>
              </w:rPr>
            </w:pPr>
            <w:r>
              <w:rPr>
                <w:sz w:val="20"/>
              </w:rPr>
              <w:t>30</w:t>
            </w:r>
          </w:p>
          <w:p w:rsidR="00161017" w:rsidRDefault="00D753BB">
            <w:pPr>
              <w:pStyle w:val="TableParagraph"/>
              <w:spacing w:line="217" w:lineRule="exact"/>
              <w:ind w:left="246" w:right="244"/>
              <w:rPr>
                <w:sz w:val="20"/>
              </w:rPr>
            </w:pPr>
            <w:r>
              <w:rPr>
                <w:sz w:val="20"/>
              </w:rPr>
              <w:t>30</w:t>
            </w:r>
          </w:p>
        </w:tc>
        <w:tc>
          <w:tcPr>
            <w:tcW w:w="1133" w:type="dxa"/>
            <w:tcBorders>
              <w:top w:val="single" w:sz="4" w:space="0" w:color="000000"/>
              <w:bottom w:val="single" w:sz="4" w:space="0" w:color="000000"/>
            </w:tcBorders>
          </w:tcPr>
          <w:p w:rsidR="00161017" w:rsidRDefault="00D753BB">
            <w:pPr>
              <w:pStyle w:val="TableParagraph"/>
              <w:spacing w:line="223" w:lineRule="exact"/>
              <w:ind w:left="124" w:right="105"/>
              <w:rPr>
                <w:sz w:val="20"/>
              </w:rPr>
            </w:pPr>
            <w:r>
              <w:rPr>
                <w:sz w:val="20"/>
              </w:rPr>
              <w:t>232</w:t>
            </w:r>
          </w:p>
          <w:p w:rsidR="00161017" w:rsidRDefault="00D753BB">
            <w:pPr>
              <w:pStyle w:val="TableParagraph"/>
              <w:spacing w:line="217" w:lineRule="exact"/>
              <w:ind w:left="124" w:right="105"/>
              <w:rPr>
                <w:sz w:val="20"/>
              </w:rPr>
            </w:pPr>
            <w:r>
              <w:rPr>
                <w:sz w:val="20"/>
              </w:rPr>
              <w:t>46</w:t>
            </w:r>
          </w:p>
        </w:tc>
        <w:tc>
          <w:tcPr>
            <w:tcW w:w="994" w:type="dxa"/>
            <w:tcBorders>
              <w:top w:val="single" w:sz="4" w:space="0" w:color="000000"/>
              <w:bottom w:val="single" w:sz="4" w:space="0" w:color="000000"/>
            </w:tcBorders>
          </w:tcPr>
          <w:p w:rsidR="00161017" w:rsidRDefault="00D753BB">
            <w:pPr>
              <w:pStyle w:val="TableParagraph"/>
              <w:spacing w:before="108"/>
              <w:ind w:left="61" w:right="64"/>
              <w:rPr>
                <w:sz w:val="20"/>
              </w:rPr>
            </w:pPr>
            <w:r>
              <w:rPr>
                <w:sz w:val="20"/>
              </w:rPr>
              <w:t>NA</w:t>
            </w:r>
          </w:p>
        </w:tc>
        <w:tc>
          <w:tcPr>
            <w:tcW w:w="1133" w:type="dxa"/>
            <w:tcBorders>
              <w:top w:val="single" w:sz="4" w:space="0" w:color="000000"/>
              <w:bottom w:val="single" w:sz="4" w:space="0" w:color="000000"/>
            </w:tcBorders>
          </w:tcPr>
          <w:p w:rsidR="00161017" w:rsidRDefault="00D753BB">
            <w:pPr>
              <w:pStyle w:val="TableParagraph"/>
              <w:spacing w:line="223" w:lineRule="exact"/>
              <w:ind w:left="124" w:right="106"/>
              <w:rPr>
                <w:sz w:val="20"/>
              </w:rPr>
            </w:pPr>
            <w:r>
              <w:rPr>
                <w:sz w:val="20"/>
              </w:rPr>
              <w:t>307</w:t>
            </w:r>
          </w:p>
          <w:p w:rsidR="00161017" w:rsidRDefault="00D753BB">
            <w:pPr>
              <w:pStyle w:val="TableParagraph"/>
              <w:spacing w:line="217" w:lineRule="exact"/>
              <w:ind w:left="124" w:right="106"/>
              <w:rPr>
                <w:sz w:val="20"/>
              </w:rPr>
            </w:pPr>
            <w:r>
              <w:rPr>
                <w:sz w:val="20"/>
              </w:rPr>
              <w:t>38</w:t>
            </w:r>
          </w:p>
        </w:tc>
        <w:tc>
          <w:tcPr>
            <w:tcW w:w="994" w:type="dxa"/>
            <w:tcBorders>
              <w:top w:val="single" w:sz="4" w:space="0" w:color="000000"/>
              <w:bottom w:val="single" w:sz="4" w:space="0" w:color="000000"/>
            </w:tcBorders>
          </w:tcPr>
          <w:p w:rsidR="00161017" w:rsidRDefault="00D753BB">
            <w:pPr>
              <w:pStyle w:val="TableParagraph"/>
              <w:spacing w:before="108"/>
              <w:ind w:left="61" w:right="62"/>
              <w:rPr>
                <w:sz w:val="20"/>
              </w:rPr>
            </w:pPr>
            <w:r>
              <w:rPr>
                <w:sz w:val="20"/>
              </w:rPr>
              <w:t>NA</w:t>
            </w:r>
          </w:p>
        </w:tc>
        <w:tc>
          <w:tcPr>
            <w:tcW w:w="1133" w:type="dxa"/>
            <w:vMerge w:val="restart"/>
            <w:tcBorders>
              <w:top w:val="single" w:sz="4" w:space="0" w:color="000000"/>
              <w:bottom w:val="single" w:sz="4" w:space="0" w:color="000000"/>
            </w:tcBorders>
          </w:tcPr>
          <w:p w:rsidR="00161017" w:rsidRDefault="00161017">
            <w:pPr>
              <w:pStyle w:val="TableParagraph"/>
              <w:spacing w:before="9"/>
              <w:jc w:val="left"/>
              <w:rPr>
                <w:b/>
                <w:sz w:val="19"/>
              </w:rPr>
            </w:pPr>
          </w:p>
          <w:p w:rsidR="00161017" w:rsidRDefault="006568EB">
            <w:pPr>
              <w:pStyle w:val="TableParagraph"/>
              <w:ind w:left="107" w:right="108"/>
              <w:rPr>
                <w:sz w:val="20"/>
              </w:rPr>
            </w:pPr>
            <w:r>
              <w:rPr>
                <w:sz w:val="20"/>
              </w:rPr>
              <w:t>Project H</w:t>
            </w:r>
            <w:r w:rsidR="00D753BB">
              <w:rPr>
                <w:sz w:val="20"/>
              </w:rPr>
              <w:t>-TX-</w:t>
            </w:r>
          </w:p>
          <w:p w:rsidR="00161017" w:rsidRDefault="00D753BB">
            <w:pPr>
              <w:pStyle w:val="TableParagraph"/>
              <w:spacing w:before="1"/>
              <w:ind w:left="108" w:right="108"/>
              <w:rPr>
                <w:sz w:val="20"/>
              </w:rPr>
            </w:pPr>
            <w:r>
              <w:rPr>
                <w:sz w:val="20"/>
              </w:rPr>
              <w:t>0002</w:t>
            </w:r>
          </w:p>
        </w:tc>
      </w:tr>
      <w:tr w:rsidR="00161017">
        <w:trPr>
          <w:trHeight w:val="460"/>
        </w:trPr>
        <w:tc>
          <w:tcPr>
            <w:tcW w:w="1843" w:type="dxa"/>
            <w:vMerge/>
            <w:tcBorders>
              <w:top w:val="nil"/>
              <w:bottom w:val="single" w:sz="4" w:space="0" w:color="000000"/>
            </w:tcBorders>
          </w:tcPr>
          <w:p w:rsidR="00161017" w:rsidRDefault="00161017">
            <w:pPr>
              <w:rPr>
                <w:sz w:val="2"/>
                <w:szCs w:val="2"/>
              </w:rPr>
            </w:pPr>
          </w:p>
        </w:tc>
        <w:tc>
          <w:tcPr>
            <w:tcW w:w="708" w:type="dxa"/>
            <w:tcBorders>
              <w:top w:val="single" w:sz="4" w:space="0" w:color="000000"/>
              <w:bottom w:val="single" w:sz="4" w:space="0" w:color="000000"/>
            </w:tcBorders>
          </w:tcPr>
          <w:p w:rsidR="00161017" w:rsidRDefault="00D753BB">
            <w:pPr>
              <w:pStyle w:val="TableParagraph"/>
              <w:spacing w:line="223" w:lineRule="exact"/>
              <w:rPr>
                <w:sz w:val="20"/>
              </w:rPr>
            </w:pPr>
            <w:r>
              <w:rPr>
                <w:w w:val="99"/>
                <w:sz w:val="20"/>
              </w:rPr>
              <w:t>M</w:t>
            </w:r>
          </w:p>
          <w:p w:rsidR="00161017" w:rsidRDefault="00D753BB">
            <w:pPr>
              <w:pStyle w:val="TableParagraph"/>
              <w:spacing w:line="217" w:lineRule="exact"/>
              <w:ind w:right="1"/>
              <w:rPr>
                <w:sz w:val="20"/>
              </w:rPr>
            </w:pPr>
            <w:r>
              <w:rPr>
                <w:w w:val="99"/>
                <w:sz w:val="20"/>
              </w:rPr>
              <w:t>F</w:t>
            </w:r>
          </w:p>
        </w:tc>
        <w:tc>
          <w:tcPr>
            <w:tcW w:w="852" w:type="dxa"/>
            <w:tcBorders>
              <w:top w:val="single" w:sz="4" w:space="0" w:color="000000"/>
              <w:bottom w:val="single" w:sz="4" w:space="0" w:color="000000"/>
            </w:tcBorders>
          </w:tcPr>
          <w:p w:rsidR="00161017" w:rsidRDefault="00D753BB">
            <w:pPr>
              <w:pStyle w:val="TableParagraph"/>
              <w:spacing w:line="223" w:lineRule="exact"/>
              <w:ind w:left="246" w:right="244"/>
              <w:rPr>
                <w:sz w:val="20"/>
              </w:rPr>
            </w:pPr>
            <w:r>
              <w:rPr>
                <w:sz w:val="20"/>
              </w:rPr>
              <w:t>60</w:t>
            </w:r>
          </w:p>
          <w:p w:rsidR="00161017" w:rsidRDefault="00D753BB">
            <w:pPr>
              <w:pStyle w:val="TableParagraph"/>
              <w:spacing w:line="217" w:lineRule="exact"/>
              <w:ind w:left="246" w:right="244"/>
              <w:rPr>
                <w:sz w:val="20"/>
              </w:rPr>
            </w:pPr>
            <w:r>
              <w:rPr>
                <w:sz w:val="20"/>
              </w:rPr>
              <w:t>60</w:t>
            </w:r>
          </w:p>
        </w:tc>
        <w:tc>
          <w:tcPr>
            <w:tcW w:w="1133" w:type="dxa"/>
            <w:tcBorders>
              <w:top w:val="single" w:sz="4" w:space="0" w:color="000000"/>
              <w:bottom w:val="single" w:sz="4" w:space="0" w:color="000000"/>
            </w:tcBorders>
          </w:tcPr>
          <w:p w:rsidR="00161017" w:rsidRDefault="00D753BB">
            <w:pPr>
              <w:pStyle w:val="TableParagraph"/>
              <w:spacing w:line="223" w:lineRule="exact"/>
              <w:ind w:left="124" w:right="105"/>
              <w:rPr>
                <w:sz w:val="20"/>
              </w:rPr>
            </w:pPr>
            <w:r>
              <w:rPr>
                <w:sz w:val="20"/>
              </w:rPr>
              <w:t>229</w:t>
            </w:r>
          </w:p>
          <w:p w:rsidR="00161017" w:rsidRDefault="00D753BB">
            <w:pPr>
              <w:pStyle w:val="TableParagraph"/>
              <w:spacing w:line="217" w:lineRule="exact"/>
              <w:ind w:left="124" w:right="105"/>
              <w:rPr>
                <w:sz w:val="20"/>
              </w:rPr>
            </w:pPr>
            <w:r>
              <w:rPr>
                <w:sz w:val="20"/>
              </w:rPr>
              <w:t>161</w:t>
            </w:r>
          </w:p>
        </w:tc>
        <w:tc>
          <w:tcPr>
            <w:tcW w:w="994" w:type="dxa"/>
            <w:tcBorders>
              <w:top w:val="single" w:sz="4" w:space="0" w:color="000000"/>
              <w:bottom w:val="single" w:sz="4" w:space="0" w:color="000000"/>
            </w:tcBorders>
          </w:tcPr>
          <w:p w:rsidR="00161017" w:rsidRDefault="00D753BB">
            <w:pPr>
              <w:pStyle w:val="TableParagraph"/>
              <w:spacing w:before="108"/>
              <w:ind w:left="61" w:right="64"/>
              <w:rPr>
                <w:sz w:val="20"/>
              </w:rPr>
            </w:pPr>
            <w:r>
              <w:rPr>
                <w:sz w:val="20"/>
              </w:rPr>
              <w:t>NA</w:t>
            </w:r>
          </w:p>
        </w:tc>
        <w:tc>
          <w:tcPr>
            <w:tcW w:w="1133" w:type="dxa"/>
            <w:tcBorders>
              <w:top w:val="single" w:sz="4" w:space="0" w:color="000000"/>
              <w:bottom w:val="single" w:sz="4" w:space="0" w:color="000000"/>
            </w:tcBorders>
          </w:tcPr>
          <w:p w:rsidR="00161017" w:rsidRDefault="00D753BB">
            <w:pPr>
              <w:pStyle w:val="TableParagraph"/>
              <w:spacing w:line="223" w:lineRule="exact"/>
              <w:ind w:left="124" w:right="106"/>
              <w:rPr>
                <w:sz w:val="20"/>
              </w:rPr>
            </w:pPr>
            <w:r>
              <w:rPr>
                <w:sz w:val="20"/>
              </w:rPr>
              <w:t>235</w:t>
            </w:r>
          </w:p>
          <w:p w:rsidR="00161017" w:rsidRDefault="00D753BB">
            <w:pPr>
              <w:pStyle w:val="TableParagraph"/>
              <w:spacing w:line="217" w:lineRule="exact"/>
              <w:ind w:left="124" w:right="106"/>
              <w:rPr>
                <w:sz w:val="20"/>
              </w:rPr>
            </w:pPr>
            <w:r>
              <w:rPr>
                <w:sz w:val="20"/>
              </w:rPr>
              <w:t>170</w:t>
            </w:r>
          </w:p>
        </w:tc>
        <w:tc>
          <w:tcPr>
            <w:tcW w:w="994" w:type="dxa"/>
            <w:tcBorders>
              <w:top w:val="single" w:sz="4" w:space="0" w:color="000000"/>
              <w:bottom w:val="single" w:sz="4" w:space="0" w:color="000000"/>
            </w:tcBorders>
          </w:tcPr>
          <w:p w:rsidR="00161017" w:rsidRDefault="00D753BB">
            <w:pPr>
              <w:pStyle w:val="TableParagraph"/>
              <w:spacing w:before="108"/>
              <w:ind w:left="61" w:right="62"/>
              <w:rPr>
                <w:sz w:val="20"/>
              </w:rPr>
            </w:pPr>
            <w:r>
              <w:rPr>
                <w:sz w:val="20"/>
              </w:rPr>
              <w:t>NA</w:t>
            </w:r>
          </w:p>
        </w:tc>
        <w:tc>
          <w:tcPr>
            <w:tcW w:w="1133" w:type="dxa"/>
            <w:vMerge/>
            <w:tcBorders>
              <w:top w:val="nil"/>
              <w:bottom w:val="single" w:sz="4" w:space="0" w:color="000000"/>
            </w:tcBorders>
          </w:tcPr>
          <w:p w:rsidR="00161017" w:rsidRDefault="00161017">
            <w:pPr>
              <w:rPr>
                <w:sz w:val="2"/>
                <w:szCs w:val="2"/>
              </w:rPr>
            </w:pPr>
          </w:p>
        </w:tc>
      </w:tr>
      <w:tr w:rsidR="00161017">
        <w:trPr>
          <w:trHeight w:val="458"/>
        </w:trPr>
        <w:tc>
          <w:tcPr>
            <w:tcW w:w="1843" w:type="dxa"/>
            <w:vMerge w:val="restart"/>
            <w:tcBorders>
              <w:top w:val="single" w:sz="4" w:space="0" w:color="000000"/>
              <w:bottom w:val="single" w:sz="4" w:space="0" w:color="000000"/>
            </w:tcBorders>
          </w:tcPr>
          <w:p w:rsidR="00161017" w:rsidRDefault="00161017">
            <w:pPr>
              <w:pStyle w:val="TableParagraph"/>
              <w:spacing w:before="3"/>
              <w:jc w:val="left"/>
              <w:rPr>
                <w:b/>
                <w:sz w:val="20"/>
              </w:rPr>
            </w:pPr>
          </w:p>
          <w:p w:rsidR="00161017" w:rsidRDefault="00D753BB">
            <w:pPr>
              <w:pStyle w:val="TableParagraph"/>
              <w:ind w:left="11" w:right="198"/>
              <w:jc w:val="left"/>
              <w:rPr>
                <w:sz w:val="20"/>
              </w:rPr>
            </w:pPr>
            <w:r>
              <w:rPr>
                <w:w w:val="95"/>
                <w:sz w:val="20"/>
              </w:rPr>
              <w:t xml:space="preserve">Cynomolgus </w:t>
            </w:r>
            <w:r>
              <w:rPr>
                <w:sz w:val="20"/>
              </w:rPr>
              <w:t>monkeys:</w:t>
            </w:r>
          </w:p>
          <w:p w:rsidR="00161017" w:rsidRDefault="00D753BB">
            <w:pPr>
              <w:pStyle w:val="TableParagraph"/>
              <w:ind w:left="11" w:right="425"/>
              <w:jc w:val="left"/>
              <w:rPr>
                <w:sz w:val="20"/>
              </w:rPr>
            </w:pPr>
            <w:r>
              <w:rPr>
                <w:sz w:val="20"/>
              </w:rPr>
              <w:t>4-week oral dose toxicity study</w:t>
            </w:r>
          </w:p>
        </w:tc>
        <w:tc>
          <w:tcPr>
            <w:tcW w:w="708" w:type="dxa"/>
            <w:tcBorders>
              <w:top w:val="single" w:sz="4" w:space="0" w:color="000000"/>
              <w:bottom w:val="single" w:sz="4" w:space="0" w:color="000000"/>
            </w:tcBorders>
          </w:tcPr>
          <w:p w:rsidR="00161017" w:rsidRDefault="00D753BB">
            <w:pPr>
              <w:pStyle w:val="TableParagraph"/>
              <w:spacing w:line="223" w:lineRule="exact"/>
              <w:rPr>
                <w:sz w:val="20"/>
              </w:rPr>
            </w:pPr>
            <w:r>
              <w:rPr>
                <w:w w:val="99"/>
                <w:sz w:val="20"/>
              </w:rPr>
              <w:t>M</w:t>
            </w:r>
          </w:p>
          <w:p w:rsidR="00161017" w:rsidRDefault="00D753BB">
            <w:pPr>
              <w:pStyle w:val="TableParagraph"/>
              <w:spacing w:line="215" w:lineRule="exact"/>
              <w:ind w:right="1"/>
              <w:rPr>
                <w:sz w:val="20"/>
              </w:rPr>
            </w:pPr>
            <w:r>
              <w:rPr>
                <w:w w:val="99"/>
                <w:sz w:val="20"/>
              </w:rPr>
              <w:t>F</w:t>
            </w:r>
          </w:p>
        </w:tc>
        <w:tc>
          <w:tcPr>
            <w:tcW w:w="852" w:type="dxa"/>
            <w:tcBorders>
              <w:top w:val="single" w:sz="4" w:space="0" w:color="000000"/>
              <w:bottom w:val="single" w:sz="4" w:space="0" w:color="000000"/>
            </w:tcBorders>
          </w:tcPr>
          <w:p w:rsidR="00161017" w:rsidRDefault="00D753BB">
            <w:pPr>
              <w:pStyle w:val="TableParagraph"/>
              <w:spacing w:line="223" w:lineRule="exact"/>
              <w:ind w:left="1"/>
              <w:rPr>
                <w:sz w:val="20"/>
              </w:rPr>
            </w:pPr>
            <w:r>
              <w:rPr>
                <w:w w:val="99"/>
                <w:sz w:val="20"/>
                <w:u w:val="single"/>
              </w:rPr>
              <w:t>3</w:t>
            </w:r>
          </w:p>
          <w:p w:rsidR="00161017" w:rsidRDefault="00D753BB">
            <w:pPr>
              <w:pStyle w:val="TableParagraph"/>
              <w:spacing w:line="215" w:lineRule="exact"/>
              <w:ind w:left="1"/>
              <w:rPr>
                <w:sz w:val="20"/>
              </w:rPr>
            </w:pPr>
            <w:r>
              <w:rPr>
                <w:w w:val="99"/>
                <w:sz w:val="20"/>
              </w:rPr>
              <w:t>3</w:t>
            </w:r>
          </w:p>
        </w:tc>
        <w:tc>
          <w:tcPr>
            <w:tcW w:w="1133" w:type="dxa"/>
            <w:tcBorders>
              <w:top w:val="single" w:sz="4" w:space="0" w:color="000000"/>
              <w:bottom w:val="single" w:sz="4" w:space="0" w:color="000000"/>
            </w:tcBorders>
          </w:tcPr>
          <w:p w:rsidR="00161017" w:rsidRDefault="00D753BB">
            <w:pPr>
              <w:pStyle w:val="TableParagraph"/>
              <w:spacing w:line="223" w:lineRule="exact"/>
              <w:ind w:left="124" w:right="103"/>
              <w:rPr>
                <w:sz w:val="20"/>
              </w:rPr>
            </w:pPr>
            <w:r>
              <w:rPr>
                <w:sz w:val="20"/>
              </w:rPr>
              <w:t>4.4</w:t>
            </w:r>
          </w:p>
          <w:p w:rsidR="00161017" w:rsidRDefault="00D753BB">
            <w:pPr>
              <w:pStyle w:val="TableParagraph"/>
              <w:spacing w:line="215" w:lineRule="exact"/>
              <w:ind w:left="124" w:right="103"/>
              <w:rPr>
                <w:sz w:val="20"/>
              </w:rPr>
            </w:pPr>
            <w:r>
              <w:rPr>
                <w:sz w:val="20"/>
              </w:rPr>
              <w:t>3.6</w:t>
            </w:r>
          </w:p>
        </w:tc>
        <w:tc>
          <w:tcPr>
            <w:tcW w:w="994" w:type="dxa"/>
            <w:tcBorders>
              <w:top w:val="single" w:sz="4" w:space="0" w:color="000000"/>
              <w:bottom w:val="single" w:sz="4" w:space="0" w:color="000000"/>
            </w:tcBorders>
          </w:tcPr>
          <w:p w:rsidR="00161017" w:rsidRDefault="00D753BB">
            <w:pPr>
              <w:pStyle w:val="TableParagraph"/>
              <w:spacing w:line="223" w:lineRule="exact"/>
              <w:ind w:left="61" w:right="61"/>
              <w:rPr>
                <w:sz w:val="20"/>
              </w:rPr>
            </w:pPr>
            <w:r>
              <w:rPr>
                <w:sz w:val="20"/>
              </w:rPr>
              <w:t>14</w:t>
            </w:r>
          </w:p>
          <w:p w:rsidR="00161017" w:rsidRDefault="00D753BB">
            <w:pPr>
              <w:pStyle w:val="TableParagraph"/>
              <w:spacing w:line="215" w:lineRule="exact"/>
              <w:ind w:left="61" w:right="62"/>
              <w:rPr>
                <w:sz w:val="20"/>
              </w:rPr>
            </w:pPr>
            <w:r>
              <w:rPr>
                <w:sz w:val="20"/>
              </w:rPr>
              <w:t>8.3</w:t>
            </w:r>
          </w:p>
        </w:tc>
        <w:tc>
          <w:tcPr>
            <w:tcW w:w="1133" w:type="dxa"/>
            <w:tcBorders>
              <w:top w:val="single" w:sz="4" w:space="0" w:color="000000"/>
              <w:bottom w:val="single" w:sz="4" w:space="0" w:color="000000"/>
            </w:tcBorders>
          </w:tcPr>
          <w:p w:rsidR="00161017" w:rsidRDefault="00D753BB">
            <w:pPr>
              <w:pStyle w:val="TableParagraph"/>
              <w:spacing w:line="223" w:lineRule="exact"/>
              <w:ind w:left="124" w:right="104"/>
              <w:rPr>
                <w:sz w:val="20"/>
              </w:rPr>
            </w:pPr>
            <w:r>
              <w:rPr>
                <w:sz w:val="20"/>
              </w:rPr>
              <w:t>3.7</w:t>
            </w:r>
          </w:p>
          <w:p w:rsidR="00161017" w:rsidRDefault="00D753BB">
            <w:pPr>
              <w:pStyle w:val="TableParagraph"/>
              <w:spacing w:line="215" w:lineRule="exact"/>
              <w:ind w:left="124" w:right="104"/>
              <w:rPr>
                <w:sz w:val="20"/>
              </w:rPr>
            </w:pPr>
            <w:r>
              <w:rPr>
                <w:sz w:val="20"/>
              </w:rPr>
              <w:t>2.7</w:t>
            </w:r>
          </w:p>
        </w:tc>
        <w:tc>
          <w:tcPr>
            <w:tcW w:w="994" w:type="dxa"/>
            <w:tcBorders>
              <w:top w:val="single" w:sz="4" w:space="0" w:color="000000"/>
              <w:bottom w:val="single" w:sz="4" w:space="0" w:color="000000"/>
            </w:tcBorders>
          </w:tcPr>
          <w:p w:rsidR="00161017" w:rsidRDefault="00D753BB">
            <w:pPr>
              <w:pStyle w:val="TableParagraph"/>
              <w:spacing w:line="223" w:lineRule="exact"/>
              <w:ind w:left="61" w:right="61"/>
              <w:rPr>
                <w:sz w:val="20"/>
              </w:rPr>
            </w:pPr>
            <w:r>
              <w:rPr>
                <w:sz w:val="20"/>
              </w:rPr>
              <w:t>9.4</w:t>
            </w:r>
          </w:p>
          <w:p w:rsidR="00161017" w:rsidRDefault="00D753BB">
            <w:pPr>
              <w:pStyle w:val="TableParagraph"/>
              <w:spacing w:line="215" w:lineRule="exact"/>
              <w:ind w:left="61" w:right="61"/>
              <w:rPr>
                <w:sz w:val="20"/>
              </w:rPr>
            </w:pPr>
            <w:r>
              <w:rPr>
                <w:sz w:val="20"/>
              </w:rPr>
              <w:t>5.7</w:t>
            </w:r>
          </w:p>
        </w:tc>
        <w:tc>
          <w:tcPr>
            <w:tcW w:w="1133" w:type="dxa"/>
            <w:vMerge w:val="restart"/>
            <w:tcBorders>
              <w:top w:val="single" w:sz="4" w:space="0" w:color="000000"/>
              <w:bottom w:val="single" w:sz="4" w:space="0" w:color="000000"/>
            </w:tcBorders>
          </w:tcPr>
          <w:p w:rsidR="00161017" w:rsidRDefault="00161017">
            <w:pPr>
              <w:pStyle w:val="TableParagraph"/>
              <w:jc w:val="left"/>
              <w:rPr>
                <w:b/>
              </w:rPr>
            </w:pPr>
          </w:p>
          <w:p w:rsidR="00161017" w:rsidRDefault="00161017">
            <w:pPr>
              <w:pStyle w:val="TableParagraph"/>
              <w:spacing w:before="3"/>
              <w:jc w:val="left"/>
              <w:rPr>
                <w:b/>
                <w:sz w:val="18"/>
              </w:rPr>
            </w:pPr>
          </w:p>
          <w:p w:rsidR="00161017" w:rsidRDefault="006568EB">
            <w:pPr>
              <w:pStyle w:val="TableParagraph"/>
              <w:spacing w:line="229" w:lineRule="exact"/>
              <w:ind w:left="107" w:right="108"/>
              <w:rPr>
                <w:sz w:val="20"/>
              </w:rPr>
            </w:pPr>
            <w:r>
              <w:rPr>
                <w:sz w:val="20"/>
              </w:rPr>
              <w:t>Project H</w:t>
            </w:r>
            <w:r w:rsidR="00D753BB">
              <w:rPr>
                <w:sz w:val="20"/>
              </w:rPr>
              <w:t>-TX-</w:t>
            </w:r>
          </w:p>
          <w:p w:rsidR="00161017" w:rsidRDefault="00D753BB">
            <w:pPr>
              <w:pStyle w:val="TableParagraph"/>
              <w:spacing w:line="229" w:lineRule="exact"/>
              <w:ind w:left="108" w:right="108"/>
              <w:rPr>
                <w:sz w:val="20"/>
              </w:rPr>
            </w:pPr>
            <w:r>
              <w:rPr>
                <w:sz w:val="20"/>
              </w:rPr>
              <w:t>0004</w:t>
            </w:r>
          </w:p>
        </w:tc>
      </w:tr>
      <w:tr w:rsidR="00161017">
        <w:trPr>
          <w:trHeight w:val="460"/>
        </w:trPr>
        <w:tc>
          <w:tcPr>
            <w:tcW w:w="1843" w:type="dxa"/>
            <w:vMerge/>
            <w:tcBorders>
              <w:top w:val="nil"/>
              <w:bottom w:val="single" w:sz="4" w:space="0" w:color="000000"/>
            </w:tcBorders>
          </w:tcPr>
          <w:p w:rsidR="00161017" w:rsidRDefault="00161017">
            <w:pPr>
              <w:rPr>
                <w:sz w:val="2"/>
                <w:szCs w:val="2"/>
              </w:rPr>
            </w:pPr>
          </w:p>
        </w:tc>
        <w:tc>
          <w:tcPr>
            <w:tcW w:w="708" w:type="dxa"/>
            <w:tcBorders>
              <w:top w:val="single" w:sz="4" w:space="0" w:color="000000"/>
              <w:bottom w:val="single" w:sz="4" w:space="0" w:color="000000"/>
            </w:tcBorders>
          </w:tcPr>
          <w:p w:rsidR="00161017" w:rsidRDefault="00D753BB">
            <w:pPr>
              <w:pStyle w:val="TableParagraph"/>
              <w:spacing w:line="228" w:lineRule="exact"/>
              <w:ind w:left="254" w:right="254"/>
              <w:rPr>
                <w:sz w:val="20"/>
              </w:rPr>
            </w:pPr>
            <w:r>
              <w:rPr>
                <w:sz w:val="20"/>
              </w:rPr>
              <w:t>M</w:t>
            </w:r>
            <w:r>
              <w:rPr>
                <w:w w:val="99"/>
                <w:sz w:val="20"/>
              </w:rPr>
              <w:t xml:space="preserve"> </w:t>
            </w:r>
            <w:r>
              <w:rPr>
                <w:sz w:val="20"/>
              </w:rPr>
              <w:t>F</w:t>
            </w:r>
          </w:p>
        </w:tc>
        <w:tc>
          <w:tcPr>
            <w:tcW w:w="852" w:type="dxa"/>
            <w:tcBorders>
              <w:top w:val="single" w:sz="4" w:space="0" w:color="000000"/>
              <w:bottom w:val="single" w:sz="4" w:space="0" w:color="000000"/>
            </w:tcBorders>
          </w:tcPr>
          <w:p w:rsidR="00161017" w:rsidRDefault="00D753BB">
            <w:pPr>
              <w:pStyle w:val="TableParagraph"/>
              <w:spacing w:line="224" w:lineRule="exact"/>
              <w:ind w:left="246" w:right="244"/>
              <w:rPr>
                <w:sz w:val="20"/>
              </w:rPr>
            </w:pPr>
            <w:r>
              <w:rPr>
                <w:sz w:val="20"/>
              </w:rPr>
              <w:t>10</w:t>
            </w:r>
          </w:p>
          <w:p w:rsidR="00161017" w:rsidRDefault="00D753BB">
            <w:pPr>
              <w:pStyle w:val="TableParagraph"/>
              <w:spacing w:line="216" w:lineRule="exact"/>
              <w:ind w:left="246" w:right="244"/>
              <w:rPr>
                <w:sz w:val="20"/>
              </w:rPr>
            </w:pPr>
            <w:r>
              <w:rPr>
                <w:sz w:val="20"/>
              </w:rPr>
              <w:t>10</w:t>
            </w:r>
          </w:p>
        </w:tc>
        <w:tc>
          <w:tcPr>
            <w:tcW w:w="1133" w:type="dxa"/>
            <w:tcBorders>
              <w:top w:val="single" w:sz="4" w:space="0" w:color="000000"/>
              <w:bottom w:val="single" w:sz="4" w:space="0" w:color="000000"/>
            </w:tcBorders>
          </w:tcPr>
          <w:p w:rsidR="00161017" w:rsidRDefault="00D753BB">
            <w:pPr>
              <w:pStyle w:val="TableParagraph"/>
              <w:spacing w:line="224" w:lineRule="exact"/>
              <w:ind w:left="124" w:right="105"/>
              <w:rPr>
                <w:sz w:val="20"/>
              </w:rPr>
            </w:pPr>
            <w:r>
              <w:rPr>
                <w:sz w:val="20"/>
              </w:rPr>
              <w:t>47</w:t>
            </w:r>
          </w:p>
          <w:p w:rsidR="00161017" w:rsidRDefault="00D753BB">
            <w:pPr>
              <w:pStyle w:val="TableParagraph"/>
              <w:spacing w:line="216" w:lineRule="exact"/>
              <w:ind w:left="124" w:right="105"/>
              <w:rPr>
                <w:sz w:val="20"/>
              </w:rPr>
            </w:pPr>
            <w:r>
              <w:rPr>
                <w:sz w:val="20"/>
              </w:rPr>
              <w:t>40</w:t>
            </w:r>
          </w:p>
        </w:tc>
        <w:tc>
          <w:tcPr>
            <w:tcW w:w="994" w:type="dxa"/>
            <w:tcBorders>
              <w:top w:val="single" w:sz="4" w:space="0" w:color="000000"/>
              <w:bottom w:val="single" w:sz="4" w:space="0" w:color="000000"/>
            </w:tcBorders>
          </w:tcPr>
          <w:p w:rsidR="00161017" w:rsidRDefault="00D753BB">
            <w:pPr>
              <w:pStyle w:val="TableParagraph"/>
              <w:spacing w:line="224" w:lineRule="exact"/>
              <w:ind w:left="61" w:right="61"/>
              <w:rPr>
                <w:sz w:val="20"/>
              </w:rPr>
            </w:pPr>
            <w:r>
              <w:rPr>
                <w:sz w:val="20"/>
              </w:rPr>
              <w:t>177</w:t>
            </w:r>
          </w:p>
          <w:p w:rsidR="00161017" w:rsidRDefault="00D753BB">
            <w:pPr>
              <w:pStyle w:val="TableParagraph"/>
              <w:spacing w:line="216" w:lineRule="exact"/>
              <w:ind w:left="61" w:right="61"/>
              <w:rPr>
                <w:sz w:val="20"/>
              </w:rPr>
            </w:pPr>
            <w:r>
              <w:rPr>
                <w:sz w:val="20"/>
              </w:rPr>
              <w:t>82</w:t>
            </w:r>
          </w:p>
        </w:tc>
        <w:tc>
          <w:tcPr>
            <w:tcW w:w="1133" w:type="dxa"/>
            <w:tcBorders>
              <w:top w:val="single" w:sz="4" w:space="0" w:color="000000"/>
              <w:bottom w:val="single" w:sz="4" w:space="0" w:color="000000"/>
            </w:tcBorders>
          </w:tcPr>
          <w:p w:rsidR="00161017" w:rsidRDefault="00D753BB">
            <w:pPr>
              <w:pStyle w:val="TableParagraph"/>
              <w:spacing w:line="224" w:lineRule="exact"/>
              <w:ind w:left="124" w:right="106"/>
              <w:rPr>
                <w:sz w:val="20"/>
              </w:rPr>
            </w:pPr>
            <w:r>
              <w:rPr>
                <w:sz w:val="20"/>
              </w:rPr>
              <w:t>43</w:t>
            </w:r>
          </w:p>
          <w:p w:rsidR="00161017" w:rsidRDefault="00D753BB">
            <w:pPr>
              <w:pStyle w:val="TableParagraph"/>
              <w:spacing w:line="216" w:lineRule="exact"/>
              <w:ind w:left="124" w:right="106"/>
              <w:rPr>
                <w:sz w:val="20"/>
              </w:rPr>
            </w:pPr>
            <w:r>
              <w:rPr>
                <w:sz w:val="20"/>
              </w:rPr>
              <w:t>37</w:t>
            </w:r>
          </w:p>
        </w:tc>
        <w:tc>
          <w:tcPr>
            <w:tcW w:w="994" w:type="dxa"/>
            <w:tcBorders>
              <w:top w:val="single" w:sz="4" w:space="0" w:color="000000"/>
              <w:bottom w:val="single" w:sz="4" w:space="0" w:color="000000"/>
            </w:tcBorders>
          </w:tcPr>
          <w:p w:rsidR="00161017" w:rsidRDefault="00D753BB">
            <w:pPr>
              <w:pStyle w:val="TableParagraph"/>
              <w:spacing w:line="224" w:lineRule="exact"/>
              <w:ind w:left="61" w:right="58"/>
              <w:rPr>
                <w:sz w:val="20"/>
              </w:rPr>
            </w:pPr>
            <w:r>
              <w:rPr>
                <w:sz w:val="20"/>
              </w:rPr>
              <w:t>151</w:t>
            </w:r>
          </w:p>
          <w:p w:rsidR="00161017" w:rsidRDefault="00D753BB">
            <w:pPr>
              <w:pStyle w:val="TableParagraph"/>
              <w:spacing w:line="216" w:lineRule="exact"/>
              <w:ind w:left="61" w:right="58"/>
              <w:rPr>
                <w:sz w:val="20"/>
              </w:rPr>
            </w:pPr>
            <w:r>
              <w:rPr>
                <w:sz w:val="20"/>
              </w:rPr>
              <w:t>68</w:t>
            </w:r>
          </w:p>
        </w:tc>
        <w:tc>
          <w:tcPr>
            <w:tcW w:w="1133" w:type="dxa"/>
            <w:vMerge/>
            <w:tcBorders>
              <w:top w:val="nil"/>
              <w:bottom w:val="single" w:sz="4" w:space="0" w:color="000000"/>
            </w:tcBorders>
          </w:tcPr>
          <w:p w:rsidR="00161017" w:rsidRDefault="00161017">
            <w:pPr>
              <w:rPr>
                <w:sz w:val="2"/>
                <w:szCs w:val="2"/>
              </w:rPr>
            </w:pPr>
          </w:p>
        </w:tc>
      </w:tr>
      <w:tr w:rsidR="00161017">
        <w:trPr>
          <w:trHeight w:val="460"/>
        </w:trPr>
        <w:tc>
          <w:tcPr>
            <w:tcW w:w="1843" w:type="dxa"/>
            <w:vMerge/>
            <w:tcBorders>
              <w:top w:val="nil"/>
              <w:bottom w:val="single" w:sz="4" w:space="0" w:color="000000"/>
            </w:tcBorders>
          </w:tcPr>
          <w:p w:rsidR="00161017" w:rsidRDefault="00161017">
            <w:pPr>
              <w:rPr>
                <w:sz w:val="2"/>
                <w:szCs w:val="2"/>
              </w:rPr>
            </w:pPr>
          </w:p>
        </w:tc>
        <w:tc>
          <w:tcPr>
            <w:tcW w:w="708" w:type="dxa"/>
            <w:tcBorders>
              <w:top w:val="single" w:sz="4" w:space="0" w:color="000000"/>
              <w:bottom w:val="single" w:sz="4" w:space="0" w:color="000000"/>
            </w:tcBorders>
          </w:tcPr>
          <w:p w:rsidR="00161017" w:rsidRDefault="00D753BB">
            <w:pPr>
              <w:pStyle w:val="TableParagraph"/>
              <w:spacing w:line="223" w:lineRule="exact"/>
              <w:rPr>
                <w:sz w:val="20"/>
              </w:rPr>
            </w:pPr>
            <w:r>
              <w:rPr>
                <w:w w:val="99"/>
                <w:sz w:val="20"/>
              </w:rPr>
              <w:t>M</w:t>
            </w:r>
          </w:p>
          <w:p w:rsidR="00161017" w:rsidRDefault="00D753BB">
            <w:pPr>
              <w:pStyle w:val="TableParagraph"/>
              <w:spacing w:line="217" w:lineRule="exact"/>
              <w:ind w:right="1"/>
              <w:rPr>
                <w:sz w:val="20"/>
              </w:rPr>
            </w:pPr>
            <w:r>
              <w:rPr>
                <w:w w:val="99"/>
                <w:sz w:val="20"/>
              </w:rPr>
              <w:t>F</w:t>
            </w:r>
          </w:p>
        </w:tc>
        <w:tc>
          <w:tcPr>
            <w:tcW w:w="852" w:type="dxa"/>
            <w:tcBorders>
              <w:top w:val="single" w:sz="4" w:space="0" w:color="000000"/>
              <w:bottom w:val="single" w:sz="4" w:space="0" w:color="000000"/>
            </w:tcBorders>
          </w:tcPr>
          <w:p w:rsidR="00161017" w:rsidRDefault="00D753BB">
            <w:pPr>
              <w:pStyle w:val="TableParagraph"/>
              <w:spacing w:line="223" w:lineRule="exact"/>
              <w:ind w:left="246" w:right="244"/>
              <w:rPr>
                <w:sz w:val="20"/>
              </w:rPr>
            </w:pPr>
            <w:r>
              <w:rPr>
                <w:sz w:val="20"/>
              </w:rPr>
              <w:t>20</w:t>
            </w:r>
          </w:p>
          <w:p w:rsidR="00161017" w:rsidRDefault="00D753BB">
            <w:pPr>
              <w:pStyle w:val="TableParagraph"/>
              <w:spacing w:line="217" w:lineRule="exact"/>
              <w:ind w:left="246" w:right="244"/>
              <w:rPr>
                <w:sz w:val="20"/>
              </w:rPr>
            </w:pPr>
            <w:r>
              <w:rPr>
                <w:sz w:val="20"/>
              </w:rPr>
              <w:t>20</w:t>
            </w:r>
          </w:p>
        </w:tc>
        <w:tc>
          <w:tcPr>
            <w:tcW w:w="1133" w:type="dxa"/>
            <w:tcBorders>
              <w:top w:val="single" w:sz="4" w:space="0" w:color="000000"/>
              <w:bottom w:val="single" w:sz="4" w:space="0" w:color="000000"/>
            </w:tcBorders>
          </w:tcPr>
          <w:p w:rsidR="00161017" w:rsidRDefault="00D753BB">
            <w:pPr>
              <w:pStyle w:val="TableParagraph"/>
              <w:spacing w:line="223" w:lineRule="exact"/>
              <w:ind w:left="124" w:right="105"/>
              <w:rPr>
                <w:sz w:val="20"/>
              </w:rPr>
            </w:pPr>
            <w:r>
              <w:rPr>
                <w:sz w:val="20"/>
              </w:rPr>
              <w:t>112</w:t>
            </w:r>
          </w:p>
          <w:p w:rsidR="00161017" w:rsidRDefault="00D753BB">
            <w:pPr>
              <w:pStyle w:val="TableParagraph"/>
              <w:spacing w:line="217" w:lineRule="exact"/>
              <w:ind w:left="124" w:right="105"/>
              <w:rPr>
                <w:sz w:val="20"/>
              </w:rPr>
            </w:pPr>
            <w:r>
              <w:rPr>
                <w:sz w:val="20"/>
              </w:rPr>
              <w:t>66</w:t>
            </w:r>
          </w:p>
        </w:tc>
        <w:tc>
          <w:tcPr>
            <w:tcW w:w="994" w:type="dxa"/>
            <w:tcBorders>
              <w:top w:val="single" w:sz="4" w:space="0" w:color="000000"/>
              <w:bottom w:val="single" w:sz="4" w:space="0" w:color="000000"/>
            </w:tcBorders>
          </w:tcPr>
          <w:p w:rsidR="00161017" w:rsidRDefault="00D753BB">
            <w:pPr>
              <w:pStyle w:val="TableParagraph"/>
              <w:spacing w:line="223" w:lineRule="exact"/>
              <w:ind w:left="61" w:right="61"/>
              <w:rPr>
                <w:sz w:val="20"/>
              </w:rPr>
            </w:pPr>
            <w:r>
              <w:rPr>
                <w:sz w:val="20"/>
              </w:rPr>
              <w:t>248</w:t>
            </w:r>
          </w:p>
          <w:p w:rsidR="00161017" w:rsidRDefault="00D753BB">
            <w:pPr>
              <w:pStyle w:val="TableParagraph"/>
              <w:spacing w:line="217" w:lineRule="exact"/>
              <w:ind w:left="61" w:right="61"/>
              <w:rPr>
                <w:sz w:val="20"/>
              </w:rPr>
            </w:pPr>
            <w:r>
              <w:rPr>
                <w:sz w:val="20"/>
              </w:rPr>
              <w:t>152</w:t>
            </w:r>
          </w:p>
        </w:tc>
        <w:tc>
          <w:tcPr>
            <w:tcW w:w="1133" w:type="dxa"/>
            <w:tcBorders>
              <w:top w:val="single" w:sz="4" w:space="0" w:color="000000"/>
              <w:bottom w:val="single" w:sz="4" w:space="0" w:color="000000"/>
            </w:tcBorders>
          </w:tcPr>
          <w:p w:rsidR="00161017" w:rsidRDefault="00D753BB">
            <w:pPr>
              <w:pStyle w:val="TableParagraph"/>
              <w:spacing w:line="223" w:lineRule="exact"/>
              <w:ind w:left="124" w:right="106"/>
              <w:rPr>
                <w:sz w:val="20"/>
              </w:rPr>
            </w:pPr>
            <w:r>
              <w:rPr>
                <w:sz w:val="20"/>
              </w:rPr>
              <w:t>127</w:t>
            </w:r>
          </w:p>
          <w:p w:rsidR="00161017" w:rsidRDefault="00D753BB">
            <w:pPr>
              <w:pStyle w:val="TableParagraph"/>
              <w:spacing w:line="217" w:lineRule="exact"/>
              <w:ind w:left="124" w:right="106"/>
              <w:rPr>
                <w:sz w:val="20"/>
              </w:rPr>
            </w:pPr>
            <w:r>
              <w:rPr>
                <w:sz w:val="20"/>
              </w:rPr>
              <w:t>67</w:t>
            </w:r>
          </w:p>
        </w:tc>
        <w:tc>
          <w:tcPr>
            <w:tcW w:w="994" w:type="dxa"/>
            <w:tcBorders>
              <w:top w:val="single" w:sz="4" w:space="0" w:color="000000"/>
              <w:bottom w:val="single" w:sz="4" w:space="0" w:color="000000"/>
            </w:tcBorders>
          </w:tcPr>
          <w:p w:rsidR="00161017" w:rsidRDefault="00D753BB">
            <w:pPr>
              <w:pStyle w:val="TableParagraph"/>
              <w:spacing w:line="223" w:lineRule="exact"/>
              <w:ind w:left="61" w:right="58"/>
              <w:rPr>
                <w:sz w:val="20"/>
              </w:rPr>
            </w:pPr>
            <w:r>
              <w:rPr>
                <w:sz w:val="20"/>
              </w:rPr>
              <w:t>224</w:t>
            </w:r>
          </w:p>
          <w:p w:rsidR="00161017" w:rsidRDefault="00D753BB">
            <w:pPr>
              <w:pStyle w:val="TableParagraph"/>
              <w:spacing w:line="217" w:lineRule="exact"/>
              <w:ind w:left="61" w:right="58"/>
              <w:rPr>
                <w:sz w:val="20"/>
              </w:rPr>
            </w:pPr>
            <w:r>
              <w:rPr>
                <w:sz w:val="20"/>
              </w:rPr>
              <w:t>140</w:t>
            </w:r>
          </w:p>
        </w:tc>
        <w:tc>
          <w:tcPr>
            <w:tcW w:w="1133" w:type="dxa"/>
            <w:vMerge/>
            <w:tcBorders>
              <w:top w:val="nil"/>
              <w:bottom w:val="single" w:sz="4" w:space="0" w:color="000000"/>
            </w:tcBorders>
          </w:tcPr>
          <w:p w:rsidR="00161017" w:rsidRDefault="00161017">
            <w:pPr>
              <w:rPr>
                <w:sz w:val="2"/>
                <w:szCs w:val="2"/>
              </w:rPr>
            </w:pPr>
          </w:p>
        </w:tc>
      </w:tr>
      <w:tr w:rsidR="00161017">
        <w:trPr>
          <w:trHeight w:val="225"/>
        </w:trPr>
        <w:tc>
          <w:tcPr>
            <w:tcW w:w="1843" w:type="dxa"/>
            <w:vMerge w:val="restart"/>
            <w:tcBorders>
              <w:top w:val="single" w:sz="4" w:space="0" w:color="000000"/>
            </w:tcBorders>
          </w:tcPr>
          <w:p w:rsidR="00161017" w:rsidRDefault="00D753BB">
            <w:pPr>
              <w:pStyle w:val="TableParagraph"/>
              <w:spacing w:before="2" w:line="230" w:lineRule="atLeast"/>
              <w:ind w:left="11" w:right="290"/>
              <w:jc w:val="left"/>
              <w:rPr>
                <w:sz w:val="20"/>
              </w:rPr>
            </w:pPr>
            <w:r>
              <w:rPr>
                <w:sz w:val="20"/>
              </w:rPr>
              <w:t>NZW rabbits: Embryo-fetal development study</w:t>
            </w:r>
          </w:p>
        </w:tc>
        <w:tc>
          <w:tcPr>
            <w:tcW w:w="708" w:type="dxa"/>
            <w:tcBorders>
              <w:top w:val="single" w:sz="4" w:space="0" w:color="000000"/>
              <w:bottom w:val="single" w:sz="4" w:space="0" w:color="000000"/>
            </w:tcBorders>
          </w:tcPr>
          <w:p w:rsidR="00161017" w:rsidRDefault="00D753BB">
            <w:pPr>
              <w:pStyle w:val="TableParagraph"/>
              <w:spacing w:line="205" w:lineRule="exact"/>
              <w:ind w:left="287"/>
              <w:jc w:val="left"/>
              <w:rPr>
                <w:sz w:val="20"/>
              </w:rPr>
            </w:pPr>
            <w:r>
              <w:rPr>
                <w:w w:val="99"/>
                <w:sz w:val="20"/>
              </w:rPr>
              <w:t>F</w:t>
            </w:r>
          </w:p>
        </w:tc>
        <w:tc>
          <w:tcPr>
            <w:tcW w:w="852" w:type="dxa"/>
            <w:tcBorders>
              <w:top w:val="single" w:sz="4" w:space="0" w:color="000000"/>
              <w:bottom w:val="single" w:sz="4" w:space="0" w:color="000000"/>
            </w:tcBorders>
          </w:tcPr>
          <w:p w:rsidR="00161017" w:rsidRDefault="00D753BB">
            <w:pPr>
              <w:pStyle w:val="TableParagraph"/>
              <w:spacing w:line="205" w:lineRule="exact"/>
              <w:ind w:left="1"/>
              <w:rPr>
                <w:sz w:val="20"/>
              </w:rPr>
            </w:pPr>
            <w:r>
              <w:rPr>
                <w:w w:val="99"/>
                <w:sz w:val="20"/>
              </w:rPr>
              <w:t>1</w:t>
            </w:r>
          </w:p>
        </w:tc>
        <w:tc>
          <w:tcPr>
            <w:tcW w:w="1133" w:type="dxa"/>
            <w:tcBorders>
              <w:top w:val="single" w:sz="4" w:space="0" w:color="000000"/>
              <w:bottom w:val="single" w:sz="4" w:space="0" w:color="000000"/>
            </w:tcBorders>
          </w:tcPr>
          <w:p w:rsidR="00161017" w:rsidRDefault="00D753BB">
            <w:pPr>
              <w:pStyle w:val="TableParagraph"/>
              <w:spacing w:line="205" w:lineRule="exact"/>
              <w:ind w:left="124" w:right="103"/>
              <w:rPr>
                <w:sz w:val="20"/>
              </w:rPr>
            </w:pPr>
            <w:r>
              <w:rPr>
                <w:sz w:val="20"/>
              </w:rPr>
              <w:t>0.8</w:t>
            </w:r>
          </w:p>
        </w:tc>
        <w:tc>
          <w:tcPr>
            <w:tcW w:w="994" w:type="dxa"/>
            <w:tcBorders>
              <w:top w:val="single" w:sz="4" w:space="0" w:color="000000"/>
              <w:bottom w:val="single" w:sz="4" w:space="0" w:color="000000"/>
            </w:tcBorders>
          </w:tcPr>
          <w:p w:rsidR="00161017" w:rsidRDefault="00D753BB">
            <w:pPr>
              <w:pStyle w:val="TableParagraph"/>
              <w:spacing w:line="205" w:lineRule="exact"/>
              <w:ind w:left="61" w:right="62"/>
              <w:rPr>
                <w:sz w:val="20"/>
              </w:rPr>
            </w:pPr>
            <w:r>
              <w:rPr>
                <w:sz w:val="20"/>
              </w:rPr>
              <w:t>0.9</w:t>
            </w:r>
          </w:p>
        </w:tc>
        <w:tc>
          <w:tcPr>
            <w:tcW w:w="1133" w:type="dxa"/>
            <w:tcBorders>
              <w:top w:val="single" w:sz="4" w:space="0" w:color="000000"/>
              <w:bottom w:val="single" w:sz="4" w:space="0" w:color="000000"/>
            </w:tcBorders>
          </w:tcPr>
          <w:p w:rsidR="00161017" w:rsidRDefault="00D753BB">
            <w:pPr>
              <w:pStyle w:val="TableParagraph"/>
              <w:spacing w:line="205" w:lineRule="exact"/>
              <w:ind w:left="124" w:right="104"/>
              <w:rPr>
                <w:sz w:val="20"/>
              </w:rPr>
            </w:pPr>
            <w:r>
              <w:rPr>
                <w:sz w:val="20"/>
              </w:rPr>
              <w:t>0.1</w:t>
            </w:r>
          </w:p>
        </w:tc>
        <w:tc>
          <w:tcPr>
            <w:tcW w:w="994" w:type="dxa"/>
            <w:tcBorders>
              <w:top w:val="single" w:sz="4" w:space="0" w:color="000000"/>
              <w:bottom w:val="single" w:sz="4" w:space="0" w:color="000000"/>
            </w:tcBorders>
          </w:tcPr>
          <w:p w:rsidR="00161017" w:rsidRDefault="00D753BB">
            <w:pPr>
              <w:pStyle w:val="TableParagraph"/>
              <w:spacing w:line="205" w:lineRule="exact"/>
              <w:ind w:left="61" w:right="61"/>
              <w:rPr>
                <w:sz w:val="20"/>
              </w:rPr>
            </w:pPr>
            <w:r>
              <w:rPr>
                <w:sz w:val="20"/>
              </w:rPr>
              <w:t>0.2</w:t>
            </w:r>
          </w:p>
        </w:tc>
        <w:tc>
          <w:tcPr>
            <w:tcW w:w="1133" w:type="dxa"/>
            <w:vMerge w:val="restart"/>
            <w:tcBorders>
              <w:top w:val="single" w:sz="4" w:space="0" w:color="000000"/>
            </w:tcBorders>
          </w:tcPr>
          <w:p w:rsidR="00161017" w:rsidRDefault="006568EB">
            <w:pPr>
              <w:pStyle w:val="TableParagraph"/>
              <w:spacing w:before="118"/>
              <w:ind w:left="107" w:right="108"/>
              <w:rPr>
                <w:sz w:val="20"/>
              </w:rPr>
            </w:pPr>
            <w:r>
              <w:rPr>
                <w:sz w:val="20"/>
              </w:rPr>
              <w:t>Project H</w:t>
            </w:r>
            <w:r w:rsidR="00D753BB">
              <w:rPr>
                <w:sz w:val="20"/>
              </w:rPr>
              <w:t>-TX-</w:t>
            </w:r>
          </w:p>
          <w:p w:rsidR="00161017" w:rsidRDefault="00D753BB">
            <w:pPr>
              <w:pStyle w:val="TableParagraph"/>
              <w:ind w:left="108" w:right="108"/>
              <w:rPr>
                <w:sz w:val="20"/>
              </w:rPr>
            </w:pPr>
            <w:r>
              <w:rPr>
                <w:sz w:val="20"/>
              </w:rPr>
              <w:t>0010</w:t>
            </w:r>
          </w:p>
        </w:tc>
      </w:tr>
      <w:tr w:rsidR="00161017">
        <w:trPr>
          <w:trHeight w:val="220"/>
        </w:trPr>
        <w:tc>
          <w:tcPr>
            <w:tcW w:w="1843" w:type="dxa"/>
            <w:vMerge/>
            <w:tcBorders>
              <w:top w:val="nil"/>
            </w:tcBorders>
          </w:tcPr>
          <w:p w:rsidR="00161017" w:rsidRDefault="00161017">
            <w:pPr>
              <w:rPr>
                <w:sz w:val="2"/>
                <w:szCs w:val="2"/>
              </w:rPr>
            </w:pPr>
          </w:p>
        </w:tc>
        <w:tc>
          <w:tcPr>
            <w:tcW w:w="708" w:type="dxa"/>
            <w:tcBorders>
              <w:top w:val="single" w:sz="4" w:space="0" w:color="000000"/>
              <w:bottom w:val="single" w:sz="4" w:space="0" w:color="000000"/>
            </w:tcBorders>
          </w:tcPr>
          <w:p w:rsidR="00161017" w:rsidRDefault="00D753BB">
            <w:pPr>
              <w:pStyle w:val="TableParagraph"/>
              <w:spacing w:line="200" w:lineRule="exact"/>
              <w:ind w:left="287"/>
              <w:jc w:val="left"/>
              <w:rPr>
                <w:sz w:val="20"/>
              </w:rPr>
            </w:pPr>
            <w:r>
              <w:rPr>
                <w:w w:val="99"/>
                <w:sz w:val="20"/>
              </w:rPr>
              <w:t>F</w:t>
            </w:r>
          </w:p>
        </w:tc>
        <w:tc>
          <w:tcPr>
            <w:tcW w:w="852" w:type="dxa"/>
            <w:tcBorders>
              <w:top w:val="single" w:sz="4" w:space="0" w:color="000000"/>
              <w:bottom w:val="single" w:sz="4" w:space="0" w:color="000000"/>
            </w:tcBorders>
          </w:tcPr>
          <w:p w:rsidR="00161017" w:rsidRDefault="00D753BB">
            <w:pPr>
              <w:pStyle w:val="TableParagraph"/>
              <w:spacing w:line="200" w:lineRule="exact"/>
              <w:ind w:right="314"/>
              <w:jc w:val="right"/>
              <w:rPr>
                <w:sz w:val="20"/>
              </w:rPr>
            </w:pPr>
            <w:r>
              <w:rPr>
                <w:sz w:val="20"/>
                <w:u w:val="single"/>
              </w:rPr>
              <w:t>3§</w:t>
            </w:r>
          </w:p>
        </w:tc>
        <w:tc>
          <w:tcPr>
            <w:tcW w:w="1133" w:type="dxa"/>
            <w:tcBorders>
              <w:top w:val="single" w:sz="4" w:space="0" w:color="000000"/>
              <w:bottom w:val="single" w:sz="4" w:space="0" w:color="000000"/>
            </w:tcBorders>
          </w:tcPr>
          <w:p w:rsidR="00161017" w:rsidRDefault="00D753BB">
            <w:pPr>
              <w:pStyle w:val="TableParagraph"/>
              <w:spacing w:line="200" w:lineRule="exact"/>
              <w:ind w:left="124" w:right="103"/>
              <w:rPr>
                <w:sz w:val="20"/>
              </w:rPr>
            </w:pPr>
            <w:r>
              <w:rPr>
                <w:sz w:val="20"/>
              </w:rPr>
              <w:t>3.8</w:t>
            </w:r>
          </w:p>
        </w:tc>
        <w:tc>
          <w:tcPr>
            <w:tcW w:w="994" w:type="dxa"/>
            <w:tcBorders>
              <w:top w:val="single" w:sz="4" w:space="0" w:color="000000"/>
              <w:bottom w:val="single" w:sz="4" w:space="0" w:color="000000"/>
            </w:tcBorders>
          </w:tcPr>
          <w:p w:rsidR="00161017" w:rsidRDefault="00D753BB">
            <w:pPr>
              <w:pStyle w:val="TableParagraph"/>
              <w:spacing w:line="200" w:lineRule="exact"/>
              <w:ind w:left="61" w:right="62"/>
              <w:rPr>
                <w:sz w:val="20"/>
              </w:rPr>
            </w:pPr>
            <w:r>
              <w:rPr>
                <w:sz w:val="20"/>
              </w:rPr>
              <w:t>6.1</w:t>
            </w:r>
          </w:p>
        </w:tc>
        <w:tc>
          <w:tcPr>
            <w:tcW w:w="1133" w:type="dxa"/>
            <w:tcBorders>
              <w:top w:val="single" w:sz="4" w:space="0" w:color="000000"/>
              <w:bottom w:val="single" w:sz="4" w:space="0" w:color="000000"/>
            </w:tcBorders>
          </w:tcPr>
          <w:p w:rsidR="00161017" w:rsidRDefault="00D753BB">
            <w:pPr>
              <w:pStyle w:val="TableParagraph"/>
              <w:spacing w:line="200" w:lineRule="exact"/>
              <w:ind w:left="124" w:right="104"/>
              <w:rPr>
                <w:sz w:val="20"/>
              </w:rPr>
            </w:pPr>
            <w:r>
              <w:rPr>
                <w:sz w:val="20"/>
              </w:rPr>
              <w:t>0.9</w:t>
            </w:r>
          </w:p>
        </w:tc>
        <w:tc>
          <w:tcPr>
            <w:tcW w:w="994" w:type="dxa"/>
            <w:tcBorders>
              <w:top w:val="single" w:sz="4" w:space="0" w:color="000000"/>
              <w:bottom w:val="single" w:sz="4" w:space="0" w:color="000000"/>
            </w:tcBorders>
          </w:tcPr>
          <w:p w:rsidR="00161017" w:rsidRDefault="00D753BB">
            <w:pPr>
              <w:pStyle w:val="TableParagraph"/>
              <w:spacing w:line="200" w:lineRule="exact"/>
              <w:ind w:left="61" w:right="61"/>
              <w:rPr>
                <w:sz w:val="20"/>
              </w:rPr>
            </w:pPr>
            <w:r>
              <w:rPr>
                <w:sz w:val="20"/>
              </w:rPr>
              <w:t>1.2</w:t>
            </w:r>
          </w:p>
        </w:tc>
        <w:tc>
          <w:tcPr>
            <w:tcW w:w="1133" w:type="dxa"/>
            <w:vMerge/>
            <w:tcBorders>
              <w:top w:val="nil"/>
            </w:tcBorders>
          </w:tcPr>
          <w:p w:rsidR="00161017" w:rsidRDefault="00161017">
            <w:pPr>
              <w:rPr>
                <w:sz w:val="2"/>
                <w:szCs w:val="2"/>
              </w:rPr>
            </w:pPr>
          </w:p>
        </w:tc>
      </w:tr>
      <w:tr w:rsidR="00161017">
        <w:trPr>
          <w:trHeight w:val="224"/>
        </w:trPr>
        <w:tc>
          <w:tcPr>
            <w:tcW w:w="1843" w:type="dxa"/>
            <w:vMerge/>
            <w:tcBorders>
              <w:top w:val="nil"/>
            </w:tcBorders>
          </w:tcPr>
          <w:p w:rsidR="00161017" w:rsidRDefault="00161017">
            <w:pPr>
              <w:rPr>
                <w:sz w:val="2"/>
                <w:szCs w:val="2"/>
              </w:rPr>
            </w:pPr>
          </w:p>
        </w:tc>
        <w:tc>
          <w:tcPr>
            <w:tcW w:w="708" w:type="dxa"/>
            <w:tcBorders>
              <w:top w:val="single" w:sz="4" w:space="0" w:color="000000"/>
            </w:tcBorders>
          </w:tcPr>
          <w:p w:rsidR="00161017" w:rsidRDefault="00D753BB">
            <w:pPr>
              <w:pStyle w:val="TableParagraph"/>
              <w:spacing w:line="205" w:lineRule="exact"/>
              <w:ind w:left="287"/>
              <w:jc w:val="left"/>
              <w:rPr>
                <w:sz w:val="20"/>
              </w:rPr>
            </w:pPr>
            <w:r>
              <w:rPr>
                <w:w w:val="99"/>
                <w:sz w:val="20"/>
              </w:rPr>
              <w:t>F</w:t>
            </w:r>
          </w:p>
        </w:tc>
        <w:tc>
          <w:tcPr>
            <w:tcW w:w="852" w:type="dxa"/>
            <w:tcBorders>
              <w:top w:val="single" w:sz="4" w:space="0" w:color="000000"/>
            </w:tcBorders>
          </w:tcPr>
          <w:p w:rsidR="00161017" w:rsidRDefault="00D753BB">
            <w:pPr>
              <w:pStyle w:val="TableParagraph"/>
              <w:spacing w:line="205" w:lineRule="exact"/>
              <w:ind w:right="262"/>
              <w:jc w:val="right"/>
              <w:rPr>
                <w:sz w:val="20"/>
              </w:rPr>
            </w:pPr>
            <w:r>
              <w:rPr>
                <w:sz w:val="20"/>
                <w:u w:val="single"/>
              </w:rPr>
              <w:t>10†</w:t>
            </w:r>
          </w:p>
        </w:tc>
        <w:tc>
          <w:tcPr>
            <w:tcW w:w="1133" w:type="dxa"/>
            <w:tcBorders>
              <w:top w:val="single" w:sz="4" w:space="0" w:color="000000"/>
            </w:tcBorders>
          </w:tcPr>
          <w:p w:rsidR="00161017" w:rsidRDefault="00D753BB">
            <w:pPr>
              <w:pStyle w:val="TableParagraph"/>
              <w:spacing w:line="205" w:lineRule="exact"/>
              <w:ind w:left="124" w:right="105"/>
              <w:rPr>
                <w:sz w:val="20"/>
              </w:rPr>
            </w:pPr>
            <w:r>
              <w:rPr>
                <w:sz w:val="20"/>
              </w:rPr>
              <w:t>35</w:t>
            </w:r>
          </w:p>
        </w:tc>
        <w:tc>
          <w:tcPr>
            <w:tcW w:w="994" w:type="dxa"/>
            <w:tcBorders>
              <w:top w:val="single" w:sz="4" w:space="0" w:color="000000"/>
            </w:tcBorders>
          </w:tcPr>
          <w:p w:rsidR="00161017" w:rsidRDefault="00D753BB">
            <w:pPr>
              <w:pStyle w:val="TableParagraph"/>
              <w:spacing w:line="205" w:lineRule="exact"/>
              <w:ind w:left="61" w:right="61"/>
              <w:rPr>
                <w:sz w:val="20"/>
              </w:rPr>
            </w:pPr>
            <w:r>
              <w:rPr>
                <w:sz w:val="20"/>
              </w:rPr>
              <w:t>45</w:t>
            </w:r>
          </w:p>
        </w:tc>
        <w:tc>
          <w:tcPr>
            <w:tcW w:w="1133" w:type="dxa"/>
            <w:tcBorders>
              <w:top w:val="single" w:sz="4" w:space="0" w:color="000000"/>
            </w:tcBorders>
          </w:tcPr>
          <w:p w:rsidR="00161017" w:rsidRDefault="00D753BB">
            <w:pPr>
              <w:pStyle w:val="TableParagraph"/>
              <w:spacing w:line="205" w:lineRule="exact"/>
              <w:ind w:left="124" w:right="104"/>
              <w:rPr>
                <w:sz w:val="20"/>
              </w:rPr>
            </w:pPr>
            <w:r>
              <w:rPr>
                <w:sz w:val="20"/>
              </w:rPr>
              <w:t>6.0</w:t>
            </w:r>
          </w:p>
        </w:tc>
        <w:tc>
          <w:tcPr>
            <w:tcW w:w="994" w:type="dxa"/>
            <w:tcBorders>
              <w:top w:val="single" w:sz="4" w:space="0" w:color="000000"/>
            </w:tcBorders>
          </w:tcPr>
          <w:p w:rsidR="00161017" w:rsidRDefault="00D753BB">
            <w:pPr>
              <w:pStyle w:val="TableParagraph"/>
              <w:spacing w:line="205" w:lineRule="exact"/>
              <w:ind w:left="61" w:right="61"/>
              <w:rPr>
                <w:sz w:val="20"/>
              </w:rPr>
            </w:pPr>
            <w:r>
              <w:rPr>
                <w:sz w:val="20"/>
              </w:rPr>
              <w:t>7.6</w:t>
            </w:r>
          </w:p>
        </w:tc>
        <w:tc>
          <w:tcPr>
            <w:tcW w:w="1133" w:type="dxa"/>
            <w:vMerge/>
            <w:tcBorders>
              <w:top w:val="nil"/>
            </w:tcBorders>
          </w:tcPr>
          <w:p w:rsidR="00161017" w:rsidRDefault="00161017">
            <w:pPr>
              <w:rPr>
                <w:sz w:val="2"/>
                <w:szCs w:val="2"/>
              </w:rPr>
            </w:pPr>
          </w:p>
        </w:tc>
      </w:tr>
    </w:tbl>
    <w:p w:rsidR="00161017" w:rsidRDefault="00161017">
      <w:pPr>
        <w:rPr>
          <w:sz w:val="2"/>
          <w:szCs w:val="2"/>
        </w:rPr>
        <w:sectPr w:rsidR="00161017">
          <w:pgSz w:w="12240" w:h="15840"/>
          <w:pgMar w:top="1240" w:right="0" w:bottom="940" w:left="1400" w:header="581" w:footer="748" w:gutter="0"/>
          <w:cols w:space="720"/>
        </w:sectPr>
      </w:pPr>
    </w:p>
    <w:p w:rsidR="00161017" w:rsidRDefault="00161017">
      <w:pPr>
        <w:pStyle w:val="a3"/>
        <w:rPr>
          <w:b/>
          <w:sz w:val="20"/>
        </w:rPr>
      </w:pPr>
    </w:p>
    <w:p w:rsidR="00161017" w:rsidRDefault="00161017">
      <w:pPr>
        <w:pStyle w:val="a3"/>
        <w:rPr>
          <w:b/>
          <w:sz w:val="20"/>
        </w:rPr>
      </w:pPr>
    </w:p>
    <w:p w:rsidR="00161017" w:rsidRDefault="00161017">
      <w:pPr>
        <w:pStyle w:val="a3"/>
        <w:spacing w:before="4"/>
        <w:rPr>
          <w:b/>
        </w:rPr>
      </w:pPr>
    </w:p>
    <w:p w:rsidR="00161017" w:rsidRDefault="00D753BB">
      <w:pPr>
        <w:spacing w:before="91"/>
        <w:ind w:left="215"/>
        <w:rPr>
          <w:i/>
          <w:sz w:val="20"/>
        </w:rPr>
      </w:pPr>
      <w:r>
        <w:rPr>
          <w:i/>
          <w:sz w:val="20"/>
        </w:rPr>
        <w:t>Footnotes continued from previous page</w:t>
      </w:r>
    </w:p>
    <w:p w:rsidR="00161017" w:rsidRDefault="00D753BB">
      <w:pPr>
        <w:spacing w:before="120"/>
        <w:ind w:left="215" w:right="1858"/>
        <w:rPr>
          <w:sz w:val="20"/>
        </w:rPr>
      </w:pPr>
      <w:r>
        <w:rPr>
          <w:sz w:val="20"/>
        </w:rPr>
        <w:t>GLP: Good Laboratory Practice; NA: not applicable; NOAEL: no observed adverse effect level (underlined); NZW: New Zealand White</w:t>
      </w:r>
    </w:p>
    <w:p w:rsidR="00161017" w:rsidRDefault="00D753BB">
      <w:pPr>
        <w:spacing w:before="119"/>
        <w:ind w:left="215"/>
        <w:rPr>
          <w:sz w:val="20"/>
        </w:rPr>
      </w:pPr>
      <w:r>
        <w:rPr>
          <w:sz w:val="20"/>
        </w:rPr>
        <w:t>† NOAEL for fetus</w:t>
      </w:r>
    </w:p>
    <w:p w:rsidR="00161017" w:rsidRDefault="00D753BB">
      <w:pPr>
        <w:spacing w:before="120"/>
        <w:ind w:left="215"/>
        <w:rPr>
          <w:sz w:val="20"/>
        </w:rPr>
      </w:pPr>
      <w:r>
        <w:rPr>
          <w:sz w:val="20"/>
        </w:rPr>
        <w:t>‡ The dose level was decreased to 20 mg/kg for female from day 5.</w:t>
      </w:r>
    </w:p>
    <w:p w:rsidR="00161017" w:rsidRDefault="00D753BB">
      <w:pPr>
        <w:spacing w:before="120"/>
        <w:ind w:left="215"/>
        <w:rPr>
          <w:sz w:val="20"/>
        </w:rPr>
      </w:pPr>
      <w:r>
        <w:rPr>
          <w:sz w:val="20"/>
        </w:rPr>
        <w:t>§ NOAEL for dams,</w:t>
      </w:r>
    </w:p>
    <w:p w:rsidR="00161017" w:rsidRDefault="00D753BB">
      <w:pPr>
        <w:spacing w:before="121"/>
        <w:ind w:left="215"/>
        <w:rPr>
          <w:sz w:val="20"/>
        </w:rPr>
      </w:pPr>
      <w:r>
        <w:rPr>
          <w:sz w:val="20"/>
        </w:rPr>
        <w:t>The exposure ratio was calculated as follows:</w:t>
      </w:r>
    </w:p>
    <w:p w:rsidR="00161017" w:rsidRDefault="00D753BB">
      <w:pPr>
        <w:spacing w:before="120"/>
        <w:ind w:left="923" w:right="2011" w:firstLine="12"/>
        <w:rPr>
          <w:sz w:val="20"/>
        </w:rPr>
      </w:pPr>
      <w:r>
        <w:rPr>
          <w:sz w:val="20"/>
        </w:rPr>
        <w:t>The effective plasma concentration (Ceff) based on the pharmacology data in a cat model of acetic acid-induced irritated cystometry (0.03 mg/kg iv, 15min); 2.996 ng/mL</w:t>
      </w:r>
    </w:p>
    <w:p w:rsidR="00161017" w:rsidRDefault="00D753BB">
      <w:pPr>
        <w:spacing w:before="119"/>
        <w:ind w:left="923"/>
        <w:rPr>
          <w:sz w:val="20"/>
        </w:rPr>
      </w:pPr>
      <w:r>
        <w:rPr>
          <w:sz w:val="20"/>
        </w:rPr>
        <w:t>Ceff,</w:t>
      </w:r>
      <w:r>
        <w:rPr>
          <w:sz w:val="20"/>
          <w:vertAlign w:val="subscript"/>
        </w:rPr>
        <w:t>u</w:t>
      </w:r>
      <w:r>
        <w:rPr>
          <w:sz w:val="20"/>
        </w:rPr>
        <w:t>; 0.629 ng/mL (C</w:t>
      </w:r>
      <w:r>
        <w:rPr>
          <w:sz w:val="20"/>
          <w:vertAlign w:val="subscript"/>
        </w:rPr>
        <w:t>eff</w:t>
      </w:r>
      <w:r>
        <w:rPr>
          <w:sz w:val="20"/>
        </w:rPr>
        <w:t xml:space="preserve"> x fp,cat)</w:t>
      </w:r>
    </w:p>
    <w:p w:rsidR="00161017" w:rsidRDefault="00D753BB">
      <w:pPr>
        <w:spacing w:before="120" w:line="364" w:lineRule="auto"/>
        <w:ind w:left="923" w:right="5228"/>
        <w:rPr>
          <w:sz w:val="20"/>
        </w:rPr>
      </w:pPr>
      <w:r>
        <w:rPr>
          <w:sz w:val="20"/>
        </w:rPr>
        <w:t>The effective AUC,</w:t>
      </w:r>
      <w:r>
        <w:rPr>
          <w:sz w:val="20"/>
          <w:vertAlign w:val="subscript"/>
        </w:rPr>
        <w:t>u</w:t>
      </w:r>
      <w:r>
        <w:rPr>
          <w:sz w:val="20"/>
        </w:rPr>
        <w:t>; 7.548 ng∙h/mL (Ceff,u x 12h) Exposure ratio (C</w:t>
      </w:r>
      <w:r>
        <w:rPr>
          <w:sz w:val="20"/>
          <w:vertAlign w:val="subscript"/>
        </w:rPr>
        <w:t>max,u</w:t>
      </w:r>
      <w:r>
        <w:rPr>
          <w:sz w:val="20"/>
        </w:rPr>
        <w:t>): TK C</w:t>
      </w:r>
      <w:r>
        <w:rPr>
          <w:sz w:val="20"/>
          <w:vertAlign w:val="subscript"/>
        </w:rPr>
        <w:t>max</w:t>
      </w:r>
      <w:r>
        <w:rPr>
          <w:sz w:val="20"/>
        </w:rPr>
        <w:t xml:space="preserve"> x fp,animal / 0.629 Exposure ratio (AUC24,u): TK AUC</w:t>
      </w:r>
      <w:r>
        <w:rPr>
          <w:sz w:val="20"/>
          <w:vertAlign w:val="subscript"/>
        </w:rPr>
        <w:t>24</w:t>
      </w:r>
      <w:r>
        <w:rPr>
          <w:sz w:val="20"/>
        </w:rPr>
        <w:t xml:space="preserve"> x fp,animal / 7.548</w:t>
      </w:r>
    </w:p>
    <w:p w:rsidR="00161017" w:rsidRDefault="00D753BB">
      <w:pPr>
        <w:ind w:left="923"/>
        <w:rPr>
          <w:sz w:val="20"/>
        </w:rPr>
      </w:pPr>
      <w:r>
        <w:rPr>
          <w:sz w:val="20"/>
        </w:rPr>
        <w:t>(fp,animal: 0.19 for SD rats, 0.18 for cynomolgus monkeys, 0.25 for rabbits, 0.21 for cats)</w:t>
      </w:r>
    </w:p>
    <w:p w:rsidR="00161017" w:rsidRDefault="00161017">
      <w:pPr>
        <w:rPr>
          <w:sz w:val="20"/>
        </w:rPr>
        <w:sectPr w:rsidR="00161017">
          <w:pgSz w:w="12240" w:h="15840"/>
          <w:pgMar w:top="1240" w:right="0" w:bottom="940" w:left="1400" w:header="581" w:footer="748" w:gutter="0"/>
          <w:cols w:space="720"/>
        </w:sectPr>
      </w:pPr>
    </w:p>
    <w:p w:rsidR="00161017" w:rsidRDefault="00161017">
      <w:pPr>
        <w:pStyle w:val="a3"/>
        <w:rPr>
          <w:sz w:val="20"/>
        </w:rPr>
      </w:pPr>
    </w:p>
    <w:p w:rsidR="00161017" w:rsidRDefault="00D753BB">
      <w:pPr>
        <w:pStyle w:val="3"/>
        <w:tabs>
          <w:tab w:val="left" w:pos="1626"/>
        </w:tabs>
        <w:spacing w:before="208"/>
        <w:ind w:left="215" w:firstLine="0"/>
      </w:pPr>
      <w:bookmarkStart w:id="53" w:name="_bookmark68"/>
      <w:bookmarkEnd w:id="53"/>
      <w:r>
        <w:t>Table</w:t>
      </w:r>
      <w:r>
        <w:rPr>
          <w:spacing w:val="-1"/>
        </w:rPr>
        <w:t xml:space="preserve"> </w:t>
      </w:r>
      <w:r>
        <w:t>3</w:t>
      </w:r>
      <w:r>
        <w:tab/>
        <w:t>Summary of Nonclinical Findings and Their Relevance to Human</w:t>
      </w:r>
      <w:r>
        <w:rPr>
          <w:spacing w:val="-9"/>
        </w:rPr>
        <w:t xml:space="preserve"> </w:t>
      </w:r>
      <w:r>
        <w:t>Usage</w:t>
      </w:r>
    </w:p>
    <w:p w:rsidR="00161017" w:rsidRDefault="00161017">
      <w:pPr>
        <w:pStyle w:val="a3"/>
        <w:spacing w:before="6"/>
        <w:rPr>
          <w:b/>
          <w:sz w:val="5"/>
        </w:rPr>
      </w:pPr>
    </w:p>
    <w:tbl>
      <w:tblPr>
        <w:tblStyle w:val="TableNormal"/>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639"/>
        <w:gridCol w:w="3710"/>
        <w:gridCol w:w="3873"/>
      </w:tblGrid>
      <w:tr w:rsidR="00161017">
        <w:trPr>
          <w:trHeight w:val="460"/>
        </w:trPr>
        <w:tc>
          <w:tcPr>
            <w:tcW w:w="1639" w:type="dxa"/>
            <w:tcBorders>
              <w:bottom w:val="single" w:sz="2" w:space="0" w:color="000000"/>
              <w:right w:val="single" w:sz="2" w:space="0" w:color="000000"/>
            </w:tcBorders>
          </w:tcPr>
          <w:p w:rsidR="00161017" w:rsidRDefault="00161017">
            <w:pPr>
              <w:pStyle w:val="TableParagraph"/>
              <w:spacing w:before="9"/>
              <w:jc w:val="left"/>
              <w:rPr>
                <w:b/>
                <w:sz w:val="19"/>
              </w:rPr>
            </w:pPr>
          </w:p>
          <w:p w:rsidR="00161017" w:rsidRDefault="00D753BB">
            <w:pPr>
              <w:pStyle w:val="TableParagraph"/>
              <w:spacing w:line="212" w:lineRule="exact"/>
              <w:ind w:left="107"/>
              <w:jc w:val="left"/>
              <w:rPr>
                <w:b/>
                <w:sz w:val="20"/>
              </w:rPr>
            </w:pPr>
            <w:r>
              <w:rPr>
                <w:b/>
                <w:sz w:val="20"/>
              </w:rPr>
              <w:t>Target organ</w:t>
            </w:r>
          </w:p>
        </w:tc>
        <w:tc>
          <w:tcPr>
            <w:tcW w:w="3710" w:type="dxa"/>
            <w:tcBorders>
              <w:left w:val="single" w:sz="2" w:space="0" w:color="000000"/>
              <w:bottom w:val="single" w:sz="2" w:space="0" w:color="000000"/>
              <w:right w:val="single" w:sz="2" w:space="0" w:color="000000"/>
            </w:tcBorders>
          </w:tcPr>
          <w:p w:rsidR="00161017" w:rsidRDefault="00D753BB">
            <w:pPr>
              <w:pStyle w:val="TableParagraph"/>
              <w:spacing w:line="230" w:lineRule="exact"/>
              <w:ind w:left="254" w:right="220" w:firstLine="271"/>
              <w:jc w:val="left"/>
              <w:rPr>
                <w:b/>
                <w:sz w:val="20"/>
              </w:rPr>
            </w:pPr>
            <w:r>
              <w:rPr>
                <w:b/>
                <w:sz w:val="20"/>
              </w:rPr>
              <w:t>Potential Safety Concern (from nonclinical studies or from literature)</w:t>
            </w:r>
          </w:p>
        </w:tc>
        <w:tc>
          <w:tcPr>
            <w:tcW w:w="3873" w:type="dxa"/>
            <w:tcBorders>
              <w:left w:val="single" w:sz="2" w:space="0" w:color="000000"/>
              <w:bottom w:val="single" w:sz="2" w:space="0" w:color="000000"/>
            </w:tcBorders>
          </w:tcPr>
          <w:p w:rsidR="00161017" w:rsidRDefault="00D753BB">
            <w:pPr>
              <w:pStyle w:val="TableParagraph"/>
              <w:spacing w:line="230" w:lineRule="exact"/>
              <w:ind w:left="1145" w:right="269" w:hanging="776"/>
              <w:jc w:val="left"/>
              <w:rPr>
                <w:b/>
                <w:sz w:val="20"/>
              </w:rPr>
            </w:pPr>
            <w:r>
              <w:rPr>
                <w:b/>
                <w:sz w:val="20"/>
              </w:rPr>
              <w:t>Relevance to Human Usage and Risk Mitigation Actions</w:t>
            </w:r>
          </w:p>
        </w:tc>
      </w:tr>
      <w:tr w:rsidR="00161017">
        <w:trPr>
          <w:trHeight w:val="2987"/>
        </w:trPr>
        <w:tc>
          <w:tcPr>
            <w:tcW w:w="1639" w:type="dxa"/>
            <w:tcBorders>
              <w:top w:val="single" w:sz="2" w:space="0" w:color="000000"/>
              <w:bottom w:val="single" w:sz="2" w:space="0" w:color="000000"/>
              <w:right w:val="single" w:sz="2" w:space="0" w:color="000000"/>
            </w:tcBorders>
          </w:tcPr>
          <w:p w:rsidR="00161017" w:rsidRDefault="00D753BB">
            <w:pPr>
              <w:pStyle w:val="TableParagraph"/>
              <w:ind w:left="107" w:right="185"/>
              <w:jc w:val="left"/>
              <w:rPr>
                <w:sz w:val="20"/>
              </w:rPr>
            </w:pPr>
            <w:r>
              <w:rPr>
                <w:sz w:val="20"/>
              </w:rPr>
              <w:t>Central Nervous System</w:t>
            </w:r>
          </w:p>
        </w:tc>
        <w:tc>
          <w:tcPr>
            <w:tcW w:w="3710" w:type="dxa"/>
            <w:tcBorders>
              <w:top w:val="single" w:sz="2" w:space="0" w:color="000000"/>
              <w:left w:val="single" w:sz="2" w:space="0" w:color="000000"/>
              <w:bottom w:val="single" w:sz="2" w:space="0" w:color="000000"/>
              <w:right w:val="single" w:sz="2" w:space="0" w:color="000000"/>
            </w:tcBorders>
          </w:tcPr>
          <w:p w:rsidR="00161017" w:rsidRDefault="00D753BB">
            <w:pPr>
              <w:pStyle w:val="TableParagraph"/>
              <w:ind w:left="112" w:right="104"/>
              <w:jc w:val="left"/>
              <w:rPr>
                <w:sz w:val="20"/>
              </w:rPr>
            </w:pPr>
            <w:r>
              <w:rPr>
                <w:sz w:val="20"/>
              </w:rPr>
              <w:t>From animal studies: Decreases in locomotor activity, incomplete eyelid opening, slight flaccidity in abdominal tone, prone position, a low level of arousal, limp extensor thrust reflex, decreases in the escape response disappearance of proprioceptive positioning reaction, piloerection, and clonic convulsion.</w:t>
            </w:r>
          </w:p>
          <w:p w:rsidR="00161017" w:rsidRDefault="00D753BB">
            <w:pPr>
              <w:pStyle w:val="TableParagraph"/>
              <w:ind w:left="112" w:right="268"/>
              <w:jc w:val="left"/>
              <w:rPr>
                <w:sz w:val="20"/>
              </w:rPr>
            </w:pPr>
            <w:r>
              <w:rPr>
                <w:sz w:val="20"/>
              </w:rPr>
              <w:t>Decreases in food consumption and body temperature.</w:t>
            </w:r>
          </w:p>
          <w:p w:rsidR="00161017" w:rsidRDefault="00D753BB">
            <w:pPr>
              <w:pStyle w:val="TableParagraph"/>
              <w:spacing w:line="230" w:lineRule="atLeast"/>
              <w:ind w:left="112" w:right="118"/>
              <w:jc w:val="left"/>
              <w:rPr>
                <w:sz w:val="20"/>
              </w:rPr>
            </w:pPr>
            <w:r>
              <w:rPr>
                <w:sz w:val="20"/>
              </w:rPr>
              <w:t>From literature: potential for prolactin and cortisol increase, hallucinations, psychosis, cognitive effects, sedation, depression</w:t>
            </w:r>
          </w:p>
        </w:tc>
        <w:tc>
          <w:tcPr>
            <w:tcW w:w="3873" w:type="dxa"/>
            <w:tcBorders>
              <w:top w:val="single" w:sz="2" w:space="0" w:color="000000"/>
              <w:left w:val="single" w:sz="2" w:space="0" w:color="000000"/>
              <w:bottom w:val="single" w:sz="2" w:space="0" w:color="000000"/>
            </w:tcBorders>
          </w:tcPr>
          <w:p w:rsidR="00161017" w:rsidRDefault="00D753BB">
            <w:pPr>
              <w:pStyle w:val="TableParagraph"/>
              <w:ind w:left="113" w:right="269"/>
              <w:jc w:val="left"/>
              <w:rPr>
                <w:sz w:val="20"/>
              </w:rPr>
            </w:pPr>
            <w:r>
              <w:rPr>
                <w:sz w:val="20"/>
              </w:rPr>
              <w:t>Potential for several effects on central nervous system (including appetite) will be monitored by questionnaires, cognition test battery and AE reporting.</w:t>
            </w:r>
          </w:p>
          <w:p w:rsidR="00161017" w:rsidRDefault="00D753BB">
            <w:pPr>
              <w:pStyle w:val="TableParagraph"/>
              <w:ind w:left="113" w:right="425"/>
              <w:jc w:val="left"/>
              <w:rPr>
                <w:sz w:val="20"/>
              </w:rPr>
            </w:pPr>
            <w:r>
              <w:rPr>
                <w:sz w:val="20"/>
              </w:rPr>
              <w:t>Body temperature will be monitored to investigate the potential for hypothermia. A C</w:t>
            </w:r>
            <w:r>
              <w:rPr>
                <w:sz w:val="20"/>
                <w:vertAlign w:val="subscript"/>
              </w:rPr>
              <w:t>max</w:t>
            </w:r>
            <w:r>
              <w:rPr>
                <w:sz w:val="20"/>
              </w:rPr>
              <w:t xml:space="preserve"> exposure cap will be applied to minimize the risk for convulsion.</w:t>
            </w:r>
          </w:p>
        </w:tc>
      </w:tr>
      <w:tr w:rsidR="00161017">
        <w:trPr>
          <w:trHeight w:val="984"/>
        </w:trPr>
        <w:tc>
          <w:tcPr>
            <w:tcW w:w="1639" w:type="dxa"/>
            <w:tcBorders>
              <w:top w:val="single" w:sz="2" w:space="0" w:color="000000"/>
              <w:bottom w:val="single" w:sz="4" w:space="0" w:color="000000"/>
              <w:right w:val="single" w:sz="2" w:space="0" w:color="000000"/>
            </w:tcBorders>
          </w:tcPr>
          <w:p w:rsidR="00161017" w:rsidRDefault="00D753BB">
            <w:pPr>
              <w:pStyle w:val="TableParagraph"/>
              <w:ind w:left="107" w:right="130"/>
              <w:jc w:val="left"/>
              <w:rPr>
                <w:sz w:val="20"/>
              </w:rPr>
            </w:pPr>
            <w:r>
              <w:rPr>
                <w:sz w:val="20"/>
              </w:rPr>
              <w:t xml:space="preserve">Vacuolar changes (suspected </w:t>
            </w:r>
            <w:r>
              <w:rPr>
                <w:w w:val="95"/>
                <w:sz w:val="20"/>
              </w:rPr>
              <w:t>phospholipidosis)</w:t>
            </w:r>
          </w:p>
        </w:tc>
        <w:tc>
          <w:tcPr>
            <w:tcW w:w="3710" w:type="dxa"/>
            <w:tcBorders>
              <w:top w:val="single" w:sz="2" w:space="0" w:color="000000"/>
              <w:left w:val="single" w:sz="2" w:space="0" w:color="000000"/>
              <w:bottom w:val="single" w:sz="4" w:space="0" w:color="000000"/>
              <w:right w:val="single" w:sz="2" w:space="0" w:color="000000"/>
            </w:tcBorders>
          </w:tcPr>
          <w:p w:rsidR="00161017" w:rsidRDefault="00D753BB">
            <w:pPr>
              <w:pStyle w:val="TableParagraph"/>
              <w:ind w:left="112" w:right="623"/>
              <w:jc w:val="left"/>
              <w:rPr>
                <w:sz w:val="20"/>
              </w:rPr>
            </w:pPr>
            <w:r>
              <w:rPr>
                <w:sz w:val="20"/>
              </w:rPr>
              <w:t>Alveolar foam cells in the lung. Vacuolation in lymphocytes, kidney, epididymis and eye (1 rat)</w:t>
            </w:r>
          </w:p>
        </w:tc>
        <w:tc>
          <w:tcPr>
            <w:tcW w:w="3873" w:type="dxa"/>
            <w:tcBorders>
              <w:top w:val="single" w:sz="2" w:space="0" w:color="000000"/>
              <w:left w:val="single" w:sz="2" w:space="0" w:color="000000"/>
              <w:bottom w:val="single" w:sz="4" w:space="0" w:color="000000"/>
            </w:tcBorders>
          </w:tcPr>
          <w:p w:rsidR="00161017" w:rsidRDefault="00D753BB">
            <w:pPr>
              <w:pStyle w:val="TableParagraph"/>
              <w:ind w:left="113" w:right="263"/>
              <w:jc w:val="left"/>
              <w:rPr>
                <w:sz w:val="20"/>
              </w:rPr>
            </w:pPr>
            <w:r>
              <w:rPr>
                <w:sz w:val="20"/>
              </w:rPr>
              <w:t>Urine and serum di-22:6-BMP will be used as an exploratory marker for lysosomal effects that may progress to phospholipidosis.</w:t>
            </w:r>
          </w:p>
        </w:tc>
      </w:tr>
      <w:tr w:rsidR="00161017">
        <w:trPr>
          <w:trHeight w:val="1446"/>
        </w:trPr>
        <w:tc>
          <w:tcPr>
            <w:tcW w:w="1639" w:type="dxa"/>
            <w:tcBorders>
              <w:top w:val="single" w:sz="4" w:space="0" w:color="000000"/>
              <w:bottom w:val="single" w:sz="4" w:space="0" w:color="000000"/>
              <w:right w:val="single" w:sz="2" w:space="0" w:color="000000"/>
            </w:tcBorders>
          </w:tcPr>
          <w:p w:rsidR="00161017" w:rsidRDefault="00D753BB">
            <w:pPr>
              <w:pStyle w:val="TableParagraph"/>
              <w:spacing w:line="223" w:lineRule="exact"/>
              <w:ind w:left="107"/>
              <w:jc w:val="left"/>
              <w:rPr>
                <w:sz w:val="20"/>
              </w:rPr>
            </w:pPr>
            <w:r>
              <w:rPr>
                <w:sz w:val="20"/>
              </w:rPr>
              <w:t>Cardiovascular</w:t>
            </w:r>
          </w:p>
        </w:tc>
        <w:tc>
          <w:tcPr>
            <w:tcW w:w="3710" w:type="dxa"/>
            <w:tcBorders>
              <w:top w:val="single" w:sz="4" w:space="0" w:color="000000"/>
              <w:left w:val="single" w:sz="2" w:space="0" w:color="000000"/>
              <w:bottom w:val="single" w:sz="4" w:space="0" w:color="000000"/>
              <w:right w:val="single" w:sz="2" w:space="0" w:color="000000"/>
            </w:tcBorders>
          </w:tcPr>
          <w:p w:rsidR="00161017" w:rsidRDefault="00D753BB">
            <w:pPr>
              <w:pStyle w:val="TableParagraph"/>
              <w:spacing w:line="223" w:lineRule="exact"/>
              <w:ind w:left="112"/>
              <w:jc w:val="left"/>
              <w:rPr>
                <w:sz w:val="20"/>
              </w:rPr>
            </w:pPr>
            <w:r>
              <w:rPr>
                <w:sz w:val="20"/>
              </w:rPr>
              <w:t>Skin flush in rats.</w:t>
            </w:r>
          </w:p>
          <w:p w:rsidR="00161017" w:rsidRDefault="00D753BB">
            <w:pPr>
              <w:pStyle w:val="TableParagraph"/>
              <w:ind w:left="112" w:right="146"/>
              <w:jc w:val="left"/>
              <w:rPr>
                <w:sz w:val="20"/>
              </w:rPr>
            </w:pPr>
            <w:r>
              <w:rPr>
                <w:sz w:val="20"/>
              </w:rPr>
              <w:t>Decreases in blood pressure and heart rate, prolongation of PR interval and QRS duration in cynomolgus monkeys.</w:t>
            </w:r>
          </w:p>
          <w:p w:rsidR="00161017" w:rsidRDefault="00D753BB">
            <w:pPr>
              <w:pStyle w:val="TableParagraph"/>
              <w:ind w:left="112" w:right="644"/>
              <w:jc w:val="left"/>
              <w:rPr>
                <w:sz w:val="20"/>
              </w:rPr>
            </w:pPr>
            <w:r>
              <w:rPr>
                <w:sz w:val="20"/>
              </w:rPr>
              <w:t>From literature: potential for 5-HT</w:t>
            </w:r>
            <w:r>
              <w:rPr>
                <w:sz w:val="20"/>
                <w:vertAlign w:val="subscript"/>
              </w:rPr>
              <w:t>2B</w:t>
            </w:r>
            <w:r>
              <w:rPr>
                <w:sz w:val="20"/>
              </w:rPr>
              <w:t xml:space="preserve"> related valvular heart disease.</w:t>
            </w:r>
          </w:p>
        </w:tc>
        <w:tc>
          <w:tcPr>
            <w:tcW w:w="3873" w:type="dxa"/>
            <w:tcBorders>
              <w:top w:val="single" w:sz="4" w:space="0" w:color="000000"/>
              <w:left w:val="single" w:sz="2" w:space="0" w:color="000000"/>
              <w:bottom w:val="single" w:sz="4" w:space="0" w:color="000000"/>
            </w:tcBorders>
          </w:tcPr>
          <w:p w:rsidR="00161017" w:rsidRDefault="00D753BB">
            <w:pPr>
              <w:pStyle w:val="TableParagraph"/>
              <w:ind w:left="113" w:right="180"/>
              <w:jc w:val="left"/>
              <w:rPr>
                <w:sz w:val="20"/>
              </w:rPr>
            </w:pPr>
            <w:r>
              <w:rPr>
                <w:sz w:val="20"/>
              </w:rPr>
              <w:t>Potential for skin flush will be monitored by adverse event reporting</w:t>
            </w:r>
          </w:p>
          <w:p w:rsidR="00161017" w:rsidRDefault="00D753BB">
            <w:pPr>
              <w:pStyle w:val="TableParagraph"/>
              <w:ind w:left="113" w:right="103"/>
              <w:jc w:val="left"/>
              <w:rPr>
                <w:sz w:val="20"/>
              </w:rPr>
            </w:pPr>
            <w:r>
              <w:rPr>
                <w:sz w:val="20"/>
              </w:rPr>
              <w:t>Extensive ECG monitoring (incl. Holter and telemetry) will be used to assess the potential for cardiovascular effects.</w:t>
            </w:r>
          </w:p>
        </w:tc>
      </w:tr>
      <w:tr w:rsidR="00161017">
        <w:trPr>
          <w:trHeight w:val="549"/>
        </w:trPr>
        <w:tc>
          <w:tcPr>
            <w:tcW w:w="1639" w:type="dxa"/>
            <w:tcBorders>
              <w:top w:val="single" w:sz="4" w:space="0" w:color="000000"/>
              <w:bottom w:val="single" w:sz="2" w:space="0" w:color="000000"/>
              <w:right w:val="single" w:sz="2" w:space="0" w:color="000000"/>
            </w:tcBorders>
          </w:tcPr>
          <w:p w:rsidR="00161017" w:rsidRDefault="00D753BB">
            <w:pPr>
              <w:pStyle w:val="TableParagraph"/>
              <w:spacing w:line="225" w:lineRule="exact"/>
              <w:ind w:left="107"/>
              <w:jc w:val="left"/>
              <w:rPr>
                <w:sz w:val="20"/>
              </w:rPr>
            </w:pPr>
            <w:r>
              <w:rPr>
                <w:sz w:val="20"/>
              </w:rPr>
              <w:t>Water balance</w:t>
            </w:r>
          </w:p>
        </w:tc>
        <w:tc>
          <w:tcPr>
            <w:tcW w:w="3710" w:type="dxa"/>
            <w:tcBorders>
              <w:top w:val="single" w:sz="4" w:space="0" w:color="000000"/>
              <w:left w:val="single" w:sz="2" w:space="0" w:color="000000"/>
              <w:bottom w:val="single" w:sz="2" w:space="0" w:color="000000"/>
              <w:right w:val="single" w:sz="2" w:space="0" w:color="000000"/>
            </w:tcBorders>
          </w:tcPr>
          <w:p w:rsidR="00161017" w:rsidRDefault="00D753BB">
            <w:pPr>
              <w:pStyle w:val="TableParagraph"/>
              <w:spacing w:line="237" w:lineRule="auto"/>
              <w:ind w:left="112" w:right="141"/>
              <w:jc w:val="left"/>
              <w:rPr>
                <w:sz w:val="20"/>
              </w:rPr>
            </w:pPr>
            <w:r>
              <w:rPr>
                <w:sz w:val="20"/>
              </w:rPr>
              <w:t>Increase in urinary volume and decrease in specific gravity in rats</w:t>
            </w:r>
          </w:p>
        </w:tc>
        <w:tc>
          <w:tcPr>
            <w:tcW w:w="3873" w:type="dxa"/>
            <w:tcBorders>
              <w:top w:val="single" w:sz="4" w:space="0" w:color="000000"/>
              <w:left w:val="single" w:sz="2" w:space="0" w:color="000000"/>
              <w:bottom w:val="single" w:sz="2" w:space="0" w:color="000000"/>
            </w:tcBorders>
          </w:tcPr>
          <w:p w:rsidR="00161017" w:rsidRDefault="00D753BB">
            <w:pPr>
              <w:pStyle w:val="TableParagraph"/>
              <w:spacing w:line="237" w:lineRule="auto"/>
              <w:ind w:left="113" w:right="103"/>
              <w:jc w:val="left"/>
              <w:rPr>
                <w:sz w:val="20"/>
              </w:rPr>
            </w:pPr>
            <w:r>
              <w:rPr>
                <w:sz w:val="20"/>
              </w:rPr>
              <w:t>Urine osmolarity, urine production and fluid intake will be monitored</w:t>
            </w:r>
          </w:p>
        </w:tc>
      </w:tr>
      <w:tr w:rsidR="00161017">
        <w:trPr>
          <w:trHeight w:val="998"/>
        </w:trPr>
        <w:tc>
          <w:tcPr>
            <w:tcW w:w="1639" w:type="dxa"/>
            <w:tcBorders>
              <w:top w:val="single" w:sz="2" w:space="0" w:color="000000"/>
              <w:bottom w:val="single" w:sz="2" w:space="0" w:color="000000"/>
              <w:right w:val="single" w:sz="2" w:space="0" w:color="000000"/>
            </w:tcBorders>
          </w:tcPr>
          <w:p w:rsidR="00161017" w:rsidRDefault="00D753BB">
            <w:pPr>
              <w:pStyle w:val="TableParagraph"/>
              <w:ind w:left="107"/>
              <w:jc w:val="left"/>
              <w:rPr>
                <w:sz w:val="20"/>
              </w:rPr>
            </w:pPr>
            <w:r>
              <w:rPr>
                <w:w w:val="95"/>
                <w:sz w:val="20"/>
              </w:rPr>
              <w:t xml:space="preserve">Hematopoietic </w:t>
            </w:r>
            <w:r>
              <w:rPr>
                <w:sz w:val="20"/>
              </w:rPr>
              <w:t>system</w:t>
            </w:r>
          </w:p>
        </w:tc>
        <w:tc>
          <w:tcPr>
            <w:tcW w:w="3710" w:type="dxa"/>
            <w:tcBorders>
              <w:top w:val="single" w:sz="2" w:space="0" w:color="000000"/>
              <w:left w:val="single" w:sz="2" w:space="0" w:color="000000"/>
              <w:bottom w:val="single" w:sz="2" w:space="0" w:color="000000"/>
              <w:right w:val="single" w:sz="2" w:space="0" w:color="000000"/>
            </w:tcBorders>
          </w:tcPr>
          <w:p w:rsidR="00161017" w:rsidRDefault="00D753BB">
            <w:pPr>
              <w:pStyle w:val="TableParagraph"/>
              <w:ind w:left="112" w:right="335"/>
              <w:jc w:val="left"/>
              <w:rPr>
                <w:sz w:val="20"/>
              </w:rPr>
            </w:pPr>
            <w:r>
              <w:rPr>
                <w:sz w:val="20"/>
              </w:rPr>
              <w:t>Decreases in erythrocytes, hemoglobin, and hematocrit. Increases in reticulocyte ratio, platelets, eosinophils and large unstained cell count</w:t>
            </w:r>
          </w:p>
        </w:tc>
        <w:tc>
          <w:tcPr>
            <w:tcW w:w="3873" w:type="dxa"/>
            <w:tcBorders>
              <w:top w:val="single" w:sz="2" w:space="0" w:color="000000"/>
              <w:left w:val="single" w:sz="2" w:space="0" w:color="000000"/>
              <w:bottom w:val="single" w:sz="2" w:space="0" w:color="000000"/>
            </w:tcBorders>
          </w:tcPr>
          <w:p w:rsidR="00161017" w:rsidRDefault="00D753BB">
            <w:pPr>
              <w:pStyle w:val="TableParagraph"/>
              <w:ind w:left="113" w:right="358"/>
              <w:jc w:val="left"/>
              <w:rPr>
                <w:sz w:val="20"/>
              </w:rPr>
            </w:pPr>
            <w:r>
              <w:rPr>
                <w:sz w:val="20"/>
              </w:rPr>
              <w:t>Standard monitoring of hematological parameters will be included in the phase 1 SAD and MAD studies.</w:t>
            </w:r>
          </w:p>
        </w:tc>
      </w:tr>
      <w:tr w:rsidR="00161017">
        <w:trPr>
          <w:trHeight w:val="1149"/>
        </w:trPr>
        <w:tc>
          <w:tcPr>
            <w:tcW w:w="1639" w:type="dxa"/>
            <w:tcBorders>
              <w:top w:val="single" w:sz="2" w:space="0" w:color="000000"/>
              <w:bottom w:val="single" w:sz="2" w:space="0" w:color="000000"/>
              <w:right w:val="single" w:sz="2" w:space="0" w:color="000000"/>
            </w:tcBorders>
          </w:tcPr>
          <w:p w:rsidR="00161017" w:rsidRDefault="00D753BB">
            <w:pPr>
              <w:pStyle w:val="TableParagraph"/>
              <w:ind w:left="107"/>
              <w:jc w:val="left"/>
              <w:rPr>
                <w:sz w:val="20"/>
              </w:rPr>
            </w:pPr>
            <w:r>
              <w:rPr>
                <w:w w:val="95"/>
                <w:sz w:val="20"/>
              </w:rPr>
              <w:t xml:space="preserve">Embryo-fetal </w:t>
            </w:r>
            <w:r>
              <w:rPr>
                <w:sz w:val="20"/>
              </w:rPr>
              <w:t>development</w:t>
            </w:r>
          </w:p>
        </w:tc>
        <w:tc>
          <w:tcPr>
            <w:tcW w:w="3710" w:type="dxa"/>
            <w:tcBorders>
              <w:top w:val="single" w:sz="2" w:space="0" w:color="000000"/>
              <w:left w:val="single" w:sz="2" w:space="0" w:color="000000"/>
              <w:bottom w:val="single" w:sz="2" w:space="0" w:color="000000"/>
              <w:right w:val="single" w:sz="2" w:space="0" w:color="000000"/>
            </w:tcBorders>
          </w:tcPr>
          <w:p w:rsidR="00161017" w:rsidRDefault="00D753BB">
            <w:pPr>
              <w:pStyle w:val="TableParagraph"/>
              <w:ind w:left="112" w:right="90"/>
              <w:jc w:val="left"/>
              <w:rPr>
                <w:sz w:val="20"/>
              </w:rPr>
            </w:pPr>
            <w:r>
              <w:rPr>
                <w:sz w:val="20"/>
              </w:rPr>
              <w:t>No teratogenicity, but low body weight and low numbers of ossified sternebrae and sacral and caudal vertebrae, indicative of growth retardation resulting from maternal</w:t>
            </w:r>
          </w:p>
          <w:p w:rsidR="00161017" w:rsidRDefault="00D753BB">
            <w:pPr>
              <w:pStyle w:val="TableParagraph"/>
              <w:spacing w:line="215" w:lineRule="exact"/>
              <w:ind w:left="112"/>
              <w:jc w:val="left"/>
              <w:rPr>
                <w:sz w:val="20"/>
              </w:rPr>
            </w:pPr>
            <w:r>
              <w:rPr>
                <w:sz w:val="20"/>
              </w:rPr>
              <w:t>toxicity in rats</w:t>
            </w:r>
          </w:p>
        </w:tc>
        <w:tc>
          <w:tcPr>
            <w:tcW w:w="3873" w:type="dxa"/>
            <w:tcBorders>
              <w:top w:val="single" w:sz="2" w:space="0" w:color="000000"/>
              <w:left w:val="single" w:sz="2" w:space="0" w:color="000000"/>
              <w:bottom w:val="single" w:sz="2" w:space="0" w:color="000000"/>
            </w:tcBorders>
          </w:tcPr>
          <w:p w:rsidR="00161017" w:rsidRDefault="00D753BB">
            <w:pPr>
              <w:pStyle w:val="TableParagraph"/>
              <w:ind w:left="113" w:right="181"/>
              <w:jc w:val="left"/>
              <w:rPr>
                <w:sz w:val="20"/>
              </w:rPr>
            </w:pPr>
            <w:r>
              <w:rPr>
                <w:sz w:val="20"/>
              </w:rPr>
              <w:t>When including women of childbearing potential, subjects need to be protected from pregnancy using appropriate measures of birth control.</w:t>
            </w:r>
          </w:p>
        </w:tc>
      </w:tr>
      <w:tr w:rsidR="00161017">
        <w:trPr>
          <w:trHeight w:val="1840"/>
        </w:trPr>
        <w:tc>
          <w:tcPr>
            <w:tcW w:w="1639" w:type="dxa"/>
            <w:tcBorders>
              <w:top w:val="single" w:sz="2" w:space="0" w:color="000000"/>
              <w:right w:val="single" w:sz="2" w:space="0" w:color="000000"/>
            </w:tcBorders>
          </w:tcPr>
          <w:p w:rsidR="00161017" w:rsidRDefault="00D753BB">
            <w:pPr>
              <w:pStyle w:val="TableParagraph"/>
              <w:spacing w:line="226" w:lineRule="exact"/>
              <w:ind w:left="107"/>
              <w:jc w:val="left"/>
              <w:rPr>
                <w:sz w:val="20"/>
              </w:rPr>
            </w:pPr>
            <w:r>
              <w:rPr>
                <w:sz w:val="20"/>
              </w:rPr>
              <w:t>Pharmacokinetics</w:t>
            </w:r>
          </w:p>
        </w:tc>
        <w:tc>
          <w:tcPr>
            <w:tcW w:w="3710" w:type="dxa"/>
            <w:tcBorders>
              <w:top w:val="single" w:sz="2" w:space="0" w:color="000000"/>
              <w:left w:val="single" w:sz="2" w:space="0" w:color="000000"/>
              <w:right w:val="single" w:sz="2" w:space="0" w:color="000000"/>
            </w:tcBorders>
          </w:tcPr>
          <w:p w:rsidR="00161017" w:rsidRDefault="00D753BB">
            <w:pPr>
              <w:pStyle w:val="TableParagraph"/>
              <w:ind w:left="112" w:right="173"/>
              <w:jc w:val="left"/>
              <w:rPr>
                <w:sz w:val="20"/>
              </w:rPr>
            </w:pPr>
            <w:r>
              <w:rPr>
                <w:sz w:val="20"/>
              </w:rPr>
              <w:t xml:space="preserve">More than dose proportional increase in </w:t>
            </w:r>
            <w:r w:rsidR="006568EB">
              <w:rPr>
                <w:sz w:val="20"/>
              </w:rPr>
              <w:t>PROJECT H</w:t>
            </w:r>
            <w:r>
              <w:rPr>
                <w:sz w:val="20"/>
              </w:rPr>
              <w:t xml:space="preserve"> plasma exposure was observed after single dose administration in rats and monkeys</w:t>
            </w:r>
          </w:p>
        </w:tc>
        <w:tc>
          <w:tcPr>
            <w:tcW w:w="3873" w:type="dxa"/>
            <w:tcBorders>
              <w:top w:val="single" w:sz="2" w:space="0" w:color="000000"/>
              <w:left w:val="single" w:sz="2" w:space="0" w:color="000000"/>
            </w:tcBorders>
          </w:tcPr>
          <w:p w:rsidR="00161017" w:rsidRDefault="00D753BB">
            <w:pPr>
              <w:pStyle w:val="TableParagraph"/>
              <w:ind w:left="113" w:right="147"/>
              <w:jc w:val="left"/>
              <w:rPr>
                <w:sz w:val="20"/>
              </w:rPr>
            </w:pPr>
            <w:r>
              <w:rPr>
                <w:sz w:val="20"/>
              </w:rPr>
              <w:t xml:space="preserve">During the SAD study, information of </w:t>
            </w:r>
            <w:r w:rsidR="006568EB">
              <w:rPr>
                <w:sz w:val="20"/>
              </w:rPr>
              <w:t>PROJECT H</w:t>
            </w:r>
            <w:r>
              <w:rPr>
                <w:sz w:val="20"/>
              </w:rPr>
              <w:t xml:space="preserve"> plasma concentrations of the previous dosing groups will be available prior to dose escalation. Besides safety, the dose escalation decision will be based on the available pharmacokinetic data and prediction of the exposures by modeling &amp;</w:t>
            </w:r>
          </w:p>
          <w:p w:rsidR="00161017" w:rsidRDefault="00D753BB">
            <w:pPr>
              <w:pStyle w:val="TableParagraph"/>
              <w:spacing w:line="215" w:lineRule="exact"/>
              <w:ind w:left="113"/>
              <w:jc w:val="left"/>
              <w:rPr>
                <w:sz w:val="20"/>
              </w:rPr>
            </w:pPr>
            <w:r>
              <w:rPr>
                <w:sz w:val="20"/>
              </w:rPr>
              <w:t>simulation.</w:t>
            </w:r>
          </w:p>
        </w:tc>
      </w:tr>
    </w:tbl>
    <w:p w:rsidR="00161017" w:rsidRDefault="00D753BB">
      <w:pPr>
        <w:spacing w:before="53"/>
        <w:ind w:left="215" w:right="1762"/>
        <w:rPr>
          <w:sz w:val="20"/>
        </w:rPr>
      </w:pPr>
      <w:r>
        <w:rPr>
          <w:sz w:val="20"/>
        </w:rPr>
        <w:t>AE: adverse event; C</w:t>
      </w:r>
      <w:r>
        <w:rPr>
          <w:sz w:val="20"/>
          <w:vertAlign w:val="subscript"/>
        </w:rPr>
        <w:t>max</w:t>
      </w:r>
      <w:r>
        <w:rPr>
          <w:sz w:val="20"/>
        </w:rPr>
        <w:t>: maximum concentration; di-22:6-BMP: di-docosahexanoyl- bis(monoacylglycerol)phosphate; ECG: electrocardiogram; MAD: multiple ascending dose; PR: time from the onset of the P wave to the start of the QRS complex; SAD: single ascending dose</w:t>
      </w:r>
    </w:p>
    <w:p w:rsidR="00161017" w:rsidRDefault="00161017">
      <w:pPr>
        <w:rPr>
          <w:sz w:val="20"/>
        </w:rPr>
        <w:sectPr w:rsidR="00161017">
          <w:pgSz w:w="12240" w:h="15840"/>
          <w:pgMar w:top="1240" w:right="0" w:bottom="940" w:left="1400" w:header="581" w:footer="748" w:gutter="0"/>
          <w:cols w:space="720"/>
        </w:sectPr>
      </w:pPr>
    </w:p>
    <w:p w:rsidR="00161017" w:rsidRDefault="00161017">
      <w:pPr>
        <w:pStyle w:val="a3"/>
        <w:rPr>
          <w:sz w:val="20"/>
        </w:rPr>
      </w:pPr>
    </w:p>
    <w:p w:rsidR="00161017" w:rsidRDefault="00161017">
      <w:pPr>
        <w:pStyle w:val="a3"/>
        <w:spacing w:before="4"/>
        <w:rPr>
          <w:sz w:val="20"/>
        </w:rPr>
      </w:pPr>
    </w:p>
    <w:p w:rsidR="00161017" w:rsidRDefault="00D753BB">
      <w:pPr>
        <w:pStyle w:val="4"/>
      </w:pPr>
      <w:r>
        <w:t>List of References</w:t>
      </w:r>
    </w:p>
    <w:p w:rsidR="00161017" w:rsidRDefault="00D753BB">
      <w:pPr>
        <w:ind w:left="781" w:right="1837" w:hanging="567"/>
      </w:pPr>
      <w:r>
        <w:t>Abrams P, Schäfer W, Liao L, Mattiasson A, Pesce F, Spangberg A, et al. International Continence Society. Good urodynamic practices: uroflowmetry, filling cystometry, and pressure-flow studies. Neurourol Urodyn. 2002;21(3):261-74.</w:t>
      </w:r>
    </w:p>
    <w:p w:rsidR="00161017" w:rsidRDefault="00161017">
      <w:pPr>
        <w:pStyle w:val="a3"/>
        <w:spacing w:before="6"/>
        <w:rPr>
          <w:sz w:val="20"/>
        </w:rPr>
      </w:pPr>
    </w:p>
    <w:p w:rsidR="00161017" w:rsidRDefault="00D753BB">
      <w:pPr>
        <w:ind w:left="781" w:right="1893" w:hanging="567"/>
      </w:pPr>
      <w:r>
        <w:t>Amacher DE Schomaker SJ, Burkhardt JE. The relationship among microsomal enzyme induction, liver weight and histological change in rat toxicology studies. Food Chem. Toxicol.</w:t>
      </w:r>
    </w:p>
    <w:p w:rsidR="00161017" w:rsidRDefault="00D753BB">
      <w:pPr>
        <w:spacing w:before="1"/>
        <w:ind w:left="781"/>
      </w:pPr>
      <w:r>
        <w:t>1998;36:831-9.</w:t>
      </w:r>
    </w:p>
    <w:p w:rsidR="00161017" w:rsidRDefault="00161017">
      <w:pPr>
        <w:pStyle w:val="a3"/>
        <w:spacing w:before="9"/>
        <w:rPr>
          <w:sz w:val="20"/>
        </w:rPr>
      </w:pPr>
    </w:p>
    <w:p w:rsidR="00161017" w:rsidRDefault="00D753BB">
      <w:pPr>
        <w:ind w:left="215"/>
      </w:pPr>
      <w:r>
        <w:t>Jost W, Marsalek P. Duloxetine: mechanism of action at the lower urinary tract and Onuf's nucleus.</w:t>
      </w:r>
    </w:p>
    <w:p w:rsidR="00161017" w:rsidRDefault="00D753BB">
      <w:pPr>
        <w:spacing w:before="1"/>
        <w:ind w:left="781"/>
      </w:pPr>
      <w:r>
        <w:t>Clin Auton Res. 2004;14(4):220-7.</w:t>
      </w:r>
    </w:p>
    <w:p w:rsidR="00161017" w:rsidRDefault="00161017">
      <w:pPr>
        <w:pStyle w:val="a3"/>
        <w:spacing w:before="9"/>
        <w:rPr>
          <w:sz w:val="20"/>
        </w:rPr>
      </w:pPr>
    </w:p>
    <w:p w:rsidR="00161017" w:rsidRDefault="00D753BB">
      <w:pPr>
        <w:ind w:left="781" w:right="1837" w:hanging="567"/>
      </w:pPr>
      <w:r>
        <w:t>Popp JA, Cattley RC. Hepatobiliary System. In: Fundamentals of Toxicologic Pathology, Haschek WM and Rosseaux, eds., Academic Press, Sandiego, 1998:127-51</w:t>
      </w:r>
    </w:p>
    <w:p w:rsidR="00161017" w:rsidRDefault="00161017">
      <w:pPr>
        <w:pStyle w:val="a3"/>
        <w:spacing w:before="11"/>
        <w:rPr>
          <w:sz w:val="20"/>
        </w:rPr>
      </w:pPr>
    </w:p>
    <w:p w:rsidR="00161017" w:rsidRDefault="00D753BB">
      <w:pPr>
        <w:ind w:left="781" w:right="1623" w:hanging="567"/>
        <w:jc w:val="both"/>
      </w:pPr>
      <w:r>
        <w:t>Thor KB and Katofiasc MA. Effects of duloxetine, a combined serotonin and norepinephrine reuptake inhibitor, on central neural control of lower urinary tract function in the chloralose-anesthetized female cat. J Pharmacol Exp Ther. 1995;274:1014-24.</w:t>
      </w:r>
    </w:p>
    <w:p w:rsidR="00161017" w:rsidRDefault="00161017">
      <w:pPr>
        <w:pStyle w:val="a3"/>
        <w:spacing w:before="9"/>
        <w:rPr>
          <w:sz w:val="20"/>
        </w:rPr>
      </w:pPr>
    </w:p>
    <w:p w:rsidR="00161017" w:rsidRDefault="00D753BB" w:rsidP="00D753BB">
      <w:pPr>
        <w:ind w:left="781" w:right="1810" w:hanging="567"/>
        <w:rPr>
          <w:sz w:val="20"/>
        </w:rPr>
      </w:pPr>
      <w:r>
        <w:t>Wu KM, Farrelly JG. Preclinical development of new drugs that enhance thyroid hormone metabolism and clearance: Inadequacy of using rats as an animal model for predicting human risks in an IND and NDA. Am. J. Ther. 2006;13:141-4.</w:t>
      </w:r>
    </w:p>
    <w:sectPr w:rsidR="00161017">
      <w:headerReference w:type="default" r:id="rId7"/>
      <w:footerReference w:type="default" r:id="rId8"/>
      <w:pgSz w:w="11910" w:h="16840"/>
      <w:pgMar w:top="1120" w:right="1220" w:bottom="280" w:left="12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2BF9" w:rsidRDefault="00C62BF9">
      <w:r>
        <w:separator/>
      </w:r>
    </w:p>
  </w:endnote>
  <w:endnote w:type="continuationSeparator" w:id="0">
    <w:p w:rsidR="00C62BF9" w:rsidRDefault="00C62B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1017" w:rsidRDefault="00161017">
    <w:pPr>
      <w:pStyle w:val="a3"/>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2BF9" w:rsidRDefault="00C62BF9">
      <w:r>
        <w:separator/>
      </w:r>
    </w:p>
  </w:footnote>
  <w:footnote w:type="continuationSeparator" w:id="0">
    <w:p w:rsidR="00C62BF9" w:rsidRDefault="00C62B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1017" w:rsidRDefault="00161017">
    <w:pPr>
      <w:pStyle w:val="a3"/>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75B34"/>
    <w:multiLevelType w:val="multilevel"/>
    <w:tmpl w:val="813EC7BE"/>
    <w:lvl w:ilvl="0">
      <w:start w:val="4"/>
      <w:numFmt w:val="decimal"/>
      <w:lvlText w:val="%1"/>
      <w:lvlJc w:val="left"/>
      <w:pPr>
        <w:ind w:left="1775" w:hanging="994"/>
        <w:jc w:val="right"/>
      </w:pPr>
      <w:rPr>
        <w:rFonts w:hint="default"/>
      </w:rPr>
    </w:lvl>
    <w:lvl w:ilvl="1">
      <w:start w:val="3"/>
      <w:numFmt w:val="decimal"/>
      <w:lvlText w:val="%1.%2"/>
      <w:lvlJc w:val="left"/>
      <w:pPr>
        <w:ind w:left="1775" w:hanging="994"/>
        <w:jc w:val="right"/>
      </w:pPr>
      <w:rPr>
        <w:rFonts w:hint="default"/>
      </w:rPr>
    </w:lvl>
    <w:lvl w:ilvl="2">
      <w:start w:val="5"/>
      <w:numFmt w:val="decimal"/>
      <w:lvlText w:val="%1.%2.%3"/>
      <w:lvlJc w:val="left"/>
      <w:pPr>
        <w:ind w:left="1775" w:hanging="994"/>
        <w:jc w:val="left"/>
      </w:pPr>
      <w:rPr>
        <w:rFonts w:ascii="Times New Roman" w:eastAsia="Times New Roman" w:hAnsi="Times New Roman" w:cs="Times New Roman" w:hint="default"/>
        <w:w w:val="100"/>
        <w:sz w:val="22"/>
        <w:szCs w:val="22"/>
      </w:rPr>
    </w:lvl>
    <w:lvl w:ilvl="3">
      <w:numFmt w:val="bullet"/>
      <w:lvlText w:val="•"/>
      <w:lvlJc w:val="left"/>
      <w:pPr>
        <w:ind w:left="4120" w:hanging="994"/>
      </w:pPr>
      <w:rPr>
        <w:rFonts w:hint="default"/>
      </w:rPr>
    </w:lvl>
    <w:lvl w:ilvl="4">
      <w:numFmt w:val="bullet"/>
      <w:lvlText w:val="•"/>
      <w:lvlJc w:val="left"/>
      <w:pPr>
        <w:ind w:left="5080" w:hanging="994"/>
      </w:pPr>
      <w:rPr>
        <w:rFonts w:hint="default"/>
      </w:rPr>
    </w:lvl>
    <w:lvl w:ilvl="5">
      <w:numFmt w:val="bullet"/>
      <w:lvlText w:val="•"/>
      <w:lvlJc w:val="left"/>
      <w:pPr>
        <w:ind w:left="6040" w:hanging="994"/>
      </w:pPr>
      <w:rPr>
        <w:rFonts w:hint="default"/>
      </w:rPr>
    </w:lvl>
    <w:lvl w:ilvl="6">
      <w:numFmt w:val="bullet"/>
      <w:lvlText w:val="•"/>
      <w:lvlJc w:val="left"/>
      <w:pPr>
        <w:ind w:left="7000" w:hanging="994"/>
      </w:pPr>
      <w:rPr>
        <w:rFonts w:hint="default"/>
      </w:rPr>
    </w:lvl>
    <w:lvl w:ilvl="7">
      <w:numFmt w:val="bullet"/>
      <w:lvlText w:val="•"/>
      <w:lvlJc w:val="left"/>
      <w:pPr>
        <w:ind w:left="7960" w:hanging="994"/>
      </w:pPr>
      <w:rPr>
        <w:rFonts w:hint="default"/>
      </w:rPr>
    </w:lvl>
    <w:lvl w:ilvl="8">
      <w:numFmt w:val="bullet"/>
      <w:lvlText w:val="•"/>
      <w:lvlJc w:val="left"/>
      <w:pPr>
        <w:ind w:left="8920" w:hanging="994"/>
      </w:pPr>
      <w:rPr>
        <w:rFonts w:hint="default"/>
      </w:rPr>
    </w:lvl>
  </w:abstractNum>
  <w:abstractNum w:abstractNumId="1" w15:restartNumberingAfterBreak="0">
    <w:nsid w:val="044B5557"/>
    <w:multiLevelType w:val="multilevel"/>
    <w:tmpl w:val="795C58BA"/>
    <w:lvl w:ilvl="0">
      <w:start w:val="4"/>
      <w:numFmt w:val="decimal"/>
      <w:lvlText w:val="%1"/>
      <w:lvlJc w:val="left"/>
      <w:pPr>
        <w:ind w:left="1067" w:hanging="852"/>
        <w:jc w:val="left"/>
      </w:pPr>
      <w:rPr>
        <w:rFonts w:hint="default"/>
      </w:rPr>
    </w:lvl>
    <w:lvl w:ilvl="1">
      <w:start w:val="2"/>
      <w:numFmt w:val="decimal"/>
      <w:lvlText w:val="%1.%2"/>
      <w:lvlJc w:val="left"/>
      <w:pPr>
        <w:ind w:left="1067" w:hanging="852"/>
        <w:jc w:val="left"/>
      </w:pPr>
      <w:rPr>
        <w:rFonts w:hint="default"/>
      </w:rPr>
    </w:lvl>
    <w:lvl w:ilvl="2">
      <w:start w:val="3"/>
      <w:numFmt w:val="decimal"/>
      <w:lvlText w:val="%1.%2.%3"/>
      <w:lvlJc w:val="left"/>
      <w:pPr>
        <w:ind w:left="1067" w:hanging="852"/>
        <w:jc w:val="left"/>
      </w:pPr>
      <w:rPr>
        <w:rFonts w:hint="default"/>
      </w:rPr>
    </w:lvl>
    <w:lvl w:ilvl="3">
      <w:start w:val="1"/>
      <w:numFmt w:val="decimal"/>
      <w:lvlText w:val="%1.%2.%3.%4"/>
      <w:lvlJc w:val="left"/>
      <w:pPr>
        <w:ind w:left="1067" w:hanging="852"/>
        <w:jc w:val="left"/>
      </w:pPr>
      <w:rPr>
        <w:rFonts w:ascii="Times New Roman" w:eastAsia="Times New Roman" w:hAnsi="Times New Roman" w:cs="Times New Roman" w:hint="default"/>
        <w:b/>
        <w:bCs/>
        <w:w w:val="100"/>
        <w:sz w:val="24"/>
        <w:szCs w:val="24"/>
      </w:rPr>
    </w:lvl>
    <w:lvl w:ilvl="4">
      <w:numFmt w:val="bullet"/>
      <w:lvlText w:val="•"/>
      <w:lvlJc w:val="left"/>
      <w:pPr>
        <w:ind w:left="4972" w:hanging="852"/>
      </w:pPr>
      <w:rPr>
        <w:rFonts w:hint="default"/>
      </w:rPr>
    </w:lvl>
    <w:lvl w:ilvl="5">
      <w:numFmt w:val="bullet"/>
      <w:lvlText w:val="•"/>
      <w:lvlJc w:val="left"/>
      <w:pPr>
        <w:ind w:left="5950" w:hanging="852"/>
      </w:pPr>
      <w:rPr>
        <w:rFonts w:hint="default"/>
      </w:rPr>
    </w:lvl>
    <w:lvl w:ilvl="6">
      <w:numFmt w:val="bullet"/>
      <w:lvlText w:val="•"/>
      <w:lvlJc w:val="left"/>
      <w:pPr>
        <w:ind w:left="6928" w:hanging="852"/>
      </w:pPr>
      <w:rPr>
        <w:rFonts w:hint="default"/>
      </w:rPr>
    </w:lvl>
    <w:lvl w:ilvl="7">
      <w:numFmt w:val="bullet"/>
      <w:lvlText w:val="•"/>
      <w:lvlJc w:val="left"/>
      <w:pPr>
        <w:ind w:left="7906" w:hanging="852"/>
      </w:pPr>
      <w:rPr>
        <w:rFonts w:hint="default"/>
      </w:rPr>
    </w:lvl>
    <w:lvl w:ilvl="8">
      <w:numFmt w:val="bullet"/>
      <w:lvlText w:val="•"/>
      <w:lvlJc w:val="left"/>
      <w:pPr>
        <w:ind w:left="8884" w:hanging="852"/>
      </w:pPr>
      <w:rPr>
        <w:rFonts w:hint="default"/>
      </w:rPr>
    </w:lvl>
  </w:abstractNum>
  <w:abstractNum w:abstractNumId="2" w15:restartNumberingAfterBreak="0">
    <w:nsid w:val="14430A89"/>
    <w:multiLevelType w:val="multilevel"/>
    <w:tmpl w:val="67BCF184"/>
    <w:lvl w:ilvl="0">
      <w:start w:val="4"/>
      <w:numFmt w:val="decimal"/>
      <w:lvlText w:val="%1"/>
      <w:lvlJc w:val="left"/>
      <w:pPr>
        <w:ind w:left="1067" w:hanging="852"/>
        <w:jc w:val="left"/>
      </w:pPr>
      <w:rPr>
        <w:rFonts w:hint="default"/>
      </w:rPr>
    </w:lvl>
    <w:lvl w:ilvl="1">
      <w:start w:val="2"/>
      <w:numFmt w:val="decimal"/>
      <w:lvlText w:val="%1.%2"/>
      <w:lvlJc w:val="left"/>
      <w:pPr>
        <w:ind w:left="1067" w:hanging="852"/>
        <w:jc w:val="left"/>
      </w:pPr>
      <w:rPr>
        <w:rFonts w:hint="default"/>
      </w:rPr>
    </w:lvl>
    <w:lvl w:ilvl="2">
      <w:start w:val="2"/>
      <w:numFmt w:val="decimal"/>
      <w:lvlText w:val="%1.%2.%3"/>
      <w:lvlJc w:val="left"/>
      <w:pPr>
        <w:ind w:left="1067" w:hanging="852"/>
        <w:jc w:val="left"/>
      </w:pPr>
      <w:rPr>
        <w:rFonts w:hint="default"/>
      </w:rPr>
    </w:lvl>
    <w:lvl w:ilvl="3">
      <w:start w:val="3"/>
      <w:numFmt w:val="decimal"/>
      <w:lvlText w:val="%1.%2.%3.%4"/>
      <w:lvlJc w:val="left"/>
      <w:pPr>
        <w:ind w:left="1067" w:hanging="852"/>
        <w:jc w:val="left"/>
      </w:pPr>
      <w:rPr>
        <w:rFonts w:ascii="Times New Roman" w:eastAsia="Times New Roman" w:hAnsi="Times New Roman" w:cs="Times New Roman" w:hint="default"/>
        <w:b/>
        <w:bCs/>
        <w:w w:val="100"/>
        <w:sz w:val="24"/>
        <w:szCs w:val="24"/>
      </w:rPr>
    </w:lvl>
    <w:lvl w:ilvl="4">
      <w:numFmt w:val="bullet"/>
      <w:lvlText w:val="•"/>
      <w:lvlJc w:val="left"/>
      <w:pPr>
        <w:ind w:left="4972" w:hanging="852"/>
      </w:pPr>
      <w:rPr>
        <w:rFonts w:hint="default"/>
      </w:rPr>
    </w:lvl>
    <w:lvl w:ilvl="5">
      <w:numFmt w:val="bullet"/>
      <w:lvlText w:val="•"/>
      <w:lvlJc w:val="left"/>
      <w:pPr>
        <w:ind w:left="5950" w:hanging="852"/>
      </w:pPr>
      <w:rPr>
        <w:rFonts w:hint="default"/>
      </w:rPr>
    </w:lvl>
    <w:lvl w:ilvl="6">
      <w:numFmt w:val="bullet"/>
      <w:lvlText w:val="•"/>
      <w:lvlJc w:val="left"/>
      <w:pPr>
        <w:ind w:left="6928" w:hanging="852"/>
      </w:pPr>
      <w:rPr>
        <w:rFonts w:hint="default"/>
      </w:rPr>
    </w:lvl>
    <w:lvl w:ilvl="7">
      <w:numFmt w:val="bullet"/>
      <w:lvlText w:val="•"/>
      <w:lvlJc w:val="left"/>
      <w:pPr>
        <w:ind w:left="7906" w:hanging="852"/>
      </w:pPr>
      <w:rPr>
        <w:rFonts w:hint="default"/>
      </w:rPr>
    </w:lvl>
    <w:lvl w:ilvl="8">
      <w:numFmt w:val="bullet"/>
      <w:lvlText w:val="•"/>
      <w:lvlJc w:val="left"/>
      <w:pPr>
        <w:ind w:left="8884" w:hanging="852"/>
      </w:pPr>
      <w:rPr>
        <w:rFonts w:hint="default"/>
      </w:rPr>
    </w:lvl>
  </w:abstractNum>
  <w:abstractNum w:abstractNumId="3" w15:restartNumberingAfterBreak="0">
    <w:nsid w:val="20064F00"/>
    <w:multiLevelType w:val="multilevel"/>
    <w:tmpl w:val="09BCDFEA"/>
    <w:lvl w:ilvl="0">
      <w:start w:val="1"/>
      <w:numFmt w:val="decimal"/>
      <w:lvlText w:val="%1"/>
      <w:lvlJc w:val="left"/>
      <w:pPr>
        <w:ind w:left="923" w:hanging="708"/>
        <w:jc w:val="left"/>
      </w:pPr>
      <w:rPr>
        <w:rFonts w:ascii="Times New Roman" w:eastAsia="Times New Roman" w:hAnsi="Times New Roman" w:cs="Times New Roman" w:hint="default"/>
        <w:b/>
        <w:bCs/>
        <w:w w:val="100"/>
        <w:sz w:val="22"/>
        <w:szCs w:val="22"/>
      </w:rPr>
    </w:lvl>
    <w:lvl w:ilvl="1">
      <w:start w:val="1"/>
      <w:numFmt w:val="decimal"/>
      <w:lvlText w:val="%1.%2"/>
      <w:lvlJc w:val="left"/>
      <w:pPr>
        <w:ind w:left="1348" w:hanging="850"/>
        <w:jc w:val="left"/>
      </w:pPr>
      <w:rPr>
        <w:rFonts w:ascii="Times New Roman" w:eastAsia="Times New Roman" w:hAnsi="Times New Roman" w:cs="Times New Roman" w:hint="default"/>
        <w:w w:val="100"/>
        <w:sz w:val="22"/>
        <w:szCs w:val="22"/>
      </w:rPr>
    </w:lvl>
    <w:lvl w:ilvl="2">
      <w:start w:val="1"/>
      <w:numFmt w:val="decimal"/>
      <w:lvlText w:val="%1.%2.%3"/>
      <w:lvlJc w:val="left"/>
      <w:pPr>
        <w:ind w:left="1775" w:hanging="994"/>
        <w:jc w:val="left"/>
      </w:pPr>
      <w:rPr>
        <w:rFonts w:ascii="Times New Roman" w:eastAsia="Times New Roman" w:hAnsi="Times New Roman" w:cs="Times New Roman" w:hint="default"/>
        <w:w w:val="100"/>
        <w:sz w:val="22"/>
        <w:szCs w:val="22"/>
      </w:rPr>
    </w:lvl>
    <w:lvl w:ilvl="3">
      <w:start w:val="1"/>
      <w:numFmt w:val="decimal"/>
      <w:lvlText w:val="%1.%2.%3.%4"/>
      <w:lvlJc w:val="left"/>
      <w:pPr>
        <w:ind w:left="2200" w:hanging="1133"/>
        <w:jc w:val="left"/>
      </w:pPr>
      <w:rPr>
        <w:rFonts w:ascii="Times New Roman" w:eastAsia="Times New Roman" w:hAnsi="Times New Roman" w:cs="Times New Roman" w:hint="default"/>
        <w:w w:val="100"/>
        <w:sz w:val="22"/>
        <w:szCs w:val="22"/>
      </w:rPr>
    </w:lvl>
    <w:lvl w:ilvl="4">
      <w:numFmt w:val="bullet"/>
      <w:lvlText w:val="•"/>
      <w:lvlJc w:val="left"/>
      <w:pPr>
        <w:ind w:left="3434" w:hanging="1133"/>
      </w:pPr>
      <w:rPr>
        <w:rFonts w:hint="default"/>
      </w:rPr>
    </w:lvl>
    <w:lvl w:ilvl="5">
      <w:numFmt w:val="bullet"/>
      <w:lvlText w:val="•"/>
      <w:lvlJc w:val="left"/>
      <w:pPr>
        <w:ind w:left="4668" w:hanging="1133"/>
      </w:pPr>
      <w:rPr>
        <w:rFonts w:hint="default"/>
      </w:rPr>
    </w:lvl>
    <w:lvl w:ilvl="6">
      <w:numFmt w:val="bullet"/>
      <w:lvlText w:val="•"/>
      <w:lvlJc w:val="left"/>
      <w:pPr>
        <w:ind w:left="5902" w:hanging="1133"/>
      </w:pPr>
      <w:rPr>
        <w:rFonts w:hint="default"/>
      </w:rPr>
    </w:lvl>
    <w:lvl w:ilvl="7">
      <w:numFmt w:val="bullet"/>
      <w:lvlText w:val="•"/>
      <w:lvlJc w:val="left"/>
      <w:pPr>
        <w:ind w:left="7137" w:hanging="1133"/>
      </w:pPr>
      <w:rPr>
        <w:rFonts w:hint="default"/>
      </w:rPr>
    </w:lvl>
    <w:lvl w:ilvl="8">
      <w:numFmt w:val="bullet"/>
      <w:lvlText w:val="•"/>
      <w:lvlJc w:val="left"/>
      <w:pPr>
        <w:ind w:left="8371" w:hanging="1133"/>
      </w:pPr>
      <w:rPr>
        <w:rFonts w:hint="default"/>
      </w:rPr>
    </w:lvl>
  </w:abstractNum>
  <w:abstractNum w:abstractNumId="4" w15:restartNumberingAfterBreak="0">
    <w:nsid w:val="237D18B7"/>
    <w:multiLevelType w:val="multilevel"/>
    <w:tmpl w:val="A65A358E"/>
    <w:lvl w:ilvl="0">
      <w:start w:val="4"/>
      <w:numFmt w:val="decimal"/>
      <w:lvlText w:val="%1"/>
      <w:lvlJc w:val="left"/>
      <w:pPr>
        <w:ind w:left="1067" w:hanging="852"/>
        <w:jc w:val="left"/>
      </w:pPr>
      <w:rPr>
        <w:rFonts w:hint="default"/>
      </w:rPr>
    </w:lvl>
    <w:lvl w:ilvl="1">
      <w:start w:val="3"/>
      <w:numFmt w:val="decimal"/>
      <w:lvlText w:val="%1.%2"/>
      <w:lvlJc w:val="left"/>
      <w:pPr>
        <w:ind w:left="1067" w:hanging="852"/>
        <w:jc w:val="left"/>
      </w:pPr>
      <w:rPr>
        <w:rFonts w:hint="default"/>
      </w:rPr>
    </w:lvl>
    <w:lvl w:ilvl="2">
      <w:start w:val="1"/>
      <w:numFmt w:val="decimal"/>
      <w:lvlText w:val="%1.%2.%3"/>
      <w:lvlJc w:val="left"/>
      <w:pPr>
        <w:ind w:left="1067" w:hanging="852"/>
        <w:jc w:val="left"/>
      </w:pPr>
      <w:rPr>
        <w:rFonts w:ascii="Times New Roman" w:eastAsia="Times New Roman" w:hAnsi="Times New Roman" w:cs="Times New Roman" w:hint="default"/>
        <w:b/>
        <w:bCs/>
        <w:spacing w:val="-1"/>
        <w:w w:val="100"/>
        <w:sz w:val="24"/>
        <w:szCs w:val="24"/>
      </w:rPr>
    </w:lvl>
    <w:lvl w:ilvl="3">
      <w:start w:val="1"/>
      <w:numFmt w:val="decimal"/>
      <w:lvlText w:val="%1.%2.%3.%4"/>
      <w:lvlJc w:val="left"/>
      <w:pPr>
        <w:ind w:left="1067" w:hanging="852"/>
        <w:jc w:val="left"/>
      </w:pPr>
      <w:rPr>
        <w:rFonts w:ascii="Times New Roman" w:eastAsia="Times New Roman" w:hAnsi="Times New Roman" w:cs="Times New Roman" w:hint="default"/>
        <w:b/>
        <w:bCs/>
        <w:spacing w:val="-1"/>
        <w:w w:val="100"/>
        <w:sz w:val="24"/>
        <w:szCs w:val="24"/>
      </w:rPr>
    </w:lvl>
    <w:lvl w:ilvl="4">
      <w:numFmt w:val="bullet"/>
      <w:lvlText w:val="•"/>
      <w:lvlJc w:val="left"/>
      <w:pPr>
        <w:ind w:left="4506" w:hanging="852"/>
      </w:pPr>
      <w:rPr>
        <w:rFonts w:hint="default"/>
      </w:rPr>
    </w:lvl>
    <w:lvl w:ilvl="5">
      <w:numFmt w:val="bullet"/>
      <w:lvlText w:val="•"/>
      <w:lvlJc w:val="left"/>
      <w:pPr>
        <w:ind w:left="5562" w:hanging="852"/>
      </w:pPr>
      <w:rPr>
        <w:rFonts w:hint="default"/>
      </w:rPr>
    </w:lvl>
    <w:lvl w:ilvl="6">
      <w:numFmt w:val="bullet"/>
      <w:lvlText w:val="•"/>
      <w:lvlJc w:val="left"/>
      <w:pPr>
        <w:ind w:left="6617" w:hanging="852"/>
      </w:pPr>
      <w:rPr>
        <w:rFonts w:hint="default"/>
      </w:rPr>
    </w:lvl>
    <w:lvl w:ilvl="7">
      <w:numFmt w:val="bullet"/>
      <w:lvlText w:val="•"/>
      <w:lvlJc w:val="left"/>
      <w:pPr>
        <w:ind w:left="7673" w:hanging="852"/>
      </w:pPr>
      <w:rPr>
        <w:rFonts w:hint="default"/>
      </w:rPr>
    </w:lvl>
    <w:lvl w:ilvl="8">
      <w:numFmt w:val="bullet"/>
      <w:lvlText w:val="•"/>
      <w:lvlJc w:val="left"/>
      <w:pPr>
        <w:ind w:left="8728" w:hanging="852"/>
      </w:pPr>
      <w:rPr>
        <w:rFonts w:hint="default"/>
      </w:rPr>
    </w:lvl>
  </w:abstractNum>
  <w:abstractNum w:abstractNumId="5" w15:restartNumberingAfterBreak="0">
    <w:nsid w:val="27FB7B32"/>
    <w:multiLevelType w:val="multilevel"/>
    <w:tmpl w:val="F036D0EA"/>
    <w:lvl w:ilvl="0">
      <w:start w:val="4"/>
      <w:numFmt w:val="decimal"/>
      <w:lvlText w:val="%1"/>
      <w:lvlJc w:val="left"/>
      <w:pPr>
        <w:ind w:left="1067" w:hanging="852"/>
      </w:pPr>
      <w:rPr>
        <w:rFonts w:hint="default"/>
      </w:rPr>
    </w:lvl>
    <w:lvl w:ilvl="1">
      <w:start w:val="3"/>
      <w:numFmt w:val="decimal"/>
      <w:lvlText w:val="%1.%2"/>
      <w:lvlJc w:val="left"/>
      <w:pPr>
        <w:ind w:left="1067" w:hanging="852"/>
      </w:pPr>
      <w:rPr>
        <w:rFonts w:hint="default"/>
      </w:rPr>
    </w:lvl>
    <w:lvl w:ilvl="2">
      <w:start w:val="6"/>
      <w:numFmt w:val="decimal"/>
      <w:lvlText w:val="%1.%2.%3"/>
      <w:lvlJc w:val="left"/>
      <w:pPr>
        <w:ind w:left="1067" w:hanging="852"/>
      </w:pPr>
      <w:rPr>
        <w:rFonts w:ascii="Times New Roman" w:eastAsia="ＭＳ 明朝" w:hAnsi="Times New Roman" w:cs="Times New Roman" w:hint="default"/>
        <w:b/>
        <w:bCs/>
        <w:spacing w:val="-1"/>
        <w:w w:val="100"/>
        <w:sz w:val="24"/>
        <w:szCs w:val="24"/>
      </w:rPr>
    </w:lvl>
    <w:lvl w:ilvl="3">
      <w:numFmt w:val="bullet"/>
      <w:lvlText w:val="•"/>
      <w:lvlJc w:val="left"/>
      <w:pPr>
        <w:ind w:left="3994" w:hanging="852"/>
      </w:pPr>
      <w:rPr>
        <w:rFonts w:hint="default"/>
      </w:rPr>
    </w:lvl>
    <w:lvl w:ilvl="4">
      <w:numFmt w:val="bullet"/>
      <w:lvlText w:val="•"/>
      <w:lvlJc w:val="left"/>
      <w:pPr>
        <w:ind w:left="4972" w:hanging="852"/>
      </w:pPr>
      <w:rPr>
        <w:rFonts w:hint="default"/>
      </w:rPr>
    </w:lvl>
    <w:lvl w:ilvl="5">
      <w:numFmt w:val="bullet"/>
      <w:lvlText w:val="•"/>
      <w:lvlJc w:val="left"/>
      <w:pPr>
        <w:ind w:left="5950" w:hanging="852"/>
      </w:pPr>
      <w:rPr>
        <w:rFonts w:hint="default"/>
      </w:rPr>
    </w:lvl>
    <w:lvl w:ilvl="6">
      <w:numFmt w:val="bullet"/>
      <w:lvlText w:val="•"/>
      <w:lvlJc w:val="left"/>
      <w:pPr>
        <w:ind w:left="6928" w:hanging="852"/>
      </w:pPr>
      <w:rPr>
        <w:rFonts w:hint="default"/>
      </w:rPr>
    </w:lvl>
    <w:lvl w:ilvl="7">
      <w:numFmt w:val="bullet"/>
      <w:lvlText w:val="•"/>
      <w:lvlJc w:val="left"/>
      <w:pPr>
        <w:ind w:left="7906" w:hanging="852"/>
      </w:pPr>
      <w:rPr>
        <w:rFonts w:hint="default"/>
      </w:rPr>
    </w:lvl>
    <w:lvl w:ilvl="8">
      <w:numFmt w:val="bullet"/>
      <w:lvlText w:val="•"/>
      <w:lvlJc w:val="left"/>
      <w:pPr>
        <w:ind w:left="8884" w:hanging="852"/>
      </w:pPr>
      <w:rPr>
        <w:rFonts w:hint="default"/>
      </w:rPr>
    </w:lvl>
  </w:abstractNum>
  <w:abstractNum w:abstractNumId="6" w15:restartNumberingAfterBreak="0">
    <w:nsid w:val="2D0C729C"/>
    <w:multiLevelType w:val="hybridMultilevel"/>
    <w:tmpl w:val="2F589D7C"/>
    <w:lvl w:ilvl="0" w:tplc="46989F08">
      <w:start w:val="5"/>
      <w:numFmt w:val="decimal"/>
      <w:lvlText w:val="%1"/>
      <w:lvlJc w:val="left"/>
      <w:pPr>
        <w:ind w:left="1067" w:hanging="852"/>
        <w:jc w:val="left"/>
      </w:pPr>
      <w:rPr>
        <w:rFonts w:ascii="Times New Roman" w:eastAsia="Times New Roman" w:hAnsi="Times New Roman" w:cs="Times New Roman" w:hint="default"/>
        <w:b/>
        <w:bCs/>
        <w:w w:val="100"/>
        <w:sz w:val="28"/>
        <w:szCs w:val="28"/>
      </w:rPr>
    </w:lvl>
    <w:lvl w:ilvl="1" w:tplc="9CB67236">
      <w:numFmt w:val="bullet"/>
      <w:lvlText w:val="•"/>
      <w:lvlJc w:val="left"/>
      <w:pPr>
        <w:ind w:left="2038" w:hanging="852"/>
      </w:pPr>
      <w:rPr>
        <w:rFonts w:hint="default"/>
      </w:rPr>
    </w:lvl>
    <w:lvl w:ilvl="2" w:tplc="E6E220CC">
      <w:numFmt w:val="bullet"/>
      <w:lvlText w:val="•"/>
      <w:lvlJc w:val="left"/>
      <w:pPr>
        <w:ind w:left="3016" w:hanging="852"/>
      </w:pPr>
      <w:rPr>
        <w:rFonts w:hint="default"/>
      </w:rPr>
    </w:lvl>
    <w:lvl w:ilvl="3" w:tplc="92E287B0">
      <w:numFmt w:val="bullet"/>
      <w:lvlText w:val="•"/>
      <w:lvlJc w:val="left"/>
      <w:pPr>
        <w:ind w:left="3994" w:hanging="852"/>
      </w:pPr>
      <w:rPr>
        <w:rFonts w:hint="default"/>
      </w:rPr>
    </w:lvl>
    <w:lvl w:ilvl="4" w:tplc="F5B0F2B2">
      <w:numFmt w:val="bullet"/>
      <w:lvlText w:val="•"/>
      <w:lvlJc w:val="left"/>
      <w:pPr>
        <w:ind w:left="4972" w:hanging="852"/>
      </w:pPr>
      <w:rPr>
        <w:rFonts w:hint="default"/>
      </w:rPr>
    </w:lvl>
    <w:lvl w:ilvl="5" w:tplc="3788B5C4">
      <w:numFmt w:val="bullet"/>
      <w:lvlText w:val="•"/>
      <w:lvlJc w:val="left"/>
      <w:pPr>
        <w:ind w:left="5950" w:hanging="852"/>
      </w:pPr>
      <w:rPr>
        <w:rFonts w:hint="default"/>
      </w:rPr>
    </w:lvl>
    <w:lvl w:ilvl="6" w:tplc="98E4CE7A">
      <w:numFmt w:val="bullet"/>
      <w:lvlText w:val="•"/>
      <w:lvlJc w:val="left"/>
      <w:pPr>
        <w:ind w:left="6928" w:hanging="852"/>
      </w:pPr>
      <w:rPr>
        <w:rFonts w:hint="default"/>
      </w:rPr>
    </w:lvl>
    <w:lvl w:ilvl="7" w:tplc="BDEA3E30">
      <w:numFmt w:val="bullet"/>
      <w:lvlText w:val="•"/>
      <w:lvlJc w:val="left"/>
      <w:pPr>
        <w:ind w:left="7906" w:hanging="852"/>
      </w:pPr>
      <w:rPr>
        <w:rFonts w:hint="default"/>
      </w:rPr>
    </w:lvl>
    <w:lvl w:ilvl="8" w:tplc="43348524">
      <w:numFmt w:val="bullet"/>
      <w:lvlText w:val="•"/>
      <w:lvlJc w:val="left"/>
      <w:pPr>
        <w:ind w:left="8884" w:hanging="852"/>
      </w:pPr>
      <w:rPr>
        <w:rFonts w:hint="default"/>
      </w:rPr>
    </w:lvl>
  </w:abstractNum>
  <w:abstractNum w:abstractNumId="7" w15:restartNumberingAfterBreak="0">
    <w:nsid w:val="355F49E5"/>
    <w:multiLevelType w:val="multilevel"/>
    <w:tmpl w:val="1A00E406"/>
    <w:lvl w:ilvl="0">
      <w:start w:val="4"/>
      <w:numFmt w:val="decimal"/>
      <w:lvlText w:val="%1"/>
      <w:lvlJc w:val="left"/>
      <w:pPr>
        <w:ind w:left="1775" w:hanging="994"/>
        <w:jc w:val="left"/>
      </w:pPr>
      <w:rPr>
        <w:rFonts w:hint="default"/>
      </w:rPr>
    </w:lvl>
    <w:lvl w:ilvl="1">
      <w:start w:val="3"/>
      <w:numFmt w:val="decimal"/>
      <w:lvlText w:val="%1.%2"/>
      <w:lvlJc w:val="left"/>
      <w:pPr>
        <w:ind w:left="1775" w:hanging="994"/>
        <w:jc w:val="left"/>
      </w:pPr>
      <w:rPr>
        <w:rFonts w:hint="default"/>
      </w:rPr>
    </w:lvl>
    <w:lvl w:ilvl="2">
      <w:start w:val="1"/>
      <w:numFmt w:val="decimal"/>
      <w:lvlText w:val="%1.%2.%3"/>
      <w:lvlJc w:val="left"/>
      <w:pPr>
        <w:ind w:left="1775" w:hanging="994"/>
        <w:jc w:val="left"/>
      </w:pPr>
      <w:rPr>
        <w:rFonts w:ascii="Times New Roman" w:eastAsia="Times New Roman" w:hAnsi="Times New Roman" w:cs="Times New Roman" w:hint="default"/>
        <w:w w:val="100"/>
        <w:sz w:val="22"/>
        <w:szCs w:val="22"/>
      </w:rPr>
    </w:lvl>
    <w:lvl w:ilvl="3">
      <w:start w:val="1"/>
      <w:numFmt w:val="decimal"/>
      <w:lvlText w:val="%1.%2.%3.%4"/>
      <w:lvlJc w:val="left"/>
      <w:pPr>
        <w:ind w:left="2200" w:hanging="1133"/>
        <w:jc w:val="left"/>
      </w:pPr>
      <w:rPr>
        <w:rFonts w:ascii="Times New Roman" w:eastAsia="Times New Roman" w:hAnsi="Times New Roman" w:cs="Times New Roman" w:hint="default"/>
        <w:w w:val="100"/>
        <w:sz w:val="22"/>
        <w:szCs w:val="22"/>
      </w:rPr>
    </w:lvl>
    <w:lvl w:ilvl="4">
      <w:numFmt w:val="bullet"/>
      <w:lvlText w:val="•"/>
      <w:lvlJc w:val="left"/>
      <w:pPr>
        <w:ind w:left="5080" w:hanging="1133"/>
      </w:pPr>
      <w:rPr>
        <w:rFonts w:hint="default"/>
      </w:rPr>
    </w:lvl>
    <w:lvl w:ilvl="5">
      <w:numFmt w:val="bullet"/>
      <w:lvlText w:val="•"/>
      <w:lvlJc w:val="left"/>
      <w:pPr>
        <w:ind w:left="6040" w:hanging="1133"/>
      </w:pPr>
      <w:rPr>
        <w:rFonts w:hint="default"/>
      </w:rPr>
    </w:lvl>
    <w:lvl w:ilvl="6">
      <w:numFmt w:val="bullet"/>
      <w:lvlText w:val="•"/>
      <w:lvlJc w:val="left"/>
      <w:pPr>
        <w:ind w:left="7000" w:hanging="1133"/>
      </w:pPr>
      <w:rPr>
        <w:rFonts w:hint="default"/>
      </w:rPr>
    </w:lvl>
    <w:lvl w:ilvl="7">
      <w:numFmt w:val="bullet"/>
      <w:lvlText w:val="•"/>
      <w:lvlJc w:val="left"/>
      <w:pPr>
        <w:ind w:left="7960" w:hanging="1133"/>
      </w:pPr>
      <w:rPr>
        <w:rFonts w:hint="default"/>
      </w:rPr>
    </w:lvl>
    <w:lvl w:ilvl="8">
      <w:numFmt w:val="bullet"/>
      <w:lvlText w:val="•"/>
      <w:lvlJc w:val="left"/>
      <w:pPr>
        <w:ind w:left="8920" w:hanging="1133"/>
      </w:pPr>
      <w:rPr>
        <w:rFonts w:hint="default"/>
      </w:rPr>
    </w:lvl>
  </w:abstractNum>
  <w:abstractNum w:abstractNumId="8" w15:restartNumberingAfterBreak="0">
    <w:nsid w:val="45685F73"/>
    <w:multiLevelType w:val="multilevel"/>
    <w:tmpl w:val="6CBCBF50"/>
    <w:lvl w:ilvl="0">
      <w:start w:val="1"/>
      <w:numFmt w:val="decimal"/>
      <w:lvlText w:val="%1"/>
      <w:lvlJc w:val="left"/>
      <w:pPr>
        <w:ind w:left="1078" w:hanging="852"/>
        <w:jc w:val="left"/>
      </w:pPr>
      <w:rPr>
        <w:rFonts w:ascii="Times New Roman" w:eastAsia="Times New Roman" w:hAnsi="Times New Roman" w:cs="Times New Roman" w:hint="default"/>
        <w:b/>
        <w:bCs/>
        <w:w w:val="100"/>
        <w:sz w:val="28"/>
        <w:szCs w:val="28"/>
      </w:rPr>
    </w:lvl>
    <w:lvl w:ilvl="1">
      <w:start w:val="1"/>
      <w:numFmt w:val="decimal"/>
      <w:lvlText w:val="%1.%2"/>
      <w:lvlJc w:val="left"/>
      <w:pPr>
        <w:ind w:left="1078" w:hanging="852"/>
        <w:jc w:val="left"/>
      </w:pPr>
      <w:rPr>
        <w:rFonts w:ascii="Times New Roman" w:eastAsia="Times New Roman" w:hAnsi="Times New Roman" w:cs="Times New Roman" w:hint="default"/>
        <w:b/>
        <w:bCs/>
        <w:w w:val="100"/>
        <w:sz w:val="28"/>
        <w:szCs w:val="28"/>
      </w:rPr>
    </w:lvl>
    <w:lvl w:ilvl="2">
      <w:start w:val="1"/>
      <w:numFmt w:val="decimal"/>
      <w:lvlText w:val="%1.%2.%3"/>
      <w:lvlJc w:val="left"/>
      <w:pPr>
        <w:ind w:left="1078" w:hanging="852"/>
        <w:jc w:val="left"/>
      </w:pPr>
      <w:rPr>
        <w:rFonts w:ascii="Times New Roman" w:eastAsia="Times New Roman" w:hAnsi="Times New Roman" w:cs="Times New Roman" w:hint="default"/>
        <w:b/>
        <w:bCs/>
        <w:spacing w:val="-1"/>
        <w:w w:val="100"/>
        <w:sz w:val="24"/>
        <w:szCs w:val="24"/>
      </w:rPr>
    </w:lvl>
    <w:lvl w:ilvl="3">
      <w:numFmt w:val="bullet"/>
      <w:lvlText w:val="•"/>
      <w:lvlJc w:val="left"/>
      <w:pPr>
        <w:ind w:left="5406" w:hanging="852"/>
      </w:pPr>
      <w:rPr>
        <w:rFonts w:hint="default"/>
      </w:rPr>
    </w:lvl>
    <w:lvl w:ilvl="4">
      <w:numFmt w:val="bullet"/>
      <w:lvlText w:val="•"/>
      <w:lvlJc w:val="left"/>
      <w:pPr>
        <w:ind w:left="6848" w:hanging="852"/>
      </w:pPr>
      <w:rPr>
        <w:rFonts w:hint="default"/>
      </w:rPr>
    </w:lvl>
    <w:lvl w:ilvl="5">
      <w:numFmt w:val="bullet"/>
      <w:lvlText w:val="•"/>
      <w:lvlJc w:val="left"/>
      <w:pPr>
        <w:ind w:left="8290" w:hanging="852"/>
      </w:pPr>
      <w:rPr>
        <w:rFonts w:hint="default"/>
      </w:rPr>
    </w:lvl>
    <w:lvl w:ilvl="6">
      <w:numFmt w:val="bullet"/>
      <w:lvlText w:val="•"/>
      <w:lvlJc w:val="left"/>
      <w:pPr>
        <w:ind w:left="9732" w:hanging="852"/>
      </w:pPr>
      <w:rPr>
        <w:rFonts w:hint="default"/>
      </w:rPr>
    </w:lvl>
    <w:lvl w:ilvl="7">
      <w:numFmt w:val="bullet"/>
      <w:lvlText w:val="•"/>
      <w:lvlJc w:val="left"/>
      <w:pPr>
        <w:ind w:left="11174" w:hanging="852"/>
      </w:pPr>
      <w:rPr>
        <w:rFonts w:hint="default"/>
      </w:rPr>
    </w:lvl>
    <w:lvl w:ilvl="8">
      <w:numFmt w:val="bullet"/>
      <w:lvlText w:val="•"/>
      <w:lvlJc w:val="left"/>
      <w:pPr>
        <w:ind w:left="12616" w:hanging="852"/>
      </w:pPr>
      <w:rPr>
        <w:rFonts w:hint="default"/>
      </w:rPr>
    </w:lvl>
  </w:abstractNum>
  <w:abstractNum w:abstractNumId="9" w15:restartNumberingAfterBreak="0">
    <w:nsid w:val="469C1124"/>
    <w:multiLevelType w:val="multilevel"/>
    <w:tmpl w:val="01009A18"/>
    <w:lvl w:ilvl="0">
      <w:start w:val="1"/>
      <w:numFmt w:val="decimal"/>
      <w:lvlText w:val="%1"/>
      <w:lvlJc w:val="left"/>
      <w:pPr>
        <w:ind w:left="934" w:hanging="708"/>
        <w:jc w:val="left"/>
      </w:pPr>
      <w:rPr>
        <w:rFonts w:ascii="Times New Roman" w:eastAsia="Times New Roman" w:hAnsi="Times New Roman" w:cs="Times New Roman" w:hint="default"/>
        <w:b/>
        <w:bCs/>
        <w:w w:val="100"/>
        <w:sz w:val="22"/>
        <w:szCs w:val="22"/>
      </w:rPr>
    </w:lvl>
    <w:lvl w:ilvl="1">
      <w:start w:val="1"/>
      <w:numFmt w:val="decimal"/>
      <w:lvlText w:val="%1.%2"/>
      <w:lvlJc w:val="left"/>
      <w:pPr>
        <w:ind w:left="1359" w:hanging="850"/>
        <w:jc w:val="left"/>
      </w:pPr>
      <w:rPr>
        <w:rFonts w:ascii="Times New Roman" w:eastAsia="Times New Roman" w:hAnsi="Times New Roman" w:cs="Times New Roman" w:hint="default"/>
        <w:w w:val="100"/>
        <w:sz w:val="22"/>
        <w:szCs w:val="22"/>
      </w:rPr>
    </w:lvl>
    <w:lvl w:ilvl="2">
      <w:start w:val="1"/>
      <w:numFmt w:val="decimal"/>
      <w:lvlText w:val="%1.%2.%3"/>
      <w:lvlJc w:val="left"/>
      <w:pPr>
        <w:ind w:left="1786" w:hanging="994"/>
        <w:jc w:val="left"/>
      </w:pPr>
      <w:rPr>
        <w:rFonts w:ascii="Times New Roman" w:eastAsia="Times New Roman" w:hAnsi="Times New Roman" w:cs="Times New Roman" w:hint="default"/>
        <w:w w:val="100"/>
        <w:sz w:val="22"/>
        <w:szCs w:val="22"/>
      </w:rPr>
    </w:lvl>
    <w:lvl w:ilvl="3">
      <w:numFmt w:val="bullet"/>
      <w:lvlText w:val="•"/>
      <w:lvlJc w:val="left"/>
      <w:pPr>
        <w:ind w:left="3495" w:hanging="994"/>
      </w:pPr>
      <w:rPr>
        <w:rFonts w:hint="default"/>
      </w:rPr>
    </w:lvl>
    <w:lvl w:ilvl="4">
      <w:numFmt w:val="bullet"/>
      <w:lvlText w:val="•"/>
      <w:lvlJc w:val="left"/>
      <w:pPr>
        <w:ind w:left="5210" w:hanging="994"/>
      </w:pPr>
      <w:rPr>
        <w:rFonts w:hint="default"/>
      </w:rPr>
    </w:lvl>
    <w:lvl w:ilvl="5">
      <w:numFmt w:val="bullet"/>
      <w:lvlText w:val="•"/>
      <w:lvlJc w:val="left"/>
      <w:pPr>
        <w:ind w:left="6925" w:hanging="994"/>
      </w:pPr>
      <w:rPr>
        <w:rFonts w:hint="default"/>
      </w:rPr>
    </w:lvl>
    <w:lvl w:ilvl="6">
      <w:numFmt w:val="bullet"/>
      <w:lvlText w:val="•"/>
      <w:lvlJc w:val="left"/>
      <w:pPr>
        <w:ind w:left="8640" w:hanging="994"/>
      </w:pPr>
      <w:rPr>
        <w:rFonts w:hint="default"/>
      </w:rPr>
    </w:lvl>
    <w:lvl w:ilvl="7">
      <w:numFmt w:val="bullet"/>
      <w:lvlText w:val="•"/>
      <w:lvlJc w:val="left"/>
      <w:pPr>
        <w:ind w:left="10355" w:hanging="994"/>
      </w:pPr>
      <w:rPr>
        <w:rFonts w:hint="default"/>
      </w:rPr>
    </w:lvl>
    <w:lvl w:ilvl="8">
      <w:numFmt w:val="bullet"/>
      <w:lvlText w:val="•"/>
      <w:lvlJc w:val="left"/>
      <w:pPr>
        <w:ind w:left="12070" w:hanging="994"/>
      </w:pPr>
      <w:rPr>
        <w:rFonts w:hint="default"/>
      </w:rPr>
    </w:lvl>
  </w:abstractNum>
  <w:abstractNum w:abstractNumId="10" w15:restartNumberingAfterBreak="0">
    <w:nsid w:val="4F611004"/>
    <w:multiLevelType w:val="multilevel"/>
    <w:tmpl w:val="3B267162"/>
    <w:lvl w:ilvl="0">
      <w:start w:val="4"/>
      <w:numFmt w:val="decimal"/>
      <w:lvlText w:val="%1"/>
      <w:lvlJc w:val="left"/>
      <w:pPr>
        <w:ind w:left="1067" w:hanging="852"/>
        <w:jc w:val="left"/>
      </w:pPr>
      <w:rPr>
        <w:rFonts w:hint="default"/>
      </w:rPr>
    </w:lvl>
    <w:lvl w:ilvl="1">
      <w:start w:val="2"/>
      <w:numFmt w:val="decimal"/>
      <w:lvlText w:val="%1.%2"/>
      <w:lvlJc w:val="left"/>
      <w:pPr>
        <w:ind w:left="1067" w:hanging="852"/>
        <w:jc w:val="left"/>
      </w:pPr>
      <w:rPr>
        <w:rFonts w:ascii="Times New Roman" w:eastAsia="Times New Roman" w:hAnsi="Times New Roman" w:cs="Times New Roman" w:hint="default"/>
        <w:b/>
        <w:bCs/>
        <w:w w:val="100"/>
        <w:sz w:val="28"/>
        <w:szCs w:val="28"/>
      </w:rPr>
    </w:lvl>
    <w:lvl w:ilvl="2">
      <w:start w:val="1"/>
      <w:numFmt w:val="decimal"/>
      <w:lvlText w:val="%1.%2.%3"/>
      <w:lvlJc w:val="left"/>
      <w:pPr>
        <w:ind w:left="1067" w:hanging="852"/>
        <w:jc w:val="left"/>
      </w:pPr>
      <w:rPr>
        <w:rFonts w:ascii="Times New Roman" w:eastAsia="Times New Roman" w:hAnsi="Times New Roman" w:cs="Times New Roman" w:hint="default"/>
        <w:b/>
        <w:bCs/>
        <w:w w:val="100"/>
        <w:sz w:val="24"/>
        <w:szCs w:val="24"/>
      </w:rPr>
    </w:lvl>
    <w:lvl w:ilvl="3">
      <w:numFmt w:val="bullet"/>
      <w:lvlText w:val="•"/>
      <w:lvlJc w:val="left"/>
      <w:pPr>
        <w:ind w:left="3451" w:hanging="852"/>
      </w:pPr>
      <w:rPr>
        <w:rFonts w:hint="default"/>
      </w:rPr>
    </w:lvl>
    <w:lvl w:ilvl="4">
      <w:numFmt w:val="bullet"/>
      <w:lvlText w:val="•"/>
      <w:lvlJc w:val="left"/>
      <w:pPr>
        <w:ind w:left="4506" w:hanging="852"/>
      </w:pPr>
      <w:rPr>
        <w:rFonts w:hint="default"/>
      </w:rPr>
    </w:lvl>
    <w:lvl w:ilvl="5">
      <w:numFmt w:val="bullet"/>
      <w:lvlText w:val="•"/>
      <w:lvlJc w:val="left"/>
      <w:pPr>
        <w:ind w:left="5562" w:hanging="852"/>
      </w:pPr>
      <w:rPr>
        <w:rFonts w:hint="default"/>
      </w:rPr>
    </w:lvl>
    <w:lvl w:ilvl="6">
      <w:numFmt w:val="bullet"/>
      <w:lvlText w:val="•"/>
      <w:lvlJc w:val="left"/>
      <w:pPr>
        <w:ind w:left="6617" w:hanging="852"/>
      </w:pPr>
      <w:rPr>
        <w:rFonts w:hint="default"/>
      </w:rPr>
    </w:lvl>
    <w:lvl w:ilvl="7">
      <w:numFmt w:val="bullet"/>
      <w:lvlText w:val="•"/>
      <w:lvlJc w:val="left"/>
      <w:pPr>
        <w:ind w:left="7673" w:hanging="852"/>
      </w:pPr>
      <w:rPr>
        <w:rFonts w:hint="default"/>
      </w:rPr>
    </w:lvl>
    <w:lvl w:ilvl="8">
      <w:numFmt w:val="bullet"/>
      <w:lvlText w:val="•"/>
      <w:lvlJc w:val="left"/>
      <w:pPr>
        <w:ind w:left="8728" w:hanging="852"/>
      </w:pPr>
      <w:rPr>
        <w:rFonts w:hint="default"/>
      </w:rPr>
    </w:lvl>
  </w:abstractNum>
  <w:abstractNum w:abstractNumId="11" w15:restartNumberingAfterBreak="0">
    <w:nsid w:val="568F0270"/>
    <w:multiLevelType w:val="multilevel"/>
    <w:tmpl w:val="569C1564"/>
    <w:lvl w:ilvl="0">
      <w:start w:val="4"/>
      <w:numFmt w:val="decimal"/>
      <w:lvlText w:val="%1"/>
      <w:lvlJc w:val="left"/>
      <w:pPr>
        <w:ind w:left="1067" w:hanging="852"/>
        <w:jc w:val="left"/>
      </w:pPr>
      <w:rPr>
        <w:rFonts w:hint="default"/>
      </w:rPr>
    </w:lvl>
    <w:lvl w:ilvl="1">
      <w:start w:val="1"/>
      <w:numFmt w:val="decimal"/>
      <w:lvlText w:val="%1.%2"/>
      <w:lvlJc w:val="left"/>
      <w:pPr>
        <w:ind w:left="1067" w:hanging="852"/>
        <w:jc w:val="left"/>
      </w:pPr>
      <w:rPr>
        <w:rFonts w:hint="default"/>
      </w:rPr>
    </w:lvl>
    <w:lvl w:ilvl="2">
      <w:start w:val="2"/>
      <w:numFmt w:val="decimal"/>
      <w:lvlText w:val="%1.%2.%3"/>
      <w:lvlJc w:val="left"/>
      <w:pPr>
        <w:ind w:left="1067" w:hanging="852"/>
        <w:jc w:val="left"/>
      </w:pPr>
      <w:rPr>
        <w:rFonts w:ascii="Times New Roman" w:eastAsia="Times New Roman" w:hAnsi="Times New Roman" w:cs="Times New Roman" w:hint="default"/>
        <w:b/>
        <w:bCs/>
        <w:spacing w:val="-1"/>
        <w:w w:val="100"/>
        <w:sz w:val="24"/>
        <w:szCs w:val="24"/>
      </w:rPr>
    </w:lvl>
    <w:lvl w:ilvl="3">
      <w:start w:val="1"/>
      <w:numFmt w:val="decimal"/>
      <w:lvlText w:val="%1.%2.%3.%4"/>
      <w:lvlJc w:val="left"/>
      <w:pPr>
        <w:ind w:left="1067" w:hanging="852"/>
        <w:jc w:val="left"/>
      </w:pPr>
      <w:rPr>
        <w:rFonts w:ascii="Times New Roman" w:eastAsia="Times New Roman" w:hAnsi="Times New Roman" w:cs="Times New Roman" w:hint="default"/>
        <w:b/>
        <w:bCs/>
        <w:spacing w:val="-1"/>
        <w:w w:val="100"/>
        <w:sz w:val="24"/>
        <w:szCs w:val="24"/>
      </w:rPr>
    </w:lvl>
    <w:lvl w:ilvl="4">
      <w:start w:val="1"/>
      <w:numFmt w:val="decimal"/>
      <w:lvlText w:val="%1.%2.%3.%4.%5"/>
      <w:lvlJc w:val="left"/>
      <w:pPr>
        <w:ind w:left="1348" w:hanging="1133"/>
        <w:jc w:val="left"/>
      </w:pPr>
      <w:rPr>
        <w:rFonts w:ascii="Times New Roman" w:eastAsia="Times New Roman" w:hAnsi="Times New Roman" w:cs="Times New Roman" w:hint="default"/>
        <w:b/>
        <w:bCs/>
        <w:spacing w:val="-1"/>
        <w:w w:val="100"/>
        <w:sz w:val="24"/>
        <w:szCs w:val="24"/>
      </w:rPr>
    </w:lvl>
    <w:lvl w:ilvl="5">
      <w:numFmt w:val="bullet"/>
      <w:lvlText w:val="•"/>
      <w:lvlJc w:val="left"/>
      <w:pPr>
        <w:ind w:left="5562" w:hanging="1133"/>
      </w:pPr>
      <w:rPr>
        <w:rFonts w:hint="default"/>
      </w:rPr>
    </w:lvl>
    <w:lvl w:ilvl="6">
      <w:numFmt w:val="bullet"/>
      <w:lvlText w:val="•"/>
      <w:lvlJc w:val="left"/>
      <w:pPr>
        <w:ind w:left="6617" w:hanging="1133"/>
      </w:pPr>
      <w:rPr>
        <w:rFonts w:hint="default"/>
      </w:rPr>
    </w:lvl>
    <w:lvl w:ilvl="7">
      <w:numFmt w:val="bullet"/>
      <w:lvlText w:val="•"/>
      <w:lvlJc w:val="left"/>
      <w:pPr>
        <w:ind w:left="7673" w:hanging="1133"/>
      </w:pPr>
      <w:rPr>
        <w:rFonts w:hint="default"/>
      </w:rPr>
    </w:lvl>
    <w:lvl w:ilvl="8">
      <w:numFmt w:val="bullet"/>
      <w:lvlText w:val="•"/>
      <w:lvlJc w:val="left"/>
      <w:pPr>
        <w:ind w:left="8728" w:hanging="1133"/>
      </w:pPr>
      <w:rPr>
        <w:rFonts w:hint="default"/>
      </w:rPr>
    </w:lvl>
  </w:abstractNum>
  <w:abstractNum w:abstractNumId="12" w15:restartNumberingAfterBreak="0">
    <w:nsid w:val="5E76200B"/>
    <w:multiLevelType w:val="multilevel"/>
    <w:tmpl w:val="DD7C7836"/>
    <w:lvl w:ilvl="0">
      <w:start w:val="2"/>
      <w:numFmt w:val="decimal"/>
      <w:lvlText w:val="%1"/>
      <w:lvlJc w:val="left"/>
      <w:pPr>
        <w:ind w:left="1067" w:hanging="852"/>
        <w:jc w:val="left"/>
      </w:pPr>
      <w:rPr>
        <w:rFonts w:ascii="Times New Roman" w:eastAsia="Times New Roman" w:hAnsi="Times New Roman" w:cs="Times New Roman" w:hint="default"/>
        <w:b/>
        <w:bCs/>
        <w:w w:val="100"/>
        <w:sz w:val="28"/>
        <w:szCs w:val="28"/>
      </w:rPr>
    </w:lvl>
    <w:lvl w:ilvl="1">
      <w:start w:val="1"/>
      <w:numFmt w:val="decimal"/>
      <w:lvlText w:val="%1.%2"/>
      <w:lvlJc w:val="left"/>
      <w:pPr>
        <w:ind w:left="1067" w:hanging="852"/>
        <w:jc w:val="left"/>
      </w:pPr>
      <w:rPr>
        <w:rFonts w:ascii="Times New Roman" w:eastAsia="Times New Roman" w:hAnsi="Times New Roman" w:cs="Times New Roman" w:hint="default"/>
        <w:b/>
        <w:bCs/>
        <w:w w:val="100"/>
        <w:sz w:val="28"/>
        <w:szCs w:val="28"/>
      </w:rPr>
    </w:lvl>
    <w:lvl w:ilvl="2">
      <w:numFmt w:val="bullet"/>
      <w:lvlText w:val="●"/>
      <w:lvlJc w:val="left"/>
      <w:pPr>
        <w:ind w:left="935" w:hanging="360"/>
      </w:pPr>
      <w:rPr>
        <w:rFonts w:ascii="Times New Roman" w:eastAsia="Times New Roman" w:hAnsi="Times New Roman" w:cs="Times New Roman" w:hint="default"/>
        <w:spacing w:val="-6"/>
        <w:w w:val="100"/>
        <w:sz w:val="24"/>
        <w:szCs w:val="24"/>
      </w:rPr>
    </w:lvl>
    <w:lvl w:ilvl="3">
      <w:numFmt w:val="bullet"/>
      <w:lvlText w:val="•"/>
      <w:lvlJc w:val="left"/>
      <w:pPr>
        <w:ind w:left="2282" w:hanging="360"/>
      </w:pPr>
      <w:rPr>
        <w:rFonts w:hint="default"/>
      </w:rPr>
    </w:lvl>
    <w:lvl w:ilvl="4">
      <w:numFmt w:val="bullet"/>
      <w:lvlText w:val="•"/>
      <w:lvlJc w:val="left"/>
      <w:pPr>
        <w:ind w:left="3505" w:hanging="360"/>
      </w:pPr>
      <w:rPr>
        <w:rFonts w:hint="default"/>
      </w:rPr>
    </w:lvl>
    <w:lvl w:ilvl="5">
      <w:numFmt w:val="bullet"/>
      <w:lvlText w:val="•"/>
      <w:lvlJc w:val="left"/>
      <w:pPr>
        <w:ind w:left="4727" w:hanging="360"/>
      </w:pPr>
      <w:rPr>
        <w:rFonts w:hint="default"/>
      </w:rPr>
    </w:lvl>
    <w:lvl w:ilvl="6">
      <w:numFmt w:val="bullet"/>
      <w:lvlText w:val="•"/>
      <w:lvlJc w:val="left"/>
      <w:pPr>
        <w:ind w:left="5950" w:hanging="360"/>
      </w:pPr>
      <w:rPr>
        <w:rFonts w:hint="default"/>
      </w:rPr>
    </w:lvl>
    <w:lvl w:ilvl="7">
      <w:numFmt w:val="bullet"/>
      <w:lvlText w:val="•"/>
      <w:lvlJc w:val="left"/>
      <w:pPr>
        <w:ind w:left="7172" w:hanging="360"/>
      </w:pPr>
      <w:rPr>
        <w:rFonts w:hint="default"/>
      </w:rPr>
    </w:lvl>
    <w:lvl w:ilvl="8">
      <w:numFmt w:val="bullet"/>
      <w:lvlText w:val="•"/>
      <w:lvlJc w:val="left"/>
      <w:pPr>
        <w:ind w:left="8395" w:hanging="360"/>
      </w:pPr>
      <w:rPr>
        <w:rFonts w:hint="default"/>
      </w:rPr>
    </w:lvl>
  </w:abstractNum>
  <w:abstractNum w:abstractNumId="13" w15:restartNumberingAfterBreak="0">
    <w:nsid w:val="71366A5A"/>
    <w:multiLevelType w:val="multilevel"/>
    <w:tmpl w:val="1FB6C998"/>
    <w:lvl w:ilvl="0">
      <w:start w:val="4"/>
      <w:numFmt w:val="decimal"/>
      <w:lvlText w:val="%1"/>
      <w:lvlJc w:val="left"/>
      <w:pPr>
        <w:ind w:left="1067" w:hanging="852"/>
        <w:jc w:val="left"/>
      </w:pPr>
      <w:rPr>
        <w:rFonts w:hint="default"/>
      </w:rPr>
    </w:lvl>
    <w:lvl w:ilvl="1">
      <w:start w:val="1"/>
      <w:numFmt w:val="decimal"/>
      <w:lvlText w:val="%1.%2"/>
      <w:lvlJc w:val="left"/>
      <w:pPr>
        <w:ind w:left="1067" w:hanging="852"/>
        <w:jc w:val="left"/>
      </w:pPr>
      <w:rPr>
        <w:rFonts w:hint="default"/>
      </w:rPr>
    </w:lvl>
    <w:lvl w:ilvl="2">
      <w:start w:val="1"/>
      <w:numFmt w:val="decimal"/>
      <w:lvlText w:val="%1.%2.%3"/>
      <w:lvlJc w:val="left"/>
      <w:pPr>
        <w:ind w:left="1067" w:hanging="852"/>
        <w:jc w:val="left"/>
      </w:pPr>
      <w:rPr>
        <w:rFonts w:ascii="Times New Roman" w:eastAsia="Times New Roman" w:hAnsi="Times New Roman" w:cs="Times New Roman" w:hint="default"/>
        <w:b/>
        <w:bCs/>
        <w:spacing w:val="-1"/>
        <w:w w:val="100"/>
        <w:sz w:val="24"/>
        <w:szCs w:val="24"/>
      </w:rPr>
    </w:lvl>
    <w:lvl w:ilvl="3">
      <w:start w:val="1"/>
      <w:numFmt w:val="decimal"/>
      <w:lvlText w:val="%1.%2.%3.%4"/>
      <w:lvlJc w:val="left"/>
      <w:pPr>
        <w:ind w:left="1067" w:hanging="852"/>
        <w:jc w:val="left"/>
      </w:pPr>
      <w:rPr>
        <w:rFonts w:ascii="Times New Roman" w:eastAsia="Times New Roman" w:hAnsi="Times New Roman" w:cs="Times New Roman" w:hint="default"/>
        <w:b/>
        <w:bCs/>
        <w:spacing w:val="-1"/>
        <w:w w:val="100"/>
        <w:sz w:val="24"/>
        <w:szCs w:val="24"/>
      </w:rPr>
    </w:lvl>
    <w:lvl w:ilvl="4">
      <w:start w:val="1"/>
      <w:numFmt w:val="decimal"/>
      <w:lvlText w:val="%1.%2.%3.%4.%5"/>
      <w:lvlJc w:val="left"/>
      <w:pPr>
        <w:ind w:left="1348" w:hanging="1133"/>
        <w:jc w:val="left"/>
      </w:pPr>
      <w:rPr>
        <w:rFonts w:ascii="Times New Roman" w:eastAsia="Times New Roman" w:hAnsi="Times New Roman" w:cs="Times New Roman" w:hint="default"/>
        <w:b/>
        <w:bCs/>
        <w:spacing w:val="-1"/>
        <w:w w:val="97"/>
        <w:sz w:val="24"/>
        <w:szCs w:val="24"/>
      </w:rPr>
    </w:lvl>
    <w:lvl w:ilvl="5">
      <w:numFmt w:val="bullet"/>
      <w:lvlText w:val="•"/>
      <w:lvlJc w:val="left"/>
      <w:pPr>
        <w:ind w:left="5562" w:hanging="1133"/>
      </w:pPr>
      <w:rPr>
        <w:rFonts w:hint="default"/>
      </w:rPr>
    </w:lvl>
    <w:lvl w:ilvl="6">
      <w:numFmt w:val="bullet"/>
      <w:lvlText w:val="•"/>
      <w:lvlJc w:val="left"/>
      <w:pPr>
        <w:ind w:left="6617" w:hanging="1133"/>
      </w:pPr>
      <w:rPr>
        <w:rFonts w:hint="default"/>
      </w:rPr>
    </w:lvl>
    <w:lvl w:ilvl="7">
      <w:numFmt w:val="bullet"/>
      <w:lvlText w:val="•"/>
      <w:lvlJc w:val="left"/>
      <w:pPr>
        <w:ind w:left="7673" w:hanging="1133"/>
      </w:pPr>
      <w:rPr>
        <w:rFonts w:hint="default"/>
      </w:rPr>
    </w:lvl>
    <w:lvl w:ilvl="8">
      <w:numFmt w:val="bullet"/>
      <w:lvlText w:val="•"/>
      <w:lvlJc w:val="left"/>
      <w:pPr>
        <w:ind w:left="8728" w:hanging="1133"/>
      </w:pPr>
      <w:rPr>
        <w:rFonts w:hint="default"/>
      </w:rPr>
    </w:lvl>
  </w:abstractNum>
  <w:abstractNum w:abstractNumId="14" w15:restartNumberingAfterBreak="0">
    <w:nsid w:val="75505A31"/>
    <w:multiLevelType w:val="multilevel"/>
    <w:tmpl w:val="40EE7D34"/>
    <w:lvl w:ilvl="0">
      <w:start w:val="4"/>
      <w:numFmt w:val="decimal"/>
      <w:lvlText w:val="%1"/>
      <w:lvlJc w:val="left"/>
      <w:pPr>
        <w:ind w:left="2200" w:hanging="1133"/>
        <w:jc w:val="left"/>
      </w:pPr>
      <w:rPr>
        <w:rFonts w:hint="default"/>
      </w:rPr>
    </w:lvl>
    <w:lvl w:ilvl="1">
      <w:start w:val="2"/>
      <w:numFmt w:val="decimal"/>
      <w:lvlText w:val="%1.%2"/>
      <w:lvlJc w:val="left"/>
      <w:pPr>
        <w:ind w:left="2200" w:hanging="1133"/>
        <w:jc w:val="right"/>
      </w:pPr>
      <w:rPr>
        <w:rFonts w:hint="default"/>
      </w:rPr>
    </w:lvl>
    <w:lvl w:ilvl="2">
      <w:start w:val="3"/>
      <w:numFmt w:val="decimal"/>
      <w:lvlText w:val="%1.%2.%3"/>
      <w:lvlJc w:val="left"/>
      <w:pPr>
        <w:ind w:left="2200" w:hanging="1133"/>
        <w:jc w:val="right"/>
      </w:pPr>
      <w:rPr>
        <w:rFonts w:hint="default"/>
      </w:rPr>
    </w:lvl>
    <w:lvl w:ilvl="3">
      <w:start w:val="1"/>
      <w:numFmt w:val="decimal"/>
      <w:lvlText w:val="%1.%2.%3.%4"/>
      <w:lvlJc w:val="left"/>
      <w:pPr>
        <w:ind w:left="2200" w:hanging="1133"/>
        <w:jc w:val="left"/>
      </w:pPr>
      <w:rPr>
        <w:rFonts w:ascii="Times New Roman" w:eastAsia="Times New Roman" w:hAnsi="Times New Roman" w:cs="Times New Roman" w:hint="default"/>
        <w:w w:val="100"/>
        <w:sz w:val="22"/>
        <w:szCs w:val="22"/>
      </w:rPr>
    </w:lvl>
    <w:lvl w:ilvl="4">
      <w:numFmt w:val="bullet"/>
      <w:lvlText w:val="•"/>
      <w:lvlJc w:val="left"/>
      <w:pPr>
        <w:ind w:left="5656" w:hanging="1133"/>
      </w:pPr>
      <w:rPr>
        <w:rFonts w:hint="default"/>
      </w:rPr>
    </w:lvl>
    <w:lvl w:ilvl="5">
      <w:numFmt w:val="bullet"/>
      <w:lvlText w:val="•"/>
      <w:lvlJc w:val="left"/>
      <w:pPr>
        <w:ind w:left="6520" w:hanging="1133"/>
      </w:pPr>
      <w:rPr>
        <w:rFonts w:hint="default"/>
      </w:rPr>
    </w:lvl>
    <w:lvl w:ilvl="6">
      <w:numFmt w:val="bullet"/>
      <w:lvlText w:val="•"/>
      <w:lvlJc w:val="left"/>
      <w:pPr>
        <w:ind w:left="7384" w:hanging="1133"/>
      </w:pPr>
      <w:rPr>
        <w:rFonts w:hint="default"/>
      </w:rPr>
    </w:lvl>
    <w:lvl w:ilvl="7">
      <w:numFmt w:val="bullet"/>
      <w:lvlText w:val="•"/>
      <w:lvlJc w:val="left"/>
      <w:pPr>
        <w:ind w:left="8248" w:hanging="1133"/>
      </w:pPr>
      <w:rPr>
        <w:rFonts w:hint="default"/>
      </w:rPr>
    </w:lvl>
    <w:lvl w:ilvl="8">
      <w:numFmt w:val="bullet"/>
      <w:lvlText w:val="•"/>
      <w:lvlJc w:val="left"/>
      <w:pPr>
        <w:ind w:left="9112" w:hanging="1133"/>
      </w:pPr>
      <w:rPr>
        <w:rFonts w:hint="default"/>
      </w:rPr>
    </w:lvl>
  </w:abstractNum>
  <w:abstractNum w:abstractNumId="15" w15:restartNumberingAfterBreak="0">
    <w:nsid w:val="7CC84D1C"/>
    <w:multiLevelType w:val="multilevel"/>
    <w:tmpl w:val="9C0888D2"/>
    <w:lvl w:ilvl="0">
      <w:start w:val="3"/>
      <w:numFmt w:val="decimal"/>
      <w:lvlText w:val="%1"/>
      <w:lvlJc w:val="left"/>
      <w:pPr>
        <w:ind w:left="1067" w:hanging="852"/>
        <w:jc w:val="left"/>
      </w:pPr>
      <w:rPr>
        <w:rFonts w:hint="default"/>
      </w:rPr>
    </w:lvl>
    <w:lvl w:ilvl="1">
      <w:start w:val="2"/>
      <w:numFmt w:val="decimal"/>
      <w:lvlText w:val="%1.%2"/>
      <w:lvlJc w:val="left"/>
      <w:pPr>
        <w:ind w:left="1067" w:hanging="852"/>
        <w:jc w:val="left"/>
      </w:pPr>
      <w:rPr>
        <w:rFonts w:hint="default"/>
      </w:rPr>
    </w:lvl>
    <w:lvl w:ilvl="2">
      <w:start w:val="1"/>
      <w:numFmt w:val="decimal"/>
      <w:lvlText w:val="%1.%2.%3"/>
      <w:lvlJc w:val="left"/>
      <w:pPr>
        <w:ind w:left="1067" w:hanging="852"/>
        <w:jc w:val="left"/>
      </w:pPr>
      <w:rPr>
        <w:rFonts w:ascii="Times New Roman" w:eastAsia="Times New Roman" w:hAnsi="Times New Roman" w:cs="Times New Roman" w:hint="default"/>
        <w:b/>
        <w:bCs/>
        <w:spacing w:val="-1"/>
        <w:w w:val="100"/>
        <w:sz w:val="24"/>
        <w:szCs w:val="24"/>
      </w:rPr>
    </w:lvl>
    <w:lvl w:ilvl="3">
      <w:numFmt w:val="bullet"/>
      <w:lvlText w:val="•"/>
      <w:lvlJc w:val="left"/>
      <w:pPr>
        <w:ind w:left="3994" w:hanging="852"/>
      </w:pPr>
      <w:rPr>
        <w:rFonts w:hint="default"/>
      </w:rPr>
    </w:lvl>
    <w:lvl w:ilvl="4">
      <w:numFmt w:val="bullet"/>
      <w:lvlText w:val="•"/>
      <w:lvlJc w:val="left"/>
      <w:pPr>
        <w:ind w:left="4972" w:hanging="852"/>
      </w:pPr>
      <w:rPr>
        <w:rFonts w:hint="default"/>
      </w:rPr>
    </w:lvl>
    <w:lvl w:ilvl="5">
      <w:numFmt w:val="bullet"/>
      <w:lvlText w:val="•"/>
      <w:lvlJc w:val="left"/>
      <w:pPr>
        <w:ind w:left="5950" w:hanging="852"/>
      </w:pPr>
      <w:rPr>
        <w:rFonts w:hint="default"/>
      </w:rPr>
    </w:lvl>
    <w:lvl w:ilvl="6">
      <w:numFmt w:val="bullet"/>
      <w:lvlText w:val="•"/>
      <w:lvlJc w:val="left"/>
      <w:pPr>
        <w:ind w:left="6928" w:hanging="852"/>
      </w:pPr>
      <w:rPr>
        <w:rFonts w:hint="default"/>
      </w:rPr>
    </w:lvl>
    <w:lvl w:ilvl="7">
      <w:numFmt w:val="bullet"/>
      <w:lvlText w:val="•"/>
      <w:lvlJc w:val="left"/>
      <w:pPr>
        <w:ind w:left="7906" w:hanging="852"/>
      </w:pPr>
      <w:rPr>
        <w:rFonts w:hint="default"/>
      </w:rPr>
    </w:lvl>
    <w:lvl w:ilvl="8">
      <w:numFmt w:val="bullet"/>
      <w:lvlText w:val="•"/>
      <w:lvlJc w:val="left"/>
      <w:pPr>
        <w:ind w:left="8884" w:hanging="852"/>
      </w:pPr>
      <w:rPr>
        <w:rFonts w:hint="default"/>
      </w:rPr>
    </w:lvl>
  </w:abstractNum>
  <w:num w:numId="1">
    <w:abstractNumId w:val="8"/>
  </w:num>
  <w:num w:numId="2">
    <w:abstractNumId w:val="9"/>
  </w:num>
  <w:num w:numId="3">
    <w:abstractNumId w:val="6"/>
  </w:num>
  <w:num w:numId="4">
    <w:abstractNumId w:val="4"/>
  </w:num>
  <w:num w:numId="5">
    <w:abstractNumId w:val="5"/>
  </w:num>
  <w:num w:numId="6">
    <w:abstractNumId w:val="1"/>
  </w:num>
  <w:num w:numId="7">
    <w:abstractNumId w:val="2"/>
  </w:num>
  <w:num w:numId="8">
    <w:abstractNumId w:val="10"/>
  </w:num>
  <w:num w:numId="9">
    <w:abstractNumId w:val="11"/>
  </w:num>
  <w:num w:numId="10">
    <w:abstractNumId w:val="13"/>
  </w:num>
  <w:num w:numId="11">
    <w:abstractNumId w:val="15"/>
  </w:num>
  <w:num w:numId="12">
    <w:abstractNumId w:val="12"/>
  </w:num>
  <w:num w:numId="13">
    <w:abstractNumId w:val="0"/>
  </w:num>
  <w:num w:numId="14">
    <w:abstractNumId w:val="7"/>
  </w:num>
  <w:num w:numId="15">
    <w:abstractNumId w:val="14"/>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drawingGridHorizontalSpacing w:val="110"/>
  <w:displayHorizontalDrawingGridEvery w:val="2"/>
  <w:characterSpacingControl w:val="doNotCompress"/>
  <w:hdrShapeDefaults>
    <o:shapedefaults v:ext="edit" spidmax="4097">
      <v:textbox inset="5.85pt,.7pt,5.85pt,.7pt"/>
    </o:shapedefaults>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161017"/>
    <w:rsid w:val="00161017"/>
    <w:rsid w:val="006568EB"/>
    <w:rsid w:val="00C62BF9"/>
    <w:rsid w:val="00D753BB"/>
    <w:rsid w:val="00DC3F52"/>
    <w:rsid w:val="00DC7A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5:docId w15:val="{CF9B7ABD-208F-4A21-BAD0-54320CA03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uiPriority w:val="9"/>
    <w:qFormat/>
    <w:pPr>
      <w:ind w:left="3085"/>
      <w:jc w:val="center"/>
      <w:outlineLvl w:val="0"/>
    </w:pPr>
    <w:rPr>
      <w:b/>
      <w:bCs/>
      <w:sz w:val="32"/>
      <w:szCs w:val="32"/>
    </w:rPr>
  </w:style>
  <w:style w:type="paragraph" w:styleId="2">
    <w:name w:val="heading 2"/>
    <w:basedOn w:val="a"/>
    <w:uiPriority w:val="9"/>
    <w:unhideWhenUsed/>
    <w:qFormat/>
    <w:pPr>
      <w:spacing w:before="89"/>
      <w:ind w:left="1067" w:hanging="852"/>
      <w:outlineLvl w:val="1"/>
    </w:pPr>
    <w:rPr>
      <w:b/>
      <w:bCs/>
      <w:sz w:val="28"/>
      <w:szCs w:val="28"/>
    </w:rPr>
  </w:style>
  <w:style w:type="paragraph" w:styleId="3">
    <w:name w:val="heading 3"/>
    <w:basedOn w:val="a"/>
    <w:uiPriority w:val="9"/>
    <w:unhideWhenUsed/>
    <w:qFormat/>
    <w:pPr>
      <w:spacing w:before="144"/>
      <w:ind w:left="1067" w:hanging="852"/>
      <w:outlineLvl w:val="2"/>
    </w:pPr>
    <w:rPr>
      <w:b/>
      <w:bCs/>
      <w:sz w:val="24"/>
      <w:szCs w:val="24"/>
    </w:rPr>
  </w:style>
  <w:style w:type="paragraph" w:styleId="4">
    <w:name w:val="heading 4"/>
    <w:basedOn w:val="a"/>
    <w:uiPriority w:val="9"/>
    <w:unhideWhenUsed/>
    <w:qFormat/>
    <w:pPr>
      <w:spacing w:before="1" w:line="273" w:lineRule="exact"/>
      <w:ind w:left="215"/>
      <w:outlineLvl w:val="3"/>
    </w:pPr>
    <w:rPr>
      <w:b/>
      <w:bCs/>
      <w: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112"/>
      <w:ind w:left="923" w:hanging="708"/>
    </w:pPr>
    <w:rPr>
      <w:b/>
      <w:bCs/>
    </w:rPr>
  </w:style>
  <w:style w:type="paragraph" w:styleId="20">
    <w:name w:val="toc 2"/>
    <w:basedOn w:val="a"/>
    <w:uiPriority w:val="1"/>
    <w:qFormat/>
    <w:pPr>
      <w:spacing w:before="162"/>
      <w:ind w:left="1348" w:hanging="850"/>
    </w:pPr>
  </w:style>
  <w:style w:type="paragraph" w:styleId="30">
    <w:name w:val="toc 3"/>
    <w:basedOn w:val="a"/>
    <w:uiPriority w:val="1"/>
    <w:qFormat/>
    <w:pPr>
      <w:spacing w:before="107"/>
      <w:ind w:left="1775" w:hanging="994"/>
    </w:pPr>
  </w:style>
  <w:style w:type="paragraph" w:styleId="40">
    <w:name w:val="toc 4"/>
    <w:basedOn w:val="a"/>
    <w:uiPriority w:val="1"/>
    <w:qFormat/>
    <w:pPr>
      <w:spacing w:before="107"/>
      <w:ind w:left="2200" w:hanging="1133"/>
    </w:pPr>
  </w:style>
  <w:style w:type="paragraph" w:styleId="5">
    <w:name w:val="toc 5"/>
    <w:basedOn w:val="a"/>
    <w:uiPriority w:val="1"/>
    <w:qFormat/>
    <w:pPr>
      <w:spacing w:before="47"/>
      <w:ind w:left="1350"/>
    </w:pPr>
  </w:style>
  <w:style w:type="paragraph" w:styleId="a3">
    <w:name w:val="Body Text"/>
    <w:basedOn w:val="a"/>
    <w:uiPriority w:val="1"/>
    <w:qFormat/>
    <w:rPr>
      <w:sz w:val="24"/>
      <w:szCs w:val="24"/>
    </w:rPr>
  </w:style>
  <w:style w:type="paragraph" w:styleId="a4">
    <w:name w:val="List Paragraph"/>
    <w:basedOn w:val="a"/>
    <w:uiPriority w:val="1"/>
    <w:qFormat/>
    <w:pPr>
      <w:spacing w:before="107"/>
      <w:ind w:left="1067" w:hanging="852"/>
    </w:pPr>
  </w:style>
  <w:style w:type="paragraph" w:customStyle="1" w:styleId="TableParagraph">
    <w:name w:val="Table Paragraph"/>
    <w:basedOn w:val="a"/>
    <w:uiPriority w:val="1"/>
    <w:qFormat/>
    <w:pPr>
      <w:jc w:val="center"/>
    </w:pPr>
  </w:style>
  <w:style w:type="paragraph" w:styleId="a5">
    <w:name w:val="header"/>
    <w:basedOn w:val="a"/>
    <w:link w:val="a6"/>
    <w:uiPriority w:val="99"/>
    <w:unhideWhenUsed/>
    <w:rsid w:val="00D753BB"/>
    <w:pPr>
      <w:tabs>
        <w:tab w:val="center" w:pos="4252"/>
        <w:tab w:val="right" w:pos="8504"/>
      </w:tabs>
      <w:snapToGrid w:val="0"/>
    </w:pPr>
  </w:style>
  <w:style w:type="character" w:customStyle="1" w:styleId="a6">
    <w:name w:val="ヘッダー (文字)"/>
    <w:basedOn w:val="a0"/>
    <w:link w:val="a5"/>
    <w:uiPriority w:val="99"/>
    <w:rsid w:val="00D753BB"/>
    <w:rPr>
      <w:rFonts w:ascii="Times New Roman" w:eastAsia="Times New Roman" w:hAnsi="Times New Roman" w:cs="Times New Roman"/>
    </w:rPr>
  </w:style>
  <w:style w:type="paragraph" w:styleId="a7">
    <w:name w:val="footer"/>
    <w:basedOn w:val="a"/>
    <w:link w:val="a8"/>
    <w:uiPriority w:val="99"/>
    <w:unhideWhenUsed/>
    <w:rsid w:val="00D753BB"/>
    <w:pPr>
      <w:tabs>
        <w:tab w:val="center" w:pos="4252"/>
        <w:tab w:val="right" w:pos="8504"/>
      </w:tabs>
      <w:snapToGrid w:val="0"/>
    </w:pPr>
  </w:style>
  <w:style w:type="character" w:customStyle="1" w:styleId="a8">
    <w:name w:val="フッター (文字)"/>
    <w:basedOn w:val="a0"/>
    <w:link w:val="a7"/>
    <w:uiPriority w:val="99"/>
    <w:rsid w:val="00D753BB"/>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7EA8C9399C6F4249AB6A1823D3F13C35" ma:contentTypeVersion="2" ma:contentTypeDescription="新しいドキュメントを作成します。" ma:contentTypeScope="" ma:versionID="c267b9b797f40c944765c8d30051a1e5">
  <xsd:schema xmlns:xsd="http://www.w3.org/2001/XMLSchema" xmlns:xs="http://www.w3.org/2001/XMLSchema" xmlns:p="http://schemas.microsoft.com/office/2006/metadata/properties" xmlns:ns2="d2d78206-1d2d-40f9-bf0a-cbf8439a388f" targetNamespace="http://schemas.microsoft.com/office/2006/metadata/properties" ma:root="true" ma:fieldsID="84d7a9bbb7a6b358c850931979e06c8a" ns2:_="">
    <xsd:import namespace="d2d78206-1d2d-40f9-bf0a-cbf8439a388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d78206-1d2d-40f9-bf0a-cbf8439a38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60B93EF-3B30-4851-B971-8415B6EFFB8F}"/>
</file>

<file path=customXml/itemProps2.xml><?xml version="1.0" encoding="utf-8"?>
<ds:datastoreItem xmlns:ds="http://schemas.openxmlformats.org/officeDocument/2006/customXml" ds:itemID="{1952A82C-2A76-48AC-BD34-CA6E8EC1BD71}"/>
</file>

<file path=customXml/itemProps3.xml><?xml version="1.0" encoding="utf-8"?>
<ds:datastoreItem xmlns:ds="http://schemas.openxmlformats.org/officeDocument/2006/customXml" ds:itemID="{0264EBB8-F4FB-4177-A9B1-161416CDAD0A}"/>
</file>

<file path=docProps/app.xml><?xml version="1.0" encoding="utf-8"?>
<Properties xmlns="http://schemas.openxmlformats.org/officeDocument/2006/extended-properties" xmlns:vt="http://schemas.openxmlformats.org/officeDocument/2006/docPropsVTypes">
  <Template>Normal</Template>
  <TotalTime>6</TotalTime>
  <Pages>12</Pages>
  <Words>4736</Words>
  <Characters>26998</Characters>
  <Application>Microsoft Office Word</Application>
  <DocSecurity>0</DocSecurity>
  <Lines>224</Lines>
  <Paragraphs>63</Paragraphs>
  <ScaleCrop>false</ScaleCrop>
  <Company/>
  <LinksUpToDate>false</LinksUpToDate>
  <CharactersWithSpaces>31671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Watanabe, Yudai(渡辺 雄大)</cp:lastModifiedBy>
  <cp:revision>4</cp:revision>
  <dcterms:created xsi:type="dcterms:W3CDTF">2021-06-22T01:09:00Z</dcterms:created>
  <dcterms:modified xsi:type="dcterms:W3CDTF">2021-07-08T09:38:00Z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2014-09-19T00:00:00Z</vt:filetime>
  </property>
  <property fmtid="{D5CDD505-2E9C-101B-9397-08002B2CF9AE}" pid="3" name="LastSaved">
    <vt:filetime>2021-06-22T00:00:00Z</vt:filetime>
  </property>
  <property fmtid="{D5CDD505-2E9C-101B-9397-08002B2CF9AE}" pid="4" name="ContentTypeId">
    <vt:lpwstr>0x0101007EA8C9399C6F4249AB6A1823D3F13C35</vt:lpwstr>
  </property>
</Properties>
</file>