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6D" w:rsidRDefault="00507A91" w:rsidP="00507A91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 w:rsidRPr="00507A91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4-Week Repeated Oral Dose Toxicity Study of </w:t>
      </w:r>
      <w:bookmarkStart w:id="0" w:name="_GoBack"/>
      <w:r w:rsidR="00A942C0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H</w:t>
      </w:r>
      <w:bookmarkEnd w:id="0"/>
      <w:r w:rsidRPr="00507A91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 Cynomolgus Monkeys Followed by a 4-Week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</w:t>
      </w:r>
      <w:r w:rsidRPr="00507A91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Reversibility Study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12 SUMMARY AND CONCLUSION</w:t>
      </w:r>
    </w:p>
    <w:p w:rsidR="00507A91" w:rsidRDefault="00A942C0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Project H</w:t>
      </w:r>
      <w:r w:rsidR="00507A91">
        <w:rPr>
          <w:rFonts w:ascii="TimesNewRomanPSMT" w:hAnsi="TimesNewRomanPSMT" w:cs="TimesNewRomanPSMT"/>
          <w:kern w:val="0"/>
          <w:szCs w:val="24"/>
        </w:rPr>
        <w:t xml:space="preserve"> was administered once daily for 4 weeks at dose levels of 0 (vehicle), 3, 10, and 20 mg/kg/day to 4 male and 4 female cynomolgus monkeys per group in order to investigate its toxicity. Three males and three females were added to the 20 mg/kg/day group to assess the reversibility of toxicity during a subsequent 4-week recovery period. Systemic exposure to </w:t>
      </w:r>
      <w:r>
        <w:rPr>
          <w:rFonts w:ascii="TimesNewRomanPSMT" w:hAnsi="TimesNewRomanPSMT" w:cs="TimesNewRomanPSMT"/>
          <w:kern w:val="0"/>
          <w:szCs w:val="24"/>
        </w:rPr>
        <w:t>PROJECT H</w:t>
      </w:r>
      <w:r w:rsidR="00507A91">
        <w:rPr>
          <w:rFonts w:ascii="TimesNewRomanPSMT" w:hAnsi="TimesNewRomanPSMT" w:cs="TimesNewRomanPSMT"/>
          <w:kern w:val="0"/>
          <w:szCs w:val="24"/>
        </w:rPr>
        <w:t xml:space="preserve"> was also assessed.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following observations and examinations were performed in this study: clinical signs, body weight, food consumption, ophthalmology, electrocardiography, body temperature, blood pressure, urinalysis, hematology, blood chemistry, gross pathology, organ weights, histopathology, and toxicokinetics.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No animal died or was euthanized due to moribundity, and no test article-related changes were observed in ophthalmology, blood pressure, gross pathology, or histopathology.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At 3 mg/kg, no test article-related changes were observed.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At 10 mg/kg and greater, a decrease or a tendency toward a decrease in body weight (in 1 male and 1 female at 10 mg/kg and 1 male and 4 females at 20 mg/kg) or food consumption (2 males at 10 mg/kg and 3 males and 4 females at 20 mg/kg) was observed. Globulin increased (each 1 male at 10 and 20 mg/kg) and A/G decreased (1 male at 10 mg/kg and each 1 male and female at 20 mg/kg).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At 20 mg/kg, a slight decrease in spontaneous activity in 3 males, vomiting in all males and 4 females, and salivation in 1 female were observed. QRS duration prolonged in 3 males and 2 females on Day 9 or 23 of dosing, PR interval prolonged in 1 male on Day 9 of dosing, and body temperature decreased in 2 males on Day 11 of dosing. In hematology, erythrocyte count, hemoglobin concentration, and hematocrit value decreased and reticulocyte ratio increased in 1 male. Platelet count increased in 2 males and 2 females and eosinophil count and large unstained cell count increased in 2 females. In blood chemistry, albumin decreased in 1 male. In organ weights, a statistically significantly high relative liver weight was observed in both sexes.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toxicokinetics, mean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t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values ranged from 1.5 to 6.6 hours in males and 2.0 to 5.5 hours in females. Mean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24 </w:t>
      </w:r>
      <w:r>
        <w:rPr>
          <w:rFonts w:ascii="TimesNewRomanPSMT" w:hAnsi="TimesNewRomanPSMT" w:cs="TimesNewRomanPSMT"/>
          <w:kern w:val="0"/>
          <w:szCs w:val="24"/>
        </w:rPr>
        <w:t xml:space="preserve">values increased with increasing dose level except for those values in males at a dose level of 20 mg/kg on Day 14 of dosing, which were almost equal to those values at a dose level of 10 mg/kg. Mean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24 </w:t>
      </w:r>
      <w:r>
        <w:rPr>
          <w:rFonts w:ascii="TimesNewRomanPSMT" w:hAnsi="TimesNewRomanPSMT" w:cs="TimesNewRomanPSMT"/>
          <w:kern w:val="0"/>
          <w:szCs w:val="24"/>
        </w:rPr>
        <w:t xml:space="preserve">values on Day 14 of dosing increased compared with those values on Day 1 of dosing by repeated dose. However, means of the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24 </w:t>
      </w:r>
      <w:r>
        <w:rPr>
          <w:rFonts w:ascii="TimesNewRomanPSMT" w:hAnsi="TimesNewRomanPSMT" w:cs="TimesNewRomanPSMT"/>
          <w:kern w:val="0"/>
          <w:szCs w:val="24"/>
        </w:rPr>
        <w:t>values on Day 28 of dosing were almost equal to those on Day 14 of dosing except for those in males at 3 mg/kg, which were lower than those on Day 14 of dosing.</w:t>
      </w:r>
    </w:p>
    <w:p w:rsidR="00D0213C" w:rsidRDefault="00507A91" w:rsidP="00507A9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After the 4-week recovery period, the toxic changes noted during the dosing period were not observed.</w:t>
      </w:r>
    </w:p>
    <w:p w:rsidR="00507A91" w:rsidRPr="006C2900" w:rsidRDefault="00507A91" w:rsidP="00507A91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lastRenderedPageBreak/>
        <w:t>It was concluded that, under the conditions of this study, the no-observed-adverse-effect level (NOAEL) was 3 mg/kg/day for males and females, since decreases in food consumption, body weight, and A/G and increase in globulin were observed at 10 mg/kg and greater. These changes observed during or after the dosing period at 20 mg/kg disappeared after the 4-week recovery period.</w:t>
      </w:r>
    </w:p>
    <w:sectPr w:rsidR="00507A91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12066D"/>
    <w:rsid w:val="002206D5"/>
    <w:rsid w:val="00280895"/>
    <w:rsid w:val="002C7EB3"/>
    <w:rsid w:val="00305291"/>
    <w:rsid w:val="00361285"/>
    <w:rsid w:val="003A0A7C"/>
    <w:rsid w:val="003F667A"/>
    <w:rsid w:val="00507A91"/>
    <w:rsid w:val="005835E5"/>
    <w:rsid w:val="006C2900"/>
    <w:rsid w:val="00714904"/>
    <w:rsid w:val="008E19B0"/>
    <w:rsid w:val="00953BD7"/>
    <w:rsid w:val="00A942C0"/>
    <w:rsid w:val="00B45C6D"/>
    <w:rsid w:val="00D0213C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0EBF-DDF4-4C97-AD05-447C0CAE2B87}"/>
</file>

<file path=customXml/itemProps2.xml><?xml version="1.0" encoding="utf-8"?>
<ds:datastoreItem xmlns:ds="http://schemas.openxmlformats.org/officeDocument/2006/customXml" ds:itemID="{97B60BA4-54B5-4E7E-AF66-33BEDA662E08}"/>
</file>

<file path=customXml/itemProps3.xml><?xml version="1.0" encoding="utf-8"?>
<ds:datastoreItem xmlns:ds="http://schemas.openxmlformats.org/officeDocument/2006/customXml" ds:itemID="{40D8B8C3-5116-45ED-B58E-DD89F46304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2021-06-23T13:27:00Z</dcterms:created>
  <dcterms:modified xsi:type="dcterms:W3CDTF">2021-06-30T12:02:00Z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