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713A" w:rsidRDefault="007A4E58">
      <w:pPr>
        <w:pStyle w:val="3"/>
        <w:numPr>
          <w:ilvl w:val="2"/>
          <w:numId w:val="22"/>
        </w:numPr>
        <w:tabs>
          <w:tab w:val="left" w:pos="1067"/>
          <w:tab w:val="left" w:pos="1068"/>
        </w:tabs>
        <w:spacing w:before="148"/>
      </w:pPr>
      <w:bookmarkStart w:id="0" w:name="4.1.3_Safety_Pharmacology"/>
      <w:bookmarkStart w:id="1" w:name="_bookmark17"/>
      <w:bookmarkEnd w:id="0"/>
      <w:bookmarkEnd w:id="1"/>
      <w:r>
        <w:t>Safety</w:t>
      </w:r>
      <w:r>
        <w:rPr>
          <w:spacing w:val="-2"/>
        </w:rPr>
        <w:t xml:space="preserve"> </w:t>
      </w:r>
      <w:r>
        <w:t>Pharmacology</w:t>
      </w:r>
    </w:p>
    <w:p w:rsidR="00D8713A" w:rsidRDefault="007A4E58">
      <w:pPr>
        <w:pStyle w:val="a3"/>
        <w:spacing w:before="140" w:line="261" w:lineRule="auto"/>
        <w:ind w:left="215" w:right="1714"/>
      </w:pPr>
      <w:r>
        <w:t>A total of 4 safety pharmacology studies were performed in accordance with Good Laboratory Practice (GLP) and guidelines of the International Conference on Harmonization of Technical Requirements for Registration of Pharmaceuticals for Human Use (ICH).</w:t>
      </w:r>
    </w:p>
    <w:p w:rsidR="00D8713A" w:rsidRDefault="007A4E58">
      <w:pPr>
        <w:pStyle w:val="a3"/>
        <w:spacing w:line="274" w:lineRule="exact"/>
        <w:ind w:left="215"/>
      </w:pPr>
      <w:r>
        <w:t>Tabulated results of safety pharmacology studies can be found in End-of-Text Table 1.2.</w:t>
      </w:r>
    </w:p>
    <w:p w:rsidR="00D8713A" w:rsidRDefault="007A4E58">
      <w:pPr>
        <w:pStyle w:val="3"/>
        <w:numPr>
          <w:ilvl w:val="3"/>
          <w:numId w:val="22"/>
        </w:numPr>
        <w:tabs>
          <w:tab w:val="left" w:pos="1068"/>
        </w:tabs>
        <w:spacing w:before="149"/>
      </w:pPr>
      <w:bookmarkStart w:id="2" w:name="4.1.3.1_Effects_on_CNS_in_Rats"/>
      <w:bookmarkStart w:id="3" w:name="_bookmark18"/>
      <w:bookmarkEnd w:id="2"/>
      <w:bookmarkEnd w:id="3"/>
      <w:r>
        <w:t>Effects on CNS in</w:t>
      </w:r>
      <w:r>
        <w:rPr>
          <w:spacing w:val="-2"/>
        </w:rPr>
        <w:t xml:space="preserve"> </w:t>
      </w:r>
      <w:r>
        <w:t>Rats</w:t>
      </w:r>
    </w:p>
    <w:p w:rsidR="00D8713A" w:rsidRDefault="00481E2B">
      <w:pPr>
        <w:pStyle w:val="a3"/>
        <w:spacing w:before="139"/>
        <w:ind w:left="215"/>
      </w:pPr>
      <w:r>
        <w:t>PROJECT I</w:t>
      </w:r>
      <w:r w:rsidR="007A4E58">
        <w:t xml:space="preserve"> was orally administered once to male rats at dose levels of 10, 100, and</w:t>
      </w:r>
    </w:p>
    <w:p w:rsidR="00D8713A" w:rsidRDefault="007A4E58">
      <w:pPr>
        <w:pStyle w:val="a3"/>
        <w:spacing w:before="24" w:line="261" w:lineRule="auto"/>
        <w:ind w:left="215" w:right="1646"/>
      </w:pPr>
      <w:r>
        <w:t xml:space="preserve">1000 mg/kg (Study </w:t>
      </w:r>
      <w:r w:rsidR="00481E2B">
        <w:t>Project I</w:t>
      </w:r>
      <w:r>
        <w:t xml:space="preserve">-PT-0003). The observational parameters of the general activity and behavior were set by the modified Irwin's method. </w:t>
      </w:r>
      <w:r w:rsidR="00481E2B">
        <w:t>PROJECT I</w:t>
      </w:r>
      <w:r>
        <w:t xml:space="preserve"> did not affect the general activity and behavior at doses up to 1000 mg/kg.</w:t>
      </w:r>
    </w:p>
    <w:p w:rsidR="00D8713A" w:rsidRDefault="007A4E58">
      <w:pPr>
        <w:pStyle w:val="3"/>
        <w:numPr>
          <w:ilvl w:val="3"/>
          <w:numId w:val="22"/>
        </w:numPr>
        <w:tabs>
          <w:tab w:val="left" w:pos="1068"/>
        </w:tabs>
        <w:spacing w:before="122"/>
      </w:pPr>
      <w:bookmarkStart w:id="4" w:name="4.1.3.2_Effects_on_hERG_Current"/>
      <w:bookmarkStart w:id="5" w:name="_bookmark19"/>
      <w:bookmarkEnd w:id="4"/>
      <w:bookmarkEnd w:id="5"/>
      <w:r>
        <w:t>Effects on hERG</w:t>
      </w:r>
      <w:r>
        <w:rPr>
          <w:spacing w:val="-2"/>
        </w:rPr>
        <w:t xml:space="preserve"> </w:t>
      </w:r>
      <w:r>
        <w:t>Current</w:t>
      </w:r>
    </w:p>
    <w:p w:rsidR="00D8713A" w:rsidRDefault="007A4E58">
      <w:pPr>
        <w:pStyle w:val="a3"/>
        <w:spacing w:before="139" w:line="261" w:lineRule="auto"/>
        <w:ind w:left="215" w:right="1724"/>
      </w:pPr>
      <w:r>
        <w:t xml:space="preserve">The effects of </w:t>
      </w:r>
      <w:r w:rsidR="00481E2B">
        <w:t>PROJECT I</w:t>
      </w:r>
      <w:r>
        <w:t xml:space="preserve"> on the hERG current were studied in hERG-transfected HEK293 cells by the whole-cell patch-clamp technique (Study </w:t>
      </w:r>
      <w:r w:rsidR="00481E2B">
        <w:t>Project I</w:t>
      </w:r>
      <w:r>
        <w:t xml:space="preserve">-PT-0001). The compensated suppression rates of </w:t>
      </w:r>
      <w:r w:rsidR="00481E2B">
        <w:t>PROJECT I</w:t>
      </w:r>
      <w:r>
        <w:t xml:space="preserve"> at test concentrations of 1, 10, and 100 mcmol/L were −2.8%,</w:t>
      </w:r>
    </w:p>
    <w:p w:rsidR="00D8713A" w:rsidRDefault="007A4E58">
      <w:pPr>
        <w:pStyle w:val="a3"/>
        <w:spacing w:line="261" w:lineRule="auto"/>
        <w:ind w:left="215" w:right="2119"/>
      </w:pPr>
      <w:r>
        <w:t>−0.1%, and 8.7%, respectively; a statistically significant difference from the control was noted at 100 mcmol/L.</w:t>
      </w:r>
    </w:p>
    <w:p w:rsidR="00D8713A" w:rsidRDefault="00D8713A">
      <w:pPr>
        <w:pStyle w:val="a3"/>
        <w:rPr>
          <w:sz w:val="20"/>
        </w:rPr>
      </w:pPr>
    </w:p>
    <w:p w:rsidR="00D8713A" w:rsidRDefault="00D8713A">
      <w:pPr>
        <w:pStyle w:val="a3"/>
        <w:spacing w:before="4"/>
        <w:rPr>
          <w:sz w:val="20"/>
        </w:rPr>
      </w:pPr>
    </w:p>
    <w:p w:rsidR="00D8713A" w:rsidRDefault="007A4E58">
      <w:pPr>
        <w:pStyle w:val="3"/>
        <w:numPr>
          <w:ilvl w:val="3"/>
          <w:numId w:val="22"/>
        </w:numPr>
        <w:tabs>
          <w:tab w:val="left" w:pos="1068"/>
        </w:tabs>
        <w:spacing w:before="1"/>
      </w:pPr>
      <w:bookmarkStart w:id="6" w:name="4.1.3.3_Effects_on_Action_Potentials"/>
      <w:bookmarkStart w:id="7" w:name="_bookmark20"/>
      <w:bookmarkEnd w:id="6"/>
      <w:bookmarkEnd w:id="7"/>
      <w:r>
        <w:t>Effects on Action</w:t>
      </w:r>
      <w:r>
        <w:rPr>
          <w:spacing w:val="-1"/>
        </w:rPr>
        <w:t xml:space="preserve"> </w:t>
      </w:r>
      <w:r>
        <w:t>Potentials</w:t>
      </w:r>
    </w:p>
    <w:p w:rsidR="00D8713A" w:rsidRDefault="007A4E58">
      <w:pPr>
        <w:pStyle w:val="a3"/>
        <w:spacing w:before="139" w:line="261" w:lineRule="auto"/>
        <w:ind w:left="215" w:right="1958"/>
      </w:pPr>
      <w:r>
        <w:t xml:space="preserve">The effects of </w:t>
      </w:r>
      <w:r w:rsidR="00481E2B">
        <w:t>PROJECT I</w:t>
      </w:r>
      <w:r>
        <w:t xml:space="preserve"> on action potentials in isolated guinea-pig papillary muscles were studied by the microelectrode technique under a surface-superfusing condition (Study </w:t>
      </w:r>
      <w:r w:rsidR="00481E2B">
        <w:t>Project I</w:t>
      </w:r>
      <w:r>
        <w:t xml:space="preserve">-PT-0002). The test concentrations of </w:t>
      </w:r>
      <w:r w:rsidR="00481E2B">
        <w:t>PROJECT I</w:t>
      </w:r>
      <w:r>
        <w:t xml:space="preserve"> were set at 1, 10, and 100 mcmol/L.</w:t>
      </w:r>
    </w:p>
    <w:p w:rsidR="00D8713A" w:rsidRDefault="007A4E58">
      <w:pPr>
        <w:pStyle w:val="a3"/>
        <w:spacing w:line="261" w:lineRule="auto"/>
        <w:ind w:left="215" w:right="1665"/>
      </w:pPr>
      <w:r>
        <w:t>No effects on the action-potential parameters (action-potential duration at 30% repolarization [APD</w:t>
      </w:r>
      <w:r>
        <w:rPr>
          <w:vertAlign w:val="subscript"/>
        </w:rPr>
        <w:t>30</w:t>
      </w:r>
      <w:r>
        <w:t>], action-potential duration at 90% repolarization [APD</w:t>
      </w:r>
      <w:r>
        <w:rPr>
          <w:vertAlign w:val="subscript"/>
        </w:rPr>
        <w:t>90</w:t>
      </w:r>
      <w:r>
        <w:t>] and difference between APD</w:t>
      </w:r>
      <w:r>
        <w:rPr>
          <w:vertAlign w:val="subscript"/>
        </w:rPr>
        <w:t>30</w:t>
      </w:r>
      <w:r>
        <w:t xml:space="preserve"> and APD</w:t>
      </w:r>
      <w:r>
        <w:rPr>
          <w:vertAlign w:val="subscript"/>
        </w:rPr>
        <w:t>90</w:t>
      </w:r>
      <w:r>
        <w:t xml:space="preserve"> [APD</w:t>
      </w:r>
      <w:r>
        <w:rPr>
          <w:vertAlign w:val="subscript"/>
        </w:rPr>
        <w:t>30-90</w:t>
      </w:r>
      <w:r>
        <w:t>]), resting membrane potential, action-potential amplitude, or rate of maximum upstroke velocity (dV/dt</w:t>
      </w:r>
      <w:r>
        <w:rPr>
          <w:vertAlign w:val="subscript"/>
        </w:rPr>
        <w:t>max</w:t>
      </w:r>
      <w:r>
        <w:t>) were noted at any test</w:t>
      </w:r>
      <w:r>
        <w:rPr>
          <w:spacing w:val="-25"/>
        </w:rPr>
        <w:t xml:space="preserve"> </w:t>
      </w:r>
      <w:r>
        <w:t>concentration.</w:t>
      </w:r>
    </w:p>
    <w:p w:rsidR="00D8713A" w:rsidRDefault="007A4E58">
      <w:pPr>
        <w:pStyle w:val="3"/>
        <w:numPr>
          <w:ilvl w:val="3"/>
          <w:numId w:val="22"/>
        </w:numPr>
        <w:tabs>
          <w:tab w:val="left" w:pos="1068"/>
        </w:tabs>
        <w:spacing w:before="119"/>
      </w:pPr>
      <w:bookmarkStart w:id="8" w:name="4.1.3.4_Effects_on_Central_Nervous,_Card"/>
      <w:bookmarkStart w:id="9" w:name="_bookmark21"/>
      <w:bookmarkEnd w:id="8"/>
      <w:bookmarkEnd w:id="9"/>
      <w:r>
        <w:t>Effects on Central Nervous, Cardiovascular and Respiratory Systems in</w:t>
      </w:r>
      <w:r>
        <w:rPr>
          <w:spacing w:val="-14"/>
        </w:rPr>
        <w:t xml:space="preserve"> </w:t>
      </w:r>
      <w:r>
        <w:t>Dogs</w:t>
      </w:r>
    </w:p>
    <w:p w:rsidR="00D8713A" w:rsidRDefault="00481E2B">
      <w:pPr>
        <w:pStyle w:val="a3"/>
        <w:spacing w:before="139" w:line="261" w:lineRule="auto"/>
        <w:ind w:left="215" w:right="1646"/>
      </w:pPr>
      <w:r>
        <w:t>PROJECT I</w:t>
      </w:r>
      <w:r w:rsidR="007A4E58">
        <w:t xml:space="preserve"> was orally administered once to 4 male dogs implanted with transmitters of a telemetry system at dose levels of 10, 30, and 100 mg/kg under unanesthetized conditions (Study </w:t>
      </w:r>
      <w:r>
        <w:t>Project I</w:t>
      </w:r>
      <w:r w:rsidR="007A4E58">
        <w:t xml:space="preserve">-PT-0004). At the doses of 10 and 30 mg/kg, </w:t>
      </w:r>
      <w:r>
        <w:t>PROJECT I</w:t>
      </w:r>
      <w:r w:rsidR="007A4E58">
        <w:t xml:space="preserve"> did not affect the general activity and behavior, body temperature, blood pressure, heart rate, ECG, respiration rate, blood gases, or blood electrolyte concentrations. At 100 mg/kg, vomiting was noted in</w:t>
      </w:r>
    </w:p>
    <w:p w:rsidR="00D8713A" w:rsidRDefault="007A4E58">
      <w:pPr>
        <w:pStyle w:val="a3"/>
        <w:spacing w:line="261" w:lineRule="auto"/>
        <w:ind w:left="215" w:right="1727"/>
      </w:pPr>
      <w:r>
        <w:t>1 animal 43 min after administration, and slight increases in the heart rate between 1 and 4 h after administration (maximum percent change: +43%). All of the findings recovered thereafter.</w:t>
      </w:r>
    </w:p>
    <w:p w:rsidR="00D8713A" w:rsidRDefault="007A4E58">
      <w:pPr>
        <w:pStyle w:val="3"/>
        <w:numPr>
          <w:ilvl w:val="2"/>
          <w:numId w:val="22"/>
        </w:numPr>
        <w:tabs>
          <w:tab w:val="left" w:pos="1067"/>
          <w:tab w:val="left" w:pos="1068"/>
        </w:tabs>
        <w:spacing w:before="118"/>
      </w:pPr>
      <w:bookmarkStart w:id="10" w:name="4.1.4_Pharmacodynamic_Drug_Interactions"/>
      <w:bookmarkStart w:id="11" w:name="_bookmark22"/>
      <w:bookmarkEnd w:id="10"/>
      <w:bookmarkEnd w:id="11"/>
      <w:r>
        <w:t>Pharmacodynamic Drug</w:t>
      </w:r>
      <w:r>
        <w:rPr>
          <w:spacing w:val="-2"/>
        </w:rPr>
        <w:t xml:space="preserve"> </w:t>
      </w:r>
      <w:r>
        <w:t>Interactions</w:t>
      </w:r>
    </w:p>
    <w:p w:rsidR="00D8713A" w:rsidRDefault="007A4E58">
      <w:pPr>
        <w:pStyle w:val="a3"/>
        <w:spacing w:before="140"/>
        <w:ind w:left="215"/>
      </w:pPr>
      <w:r>
        <w:t xml:space="preserve">No data for </w:t>
      </w:r>
      <w:r w:rsidR="00481E2B">
        <w:t>PROJECT I</w:t>
      </w:r>
      <w:r>
        <w:t xml:space="preserve"> are available.</w:t>
      </w:r>
    </w:p>
    <w:p w:rsidR="00D8713A" w:rsidRDefault="007A4E58">
      <w:pPr>
        <w:pStyle w:val="3"/>
        <w:numPr>
          <w:ilvl w:val="2"/>
          <w:numId w:val="22"/>
        </w:numPr>
        <w:tabs>
          <w:tab w:val="left" w:pos="1067"/>
          <w:tab w:val="left" w:pos="1068"/>
        </w:tabs>
        <w:spacing w:before="148"/>
      </w:pPr>
      <w:bookmarkStart w:id="12" w:name="4.1.5_Other_Pharmacology_Studies"/>
      <w:bookmarkStart w:id="13" w:name="_bookmark23"/>
      <w:bookmarkEnd w:id="12"/>
      <w:bookmarkEnd w:id="13"/>
      <w:r>
        <w:t>Other Pharmacology Studies</w:t>
      </w:r>
    </w:p>
    <w:p w:rsidR="00D8713A" w:rsidRDefault="007A4E58">
      <w:pPr>
        <w:pStyle w:val="a3"/>
        <w:spacing w:before="140"/>
        <w:ind w:left="215"/>
      </w:pPr>
      <w:r>
        <w:lastRenderedPageBreak/>
        <w:t xml:space="preserve">No data for </w:t>
      </w:r>
      <w:r w:rsidR="00481E2B">
        <w:t>PROJECT I</w:t>
      </w:r>
      <w:r>
        <w:t xml:space="preserve"> are available.</w:t>
      </w:r>
    </w:p>
    <w:p w:rsidR="00D8713A" w:rsidRDefault="00D8713A">
      <w:pPr>
        <w:pStyle w:val="a3"/>
        <w:spacing w:before="140"/>
        <w:ind w:left="215"/>
      </w:pPr>
      <w:bookmarkStart w:id="14" w:name="4.2_Pharmacokinetics_and_Product_Metabol"/>
      <w:bookmarkStart w:id="15" w:name="_bookmark24"/>
      <w:bookmarkEnd w:id="14"/>
      <w:bookmarkEnd w:id="15"/>
    </w:p>
    <w:p w:rsidR="00D8713A" w:rsidRDefault="007A4E58" w:rsidP="00FA46E9">
      <w:pPr>
        <w:pStyle w:val="2"/>
        <w:numPr>
          <w:ilvl w:val="1"/>
          <w:numId w:val="19"/>
        </w:numPr>
        <w:tabs>
          <w:tab w:val="left" w:pos="1067"/>
          <w:tab w:val="left" w:pos="1068"/>
        </w:tabs>
        <w:spacing w:before="123"/>
      </w:pPr>
      <w:bookmarkStart w:id="16" w:name="4.3_Toxicology"/>
      <w:bookmarkStart w:id="17" w:name="_bookmark43"/>
      <w:bookmarkStart w:id="18" w:name="_GoBack"/>
      <w:bookmarkEnd w:id="16"/>
      <w:bookmarkEnd w:id="17"/>
      <w:bookmarkEnd w:id="18"/>
      <w:r>
        <w:t>Toxicology</w:t>
      </w:r>
    </w:p>
    <w:p w:rsidR="00D8713A" w:rsidRDefault="007A4E58">
      <w:pPr>
        <w:pStyle w:val="a3"/>
        <w:spacing w:before="140" w:line="261" w:lineRule="auto"/>
        <w:ind w:left="215" w:right="2114"/>
        <w:jc w:val="both"/>
      </w:pPr>
      <w:r>
        <w:t xml:space="preserve">A total of 16 toxicity studies were conducted in rats, dogs, mice and rabbits. All pivotal studies were performed in accordance with GLP and guidelines of ICH. An overview of toxicology studies of </w:t>
      </w:r>
      <w:r w:rsidR="00481E2B">
        <w:t>PROJECT I</w:t>
      </w:r>
      <w:r>
        <w:t xml:space="preserve"> can be found in End-of-Text Tables 3.1, 3.2 and 3.3.</w:t>
      </w:r>
    </w:p>
    <w:p w:rsidR="00D8713A" w:rsidRDefault="007A4E58">
      <w:pPr>
        <w:pStyle w:val="3"/>
        <w:numPr>
          <w:ilvl w:val="2"/>
          <w:numId w:val="18"/>
        </w:numPr>
        <w:tabs>
          <w:tab w:val="left" w:pos="1067"/>
          <w:tab w:val="left" w:pos="1068"/>
        </w:tabs>
        <w:spacing w:before="123"/>
      </w:pPr>
      <w:bookmarkStart w:id="19" w:name="4.3.1_Single-dose_Oral_Toxicity"/>
      <w:bookmarkStart w:id="20" w:name="_bookmark44"/>
      <w:bookmarkEnd w:id="19"/>
      <w:bookmarkEnd w:id="20"/>
      <w:r>
        <w:t>Single-dose Oral</w:t>
      </w:r>
      <w:r>
        <w:rPr>
          <w:spacing w:val="-2"/>
        </w:rPr>
        <w:t xml:space="preserve"> </w:t>
      </w:r>
      <w:r>
        <w:t>Toxicity</w:t>
      </w:r>
    </w:p>
    <w:p w:rsidR="00D8713A" w:rsidRDefault="007A4E58">
      <w:pPr>
        <w:pStyle w:val="a3"/>
        <w:spacing w:before="139"/>
        <w:ind w:left="215"/>
      </w:pPr>
      <w:r>
        <w:t>Tabulated results of single-dose toxicity studies can be found in End-of-Text Table 3.4.</w:t>
      </w:r>
    </w:p>
    <w:p w:rsidR="00D8713A" w:rsidRDefault="007A4E58">
      <w:pPr>
        <w:pStyle w:val="3"/>
        <w:numPr>
          <w:ilvl w:val="3"/>
          <w:numId w:val="18"/>
        </w:numPr>
        <w:tabs>
          <w:tab w:val="left" w:pos="1068"/>
        </w:tabs>
        <w:spacing w:before="149"/>
      </w:pPr>
      <w:bookmarkStart w:id="21" w:name="4.3.1.1_Single-dose_Oral_Toxicity_in_Rat"/>
      <w:bookmarkStart w:id="22" w:name="_bookmark45"/>
      <w:bookmarkEnd w:id="21"/>
      <w:bookmarkEnd w:id="22"/>
      <w:r>
        <w:t>Single-dose Oral Toxicity in</w:t>
      </w:r>
      <w:r>
        <w:rPr>
          <w:spacing w:val="-4"/>
        </w:rPr>
        <w:t xml:space="preserve"> </w:t>
      </w:r>
      <w:r>
        <w:t>Rats</w:t>
      </w:r>
    </w:p>
    <w:p w:rsidR="00D8713A" w:rsidRDefault="00481E2B">
      <w:pPr>
        <w:pStyle w:val="a3"/>
        <w:spacing w:before="139" w:line="261" w:lineRule="auto"/>
        <w:ind w:left="215" w:right="1866"/>
      </w:pPr>
      <w:r>
        <w:t>PROJECT I</w:t>
      </w:r>
      <w:r w:rsidR="007A4E58">
        <w:t xml:space="preserve"> was orally administered once at dose levels of 1000 and 2000 mg/kg to male and female rats (Study </w:t>
      </w:r>
      <w:r>
        <w:t>Project I</w:t>
      </w:r>
      <w:r w:rsidR="007A4E58">
        <w:t>-TX-0001). No death occurred in any groups. Moist fur around urethral orifice was observed in males and a female at 1000 mg/kg the day after administration and in females at 2000 mg/kg 6 h and the day after administration.</w:t>
      </w:r>
    </w:p>
    <w:p w:rsidR="00D8713A" w:rsidRDefault="00D8713A">
      <w:pPr>
        <w:pStyle w:val="a3"/>
        <w:spacing w:before="4"/>
        <w:rPr>
          <w:sz w:val="20"/>
        </w:rPr>
      </w:pPr>
    </w:p>
    <w:p w:rsidR="00D8713A" w:rsidRDefault="007A4E58">
      <w:pPr>
        <w:pStyle w:val="3"/>
        <w:numPr>
          <w:ilvl w:val="3"/>
          <w:numId w:val="18"/>
        </w:numPr>
        <w:tabs>
          <w:tab w:val="left" w:pos="1068"/>
        </w:tabs>
        <w:spacing w:before="1"/>
      </w:pPr>
      <w:bookmarkStart w:id="23" w:name="4.3.1.2_Single-dose_Oral_Toxicity_in_Dog"/>
      <w:bookmarkStart w:id="24" w:name="_bookmark46"/>
      <w:bookmarkEnd w:id="23"/>
      <w:bookmarkEnd w:id="24"/>
      <w:r>
        <w:t>Single-dose Oral Toxicity in</w:t>
      </w:r>
      <w:r>
        <w:rPr>
          <w:spacing w:val="-5"/>
        </w:rPr>
        <w:t xml:space="preserve"> </w:t>
      </w:r>
      <w:r>
        <w:t>Dogs</w:t>
      </w:r>
    </w:p>
    <w:p w:rsidR="00D8713A" w:rsidRDefault="00481E2B">
      <w:pPr>
        <w:pStyle w:val="a3"/>
        <w:spacing w:before="139" w:line="261" w:lineRule="auto"/>
        <w:ind w:left="215" w:right="1649"/>
      </w:pPr>
      <w:r>
        <w:t>PROJECT I</w:t>
      </w:r>
      <w:r w:rsidR="007A4E58">
        <w:t xml:space="preserve"> was orally administered once at dose levels of 200 and 500 mg/kg to male and female dogs (Study </w:t>
      </w:r>
      <w:r>
        <w:t>Project I</w:t>
      </w:r>
      <w:r w:rsidR="007A4E58">
        <w:t xml:space="preserve">-TX-0002). No death occurred in any groups. At 200 mg/kg, flush of auricle and conjunctiva was observed in the female from 2 h after administration and disappeared by 4 or 8 h after administration. At 500 mg/kg, flush of auricle and conjunctiva was observed in the male from 2 h after administration and disappeared by 24 h after administration. </w:t>
      </w:r>
      <w:r w:rsidR="007A4E58">
        <w:rPr>
          <w:spacing w:val="-3"/>
        </w:rPr>
        <w:t xml:space="preserve">In </w:t>
      </w:r>
      <w:r w:rsidR="007A4E58">
        <w:t>the female flush of conjunctiva was observed from 2 h after administration and disappeared by 8 h after administration. In addition, a decrease in food consumption and no feces were observed on the administration day and its following day,</w:t>
      </w:r>
      <w:r w:rsidR="007A4E58">
        <w:rPr>
          <w:spacing w:val="-14"/>
        </w:rPr>
        <w:t xml:space="preserve"> </w:t>
      </w:r>
      <w:r w:rsidR="007A4E58">
        <w:t>respectively.</w:t>
      </w:r>
    </w:p>
    <w:p w:rsidR="00D8713A" w:rsidRDefault="007A4E58">
      <w:pPr>
        <w:pStyle w:val="a3"/>
        <w:spacing w:before="113" w:line="261" w:lineRule="auto"/>
        <w:ind w:left="215" w:right="1767"/>
      </w:pPr>
      <w:r>
        <w:t xml:space="preserve">In the preliminary single-dose oral toxicokinetic study in dogs (Study </w:t>
      </w:r>
      <w:r w:rsidR="00481E2B">
        <w:t>Project I</w:t>
      </w:r>
      <w:r>
        <w:t xml:space="preserve">-TX-0016), 1 male died 2 days after a single oral administration of </w:t>
      </w:r>
      <w:r w:rsidR="00481E2B">
        <w:t>PROJECT I</w:t>
      </w:r>
      <w:r>
        <w:t xml:space="preserve"> at 1000 mg/kg. In this male, flush (whole body, conjunctiva, oral mucosa and auricle), vomiting, decreased spontaneous motility and watery feces were observed after administration.</w:t>
      </w:r>
    </w:p>
    <w:p w:rsidR="00D8713A" w:rsidRDefault="007A4E58">
      <w:pPr>
        <w:pStyle w:val="3"/>
        <w:numPr>
          <w:ilvl w:val="2"/>
          <w:numId w:val="18"/>
        </w:numPr>
        <w:tabs>
          <w:tab w:val="left" w:pos="1067"/>
          <w:tab w:val="left" w:pos="1068"/>
        </w:tabs>
        <w:spacing w:before="122"/>
      </w:pPr>
      <w:bookmarkStart w:id="25" w:name="4.3.2_Repeat-dose_Oral_Toxicity"/>
      <w:bookmarkStart w:id="26" w:name="_bookmark47"/>
      <w:bookmarkEnd w:id="25"/>
      <w:bookmarkEnd w:id="26"/>
      <w:r>
        <w:t>Repeat-dose Oral</w:t>
      </w:r>
      <w:r>
        <w:rPr>
          <w:spacing w:val="-2"/>
        </w:rPr>
        <w:t xml:space="preserve"> </w:t>
      </w:r>
      <w:r>
        <w:t>Toxicity</w:t>
      </w:r>
    </w:p>
    <w:p w:rsidR="00D8713A" w:rsidRDefault="007A4E58">
      <w:pPr>
        <w:pStyle w:val="a3"/>
        <w:spacing w:before="139" w:line="261" w:lineRule="auto"/>
        <w:ind w:left="215" w:right="1620"/>
      </w:pPr>
      <w:r>
        <w:t>Two preliminary 1-week oral toxicity studies in rats, 1 preliminary 1-week oral toxicity study in dogs and 4-week definitive oral toxicity studies in rats and dogs were conducted.</w:t>
      </w:r>
    </w:p>
    <w:p w:rsidR="00D8713A" w:rsidRDefault="007A4E58">
      <w:pPr>
        <w:pStyle w:val="a3"/>
        <w:spacing w:line="261" w:lineRule="auto"/>
        <w:ind w:left="215" w:right="1754"/>
      </w:pPr>
      <w:r>
        <w:t>Tabulated results of repeat-dose toxicity studies can be found in End-of-Text Tables 3.5 and 3.6.</w:t>
      </w:r>
    </w:p>
    <w:p w:rsidR="00D8713A" w:rsidRDefault="007A4E58">
      <w:pPr>
        <w:pStyle w:val="3"/>
        <w:numPr>
          <w:ilvl w:val="3"/>
          <w:numId w:val="18"/>
        </w:numPr>
        <w:tabs>
          <w:tab w:val="left" w:pos="1068"/>
        </w:tabs>
        <w:spacing w:before="122"/>
      </w:pPr>
      <w:bookmarkStart w:id="27" w:name="4.3.2.1_4-Week_Repeat-dose_Oral_Toxicity"/>
      <w:bookmarkStart w:id="28" w:name="_bookmark48"/>
      <w:bookmarkEnd w:id="27"/>
      <w:bookmarkEnd w:id="28"/>
      <w:r>
        <w:t>4-Week Repeat-dose Oral Toxicity in</w:t>
      </w:r>
      <w:r>
        <w:rPr>
          <w:spacing w:val="-3"/>
        </w:rPr>
        <w:t xml:space="preserve"> </w:t>
      </w:r>
      <w:r>
        <w:t>Rats</w:t>
      </w:r>
    </w:p>
    <w:p w:rsidR="00D8713A" w:rsidRDefault="00481E2B">
      <w:pPr>
        <w:pStyle w:val="a3"/>
        <w:spacing w:before="139" w:line="261" w:lineRule="auto"/>
        <w:ind w:left="215" w:right="1625"/>
      </w:pPr>
      <w:r>
        <w:t>PROJECT I</w:t>
      </w:r>
      <w:r w:rsidR="007A4E58">
        <w:t xml:space="preserve"> was orally administered once daily for 4 weeks at dose levels of 0, 10, 30, 100 and 1000 mg/kg/day to male and female rats (Study </w:t>
      </w:r>
      <w:r>
        <w:t>Project I</w:t>
      </w:r>
      <w:r w:rsidR="007A4E58">
        <w:t>-TX-0003). At 100 mg/kg/day, high serum total cholesterol was observed in both sexes, and low food consumption (only early stage), high urinary total sodium and chloride excretions, high neutrophil count, high thyroid weight, and hypertrophy of the centrilobular hepatocytes with high liver weight were observed in males. At 1000 mg/kg/day, low body weight and food consumption (only early stage), high urine volume and urinary</w:t>
      </w:r>
      <w:r w:rsidR="007A4E58">
        <w:rPr>
          <w:spacing w:val="-45"/>
        </w:rPr>
        <w:t xml:space="preserve"> </w:t>
      </w:r>
      <w:r w:rsidR="007A4E58">
        <w:t xml:space="preserve">total sodium and chloride excretions, low urine specific </w:t>
      </w:r>
      <w:r w:rsidR="007A4E58">
        <w:lastRenderedPageBreak/>
        <w:t xml:space="preserve">gravity, high mean corpuscular volume and reticulocyte ratio, high serum alanine aminotransferase (ALT) and total cholesterol, low serum sodium, hypertrophy of the centrilobular hepatocytes with high liver weight (revealed as increase in the smooth endoplasmic reticulum in the centrilobular hepatocytes by electron microscopy), and hypertrophy of the thyroid follicular cells with high thyroid weight were observed in both sexes.  </w:t>
      </w:r>
      <w:r w:rsidR="007A4E58">
        <w:rPr>
          <w:spacing w:val="-3"/>
        </w:rPr>
        <w:t xml:space="preserve">In </w:t>
      </w:r>
      <w:r w:rsidR="007A4E58">
        <w:t>males, low urinary pH, high hemoglobin concentration, hematocrit value, neutrophil count, and monocyte count, prolongation of activated partial thromboplastin time, high serum ALP, and high kidney weight were observed. The changes observed during the dosing period recovered or tended to recover during the 4-week recovery period. The NOAEL was 30 mg/kg/day for males and</w:t>
      </w:r>
      <w:r w:rsidR="007A4E58">
        <w:rPr>
          <w:spacing w:val="-8"/>
        </w:rPr>
        <w:t xml:space="preserve"> </w:t>
      </w:r>
      <w:r w:rsidR="007A4E58">
        <w:t>females.</w:t>
      </w:r>
    </w:p>
    <w:p w:rsidR="00D8713A" w:rsidRPr="00481E2B" w:rsidRDefault="007A4E58">
      <w:pPr>
        <w:pStyle w:val="3"/>
        <w:numPr>
          <w:ilvl w:val="3"/>
          <w:numId w:val="18"/>
        </w:numPr>
        <w:tabs>
          <w:tab w:val="left" w:pos="1068"/>
        </w:tabs>
        <w:spacing w:before="111"/>
        <w:rPr>
          <w:highlight w:val="cyan"/>
        </w:rPr>
      </w:pPr>
      <w:bookmarkStart w:id="29" w:name="4.3.2.2_4-Week_Repeat-dose_Oral_Toxicity"/>
      <w:bookmarkStart w:id="30" w:name="_bookmark49"/>
      <w:bookmarkEnd w:id="29"/>
      <w:bookmarkEnd w:id="30"/>
      <w:r w:rsidRPr="00481E2B">
        <w:rPr>
          <w:highlight w:val="cyan"/>
        </w:rPr>
        <w:t>4-Week Repeat-dose Oral Toxicity in</w:t>
      </w:r>
      <w:r w:rsidRPr="00481E2B">
        <w:rPr>
          <w:spacing w:val="-4"/>
          <w:highlight w:val="cyan"/>
        </w:rPr>
        <w:t xml:space="preserve"> </w:t>
      </w:r>
      <w:r w:rsidRPr="00481E2B">
        <w:rPr>
          <w:highlight w:val="cyan"/>
        </w:rPr>
        <w:t>Dogs</w:t>
      </w:r>
    </w:p>
    <w:p w:rsidR="00D8713A" w:rsidRPr="00481E2B" w:rsidRDefault="00481E2B" w:rsidP="00481E2B">
      <w:pPr>
        <w:pStyle w:val="a3"/>
        <w:spacing w:before="139" w:line="261" w:lineRule="auto"/>
        <w:ind w:left="215" w:right="1679"/>
        <w:rPr>
          <w:highlight w:val="cyan"/>
        </w:rPr>
      </w:pPr>
      <w:r w:rsidRPr="00481E2B">
        <w:rPr>
          <w:highlight w:val="cyan"/>
        </w:rPr>
        <w:t>PROJECT I</w:t>
      </w:r>
      <w:r w:rsidR="007A4E58" w:rsidRPr="00481E2B">
        <w:rPr>
          <w:highlight w:val="cyan"/>
        </w:rPr>
        <w:t xml:space="preserve"> was orally administered once daily for 4 weeks at dose levels of 0, 3, 10, 30, and 100 mg/kg/day to male and female dogs (Study </w:t>
      </w:r>
      <w:r w:rsidRPr="00481E2B">
        <w:rPr>
          <w:highlight w:val="cyan"/>
        </w:rPr>
        <w:t>Project I</w:t>
      </w:r>
      <w:r w:rsidR="007A4E58" w:rsidRPr="00481E2B">
        <w:rPr>
          <w:highlight w:val="cyan"/>
        </w:rPr>
        <w:t>-TX-0004). At 100 mg/kg/day, vomiting was observed in 1 male, and occult blood in urine was observed in 1 female.</w:t>
      </w:r>
      <w:r w:rsidR="007A4E58" w:rsidRPr="00481E2B">
        <w:rPr>
          <w:spacing w:val="26"/>
          <w:highlight w:val="cyan"/>
        </w:rPr>
        <w:t xml:space="preserve"> </w:t>
      </w:r>
      <w:r w:rsidR="007A4E58" w:rsidRPr="00481E2B">
        <w:rPr>
          <w:highlight w:val="cyan"/>
        </w:rPr>
        <w:t>These</w:t>
      </w:r>
      <w:r>
        <w:rPr>
          <w:rFonts w:ascii="ＭＳ 明朝" w:eastAsia="ＭＳ 明朝" w:hAnsi="ＭＳ 明朝" w:cs="ＭＳ 明朝" w:hint="eastAsia"/>
          <w:highlight w:val="cyan"/>
          <w:lang w:eastAsia="ja-JP"/>
        </w:rPr>
        <w:t xml:space="preserve"> </w:t>
      </w:r>
      <w:r w:rsidR="007A4E58" w:rsidRPr="00481E2B">
        <w:rPr>
          <w:highlight w:val="cyan"/>
        </w:rPr>
        <w:t>changes recovered during the 4-week recovery period. The NOAEL was 30 mg/kg/day for males and females.</w:t>
      </w:r>
    </w:p>
    <w:p w:rsidR="00D8713A" w:rsidRDefault="007A4E58">
      <w:pPr>
        <w:pStyle w:val="a3"/>
        <w:spacing w:before="118" w:line="261" w:lineRule="auto"/>
        <w:ind w:left="215" w:right="1814"/>
      </w:pPr>
      <w:r w:rsidRPr="00481E2B">
        <w:rPr>
          <w:highlight w:val="cyan"/>
        </w:rPr>
        <w:t xml:space="preserve">In the preliminary 1-week oral toxicity study in dogs (Study </w:t>
      </w:r>
      <w:r w:rsidR="00481E2B" w:rsidRPr="00481E2B">
        <w:rPr>
          <w:highlight w:val="cyan"/>
        </w:rPr>
        <w:t>Project I</w:t>
      </w:r>
      <w:r w:rsidRPr="00481E2B">
        <w:rPr>
          <w:highlight w:val="cyan"/>
        </w:rPr>
        <w:t>-TX-0017), multifocal inflammation in the heart and ulcer in the kidney pelvis were observed in the male and female, respectively, at 100 mg/kg/day; however, these findings were not confirmed and no effect was seen on cardiac biomarkers in the above 4-week study.</w:t>
      </w:r>
    </w:p>
    <w:p w:rsidR="00D8713A" w:rsidRDefault="007A4E58">
      <w:pPr>
        <w:pStyle w:val="3"/>
        <w:numPr>
          <w:ilvl w:val="2"/>
          <w:numId w:val="18"/>
        </w:numPr>
        <w:tabs>
          <w:tab w:val="left" w:pos="1067"/>
          <w:tab w:val="left" w:pos="1068"/>
        </w:tabs>
        <w:spacing w:before="122"/>
      </w:pPr>
      <w:bookmarkStart w:id="31" w:name="4.3.3_Genotoxicity"/>
      <w:bookmarkStart w:id="32" w:name="_bookmark50"/>
      <w:bookmarkEnd w:id="31"/>
      <w:bookmarkEnd w:id="32"/>
      <w:r>
        <w:t>Genotoxicity</w:t>
      </w:r>
    </w:p>
    <w:p w:rsidR="00D8713A" w:rsidRDefault="007A4E58">
      <w:pPr>
        <w:pStyle w:val="a3"/>
        <w:spacing w:before="139"/>
        <w:ind w:left="215"/>
      </w:pPr>
      <w:r>
        <w:t>Tabulated results of genotoxicity studies can be found in End-of-Text Tables 3.7 and 3.8.</w:t>
      </w:r>
    </w:p>
    <w:p w:rsidR="00D8713A" w:rsidRPr="00481E2B" w:rsidRDefault="007A4E58">
      <w:pPr>
        <w:pStyle w:val="3"/>
        <w:numPr>
          <w:ilvl w:val="3"/>
          <w:numId w:val="18"/>
        </w:numPr>
        <w:tabs>
          <w:tab w:val="left" w:pos="1068"/>
        </w:tabs>
        <w:spacing w:before="149"/>
        <w:rPr>
          <w:highlight w:val="yellow"/>
        </w:rPr>
      </w:pPr>
      <w:bookmarkStart w:id="33" w:name="4.3.3.1_In_Vitro_Reverse_Mutation"/>
      <w:bookmarkStart w:id="34" w:name="_bookmark51"/>
      <w:bookmarkEnd w:id="33"/>
      <w:bookmarkEnd w:id="34"/>
      <w:r w:rsidRPr="00481E2B">
        <w:rPr>
          <w:highlight w:val="yellow"/>
        </w:rPr>
        <w:t>In Vitro Reverse</w:t>
      </w:r>
      <w:r w:rsidRPr="00481E2B">
        <w:rPr>
          <w:spacing w:val="-2"/>
          <w:highlight w:val="yellow"/>
        </w:rPr>
        <w:t xml:space="preserve"> </w:t>
      </w:r>
      <w:r w:rsidRPr="00481E2B">
        <w:rPr>
          <w:highlight w:val="yellow"/>
        </w:rPr>
        <w:t>Mutation</w:t>
      </w:r>
    </w:p>
    <w:p w:rsidR="00D8713A" w:rsidRDefault="007A4E58" w:rsidP="00481E2B">
      <w:pPr>
        <w:pStyle w:val="a3"/>
        <w:spacing w:before="139" w:line="261" w:lineRule="auto"/>
        <w:ind w:left="215" w:right="1800"/>
      </w:pPr>
      <w:r w:rsidRPr="00481E2B">
        <w:rPr>
          <w:highlight w:val="yellow"/>
        </w:rPr>
        <w:t xml:space="preserve">A reverse mutation test was performed with </w:t>
      </w:r>
      <w:r w:rsidRPr="00481E2B">
        <w:rPr>
          <w:i/>
          <w:highlight w:val="yellow"/>
        </w:rPr>
        <w:t xml:space="preserve">Salmonella typhimurium </w:t>
      </w:r>
      <w:r w:rsidRPr="00481E2B">
        <w:rPr>
          <w:highlight w:val="yellow"/>
        </w:rPr>
        <w:t xml:space="preserve">(TA100, TA1535, TA98, and TA1537) and </w:t>
      </w:r>
      <w:r w:rsidRPr="00481E2B">
        <w:rPr>
          <w:i/>
          <w:highlight w:val="yellow"/>
        </w:rPr>
        <w:t xml:space="preserve">Escherichia coli </w:t>
      </w:r>
      <w:r w:rsidRPr="00481E2B">
        <w:rPr>
          <w:highlight w:val="yellow"/>
        </w:rPr>
        <w:t>(WP2</w:t>
      </w:r>
      <w:r w:rsidRPr="00481E2B">
        <w:rPr>
          <w:i/>
          <w:highlight w:val="yellow"/>
        </w:rPr>
        <w:t>uvrA</w:t>
      </w:r>
      <w:r w:rsidRPr="00481E2B">
        <w:rPr>
          <w:highlight w:val="yellow"/>
        </w:rPr>
        <w:t xml:space="preserve">), using the preincubation method with and without metabolic activation (Study </w:t>
      </w:r>
      <w:r w:rsidR="00481E2B" w:rsidRPr="00481E2B">
        <w:rPr>
          <w:highlight w:val="yellow"/>
        </w:rPr>
        <w:t>Project I</w:t>
      </w:r>
      <w:r w:rsidRPr="00481E2B">
        <w:rPr>
          <w:highlight w:val="yellow"/>
        </w:rPr>
        <w:t>-TX-0005). Based on the results of the</w:t>
      </w:r>
      <w:r w:rsidR="00481E2B">
        <w:rPr>
          <w:highlight w:val="yellow"/>
        </w:rPr>
        <w:t xml:space="preserve"> </w:t>
      </w:r>
      <w:r w:rsidRPr="00481E2B">
        <w:rPr>
          <w:highlight w:val="yellow"/>
        </w:rPr>
        <w:t>dose-finding test at 5, 15, 50, 150, 500, 1500, and 5000 mcg/plate, the main test was</w:t>
      </w:r>
      <w:r w:rsidR="00481E2B">
        <w:rPr>
          <w:highlight w:val="yellow"/>
        </w:rPr>
        <w:t xml:space="preserve"> </w:t>
      </w:r>
      <w:r w:rsidRPr="00481E2B">
        <w:rPr>
          <w:highlight w:val="yellow"/>
        </w:rPr>
        <w:t xml:space="preserve">performed at 156, 313, 625, 1250, 2500, and 5000 mcg/plate. In comparison with the negative control, no 2-fold or greater increase in the number of revertant colonies was observed in any test strain with or without metabolic activation. It was concluded that </w:t>
      </w:r>
      <w:r w:rsidR="00481E2B" w:rsidRPr="00481E2B">
        <w:rPr>
          <w:highlight w:val="yellow"/>
        </w:rPr>
        <w:t>PROJECT I</w:t>
      </w:r>
      <w:r w:rsidRPr="00481E2B">
        <w:rPr>
          <w:highlight w:val="yellow"/>
        </w:rPr>
        <w:t xml:space="preserve"> has no potential to induce gene mutation in bacteria.</w:t>
      </w:r>
    </w:p>
    <w:p w:rsidR="00D8713A" w:rsidRDefault="007A4E58">
      <w:pPr>
        <w:pStyle w:val="3"/>
        <w:numPr>
          <w:ilvl w:val="3"/>
          <w:numId w:val="18"/>
        </w:numPr>
        <w:tabs>
          <w:tab w:val="left" w:pos="1068"/>
        </w:tabs>
        <w:spacing w:before="122"/>
      </w:pPr>
      <w:bookmarkStart w:id="35" w:name="4.3.3.2_In_Vitro_Chromosomal_Aberration"/>
      <w:bookmarkStart w:id="36" w:name="_bookmark52"/>
      <w:bookmarkEnd w:id="35"/>
      <w:bookmarkEnd w:id="36"/>
      <w:r>
        <w:t>In Vitro Chromosomal</w:t>
      </w:r>
      <w:r>
        <w:rPr>
          <w:spacing w:val="1"/>
        </w:rPr>
        <w:t xml:space="preserve"> </w:t>
      </w:r>
      <w:r>
        <w:t>Aberration</w:t>
      </w:r>
    </w:p>
    <w:p w:rsidR="00D8713A" w:rsidRDefault="007A4E58">
      <w:pPr>
        <w:pStyle w:val="a3"/>
        <w:spacing w:before="139" w:line="261" w:lineRule="auto"/>
        <w:ind w:left="215" w:right="1753"/>
      </w:pPr>
      <w:r>
        <w:t xml:space="preserve">A chromosomal aberration test was performed with cultured mammalian (Chinese hamster lung [CHL/IU]) cells in short-term treatments for 6 h with and without metabolic activation, and continuous treatment for 24 h without metabolic activation (Study </w:t>
      </w:r>
      <w:r w:rsidR="00481E2B">
        <w:t>Project I</w:t>
      </w:r>
      <w:r>
        <w:t>-TX-0006).</w:t>
      </w:r>
    </w:p>
    <w:p w:rsidR="00D8713A" w:rsidRDefault="007A4E58">
      <w:pPr>
        <w:pStyle w:val="a3"/>
        <w:spacing w:line="274" w:lineRule="exact"/>
        <w:ind w:left="215"/>
      </w:pPr>
      <w:r>
        <w:t>Chromosomal aberrations were analyzed at the following doses: 62.5, 125, 250, and</w:t>
      </w:r>
    </w:p>
    <w:p w:rsidR="00D8713A" w:rsidRDefault="007A4E58">
      <w:pPr>
        <w:pStyle w:val="a3"/>
        <w:spacing w:before="24" w:line="261" w:lineRule="auto"/>
        <w:ind w:left="215" w:right="1632"/>
      </w:pPr>
      <w:r>
        <w:t>500 mcg/mL in short-term treatment with and without metabolic activation, and 50, 100,</w:t>
      </w:r>
      <w:r>
        <w:rPr>
          <w:spacing w:val="-33"/>
        </w:rPr>
        <w:t xml:space="preserve"> </w:t>
      </w:r>
      <w:r>
        <w:t xml:space="preserve">150, 200, and 250 mcg/mL in continuous treatment for 24 h. The cell proliferation ratio determined from the population doubling showed dose-dependent decreases under all treatment conditions. No statistically significant increase in the number of cells with structural or numerical chromosomal aberrations was noted in any treatment group when compared with the negative control group.  It was concluded that </w:t>
      </w:r>
      <w:r w:rsidR="00481E2B">
        <w:t>PROJECT I</w:t>
      </w:r>
      <w:r>
        <w:t xml:space="preserve"> has no </w:t>
      </w:r>
      <w:r>
        <w:lastRenderedPageBreak/>
        <w:t>potential to induce chromosomal aberrations in CHL/IU cells.</w:t>
      </w:r>
    </w:p>
    <w:p w:rsidR="00D8713A" w:rsidRDefault="007A4E58">
      <w:pPr>
        <w:pStyle w:val="3"/>
        <w:numPr>
          <w:ilvl w:val="3"/>
          <w:numId w:val="18"/>
        </w:numPr>
        <w:tabs>
          <w:tab w:val="left" w:pos="1068"/>
        </w:tabs>
        <w:spacing w:before="119"/>
      </w:pPr>
      <w:bookmarkStart w:id="37" w:name="4.3.3.3_Micronucleus_in_Mice"/>
      <w:bookmarkStart w:id="38" w:name="_bookmark53"/>
      <w:bookmarkEnd w:id="37"/>
      <w:bookmarkEnd w:id="38"/>
      <w:r>
        <w:t>Micronucleus in</w:t>
      </w:r>
      <w:r>
        <w:rPr>
          <w:spacing w:val="-2"/>
        </w:rPr>
        <w:t xml:space="preserve"> </w:t>
      </w:r>
      <w:r>
        <w:t>Mice</w:t>
      </w:r>
    </w:p>
    <w:p w:rsidR="00D8713A" w:rsidRDefault="00481E2B">
      <w:pPr>
        <w:pStyle w:val="a3"/>
        <w:spacing w:before="139" w:line="261" w:lineRule="auto"/>
        <w:ind w:left="215" w:right="1646"/>
      </w:pPr>
      <w:r>
        <w:t>PROJECT I</w:t>
      </w:r>
      <w:r w:rsidR="007A4E58">
        <w:t xml:space="preserve"> was orally administered once daily for 2 days to male mice at dose levels of 500, 1000, and 2000 mg/kg/day (Study </w:t>
      </w:r>
      <w:r>
        <w:t>Project I</w:t>
      </w:r>
      <w:r w:rsidR="007A4E58">
        <w:t xml:space="preserve">-TX-0007). The number of micronucleated polychromatic erythrocytes (MNPCE) and the ratio of polychromatic erythrocytes (PCE) were investigated in femoral bone marrow at approximately 24 h after the final administration. No statistically significant increase in the number of MNPCE or decrease in the ratio of PCE was noted in any group when compared with the negative control group. It was concluded that </w:t>
      </w:r>
      <w:r>
        <w:t>PROJECT I</w:t>
      </w:r>
      <w:r w:rsidR="007A4E58">
        <w:t xml:space="preserve"> did not induce micronuclei in mouse erythroblasts.</w:t>
      </w:r>
    </w:p>
    <w:p w:rsidR="00D8713A" w:rsidRDefault="00D8713A">
      <w:pPr>
        <w:pStyle w:val="a3"/>
        <w:spacing w:before="4"/>
        <w:rPr>
          <w:sz w:val="20"/>
        </w:rPr>
      </w:pPr>
    </w:p>
    <w:p w:rsidR="00D8713A" w:rsidRDefault="007A4E58">
      <w:pPr>
        <w:pStyle w:val="3"/>
        <w:numPr>
          <w:ilvl w:val="2"/>
          <w:numId w:val="18"/>
        </w:numPr>
        <w:tabs>
          <w:tab w:val="left" w:pos="1067"/>
          <w:tab w:val="left" w:pos="1068"/>
        </w:tabs>
        <w:spacing w:before="1"/>
      </w:pPr>
      <w:bookmarkStart w:id="39" w:name="4.3.4_Carcinogenicity"/>
      <w:bookmarkStart w:id="40" w:name="_bookmark54"/>
      <w:bookmarkEnd w:id="39"/>
      <w:bookmarkEnd w:id="40"/>
      <w:r>
        <w:t>Carcinogenicity</w:t>
      </w:r>
    </w:p>
    <w:p w:rsidR="00D8713A" w:rsidRDefault="007A4E58">
      <w:pPr>
        <w:pStyle w:val="a3"/>
        <w:spacing w:before="139"/>
        <w:ind w:left="215"/>
      </w:pPr>
      <w:r>
        <w:t xml:space="preserve">No studies have been performed with </w:t>
      </w:r>
      <w:r w:rsidR="00481E2B">
        <w:t>PROJECT I</w:t>
      </w:r>
      <w:r>
        <w:t xml:space="preserve"> so far.</w:t>
      </w:r>
    </w:p>
    <w:p w:rsidR="00D8713A" w:rsidRDefault="007A4E58">
      <w:pPr>
        <w:pStyle w:val="3"/>
        <w:numPr>
          <w:ilvl w:val="2"/>
          <w:numId w:val="18"/>
        </w:numPr>
        <w:tabs>
          <w:tab w:val="left" w:pos="1067"/>
          <w:tab w:val="left" w:pos="1068"/>
        </w:tabs>
        <w:spacing w:before="149"/>
      </w:pPr>
      <w:bookmarkStart w:id="41" w:name="4.3.5_Reproductive_and_Developmental_Tox"/>
      <w:bookmarkStart w:id="42" w:name="_bookmark55"/>
      <w:bookmarkEnd w:id="41"/>
      <w:bookmarkEnd w:id="42"/>
      <w:r>
        <w:t>Reproductive and Developmental</w:t>
      </w:r>
      <w:r>
        <w:rPr>
          <w:spacing w:val="-5"/>
        </w:rPr>
        <w:t xml:space="preserve"> </w:t>
      </w:r>
      <w:r>
        <w:t>Toxicity</w:t>
      </w:r>
    </w:p>
    <w:p w:rsidR="00D8713A" w:rsidRDefault="007A4E58">
      <w:pPr>
        <w:pStyle w:val="a3"/>
        <w:spacing w:before="139" w:line="261" w:lineRule="auto"/>
        <w:ind w:left="215" w:right="1646"/>
      </w:pPr>
      <w:r>
        <w:t>Two definitive embryo-fetal development studies in rats and rabbits with dose-range finding studies were conducted. Tabulated results of reproductive and developmental toxicity can be found in End-of-Text Tables 3.10 and 3.12.</w:t>
      </w:r>
    </w:p>
    <w:p w:rsidR="00D8713A" w:rsidRDefault="007A4E58">
      <w:pPr>
        <w:pStyle w:val="3"/>
        <w:numPr>
          <w:ilvl w:val="3"/>
          <w:numId w:val="18"/>
        </w:numPr>
        <w:tabs>
          <w:tab w:val="left" w:pos="1068"/>
        </w:tabs>
        <w:spacing w:before="122"/>
      </w:pPr>
      <w:bookmarkStart w:id="43" w:name="4.3.5.1_Effects_on_Embryo-fetal_Developm"/>
      <w:bookmarkStart w:id="44" w:name="_bookmark56"/>
      <w:bookmarkEnd w:id="43"/>
      <w:bookmarkEnd w:id="44"/>
      <w:r>
        <w:t>Effects on Embryo-fetal</w:t>
      </w:r>
      <w:r>
        <w:rPr>
          <w:spacing w:val="-3"/>
        </w:rPr>
        <w:t xml:space="preserve"> </w:t>
      </w:r>
      <w:r>
        <w:t>Development</w:t>
      </w:r>
    </w:p>
    <w:p w:rsidR="00D8713A" w:rsidRDefault="007A4E58">
      <w:pPr>
        <w:pStyle w:val="a4"/>
        <w:numPr>
          <w:ilvl w:val="4"/>
          <w:numId w:val="18"/>
        </w:numPr>
        <w:tabs>
          <w:tab w:val="left" w:pos="1347"/>
          <w:tab w:val="left" w:pos="1348"/>
        </w:tabs>
        <w:spacing w:before="144"/>
        <w:rPr>
          <w:b/>
          <w:sz w:val="24"/>
        </w:rPr>
      </w:pPr>
      <w:bookmarkStart w:id="45" w:name="4.3.5.1.1_Effects_on_Embryo-fetal_Develo"/>
      <w:bookmarkEnd w:id="45"/>
      <w:r>
        <w:rPr>
          <w:b/>
          <w:sz w:val="24"/>
        </w:rPr>
        <w:t>Effects on Embryo-fetal Development in</w:t>
      </w:r>
      <w:r>
        <w:rPr>
          <w:b/>
          <w:spacing w:val="-5"/>
          <w:sz w:val="24"/>
        </w:rPr>
        <w:t xml:space="preserve"> </w:t>
      </w:r>
      <w:r>
        <w:rPr>
          <w:b/>
          <w:sz w:val="24"/>
        </w:rPr>
        <w:t>Rats</w:t>
      </w:r>
    </w:p>
    <w:p w:rsidR="00D8713A" w:rsidRDefault="00481E2B">
      <w:pPr>
        <w:pStyle w:val="a3"/>
        <w:spacing w:before="139" w:line="261" w:lineRule="auto"/>
        <w:ind w:left="215" w:right="1691"/>
      </w:pPr>
      <w:r>
        <w:t>PROJECT I</w:t>
      </w:r>
      <w:r w:rsidR="007A4E58">
        <w:t xml:space="preserve"> was orally administered once daily from day 7 to day 17 of gestation at dose levels of 30, 100, and 300 mg/kg/day to pregnant rats (Study </w:t>
      </w:r>
      <w:r>
        <w:t>Project I</w:t>
      </w:r>
      <w:r w:rsidR="007A4E58">
        <w:t>-TX-0011). In dams, low body weight gain and food consumption were noted during the early phase of the dosing period at 100 mg/kg/day and throughout the dosing period at 300 mg/kg/day. Loss of fur was observed in 3 dams from the latter phase of the dosing period at 300 mg/kg/day. In fetuses, low fetal body weight and placental weight were noted at 300 mg/kg/day. No</w:t>
      </w:r>
      <w:r w:rsidR="007A4E58">
        <w:rPr>
          <w:spacing w:val="-26"/>
        </w:rPr>
        <w:t xml:space="preserve"> </w:t>
      </w:r>
      <w:r w:rsidR="007A4E58">
        <w:t>test</w:t>
      </w:r>
    </w:p>
    <w:p w:rsidR="00D8713A" w:rsidRDefault="007A4E58">
      <w:pPr>
        <w:pStyle w:val="a3"/>
        <w:spacing w:line="261" w:lineRule="auto"/>
        <w:ind w:left="215" w:right="1778"/>
      </w:pPr>
      <w:r>
        <w:t>article-related changes were noted in the number of live fetuses, number of embryo-fetal deaths, postimplantation loss rate, sex ratio, external, placental, skeletal, or visceral findings at up to 300 mg/kg/day. The NOAEL was 30 mg/kg/day for dams and 100 mg/kg/day for embryo-fetal development.</w:t>
      </w:r>
    </w:p>
    <w:p w:rsidR="00D8713A" w:rsidRDefault="007A4E58">
      <w:pPr>
        <w:pStyle w:val="3"/>
        <w:numPr>
          <w:ilvl w:val="4"/>
          <w:numId w:val="18"/>
        </w:numPr>
        <w:tabs>
          <w:tab w:val="left" w:pos="1347"/>
          <w:tab w:val="left" w:pos="1348"/>
        </w:tabs>
        <w:spacing w:before="117"/>
      </w:pPr>
      <w:bookmarkStart w:id="46" w:name="4.3.5.1.2_Effects_on_Embryo-fetal_Develo"/>
      <w:bookmarkEnd w:id="46"/>
      <w:r>
        <w:t>Effects on Embryo-fetal Development in</w:t>
      </w:r>
      <w:r>
        <w:rPr>
          <w:spacing w:val="-3"/>
        </w:rPr>
        <w:t xml:space="preserve"> </w:t>
      </w:r>
      <w:r>
        <w:t>Rabbits</w:t>
      </w:r>
    </w:p>
    <w:p w:rsidR="00D8713A" w:rsidRDefault="00481E2B">
      <w:pPr>
        <w:pStyle w:val="a3"/>
        <w:spacing w:before="139" w:line="261" w:lineRule="auto"/>
        <w:ind w:left="215" w:right="1628"/>
      </w:pPr>
      <w:r>
        <w:t>PROJECT I</w:t>
      </w:r>
      <w:r w:rsidR="007A4E58">
        <w:t xml:space="preserve"> was orally administered once daily from day 6 to day 18 of gestation at dose levels of 10, 30, and 100 mg/kg/day to pregnant rats (Study </w:t>
      </w:r>
      <w:r>
        <w:t>Project I</w:t>
      </w:r>
      <w:r w:rsidR="007A4E58">
        <w:t>-TX-0012). In dams, no test article-related changes were observed up to 100 mg/kg/day. In fetuses, low fetal body weight was observed at 100 mg/kg/day. No test article-related changes were observed in the number of live fetuses, number of embryo-fetal deaths, postimplantation loss rate, sex ratio, placental weight, or external, placental, visceral or skeletal findings at up to 100 mg/kg/day. The NOAEL was 100 mg/kg/day for dams and 30 mg/kg/day for embryo-fetal development.</w:t>
      </w:r>
    </w:p>
    <w:p w:rsidR="00D8713A" w:rsidRDefault="007A4E58">
      <w:pPr>
        <w:pStyle w:val="3"/>
        <w:numPr>
          <w:ilvl w:val="2"/>
          <w:numId w:val="17"/>
        </w:numPr>
        <w:tabs>
          <w:tab w:val="left" w:pos="1067"/>
          <w:tab w:val="left" w:pos="1068"/>
        </w:tabs>
        <w:spacing w:before="119"/>
      </w:pPr>
      <w:bookmarkStart w:id="47" w:name="4.3.6_Local_Tolerance"/>
      <w:bookmarkStart w:id="48" w:name="_bookmark57"/>
      <w:bookmarkEnd w:id="47"/>
      <w:bookmarkEnd w:id="48"/>
      <w:r>
        <w:t>Local</w:t>
      </w:r>
      <w:r>
        <w:rPr>
          <w:spacing w:val="-2"/>
        </w:rPr>
        <w:t xml:space="preserve"> </w:t>
      </w:r>
      <w:r>
        <w:t>Tolerance</w:t>
      </w:r>
    </w:p>
    <w:p w:rsidR="00D8713A" w:rsidRDefault="007A4E58">
      <w:pPr>
        <w:pStyle w:val="a3"/>
        <w:spacing w:before="140"/>
        <w:ind w:left="215"/>
      </w:pPr>
      <w:r>
        <w:t xml:space="preserve">No studies have been performed with </w:t>
      </w:r>
      <w:r w:rsidR="00481E2B">
        <w:t>PROJECT I</w:t>
      </w:r>
      <w:r>
        <w:t xml:space="preserve"> so far.</w:t>
      </w:r>
    </w:p>
    <w:p w:rsidR="00D8713A" w:rsidRDefault="007A4E58">
      <w:pPr>
        <w:pStyle w:val="3"/>
        <w:numPr>
          <w:ilvl w:val="2"/>
          <w:numId w:val="17"/>
        </w:numPr>
        <w:tabs>
          <w:tab w:val="left" w:pos="1067"/>
          <w:tab w:val="left" w:pos="1068"/>
        </w:tabs>
        <w:spacing w:before="148"/>
      </w:pPr>
      <w:bookmarkStart w:id="49" w:name="4.3.7_Other_Toxicity_Studies"/>
      <w:bookmarkStart w:id="50" w:name="_bookmark58"/>
      <w:bookmarkEnd w:id="49"/>
      <w:bookmarkEnd w:id="50"/>
      <w:r>
        <w:t>Other Toxicity</w:t>
      </w:r>
      <w:r>
        <w:rPr>
          <w:spacing w:val="-1"/>
        </w:rPr>
        <w:t xml:space="preserve"> </w:t>
      </w:r>
      <w:r>
        <w:t>Studies</w:t>
      </w:r>
    </w:p>
    <w:p w:rsidR="00D8713A" w:rsidRDefault="007A4E58">
      <w:pPr>
        <w:pStyle w:val="a3"/>
        <w:spacing w:before="140"/>
        <w:ind w:left="215"/>
      </w:pPr>
      <w:r>
        <w:t>Tabulated results of a phototoxicity study can be found in End-of-Text Table 3.16.</w:t>
      </w:r>
    </w:p>
    <w:p w:rsidR="00D8713A" w:rsidRDefault="007A4E58">
      <w:pPr>
        <w:pStyle w:val="3"/>
        <w:spacing w:before="149"/>
        <w:ind w:left="215"/>
      </w:pPr>
      <w:bookmarkStart w:id="51" w:name="4.3.7.1_In_Vitro_Phototoxicity"/>
      <w:bookmarkStart w:id="52" w:name="_bookmark59"/>
      <w:bookmarkEnd w:id="51"/>
      <w:bookmarkEnd w:id="52"/>
      <w:r>
        <w:lastRenderedPageBreak/>
        <w:t>4.3.7.1 In Vitro Phototoxicity</w:t>
      </w:r>
    </w:p>
    <w:p w:rsidR="00D8713A" w:rsidRDefault="007A4E58">
      <w:pPr>
        <w:pStyle w:val="a3"/>
        <w:spacing w:before="139" w:line="261" w:lineRule="auto"/>
        <w:ind w:left="215" w:right="1660"/>
      </w:pPr>
      <w:r>
        <w:t xml:space="preserve">A phototoxicity study was performed with cultured mammalian cells (Balb/c 3T3 cells) at 14.9, 23.8, 38.1, 61.0, 97.7, 156, 250, and 400 mcg/mL in the presence and absence of UV-A irradiation (Study </w:t>
      </w:r>
      <w:r w:rsidR="00481E2B">
        <w:t>Project I</w:t>
      </w:r>
      <w:r>
        <w:t xml:space="preserve">-TX-0013). The mean photo effect (MPE, actual value: −0.006) was less than 0.1. Therefore, </w:t>
      </w:r>
      <w:r w:rsidR="00481E2B">
        <w:t>PROJECT I</w:t>
      </w:r>
      <w:r>
        <w:t xml:space="preserve"> was categorized as having no phototoxicity.</w:t>
      </w:r>
    </w:p>
    <w:p w:rsidR="00D8713A" w:rsidRDefault="00D8713A">
      <w:pPr>
        <w:spacing w:line="261" w:lineRule="auto"/>
        <w:sectPr w:rsidR="00D8713A">
          <w:headerReference w:type="default" r:id="rId7"/>
          <w:pgSz w:w="12240" w:h="15840"/>
          <w:pgMar w:top="1240" w:right="0" w:bottom="940" w:left="1400" w:header="581" w:footer="748" w:gutter="0"/>
          <w:cols w:space="720"/>
        </w:sectPr>
      </w:pPr>
    </w:p>
    <w:p w:rsidR="00D8713A" w:rsidRDefault="00D8713A">
      <w:pPr>
        <w:pStyle w:val="a3"/>
        <w:rPr>
          <w:sz w:val="20"/>
        </w:rPr>
      </w:pPr>
    </w:p>
    <w:p w:rsidR="00D8713A" w:rsidRDefault="007A4E58">
      <w:pPr>
        <w:pStyle w:val="2"/>
        <w:tabs>
          <w:tab w:val="left" w:pos="1067"/>
        </w:tabs>
        <w:spacing w:before="209"/>
        <w:ind w:left="1067" w:right="1693"/>
      </w:pPr>
      <w:bookmarkStart w:id="53" w:name="4.4_Integrated_Nonclinical_Overview_and_"/>
      <w:bookmarkStart w:id="54" w:name="_bookmark60"/>
      <w:bookmarkEnd w:id="53"/>
      <w:bookmarkEnd w:id="54"/>
      <w:r>
        <w:t>4.4</w:t>
      </w:r>
      <w:r>
        <w:tab/>
        <w:t>Integrated Nonclinical Overview and Conclusion: Potential Clinical Relevance</w:t>
      </w:r>
    </w:p>
    <w:p w:rsidR="00D8713A" w:rsidRDefault="00481E2B">
      <w:pPr>
        <w:pStyle w:val="a3"/>
        <w:spacing w:before="140" w:line="261" w:lineRule="auto"/>
        <w:ind w:left="215" w:right="1625"/>
      </w:pPr>
      <w:r>
        <w:t>PROJECT I</w:t>
      </w:r>
      <w:r w:rsidR="007A4E58">
        <w:t xml:space="preserve"> is a melatonin receptor agonist with high affinity for MT</w:t>
      </w:r>
      <w:r w:rsidR="007A4E58">
        <w:rPr>
          <w:vertAlign w:val="subscript"/>
        </w:rPr>
        <w:t>1</w:t>
      </w:r>
      <w:r w:rsidR="007A4E58">
        <w:t xml:space="preserve"> and MT</w:t>
      </w:r>
      <w:r w:rsidR="007A4E58">
        <w:rPr>
          <w:vertAlign w:val="subscript"/>
        </w:rPr>
        <w:t>2</w:t>
      </w:r>
      <w:r w:rsidR="007A4E58">
        <w:t xml:space="preserve"> melatonin receptors. </w:t>
      </w:r>
      <w:r>
        <w:t>PROJECT I</w:t>
      </w:r>
      <w:r w:rsidR="007A4E58">
        <w:t xml:space="preserve"> induced a contraction of the isolated rat urethral strip. </w:t>
      </w:r>
      <w:r>
        <w:t>PROJECT I</w:t>
      </w:r>
      <w:r w:rsidR="007A4E58">
        <w:t xml:space="preserve"> significantly increased urethral pressures at resting state and filling phase of the micturition cycle. </w:t>
      </w:r>
      <w:r>
        <w:t>PROJECT I</w:t>
      </w:r>
      <w:r w:rsidR="007A4E58">
        <w:t xml:space="preserve"> increased LPP in rats at doses of 0.1 mg/kg id or more, indicating that </w:t>
      </w:r>
      <w:r>
        <w:t>PROJECT I</w:t>
      </w:r>
      <w:r w:rsidR="007A4E58">
        <w:t xml:space="preserve"> has a potential to prevent leakage of urine under stress condition by increasing urethral pressure during storage. In contrast, </w:t>
      </w:r>
      <w:r>
        <w:t>PROJECT I</w:t>
      </w:r>
      <w:r w:rsidR="007A4E58">
        <w:t xml:space="preserve"> did not increase the urethral pressure at voiding phase of the micturition cycle in rats up to 0.3 mg/kg id, and also did not affect the voiding efficiency or postvoid residual volume in rats up to 1 mg/kg id, suggesting that </w:t>
      </w:r>
      <w:r>
        <w:t>PROJECT I</w:t>
      </w:r>
      <w:r w:rsidR="007A4E58">
        <w:t xml:space="preserve"> has a low risk for inducing voiding difficulty. Taken together, these results suggest that </w:t>
      </w:r>
      <w:r>
        <w:t>PROJECT I</w:t>
      </w:r>
      <w:r w:rsidR="007A4E58">
        <w:t xml:space="preserve"> has a therapeutic potential in</w:t>
      </w:r>
      <w:r w:rsidR="007A4E58">
        <w:rPr>
          <w:spacing w:val="-2"/>
        </w:rPr>
        <w:t xml:space="preserve"> </w:t>
      </w:r>
      <w:r w:rsidR="007A4E58">
        <w:t>SUI.</w:t>
      </w:r>
    </w:p>
    <w:p w:rsidR="00D8713A" w:rsidRDefault="007A4E58">
      <w:pPr>
        <w:pStyle w:val="a3"/>
        <w:spacing w:before="112" w:line="261" w:lineRule="auto"/>
        <w:ind w:left="215" w:right="2013"/>
      </w:pPr>
      <w:r>
        <w:t xml:space="preserve">In the safety pharmacology studies, </w:t>
      </w:r>
      <w:r w:rsidR="00481E2B">
        <w:t>PROJECT I</w:t>
      </w:r>
      <w:r>
        <w:t xml:space="preserve"> did not have an effect on the CNS in rats at doses up to 1000 mg/kg. </w:t>
      </w:r>
      <w:r w:rsidR="00481E2B">
        <w:t>PROJECT I</w:t>
      </w:r>
      <w:r>
        <w:t xml:space="preserve"> revealed weak hERG current inhibition (8.7%) at</w:t>
      </w:r>
    </w:p>
    <w:p w:rsidR="00D8713A" w:rsidRDefault="007A4E58">
      <w:pPr>
        <w:pStyle w:val="a3"/>
        <w:spacing w:line="261" w:lineRule="auto"/>
        <w:ind w:left="215" w:right="1747"/>
      </w:pPr>
      <w:r>
        <w:t xml:space="preserve">100 mcmol/L. However, </w:t>
      </w:r>
      <w:r w:rsidR="00481E2B">
        <w:t>PROJECT I</w:t>
      </w:r>
      <w:r>
        <w:t xml:space="preserve"> did not have an effect on action potentials in guinea pig papillary muscles up to 100 mcmol/L, nor an effect on ECG including QT interval corrected for heart rate in dogs at doses up to 100 mg/kg. Vomiting and increased heart rate were observed in dogs at doses of 100 mg/kg, however, they were transient and observed only at the high dose at which exposures were at large multiples of the pharmacologically effective concentration in rats.</w:t>
      </w:r>
    </w:p>
    <w:p w:rsidR="00D8713A" w:rsidRDefault="00481E2B">
      <w:pPr>
        <w:pStyle w:val="a3"/>
        <w:spacing w:before="113" w:line="261" w:lineRule="auto"/>
        <w:ind w:left="215" w:right="1646"/>
      </w:pPr>
      <w:r>
        <w:t>PROJECT I</w:t>
      </w:r>
      <w:r w:rsidR="007A4E58">
        <w:t xml:space="preserve"> absorption was extensive and rapid following oral administration, and </w:t>
      </w:r>
      <w:r>
        <w:t>PROJECT I</w:t>
      </w:r>
      <w:r w:rsidR="007A4E58">
        <w:t xml:space="preserve"> was extensively distributed. Bioavailability slightly increased with dose in rats (68.6 to 109.0%) and dogs (45.8 to 71.8%). </w:t>
      </w:r>
      <w:r>
        <w:t>PROJECT I</w:t>
      </w:r>
      <w:r w:rsidR="007A4E58">
        <w:t xml:space="preserve"> binds to plasma proteins (37.2 to 65.8%) in mice, rats, rabbits, dogs, and humans. Tissue distribution study showed negligible passage of </w:t>
      </w:r>
      <w:r>
        <w:t>PROJECT I</w:t>
      </w:r>
      <w:r w:rsidR="007A4E58">
        <w:t xml:space="preserve"> and its metabolites across the blood-brain barrier, and elimination from almost all tissues was rapid.</w:t>
      </w:r>
    </w:p>
    <w:p w:rsidR="00D8713A" w:rsidRDefault="007A4E58">
      <w:pPr>
        <w:pStyle w:val="a3"/>
        <w:spacing w:before="115" w:line="261" w:lineRule="auto"/>
        <w:ind w:left="215" w:right="1580"/>
      </w:pPr>
      <w:r>
        <w:t xml:space="preserve">The most prominent metabolite peak in human liver microsomes and hepatocytes was assumed to be AS3211400 (hydroxylated </w:t>
      </w:r>
      <w:r w:rsidR="00481E2B">
        <w:t>PROJECT I</w:t>
      </w:r>
      <w:r>
        <w:t xml:space="preserve">) and this was detected in all other species as a major peak. All other metabolite peaks in humans were also found in at least 1 other species, indicating that no human-specific metabolites were formed by liver microsomes or hepatocytes. </w:t>
      </w:r>
      <w:r w:rsidR="00481E2B">
        <w:t>PROJECT I</w:t>
      </w:r>
      <w:r>
        <w:t xml:space="preserve"> and its metabolites were excreted by the renal (53.0%) and fecal (44.1%) routes in rats.</w:t>
      </w:r>
    </w:p>
    <w:p w:rsidR="00D8713A" w:rsidRDefault="007A4E58">
      <w:pPr>
        <w:pStyle w:val="a3"/>
        <w:spacing w:before="116" w:line="261" w:lineRule="auto"/>
        <w:ind w:left="215" w:right="1743"/>
      </w:pPr>
      <w:r>
        <w:t xml:space="preserve">Based on in vitro nonclinical data, </w:t>
      </w:r>
      <w:r w:rsidR="00481E2B">
        <w:t>PROJECT I</w:t>
      </w:r>
      <w:r>
        <w:t xml:space="preserve"> may inhibit the metabolism of substrates for CYP1A2 and the transport of substrates for BCRP. CYP1A2 is the principal isoform for the CYP-mediated metabolism of </w:t>
      </w:r>
      <w:r w:rsidR="00481E2B">
        <w:t>PROJECT I</w:t>
      </w:r>
      <w:r>
        <w:t xml:space="preserve">. Human plasma </w:t>
      </w:r>
      <w:r w:rsidR="00481E2B">
        <w:t>PROJECT I</w:t>
      </w:r>
      <w:r>
        <w:t xml:space="preserve"> concentrations may be increased or decreased when coadministered with CYP1A2 inhibitors or inducers, respectively. </w:t>
      </w:r>
      <w:r w:rsidR="00481E2B">
        <w:t>PROJECT I</w:t>
      </w:r>
      <w:r>
        <w:t xml:space="preserve"> is a substrate of BCRP.</w:t>
      </w:r>
    </w:p>
    <w:p w:rsidR="00D8713A" w:rsidRDefault="007A4E58" w:rsidP="00481E2B">
      <w:pPr>
        <w:pStyle w:val="a3"/>
        <w:spacing w:before="116" w:line="261" w:lineRule="auto"/>
        <w:ind w:left="215" w:right="1606"/>
      </w:pPr>
      <w:r w:rsidRPr="00481E2B">
        <w:rPr>
          <w:highlight w:val="magenta"/>
        </w:rPr>
        <w:t xml:space="preserve">The main targets for </w:t>
      </w:r>
      <w:r w:rsidR="00481E2B" w:rsidRPr="00481E2B">
        <w:rPr>
          <w:highlight w:val="magenta"/>
        </w:rPr>
        <w:t>PROJECT I</w:t>
      </w:r>
      <w:r w:rsidRPr="00481E2B">
        <w:rPr>
          <w:highlight w:val="magenta"/>
        </w:rPr>
        <w:t xml:space="preserve"> in the repeat-dose toxicity studies were the CNS, liver, thyroid gland, kidney, and hematopoietic system.</w:t>
      </w:r>
      <w:r>
        <w:t xml:space="preserve"> </w:t>
      </w:r>
      <w:r w:rsidRPr="00481E2B">
        <w:rPr>
          <w:highlight w:val="magenta"/>
        </w:rPr>
        <w:t>Slightly high blood chemistry parameters (ALT, ALP, and cholesterol) and high liver weights with hypertrophy of hepatocyte were observed</w:t>
      </w:r>
      <w:r w:rsidR="00481E2B" w:rsidRPr="00481E2B">
        <w:rPr>
          <w:highlight w:val="magenta"/>
        </w:rPr>
        <w:t xml:space="preserve"> </w:t>
      </w:r>
      <w:r w:rsidRPr="00481E2B">
        <w:rPr>
          <w:highlight w:val="magenta"/>
        </w:rPr>
        <w:t>in rats. There was no hepatocyte damage in histopathology.</w:t>
      </w:r>
      <w:r>
        <w:t xml:space="preserve"> Electron microscopy of </w:t>
      </w:r>
      <w:r>
        <w:lastRenderedPageBreak/>
        <w:t xml:space="preserve">the liver showed increases in smooth endoplasmic reticulum, suggesting metabolic enzyme induction in the liver. </w:t>
      </w:r>
      <w:r>
        <w:rPr>
          <w:spacing w:val="-3"/>
        </w:rPr>
        <w:t xml:space="preserve">It </w:t>
      </w:r>
      <w:r>
        <w:t>is reported that hepatomegaly as a consequence of hepatocellular hypertrophy without histopathologically degenerative or necrotic changes is an adaptive nonadverse change and has little relevance to humans [Hall, 2012]. Increased thyroid gland weights with follicular cell hypertrophy are considered to be caused by increased clearance of thyroid hormones by metabolic enzyme induction in the liver. Changes in urinalysis in rats and dogs and high kidney weight in rats were not accompanied by histopathological changes in the kidney or urinary system. Changes in hematology in rats were not accompanied by histopathological changes in the hematopoietic system. All these findings were observed only at high dose(s) at which exposures were at large multiples of the pharmacologically effective concentration in rats and found to be reversible.  Furthermore, they are considered to be monitorable in clinical</w:t>
      </w:r>
      <w:r>
        <w:rPr>
          <w:spacing w:val="-2"/>
        </w:rPr>
        <w:t xml:space="preserve"> </w:t>
      </w:r>
      <w:r>
        <w:t>trials.</w:t>
      </w:r>
    </w:p>
    <w:p w:rsidR="00D8713A" w:rsidRDefault="007A4E58">
      <w:pPr>
        <w:pStyle w:val="a3"/>
        <w:spacing w:before="109"/>
        <w:ind w:left="215"/>
      </w:pPr>
      <w:r>
        <w:t xml:space="preserve">Plasma exposure levels of </w:t>
      </w:r>
      <w:r w:rsidR="00481E2B">
        <w:t>PROJECT I</w:t>
      </w:r>
      <w:r>
        <w:t xml:space="preserve"> in the repeat-dose toxicity studies are shown in [</w:t>
      </w:r>
      <w:hyperlink w:anchor="_bookmark61" w:history="1">
        <w:r>
          <w:t>Table 2</w:t>
        </w:r>
      </w:hyperlink>
      <w:r>
        <w:t>].</w:t>
      </w:r>
    </w:p>
    <w:p w:rsidR="00D8713A" w:rsidRDefault="007A4E58">
      <w:pPr>
        <w:pStyle w:val="3"/>
        <w:tabs>
          <w:tab w:val="left" w:pos="1633"/>
        </w:tabs>
        <w:spacing w:before="123"/>
        <w:ind w:left="1633" w:right="1916" w:hanging="1419"/>
      </w:pPr>
      <w:bookmarkStart w:id="55" w:name="_bookmark61"/>
      <w:bookmarkEnd w:id="55"/>
      <w:r>
        <w:t>Table 2</w:t>
      </w:r>
      <w:r>
        <w:tab/>
        <w:t xml:space="preserve">Plasma Exposure Levels of </w:t>
      </w:r>
      <w:r w:rsidR="00481E2B">
        <w:t>PROJECT I</w:t>
      </w:r>
      <w:r>
        <w:t xml:space="preserve"> in Repeat-dose Toxicity Studies in Rats and</w:t>
      </w:r>
      <w:r>
        <w:rPr>
          <w:spacing w:val="-2"/>
        </w:rPr>
        <w:t xml:space="preserve"> </w:t>
      </w:r>
      <w:r>
        <w:t>Dogs</w:t>
      </w:r>
    </w:p>
    <w:p w:rsidR="00D8713A" w:rsidRDefault="00D8713A">
      <w:pPr>
        <w:pStyle w:val="a3"/>
        <w:spacing w:before="5"/>
        <w:rPr>
          <w:b/>
          <w:sz w:val="5"/>
        </w:rPr>
      </w:pPr>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51"/>
        <w:gridCol w:w="1843"/>
        <w:gridCol w:w="1133"/>
        <w:gridCol w:w="2127"/>
        <w:gridCol w:w="2127"/>
      </w:tblGrid>
      <w:tr w:rsidR="00D8713A">
        <w:trPr>
          <w:trHeight w:val="460"/>
        </w:trPr>
        <w:tc>
          <w:tcPr>
            <w:tcW w:w="1951" w:type="dxa"/>
          </w:tcPr>
          <w:p w:rsidR="00D8713A" w:rsidRDefault="007A4E58">
            <w:pPr>
              <w:pStyle w:val="TableParagraph"/>
              <w:spacing w:line="230" w:lineRule="exact"/>
              <w:ind w:left="107" w:right="585"/>
              <w:jc w:val="left"/>
              <w:rPr>
                <w:b/>
                <w:sz w:val="20"/>
              </w:rPr>
            </w:pPr>
            <w:r>
              <w:rPr>
                <w:b/>
                <w:sz w:val="20"/>
              </w:rPr>
              <w:t>Species/ Study Duration</w:t>
            </w:r>
          </w:p>
        </w:tc>
        <w:tc>
          <w:tcPr>
            <w:tcW w:w="1843" w:type="dxa"/>
          </w:tcPr>
          <w:p w:rsidR="00D8713A" w:rsidRDefault="007A4E58">
            <w:pPr>
              <w:pStyle w:val="TableParagraph"/>
              <w:spacing w:line="230" w:lineRule="exact"/>
              <w:ind w:left="403" w:right="376" w:firstLine="273"/>
              <w:jc w:val="left"/>
              <w:rPr>
                <w:b/>
                <w:sz w:val="20"/>
              </w:rPr>
            </w:pPr>
            <w:r>
              <w:rPr>
                <w:b/>
                <w:sz w:val="20"/>
              </w:rPr>
              <w:t>Doses (mg/kg/day)</w:t>
            </w:r>
          </w:p>
        </w:tc>
        <w:tc>
          <w:tcPr>
            <w:tcW w:w="1133" w:type="dxa"/>
          </w:tcPr>
          <w:p w:rsidR="00D8713A" w:rsidRDefault="007A4E58">
            <w:pPr>
              <w:pStyle w:val="TableParagraph"/>
              <w:spacing w:line="230" w:lineRule="exact"/>
              <w:ind w:left="316" w:right="287" w:firstLine="98"/>
              <w:jc w:val="left"/>
              <w:rPr>
                <w:b/>
                <w:sz w:val="20"/>
              </w:rPr>
            </w:pPr>
            <w:r>
              <w:rPr>
                <w:b/>
                <w:sz w:val="20"/>
              </w:rPr>
              <w:t>Sex (M/F)</w:t>
            </w:r>
          </w:p>
        </w:tc>
        <w:tc>
          <w:tcPr>
            <w:tcW w:w="2127" w:type="dxa"/>
          </w:tcPr>
          <w:p w:rsidR="00D8713A" w:rsidRDefault="007A4E58">
            <w:pPr>
              <w:pStyle w:val="TableParagraph"/>
              <w:spacing w:line="230" w:lineRule="exact"/>
              <w:ind w:left="499" w:right="465" w:firstLine="43"/>
              <w:jc w:val="left"/>
              <w:rPr>
                <w:b/>
                <w:sz w:val="20"/>
              </w:rPr>
            </w:pPr>
            <w:r>
              <w:rPr>
                <w:b/>
                <w:sz w:val="20"/>
              </w:rPr>
              <w:t>Steady-state C</w:t>
            </w:r>
            <w:r>
              <w:rPr>
                <w:b/>
                <w:sz w:val="20"/>
                <w:vertAlign w:val="subscript"/>
              </w:rPr>
              <w:t>max</w:t>
            </w:r>
            <w:r>
              <w:rPr>
                <w:b/>
                <w:sz w:val="20"/>
              </w:rPr>
              <w:t xml:space="preserve"> (ng/mL)</w:t>
            </w:r>
          </w:p>
        </w:tc>
        <w:tc>
          <w:tcPr>
            <w:tcW w:w="2127" w:type="dxa"/>
          </w:tcPr>
          <w:p w:rsidR="00D8713A" w:rsidRDefault="007A4E58">
            <w:pPr>
              <w:pStyle w:val="TableParagraph"/>
              <w:spacing w:line="230" w:lineRule="exact"/>
              <w:ind w:left="318" w:firstLine="223"/>
              <w:jc w:val="left"/>
              <w:rPr>
                <w:b/>
                <w:sz w:val="20"/>
              </w:rPr>
            </w:pPr>
            <w:r>
              <w:rPr>
                <w:b/>
                <w:sz w:val="20"/>
              </w:rPr>
              <w:t>Steady-state AUC</w:t>
            </w:r>
            <w:r>
              <w:rPr>
                <w:b/>
                <w:sz w:val="20"/>
                <w:vertAlign w:val="subscript"/>
              </w:rPr>
              <w:t>24</w:t>
            </w:r>
            <w:r>
              <w:rPr>
                <w:b/>
                <w:sz w:val="20"/>
              </w:rPr>
              <w:t xml:space="preserve"> (ng·h/mL)</w:t>
            </w:r>
          </w:p>
        </w:tc>
      </w:tr>
      <w:tr w:rsidR="00D8713A">
        <w:trPr>
          <w:trHeight w:val="230"/>
        </w:trPr>
        <w:tc>
          <w:tcPr>
            <w:tcW w:w="1951" w:type="dxa"/>
            <w:vMerge w:val="restart"/>
          </w:tcPr>
          <w:p w:rsidR="00D8713A" w:rsidRDefault="00D8713A">
            <w:pPr>
              <w:pStyle w:val="TableParagraph"/>
              <w:spacing w:line="240" w:lineRule="auto"/>
              <w:jc w:val="left"/>
              <w:rPr>
                <w:b/>
              </w:rPr>
            </w:pPr>
          </w:p>
          <w:p w:rsidR="00D8713A" w:rsidRDefault="00D8713A">
            <w:pPr>
              <w:pStyle w:val="TableParagraph"/>
              <w:spacing w:line="240" w:lineRule="auto"/>
              <w:jc w:val="left"/>
              <w:rPr>
                <w:b/>
              </w:rPr>
            </w:pPr>
          </w:p>
          <w:p w:rsidR="00D8713A" w:rsidRDefault="00D8713A">
            <w:pPr>
              <w:pStyle w:val="TableParagraph"/>
              <w:spacing w:before="4" w:line="240" w:lineRule="auto"/>
              <w:jc w:val="left"/>
              <w:rPr>
                <w:b/>
                <w:sz w:val="18"/>
              </w:rPr>
            </w:pPr>
          </w:p>
          <w:p w:rsidR="00D8713A" w:rsidRDefault="007A4E58">
            <w:pPr>
              <w:pStyle w:val="TableParagraph"/>
              <w:spacing w:before="1" w:line="240" w:lineRule="auto"/>
              <w:ind w:left="107" w:right="497"/>
              <w:jc w:val="left"/>
              <w:rPr>
                <w:sz w:val="20"/>
              </w:rPr>
            </w:pPr>
            <w:r>
              <w:rPr>
                <w:sz w:val="20"/>
              </w:rPr>
              <w:t>Rat, 4-week, po (</w:t>
            </w:r>
            <w:r w:rsidR="00481E2B">
              <w:rPr>
                <w:sz w:val="20"/>
              </w:rPr>
              <w:t>Project I</w:t>
            </w:r>
            <w:r>
              <w:rPr>
                <w:sz w:val="20"/>
              </w:rPr>
              <w:t>-TX-0003)</w:t>
            </w:r>
          </w:p>
        </w:tc>
        <w:tc>
          <w:tcPr>
            <w:tcW w:w="1843" w:type="dxa"/>
            <w:vMerge w:val="restart"/>
          </w:tcPr>
          <w:p w:rsidR="00D8713A" w:rsidRDefault="007A4E58">
            <w:pPr>
              <w:pStyle w:val="TableParagraph"/>
              <w:spacing w:before="113" w:line="240" w:lineRule="auto"/>
              <w:ind w:left="156" w:right="146"/>
              <w:rPr>
                <w:sz w:val="20"/>
              </w:rPr>
            </w:pPr>
            <w:r>
              <w:rPr>
                <w:sz w:val="20"/>
              </w:rPr>
              <w:t>10</w:t>
            </w:r>
          </w:p>
        </w:tc>
        <w:tc>
          <w:tcPr>
            <w:tcW w:w="1133" w:type="dxa"/>
          </w:tcPr>
          <w:p w:rsidR="00D8713A" w:rsidRDefault="007A4E58">
            <w:pPr>
              <w:pStyle w:val="TableParagraph"/>
              <w:ind w:left="9"/>
              <w:rPr>
                <w:sz w:val="20"/>
              </w:rPr>
            </w:pPr>
            <w:r>
              <w:rPr>
                <w:w w:val="99"/>
                <w:sz w:val="20"/>
              </w:rPr>
              <w:t>M</w:t>
            </w:r>
          </w:p>
        </w:tc>
        <w:tc>
          <w:tcPr>
            <w:tcW w:w="2127" w:type="dxa"/>
          </w:tcPr>
          <w:p w:rsidR="00D8713A" w:rsidRDefault="007A4E58">
            <w:pPr>
              <w:pStyle w:val="TableParagraph"/>
              <w:ind w:left="669" w:right="656"/>
              <w:rPr>
                <w:sz w:val="20"/>
              </w:rPr>
            </w:pPr>
            <w:r>
              <w:rPr>
                <w:sz w:val="20"/>
              </w:rPr>
              <w:t>2858.5</w:t>
            </w:r>
          </w:p>
        </w:tc>
        <w:tc>
          <w:tcPr>
            <w:tcW w:w="2127" w:type="dxa"/>
          </w:tcPr>
          <w:p w:rsidR="00D8713A" w:rsidRDefault="007A4E58">
            <w:pPr>
              <w:pStyle w:val="TableParagraph"/>
              <w:ind w:left="669" w:right="657"/>
              <w:rPr>
                <w:sz w:val="20"/>
              </w:rPr>
            </w:pPr>
            <w:r>
              <w:rPr>
                <w:sz w:val="20"/>
              </w:rPr>
              <w:t>7195.1</w:t>
            </w:r>
          </w:p>
        </w:tc>
      </w:tr>
      <w:tr w:rsidR="00D8713A">
        <w:trPr>
          <w:trHeight w:val="230"/>
        </w:trPr>
        <w:tc>
          <w:tcPr>
            <w:tcW w:w="1951" w:type="dxa"/>
            <w:vMerge/>
            <w:tcBorders>
              <w:top w:val="nil"/>
            </w:tcBorders>
          </w:tcPr>
          <w:p w:rsidR="00D8713A" w:rsidRDefault="00D8713A">
            <w:pPr>
              <w:rPr>
                <w:sz w:val="2"/>
                <w:szCs w:val="2"/>
              </w:rPr>
            </w:pPr>
          </w:p>
        </w:tc>
        <w:tc>
          <w:tcPr>
            <w:tcW w:w="1843" w:type="dxa"/>
            <w:vMerge/>
            <w:tcBorders>
              <w:top w:val="nil"/>
            </w:tcBorders>
          </w:tcPr>
          <w:p w:rsidR="00D8713A" w:rsidRDefault="00D8713A">
            <w:pPr>
              <w:rPr>
                <w:sz w:val="2"/>
                <w:szCs w:val="2"/>
              </w:rPr>
            </w:pPr>
          </w:p>
        </w:tc>
        <w:tc>
          <w:tcPr>
            <w:tcW w:w="1133" w:type="dxa"/>
          </w:tcPr>
          <w:p w:rsidR="00D8713A" w:rsidRDefault="007A4E58">
            <w:pPr>
              <w:pStyle w:val="TableParagraph"/>
              <w:ind w:left="10"/>
              <w:rPr>
                <w:sz w:val="20"/>
              </w:rPr>
            </w:pPr>
            <w:r>
              <w:rPr>
                <w:w w:val="99"/>
                <w:sz w:val="20"/>
              </w:rPr>
              <w:t>F</w:t>
            </w:r>
          </w:p>
        </w:tc>
        <w:tc>
          <w:tcPr>
            <w:tcW w:w="2127" w:type="dxa"/>
          </w:tcPr>
          <w:p w:rsidR="00D8713A" w:rsidRDefault="007A4E58">
            <w:pPr>
              <w:pStyle w:val="TableParagraph"/>
              <w:ind w:left="669" w:right="656"/>
              <w:rPr>
                <w:sz w:val="20"/>
              </w:rPr>
            </w:pPr>
            <w:r>
              <w:rPr>
                <w:sz w:val="20"/>
              </w:rPr>
              <w:t>2481.8</w:t>
            </w:r>
          </w:p>
        </w:tc>
        <w:tc>
          <w:tcPr>
            <w:tcW w:w="2127" w:type="dxa"/>
          </w:tcPr>
          <w:p w:rsidR="00D8713A" w:rsidRDefault="007A4E58">
            <w:pPr>
              <w:pStyle w:val="TableParagraph"/>
              <w:ind w:left="669" w:right="657"/>
              <w:rPr>
                <w:sz w:val="20"/>
              </w:rPr>
            </w:pPr>
            <w:r>
              <w:rPr>
                <w:sz w:val="20"/>
              </w:rPr>
              <w:t>5375.2</w:t>
            </w:r>
          </w:p>
        </w:tc>
      </w:tr>
      <w:tr w:rsidR="00D8713A">
        <w:trPr>
          <w:trHeight w:val="230"/>
        </w:trPr>
        <w:tc>
          <w:tcPr>
            <w:tcW w:w="1951" w:type="dxa"/>
            <w:vMerge/>
            <w:tcBorders>
              <w:top w:val="nil"/>
            </w:tcBorders>
          </w:tcPr>
          <w:p w:rsidR="00D8713A" w:rsidRDefault="00D8713A">
            <w:pPr>
              <w:rPr>
                <w:sz w:val="2"/>
                <w:szCs w:val="2"/>
              </w:rPr>
            </w:pPr>
          </w:p>
        </w:tc>
        <w:tc>
          <w:tcPr>
            <w:tcW w:w="1843" w:type="dxa"/>
            <w:vMerge w:val="restart"/>
          </w:tcPr>
          <w:p w:rsidR="00D8713A" w:rsidRDefault="007A4E58">
            <w:pPr>
              <w:pStyle w:val="TableParagraph"/>
              <w:spacing w:line="228" w:lineRule="exact"/>
              <w:ind w:left="156" w:right="146"/>
              <w:rPr>
                <w:sz w:val="20"/>
              </w:rPr>
            </w:pPr>
            <w:r>
              <w:rPr>
                <w:sz w:val="20"/>
              </w:rPr>
              <w:t>30</w:t>
            </w:r>
          </w:p>
          <w:p w:rsidR="00D8713A" w:rsidRDefault="007A4E58">
            <w:pPr>
              <w:pStyle w:val="TableParagraph"/>
              <w:spacing w:line="222" w:lineRule="exact"/>
              <w:ind w:left="156" w:right="148"/>
              <w:rPr>
                <w:sz w:val="20"/>
              </w:rPr>
            </w:pPr>
            <w:r>
              <w:rPr>
                <w:sz w:val="20"/>
              </w:rPr>
              <w:t>(NOAEL for M/F)</w:t>
            </w:r>
          </w:p>
        </w:tc>
        <w:tc>
          <w:tcPr>
            <w:tcW w:w="1133" w:type="dxa"/>
          </w:tcPr>
          <w:p w:rsidR="00D8713A" w:rsidRDefault="007A4E58">
            <w:pPr>
              <w:pStyle w:val="TableParagraph"/>
              <w:ind w:left="9"/>
              <w:rPr>
                <w:sz w:val="20"/>
              </w:rPr>
            </w:pPr>
            <w:r>
              <w:rPr>
                <w:w w:val="99"/>
                <w:sz w:val="20"/>
              </w:rPr>
              <w:t>M</w:t>
            </w:r>
          </w:p>
        </w:tc>
        <w:tc>
          <w:tcPr>
            <w:tcW w:w="2127" w:type="dxa"/>
          </w:tcPr>
          <w:p w:rsidR="00D8713A" w:rsidRDefault="007A4E58">
            <w:pPr>
              <w:pStyle w:val="TableParagraph"/>
              <w:ind w:left="669" w:right="656"/>
              <w:rPr>
                <w:sz w:val="20"/>
              </w:rPr>
            </w:pPr>
            <w:r>
              <w:rPr>
                <w:sz w:val="20"/>
              </w:rPr>
              <w:t>7022.7</w:t>
            </w:r>
          </w:p>
        </w:tc>
        <w:tc>
          <w:tcPr>
            <w:tcW w:w="2127" w:type="dxa"/>
          </w:tcPr>
          <w:p w:rsidR="00D8713A" w:rsidRDefault="007A4E58">
            <w:pPr>
              <w:pStyle w:val="TableParagraph"/>
              <w:ind w:left="669" w:right="657"/>
              <w:rPr>
                <w:sz w:val="20"/>
              </w:rPr>
            </w:pPr>
            <w:r>
              <w:rPr>
                <w:sz w:val="20"/>
              </w:rPr>
              <w:t>31870.1</w:t>
            </w:r>
          </w:p>
        </w:tc>
      </w:tr>
      <w:tr w:rsidR="00D8713A">
        <w:trPr>
          <w:trHeight w:val="230"/>
        </w:trPr>
        <w:tc>
          <w:tcPr>
            <w:tcW w:w="1951" w:type="dxa"/>
            <w:vMerge/>
            <w:tcBorders>
              <w:top w:val="nil"/>
            </w:tcBorders>
          </w:tcPr>
          <w:p w:rsidR="00D8713A" w:rsidRDefault="00D8713A">
            <w:pPr>
              <w:rPr>
                <w:sz w:val="2"/>
                <w:szCs w:val="2"/>
              </w:rPr>
            </w:pPr>
          </w:p>
        </w:tc>
        <w:tc>
          <w:tcPr>
            <w:tcW w:w="1843" w:type="dxa"/>
            <w:vMerge/>
            <w:tcBorders>
              <w:top w:val="nil"/>
            </w:tcBorders>
          </w:tcPr>
          <w:p w:rsidR="00D8713A" w:rsidRDefault="00D8713A">
            <w:pPr>
              <w:rPr>
                <w:sz w:val="2"/>
                <w:szCs w:val="2"/>
              </w:rPr>
            </w:pPr>
          </w:p>
        </w:tc>
        <w:tc>
          <w:tcPr>
            <w:tcW w:w="1133" w:type="dxa"/>
          </w:tcPr>
          <w:p w:rsidR="00D8713A" w:rsidRDefault="007A4E58">
            <w:pPr>
              <w:pStyle w:val="TableParagraph"/>
              <w:ind w:left="10"/>
              <w:rPr>
                <w:sz w:val="20"/>
              </w:rPr>
            </w:pPr>
            <w:r>
              <w:rPr>
                <w:w w:val="99"/>
                <w:sz w:val="20"/>
              </w:rPr>
              <w:t>F</w:t>
            </w:r>
          </w:p>
        </w:tc>
        <w:tc>
          <w:tcPr>
            <w:tcW w:w="2127" w:type="dxa"/>
          </w:tcPr>
          <w:p w:rsidR="00D8713A" w:rsidRDefault="007A4E58">
            <w:pPr>
              <w:pStyle w:val="TableParagraph"/>
              <w:ind w:left="669" w:right="656"/>
              <w:rPr>
                <w:sz w:val="20"/>
              </w:rPr>
            </w:pPr>
            <w:r>
              <w:rPr>
                <w:sz w:val="20"/>
              </w:rPr>
              <w:t>7049.7</w:t>
            </w:r>
          </w:p>
        </w:tc>
        <w:tc>
          <w:tcPr>
            <w:tcW w:w="2127" w:type="dxa"/>
          </w:tcPr>
          <w:p w:rsidR="00D8713A" w:rsidRDefault="007A4E58">
            <w:pPr>
              <w:pStyle w:val="TableParagraph"/>
              <w:ind w:left="669" w:right="657"/>
              <w:rPr>
                <w:sz w:val="20"/>
              </w:rPr>
            </w:pPr>
            <w:r>
              <w:rPr>
                <w:sz w:val="20"/>
              </w:rPr>
              <w:t>21085.9</w:t>
            </w:r>
          </w:p>
        </w:tc>
      </w:tr>
      <w:tr w:rsidR="00D8713A">
        <w:trPr>
          <w:trHeight w:val="230"/>
        </w:trPr>
        <w:tc>
          <w:tcPr>
            <w:tcW w:w="1951" w:type="dxa"/>
            <w:vMerge/>
            <w:tcBorders>
              <w:top w:val="nil"/>
            </w:tcBorders>
          </w:tcPr>
          <w:p w:rsidR="00D8713A" w:rsidRDefault="00D8713A">
            <w:pPr>
              <w:rPr>
                <w:sz w:val="2"/>
                <w:szCs w:val="2"/>
              </w:rPr>
            </w:pPr>
          </w:p>
        </w:tc>
        <w:tc>
          <w:tcPr>
            <w:tcW w:w="1843" w:type="dxa"/>
            <w:vMerge w:val="restart"/>
          </w:tcPr>
          <w:p w:rsidR="00D8713A" w:rsidRDefault="007A4E58">
            <w:pPr>
              <w:pStyle w:val="TableParagraph"/>
              <w:spacing w:before="113" w:line="240" w:lineRule="auto"/>
              <w:ind w:left="156" w:right="147"/>
              <w:rPr>
                <w:sz w:val="20"/>
              </w:rPr>
            </w:pPr>
            <w:r>
              <w:rPr>
                <w:sz w:val="20"/>
              </w:rPr>
              <w:t>100</w:t>
            </w:r>
          </w:p>
        </w:tc>
        <w:tc>
          <w:tcPr>
            <w:tcW w:w="1133" w:type="dxa"/>
          </w:tcPr>
          <w:p w:rsidR="00D8713A" w:rsidRDefault="007A4E58">
            <w:pPr>
              <w:pStyle w:val="TableParagraph"/>
              <w:ind w:left="9"/>
              <w:rPr>
                <w:sz w:val="20"/>
              </w:rPr>
            </w:pPr>
            <w:r>
              <w:rPr>
                <w:w w:val="99"/>
                <w:sz w:val="20"/>
              </w:rPr>
              <w:t>M</w:t>
            </w:r>
          </w:p>
        </w:tc>
        <w:tc>
          <w:tcPr>
            <w:tcW w:w="2127" w:type="dxa"/>
          </w:tcPr>
          <w:p w:rsidR="00D8713A" w:rsidRDefault="007A4E58">
            <w:pPr>
              <w:pStyle w:val="TableParagraph"/>
              <w:ind w:left="669" w:right="656"/>
              <w:rPr>
                <w:sz w:val="20"/>
              </w:rPr>
            </w:pPr>
            <w:r>
              <w:rPr>
                <w:sz w:val="20"/>
              </w:rPr>
              <w:t>12844.9</w:t>
            </w:r>
          </w:p>
        </w:tc>
        <w:tc>
          <w:tcPr>
            <w:tcW w:w="2127" w:type="dxa"/>
          </w:tcPr>
          <w:p w:rsidR="00D8713A" w:rsidRDefault="007A4E58">
            <w:pPr>
              <w:pStyle w:val="TableParagraph"/>
              <w:ind w:left="669" w:right="657"/>
              <w:rPr>
                <w:sz w:val="20"/>
              </w:rPr>
            </w:pPr>
            <w:r>
              <w:rPr>
                <w:sz w:val="20"/>
              </w:rPr>
              <w:t>133282.9</w:t>
            </w:r>
          </w:p>
        </w:tc>
      </w:tr>
      <w:tr w:rsidR="00D8713A">
        <w:trPr>
          <w:trHeight w:val="227"/>
        </w:trPr>
        <w:tc>
          <w:tcPr>
            <w:tcW w:w="1951" w:type="dxa"/>
            <w:vMerge/>
            <w:tcBorders>
              <w:top w:val="nil"/>
            </w:tcBorders>
          </w:tcPr>
          <w:p w:rsidR="00D8713A" w:rsidRDefault="00D8713A">
            <w:pPr>
              <w:rPr>
                <w:sz w:val="2"/>
                <w:szCs w:val="2"/>
              </w:rPr>
            </w:pPr>
          </w:p>
        </w:tc>
        <w:tc>
          <w:tcPr>
            <w:tcW w:w="1843" w:type="dxa"/>
            <w:vMerge/>
            <w:tcBorders>
              <w:top w:val="nil"/>
            </w:tcBorders>
          </w:tcPr>
          <w:p w:rsidR="00D8713A" w:rsidRDefault="00D8713A">
            <w:pPr>
              <w:rPr>
                <w:sz w:val="2"/>
                <w:szCs w:val="2"/>
              </w:rPr>
            </w:pPr>
          </w:p>
        </w:tc>
        <w:tc>
          <w:tcPr>
            <w:tcW w:w="1133" w:type="dxa"/>
          </w:tcPr>
          <w:p w:rsidR="00D8713A" w:rsidRDefault="007A4E58">
            <w:pPr>
              <w:pStyle w:val="TableParagraph"/>
              <w:spacing w:line="208" w:lineRule="exact"/>
              <w:ind w:left="10"/>
              <w:rPr>
                <w:sz w:val="20"/>
              </w:rPr>
            </w:pPr>
            <w:r>
              <w:rPr>
                <w:w w:val="99"/>
                <w:sz w:val="20"/>
              </w:rPr>
              <w:t>F</w:t>
            </w:r>
          </w:p>
        </w:tc>
        <w:tc>
          <w:tcPr>
            <w:tcW w:w="2127" w:type="dxa"/>
          </w:tcPr>
          <w:p w:rsidR="00D8713A" w:rsidRDefault="007A4E58">
            <w:pPr>
              <w:pStyle w:val="TableParagraph"/>
              <w:spacing w:line="208" w:lineRule="exact"/>
              <w:ind w:left="669" w:right="656"/>
              <w:rPr>
                <w:sz w:val="20"/>
              </w:rPr>
            </w:pPr>
            <w:r>
              <w:rPr>
                <w:sz w:val="20"/>
              </w:rPr>
              <w:t>15491.0</w:t>
            </w:r>
          </w:p>
        </w:tc>
        <w:tc>
          <w:tcPr>
            <w:tcW w:w="2127" w:type="dxa"/>
          </w:tcPr>
          <w:p w:rsidR="00D8713A" w:rsidRDefault="007A4E58">
            <w:pPr>
              <w:pStyle w:val="TableParagraph"/>
              <w:spacing w:line="208" w:lineRule="exact"/>
              <w:ind w:left="669" w:right="657"/>
              <w:rPr>
                <w:sz w:val="20"/>
              </w:rPr>
            </w:pPr>
            <w:r>
              <w:rPr>
                <w:sz w:val="20"/>
              </w:rPr>
              <w:t>141667.4</w:t>
            </w:r>
          </w:p>
        </w:tc>
      </w:tr>
      <w:tr w:rsidR="00D8713A">
        <w:trPr>
          <w:trHeight w:val="230"/>
        </w:trPr>
        <w:tc>
          <w:tcPr>
            <w:tcW w:w="1951" w:type="dxa"/>
            <w:vMerge/>
            <w:tcBorders>
              <w:top w:val="nil"/>
            </w:tcBorders>
          </w:tcPr>
          <w:p w:rsidR="00D8713A" w:rsidRDefault="00D8713A">
            <w:pPr>
              <w:rPr>
                <w:sz w:val="2"/>
                <w:szCs w:val="2"/>
              </w:rPr>
            </w:pPr>
          </w:p>
        </w:tc>
        <w:tc>
          <w:tcPr>
            <w:tcW w:w="1843" w:type="dxa"/>
            <w:vMerge w:val="restart"/>
          </w:tcPr>
          <w:p w:rsidR="00D8713A" w:rsidRDefault="007A4E58">
            <w:pPr>
              <w:pStyle w:val="TableParagraph"/>
              <w:spacing w:before="115" w:line="240" w:lineRule="auto"/>
              <w:ind w:left="156" w:right="146"/>
              <w:rPr>
                <w:sz w:val="20"/>
              </w:rPr>
            </w:pPr>
            <w:r>
              <w:rPr>
                <w:sz w:val="20"/>
              </w:rPr>
              <w:t>1000</w:t>
            </w:r>
          </w:p>
        </w:tc>
        <w:tc>
          <w:tcPr>
            <w:tcW w:w="1133" w:type="dxa"/>
          </w:tcPr>
          <w:p w:rsidR="00D8713A" w:rsidRDefault="007A4E58">
            <w:pPr>
              <w:pStyle w:val="TableParagraph"/>
              <w:ind w:left="9"/>
              <w:rPr>
                <w:sz w:val="20"/>
              </w:rPr>
            </w:pPr>
            <w:r>
              <w:rPr>
                <w:w w:val="99"/>
                <w:sz w:val="20"/>
              </w:rPr>
              <w:t>M</w:t>
            </w:r>
          </w:p>
        </w:tc>
        <w:tc>
          <w:tcPr>
            <w:tcW w:w="2127" w:type="dxa"/>
          </w:tcPr>
          <w:p w:rsidR="00D8713A" w:rsidRDefault="007A4E58">
            <w:pPr>
              <w:pStyle w:val="TableParagraph"/>
              <w:ind w:left="669" w:right="656"/>
              <w:rPr>
                <w:sz w:val="20"/>
              </w:rPr>
            </w:pPr>
            <w:r>
              <w:rPr>
                <w:sz w:val="20"/>
              </w:rPr>
              <w:t>33654.1</w:t>
            </w:r>
          </w:p>
        </w:tc>
        <w:tc>
          <w:tcPr>
            <w:tcW w:w="2127" w:type="dxa"/>
          </w:tcPr>
          <w:p w:rsidR="00D8713A" w:rsidRDefault="007A4E58">
            <w:pPr>
              <w:pStyle w:val="TableParagraph"/>
              <w:ind w:left="669" w:right="657"/>
              <w:rPr>
                <w:sz w:val="20"/>
              </w:rPr>
            </w:pPr>
            <w:r>
              <w:rPr>
                <w:sz w:val="20"/>
              </w:rPr>
              <w:t>497636.1</w:t>
            </w:r>
          </w:p>
        </w:tc>
      </w:tr>
      <w:tr w:rsidR="00D8713A">
        <w:trPr>
          <w:trHeight w:val="230"/>
        </w:trPr>
        <w:tc>
          <w:tcPr>
            <w:tcW w:w="1951" w:type="dxa"/>
            <w:vMerge/>
            <w:tcBorders>
              <w:top w:val="nil"/>
            </w:tcBorders>
          </w:tcPr>
          <w:p w:rsidR="00D8713A" w:rsidRDefault="00D8713A">
            <w:pPr>
              <w:rPr>
                <w:sz w:val="2"/>
                <w:szCs w:val="2"/>
              </w:rPr>
            </w:pPr>
          </w:p>
        </w:tc>
        <w:tc>
          <w:tcPr>
            <w:tcW w:w="1843" w:type="dxa"/>
            <w:vMerge/>
            <w:tcBorders>
              <w:top w:val="nil"/>
            </w:tcBorders>
          </w:tcPr>
          <w:p w:rsidR="00D8713A" w:rsidRDefault="00D8713A">
            <w:pPr>
              <w:rPr>
                <w:sz w:val="2"/>
                <w:szCs w:val="2"/>
              </w:rPr>
            </w:pPr>
          </w:p>
        </w:tc>
        <w:tc>
          <w:tcPr>
            <w:tcW w:w="1133" w:type="dxa"/>
          </w:tcPr>
          <w:p w:rsidR="00D8713A" w:rsidRDefault="007A4E58">
            <w:pPr>
              <w:pStyle w:val="TableParagraph"/>
              <w:ind w:left="10"/>
              <w:rPr>
                <w:sz w:val="20"/>
              </w:rPr>
            </w:pPr>
            <w:r>
              <w:rPr>
                <w:w w:val="99"/>
                <w:sz w:val="20"/>
              </w:rPr>
              <w:t>F</w:t>
            </w:r>
          </w:p>
        </w:tc>
        <w:tc>
          <w:tcPr>
            <w:tcW w:w="2127" w:type="dxa"/>
          </w:tcPr>
          <w:p w:rsidR="00D8713A" w:rsidRDefault="007A4E58">
            <w:pPr>
              <w:pStyle w:val="TableParagraph"/>
              <w:ind w:left="669" w:right="656"/>
              <w:rPr>
                <w:sz w:val="20"/>
              </w:rPr>
            </w:pPr>
            <w:r>
              <w:rPr>
                <w:sz w:val="20"/>
              </w:rPr>
              <w:t>36817.4</w:t>
            </w:r>
          </w:p>
        </w:tc>
        <w:tc>
          <w:tcPr>
            <w:tcW w:w="2127" w:type="dxa"/>
          </w:tcPr>
          <w:p w:rsidR="00D8713A" w:rsidRDefault="007A4E58">
            <w:pPr>
              <w:pStyle w:val="TableParagraph"/>
              <w:ind w:left="669" w:right="657"/>
              <w:rPr>
                <w:sz w:val="20"/>
              </w:rPr>
            </w:pPr>
            <w:r>
              <w:rPr>
                <w:sz w:val="20"/>
              </w:rPr>
              <w:t>655811.3</w:t>
            </w:r>
          </w:p>
        </w:tc>
      </w:tr>
      <w:tr w:rsidR="00D8713A">
        <w:trPr>
          <w:trHeight w:val="230"/>
        </w:trPr>
        <w:tc>
          <w:tcPr>
            <w:tcW w:w="1951" w:type="dxa"/>
            <w:vMerge w:val="restart"/>
          </w:tcPr>
          <w:p w:rsidR="00D8713A" w:rsidRDefault="00D8713A">
            <w:pPr>
              <w:pStyle w:val="TableParagraph"/>
              <w:spacing w:line="240" w:lineRule="auto"/>
              <w:jc w:val="left"/>
              <w:rPr>
                <w:b/>
              </w:rPr>
            </w:pPr>
          </w:p>
          <w:p w:rsidR="00D8713A" w:rsidRDefault="00D8713A">
            <w:pPr>
              <w:pStyle w:val="TableParagraph"/>
              <w:spacing w:line="240" w:lineRule="auto"/>
              <w:jc w:val="left"/>
              <w:rPr>
                <w:b/>
              </w:rPr>
            </w:pPr>
          </w:p>
          <w:p w:rsidR="00D8713A" w:rsidRDefault="00D8713A">
            <w:pPr>
              <w:pStyle w:val="TableParagraph"/>
              <w:spacing w:before="3" w:line="240" w:lineRule="auto"/>
              <w:jc w:val="left"/>
              <w:rPr>
                <w:b/>
                <w:sz w:val="19"/>
              </w:rPr>
            </w:pPr>
          </w:p>
          <w:p w:rsidR="00D8713A" w:rsidRDefault="007A4E58">
            <w:pPr>
              <w:pStyle w:val="TableParagraph"/>
              <w:spacing w:line="240" w:lineRule="auto"/>
              <w:ind w:left="107" w:right="497"/>
              <w:jc w:val="left"/>
              <w:rPr>
                <w:sz w:val="20"/>
              </w:rPr>
            </w:pPr>
            <w:r>
              <w:rPr>
                <w:sz w:val="20"/>
              </w:rPr>
              <w:t>Dog, 4-week, po (</w:t>
            </w:r>
            <w:r w:rsidR="00481E2B">
              <w:rPr>
                <w:sz w:val="20"/>
              </w:rPr>
              <w:t>Project I</w:t>
            </w:r>
            <w:r>
              <w:rPr>
                <w:sz w:val="20"/>
              </w:rPr>
              <w:t>-TX-0004)</w:t>
            </w:r>
          </w:p>
        </w:tc>
        <w:tc>
          <w:tcPr>
            <w:tcW w:w="1843" w:type="dxa"/>
            <w:vMerge w:val="restart"/>
          </w:tcPr>
          <w:p w:rsidR="00D8713A" w:rsidRDefault="007A4E58">
            <w:pPr>
              <w:pStyle w:val="TableParagraph"/>
              <w:spacing w:before="115" w:line="240" w:lineRule="auto"/>
              <w:ind w:left="9"/>
              <w:rPr>
                <w:sz w:val="20"/>
              </w:rPr>
            </w:pPr>
            <w:r>
              <w:rPr>
                <w:w w:val="99"/>
                <w:sz w:val="20"/>
              </w:rPr>
              <w:t>3</w:t>
            </w:r>
          </w:p>
        </w:tc>
        <w:tc>
          <w:tcPr>
            <w:tcW w:w="1133" w:type="dxa"/>
          </w:tcPr>
          <w:p w:rsidR="00D8713A" w:rsidRDefault="007A4E58">
            <w:pPr>
              <w:pStyle w:val="TableParagraph"/>
              <w:ind w:left="9"/>
              <w:rPr>
                <w:sz w:val="20"/>
              </w:rPr>
            </w:pPr>
            <w:r>
              <w:rPr>
                <w:w w:val="99"/>
                <w:sz w:val="20"/>
              </w:rPr>
              <w:t>M</w:t>
            </w:r>
          </w:p>
        </w:tc>
        <w:tc>
          <w:tcPr>
            <w:tcW w:w="2127" w:type="dxa"/>
          </w:tcPr>
          <w:p w:rsidR="00D8713A" w:rsidRDefault="007A4E58">
            <w:pPr>
              <w:pStyle w:val="TableParagraph"/>
              <w:ind w:left="669" w:right="653"/>
              <w:rPr>
                <w:sz w:val="20"/>
              </w:rPr>
            </w:pPr>
            <w:r>
              <w:rPr>
                <w:sz w:val="20"/>
              </w:rPr>
              <w:t>985.2</w:t>
            </w:r>
          </w:p>
        </w:tc>
        <w:tc>
          <w:tcPr>
            <w:tcW w:w="2127" w:type="dxa"/>
          </w:tcPr>
          <w:p w:rsidR="00D8713A" w:rsidRDefault="007A4E58">
            <w:pPr>
              <w:pStyle w:val="TableParagraph"/>
              <w:ind w:left="669" w:right="657"/>
              <w:rPr>
                <w:sz w:val="20"/>
              </w:rPr>
            </w:pPr>
            <w:r>
              <w:rPr>
                <w:sz w:val="20"/>
              </w:rPr>
              <w:t>1889.8</w:t>
            </w:r>
          </w:p>
        </w:tc>
      </w:tr>
      <w:tr w:rsidR="00D8713A">
        <w:trPr>
          <w:trHeight w:val="230"/>
        </w:trPr>
        <w:tc>
          <w:tcPr>
            <w:tcW w:w="1951" w:type="dxa"/>
            <w:vMerge/>
            <w:tcBorders>
              <w:top w:val="nil"/>
            </w:tcBorders>
          </w:tcPr>
          <w:p w:rsidR="00D8713A" w:rsidRDefault="00D8713A">
            <w:pPr>
              <w:rPr>
                <w:sz w:val="2"/>
                <w:szCs w:val="2"/>
              </w:rPr>
            </w:pPr>
          </w:p>
        </w:tc>
        <w:tc>
          <w:tcPr>
            <w:tcW w:w="1843" w:type="dxa"/>
            <w:vMerge/>
            <w:tcBorders>
              <w:top w:val="nil"/>
            </w:tcBorders>
          </w:tcPr>
          <w:p w:rsidR="00D8713A" w:rsidRDefault="00D8713A">
            <w:pPr>
              <w:rPr>
                <w:sz w:val="2"/>
                <w:szCs w:val="2"/>
              </w:rPr>
            </w:pPr>
          </w:p>
        </w:tc>
        <w:tc>
          <w:tcPr>
            <w:tcW w:w="1133" w:type="dxa"/>
          </w:tcPr>
          <w:p w:rsidR="00D8713A" w:rsidRDefault="007A4E58">
            <w:pPr>
              <w:pStyle w:val="TableParagraph"/>
              <w:ind w:left="10"/>
              <w:rPr>
                <w:sz w:val="20"/>
              </w:rPr>
            </w:pPr>
            <w:r>
              <w:rPr>
                <w:w w:val="99"/>
                <w:sz w:val="20"/>
              </w:rPr>
              <w:t>F</w:t>
            </w:r>
          </w:p>
        </w:tc>
        <w:tc>
          <w:tcPr>
            <w:tcW w:w="2127" w:type="dxa"/>
          </w:tcPr>
          <w:p w:rsidR="00D8713A" w:rsidRDefault="007A4E58">
            <w:pPr>
              <w:pStyle w:val="TableParagraph"/>
              <w:ind w:left="669" w:right="656"/>
              <w:rPr>
                <w:sz w:val="20"/>
              </w:rPr>
            </w:pPr>
            <w:r>
              <w:rPr>
                <w:sz w:val="20"/>
              </w:rPr>
              <w:t>1168.0</w:t>
            </w:r>
          </w:p>
        </w:tc>
        <w:tc>
          <w:tcPr>
            <w:tcW w:w="2127" w:type="dxa"/>
          </w:tcPr>
          <w:p w:rsidR="00D8713A" w:rsidRDefault="007A4E58">
            <w:pPr>
              <w:pStyle w:val="TableParagraph"/>
              <w:ind w:left="669" w:right="657"/>
              <w:rPr>
                <w:sz w:val="20"/>
              </w:rPr>
            </w:pPr>
            <w:r>
              <w:rPr>
                <w:sz w:val="20"/>
              </w:rPr>
              <w:t>2150.1</w:t>
            </w:r>
          </w:p>
        </w:tc>
      </w:tr>
      <w:tr w:rsidR="00D8713A">
        <w:trPr>
          <w:trHeight w:val="230"/>
        </w:trPr>
        <w:tc>
          <w:tcPr>
            <w:tcW w:w="1951" w:type="dxa"/>
            <w:vMerge/>
            <w:tcBorders>
              <w:top w:val="nil"/>
            </w:tcBorders>
          </w:tcPr>
          <w:p w:rsidR="00D8713A" w:rsidRDefault="00D8713A">
            <w:pPr>
              <w:rPr>
                <w:sz w:val="2"/>
                <w:szCs w:val="2"/>
              </w:rPr>
            </w:pPr>
          </w:p>
        </w:tc>
        <w:tc>
          <w:tcPr>
            <w:tcW w:w="1843" w:type="dxa"/>
            <w:vMerge w:val="restart"/>
          </w:tcPr>
          <w:p w:rsidR="00D8713A" w:rsidRDefault="007A4E58">
            <w:pPr>
              <w:pStyle w:val="TableParagraph"/>
              <w:spacing w:before="115" w:line="240" w:lineRule="auto"/>
              <w:ind w:left="156" w:right="146"/>
              <w:rPr>
                <w:sz w:val="20"/>
              </w:rPr>
            </w:pPr>
            <w:r>
              <w:rPr>
                <w:sz w:val="20"/>
              </w:rPr>
              <w:t>10</w:t>
            </w:r>
          </w:p>
        </w:tc>
        <w:tc>
          <w:tcPr>
            <w:tcW w:w="1133" w:type="dxa"/>
          </w:tcPr>
          <w:p w:rsidR="00D8713A" w:rsidRDefault="007A4E58">
            <w:pPr>
              <w:pStyle w:val="TableParagraph"/>
              <w:ind w:left="9"/>
              <w:rPr>
                <w:sz w:val="20"/>
              </w:rPr>
            </w:pPr>
            <w:r>
              <w:rPr>
                <w:w w:val="99"/>
                <w:sz w:val="20"/>
              </w:rPr>
              <w:t>M</w:t>
            </w:r>
          </w:p>
        </w:tc>
        <w:tc>
          <w:tcPr>
            <w:tcW w:w="2127" w:type="dxa"/>
          </w:tcPr>
          <w:p w:rsidR="00D8713A" w:rsidRDefault="007A4E58">
            <w:pPr>
              <w:pStyle w:val="TableParagraph"/>
              <w:ind w:left="669" w:right="656"/>
              <w:rPr>
                <w:sz w:val="20"/>
              </w:rPr>
            </w:pPr>
            <w:r>
              <w:rPr>
                <w:sz w:val="20"/>
              </w:rPr>
              <w:t>3869.3</w:t>
            </w:r>
          </w:p>
        </w:tc>
        <w:tc>
          <w:tcPr>
            <w:tcW w:w="2127" w:type="dxa"/>
          </w:tcPr>
          <w:p w:rsidR="00D8713A" w:rsidRDefault="007A4E58">
            <w:pPr>
              <w:pStyle w:val="TableParagraph"/>
              <w:ind w:left="669" w:right="657"/>
              <w:rPr>
                <w:sz w:val="20"/>
              </w:rPr>
            </w:pPr>
            <w:r>
              <w:rPr>
                <w:sz w:val="20"/>
              </w:rPr>
              <w:t>15680.5</w:t>
            </w:r>
          </w:p>
        </w:tc>
      </w:tr>
      <w:tr w:rsidR="00D8713A">
        <w:trPr>
          <w:trHeight w:val="230"/>
        </w:trPr>
        <w:tc>
          <w:tcPr>
            <w:tcW w:w="1951" w:type="dxa"/>
            <w:vMerge/>
            <w:tcBorders>
              <w:top w:val="nil"/>
            </w:tcBorders>
          </w:tcPr>
          <w:p w:rsidR="00D8713A" w:rsidRDefault="00D8713A">
            <w:pPr>
              <w:rPr>
                <w:sz w:val="2"/>
                <w:szCs w:val="2"/>
              </w:rPr>
            </w:pPr>
          </w:p>
        </w:tc>
        <w:tc>
          <w:tcPr>
            <w:tcW w:w="1843" w:type="dxa"/>
            <w:vMerge/>
            <w:tcBorders>
              <w:top w:val="nil"/>
            </w:tcBorders>
          </w:tcPr>
          <w:p w:rsidR="00D8713A" w:rsidRDefault="00D8713A">
            <w:pPr>
              <w:rPr>
                <w:sz w:val="2"/>
                <w:szCs w:val="2"/>
              </w:rPr>
            </w:pPr>
          </w:p>
        </w:tc>
        <w:tc>
          <w:tcPr>
            <w:tcW w:w="1133" w:type="dxa"/>
          </w:tcPr>
          <w:p w:rsidR="00D8713A" w:rsidRDefault="007A4E58">
            <w:pPr>
              <w:pStyle w:val="TableParagraph"/>
              <w:ind w:left="10"/>
              <w:rPr>
                <w:sz w:val="20"/>
              </w:rPr>
            </w:pPr>
            <w:r>
              <w:rPr>
                <w:w w:val="99"/>
                <w:sz w:val="20"/>
              </w:rPr>
              <w:t>F</w:t>
            </w:r>
          </w:p>
        </w:tc>
        <w:tc>
          <w:tcPr>
            <w:tcW w:w="2127" w:type="dxa"/>
          </w:tcPr>
          <w:p w:rsidR="00D8713A" w:rsidRDefault="007A4E58">
            <w:pPr>
              <w:pStyle w:val="TableParagraph"/>
              <w:ind w:left="669" w:right="656"/>
              <w:rPr>
                <w:sz w:val="20"/>
              </w:rPr>
            </w:pPr>
            <w:r>
              <w:rPr>
                <w:sz w:val="20"/>
              </w:rPr>
              <w:t>3115.7</w:t>
            </w:r>
          </w:p>
        </w:tc>
        <w:tc>
          <w:tcPr>
            <w:tcW w:w="2127" w:type="dxa"/>
          </w:tcPr>
          <w:p w:rsidR="00D8713A" w:rsidRDefault="007A4E58">
            <w:pPr>
              <w:pStyle w:val="TableParagraph"/>
              <w:ind w:left="669" w:right="657"/>
              <w:rPr>
                <w:sz w:val="20"/>
              </w:rPr>
            </w:pPr>
            <w:r>
              <w:rPr>
                <w:sz w:val="20"/>
              </w:rPr>
              <w:t>11417.9</w:t>
            </w:r>
          </w:p>
        </w:tc>
      </w:tr>
      <w:tr w:rsidR="00D8713A">
        <w:trPr>
          <w:trHeight w:val="230"/>
        </w:trPr>
        <w:tc>
          <w:tcPr>
            <w:tcW w:w="1951" w:type="dxa"/>
            <w:vMerge/>
            <w:tcBorders>
              <w:top w:val="nil"/>
            </w:tcBorders>
          </w:tcPr>
          <w:p w:rsidR="00D8713A" w:rsidRDefault="00D8713A">
            <w:pPr>
              <w:rPr>
                <w:sz w:val="2"/>
                <w:szCs w:val="2"/>
              </w:rPr>
            </w:pPr>
          </w:p>
        </w:tc>
        <w:tc>
          <w:tcPr>
            <w:tcW w:w="1843" w:type="dxa"/>
            <w:vMerge w:val="restart"/>
          </w:tcPr>
          <w:p w:rsidR="00D8713A" w:rsidRDefault="007A4E58">
            <w:pPr>
              <w:pStyle w:val="TableParagraph"/>
              <w:spacing w:before="7" w:line="240" w:lineRule="auto"/>
              <w:ind w:left="156" w:right="146"/>
              <w:rPr>
                <w:sz w:val="20"/>
              </w:rPr>
            </w:pPr>
            <w:r>
              <w:rPr>
                <w:sz w:val="20"/>
              </w:rPr>
              <w:t>30</w:t>
            </w:r>
          </w:p>
          <w:p w:rsidR="00D8713A" w:rsidRDefault="007A4E58">
            <w:pPr>
              <w:pStyle w:val="TableParagraph"/>
              <w:spacing w:before="1" w:line="229" w:lineRule="exact"/>
              <w:ind w:left="156" w:right="148"/>
              <w:rPr>
                <w:sz w:val="20"/>
              </w:rPr>
            </w:pPr>
            <w:r>
              <w:rPr>
                <w:sz w:val="20"/>
              </w:rPr>
              <w:t>(NOAEL for M/F)</w:t>
            </w:r>
          </w:p>
        </w:tc>
        <w:tc>
          <w:tcPr>
            <w:tcW w:w="1133" w:type="dxa"/>
          </w:tcPr>
          <w:p w:rsidR="00D8713A" w:rsidRDefault="007A4E58">
            <w:pPr>
              <w:pStyle w:val="TableParagraph"/>
              <w:ind w:left="9"/>
              <w:rPr>
                <w:sz w:val="20"/>
              </w:rPr>
            </w:pPr>
            <w:r>
              <w:rPr>
                <w:w w:val="99"/>
                <w:sz w:val="20"/>
              </w:rPr>
              <w:t>M</w:t>
            </w:r>
          </w:p>
        </w:tc>
        <w:tc>
          <w:tcPr>
            <w:tcW w:w="2127" w:type="dxa"/>
          </w:tcPr>
          <w:p w:rsidR="00D8713A" w:rsidRDefault="007A4E58">
            <w:pPr>
              <w:pStyle w:val="TableParagraph"/>
              <w:ind w:left="669" w:right="656"/>
              <w:rPr>
                <w:sz w:val="20"/>
              </w:rPr>
            </w:pPr>
            <w:r>
              <w:rPr>
                <w:sz w:val="20"/>
              </w:rPr>
              <w:t>5551.3</w:t>
            </w:r>
          </w:p>
        </w:tc>
        <w:tc>
          <w:tcPr>
            <w:tcW w:w="2127" w:type="dxa"/>
          </w:tcPr>
          <w:p w:rsidR="00D8713A" w:rsidRDefault="007A4E58">
            <w:pPr>
              <w:pStyle w:val="TableParagraph"/>
              <w:ind w:left="669" w:right="657"/>
              <w:rPr>
                <w:sz w:val="20"/>
              </w:rPr>
            </w:pPr>
            <w:r>
              <w:rPr>
                <w:sz w:val="20"/>
              </w:rPr>
              <w:t>23926.8</w:t>
            </w:r>
          </w:p>
        </w:tc>
      </w:tr>
      <w:tr w:rsidR="00D8713A">
        <w:trPr>
          <w:trHeight w:val="246"/>
        </w:trPr>
        <w:tc>
          <w:tcPr>
            <w:tcW w:w="1951" w:type="dxa"/>
            <w:vMerge/>
            <w:tcBorders>
              <w:top w:val="nil"/>
            </w:tcBorders>
          </w:tcPr>
          <w:p w:rsidR="00D8713A" w:rsidRDefault="00D8713A">
            <w:pPr>
              <w:rPr>
                <w:sz w:val="2"/>
                <w:szCs w:val="2"/>
              </w:rPr>
            </w:pPr>
          </w:p>
        </w:tc>
        <w:tc>
          <w:tcPr>
            <w:tcW w:w="1843" w:type="dxa"/>
            <w:vMerge/>
            <w:tcBorders>
              <w:top w:val="nil"/>
            </w:tcBorders>
          </w:tcPr>
          <w:p w:rsidR="00D8713A" w:rsidRDefault="00D8713A">
            <w:pPr>
              <w:rPr>
                <w:sz w:val="2"/>
                <w:szCs w:val="2"/>
              </w:rPr>
            </w:pPr>
          </w:p>
        </w:tc>
        <w:tc>
          <w:tcPr>
            <w:tcW w:w="1133" w:type="dxa"/>
          </w:tcPr>
          <w:p w:rsidR="00D8713A" w:rsidRDefault="007A4E58">
            <w:pPr>
              <w:pStyle w:val="TableParagraph"/>
              <w:spacing w:before="2" w:line="224" w:lineRule="exact"/>
              <w:ind w:left="10"/>
              <w:rPr>
                <w:sz w:val="20"/>
              </w:rPr>
            </w:pPr>
            <w:r>
              <w:rPr>
                <w:w w:val="99"/>
                <w:sz w:val="20"/>
              </w:rPr>
              <w:t>F</w:t>
            </w:r>
          </w:p>
        </w:tc>
        <w:tc>
          <w:tcPr>
            <w:tcW w:w="2127" w:type="dxa"/>
          </w:tcPr>
          <w:p w:rsidR="00D8713A" w:rsidRDefault="007A4E58">
            <w:pPr>
              <w:pStyle w:val="TableParagraph"/>
              <w:spacing w:before="2" w:line="224" w:lineRule="exact"/>
              <w:ind w:left="669" w:right="656"/>
              <w:rPr>
                <w:sz w:val="20"/>
              </w:rPr>
            </w:pPr>
            <w:r>
              <w:rPr>
                <w:sz w:val="20"/>
              </w:rPr>
              <w:t>7129.2</w:t>
            </w:r>
          </w:p>
        </w:tc>
        <w:tc>
          <w:tcPr>
            <w:tcW w:w="2127" w:type="dxa"/>
          </w:tcPr>
          <w:p w:rsidR="00D8713A" w:rsidRDefault="007A4E58">
            <w:pPr>
              <w:pStyle w:val="TableParagraph"/>
              <w:spacing w:before="2" w:line="224" w:lineRule="exact"/>
              <w:ind w:left="669" w:right="657"/>
              <w:rPr>
                <w:sz w:val="20"/>
              </w:rPr>
            </w:pPr>
            <w:r>
              <w:rPr>
                <w:sz w:val="20"/>
              </w:rPr>
              <w:t>28066.0</w:t>
            </w:r>
          </w:p>
        </w:tc>
      </w:tr>
      <w:tr w:rsidR="00D8713A">
        <w:trPr>
          <w:trHeight w:val="229"/>
        </w:trPr>
        <w:tc>
          <w:tcPr>
            <w:tcW w:w="1951" w:type="dxa"/>
            <w:vMerge/>
            <w:tcBorders>
              <w:top w:val="nil"/>
            </w:tcBorders>
          </w:tcPr>
          <w:p w:rsidR="00D8713A" w:rsidRDefault="00D8713A">
            <w:pPr>
              <w:rPr>
                <w:sz w:val="2"/>
                <w:szCs w:val="2"/>
              </w:rPr>
            </w:pPr>
          </w:p>
        </w:tc>
        <w:tc>
          <w:tcPr>
            <w:tcW w:w="1843" w:type="dxa"/>
            <w:vMerge w:val="restart"/>
          </w:tcPr>
          <w:p w:rsidR="00D8713A" w:rsidRDefault="007A4E58">
            <w:pPr>
              <w:pStyle w:val="TableParagraph"/>
              <w:spacing w:before="113" w:line="240" w:lineRule="auto"/>
              <w:ind w:left="156" w:right="146"/>
              <w:rPr>
                <w:sz w:val="20"/>
              </w:rPr>
            </w:pPr>
            <w:r>
              <w:rPr>
                <w:sz w:val="20"/>
              </w:rPr>
              <w:t>100</w:t>
            </w:r>
          </w:p>
        </w:tc>
        <w:tc>
          <w:tcPr>
            <w:tcW w:w="1133" w:type="dxa"/>
          </w:tcPr>
          <w:p w:rsidR="00D8713A" w:rsidRDefault="007A4E58">
            <w:pPr>
              <w:pStyle w:val="TableParagraph"/>
              <w:ind w:left="9"/>
              <w:rPr>
                <w:sz w:val="20"/>
              </w:rPr>
            </w:pPr>
            <w:r>
              <w:rPr>
                <w:w w:val="99"/>
                <w:sz w:val="20"/>
              </w:rPr>
              <w:t>M</w:t>
            </w:r>
          </w:p>
        </w:tc>
        <w:tc>
          <w:tcPr>
            <w:tcW w:w="2127" w:type="dxa"/>
          </w:tcPr>
          <w:p w:rsidR="00D8713A" w:rsidRDefault="007A4E58">
            <w:pPr>
              <w:pStyle w:val="TableParagraph"/>
              <w:ind w:left="669" w:right="656"/>
              <w:rPr>
                <w:sz w:val="20"/>
              </w:rPr>
            </w:pPr>
            <w:r>
              <w:rPr>
                <w:sz w:val="20"/>
              </w:rPr>
              <w:t>12992.3</w:t>
            </w:r>
          </w:p>
        </w:tc>
        <w:tc>
          <w:tcPr>
            <w:tcW w:w="2127" w:type="dxa"/>
          </w:tcPr>
          <w:p w:rsidR="00D8713A" w:rsidRDefault="007A4E58">
            <w:pPr>
              <w:pStyle w:val="TableParagraph"/>
              <w:ind w:left="669" w:right="657"/>
              <w:rPr>
                <w:sz w:val="20"/>
              </w:rPr>
            </w:pPr>
            <w:r>
              <w:rPr>
                <w:sz w:val="20"/>
              </w:rPr>
              <w:t>64034.9</w:t>
            </w:r>
          </w:p>
        </w:tc>
      </w:tr>
      <w:tr w:rsidR="00D8713A">
        <w:trPr>
          <w:trHeight w:val="230"/>
        </w:trPr>
        <w:tc>
          <w:tcPr>
            <w:tcW w:w="1951" w:type="dxa"/>
            <w:vMerge/>
            <w:tcBorders>
              <w:top w:val="nil"/>
            </w:tcBorders>
          </w:tcPr>
          <w:p w:rsidR="00D8713A" w:rsidRDefault="00D8713A">
            <w:pPr>
              <w:rPr>
                <w:sz w:val="2"/>
                <w:szCs w:val="2"/>
              </w:rPr>
            </w:pPr>
          </w:p>
        </w:tc>
        <w:tc>
          <w:tcPr>
            <w:tcW w:w="1843" w:type="dxa"/>
            <w:vMerge/>
            <w:tcBorders>
              <w:top w:val="nil"/>
            </w:tcBorders>
          </w:tcPr>
          <w:p w:rsidR="00D8713A" w:rsidRDefault="00D8713A">
            <w:pPr>
              <w:rPr>
                <w:sz w:val="2"/>
                <w:szCs w:val="2"/>
              </w:rPr>
            </w:pPr>
          </w:p>
        </w:tc>
        <w:tc>
          <w:tcPr>
            <w:tcW w:w="1133" w:type="dxa"/>
          </w:tcPr>
          <w:p w:rsidR="00D8713A" w:rsidRDefault="007A4E58">
            <w:pPr>
              <w:pStyle w:val="TableParagraph"/>
              <w:ind w:left="10"/>
              <w:rPr>
                <w:sz w:val="20"/>
              </w:rPr>
            </w:pPr>
            <w:r>
              <w:rPr>
                <w:w w:val="99"/>
                <w:sz w:val="20"/>
              </w:rPr>
              <w:t>F</w:t>
            </w:r>
          </w:p>
        </w:tc>
        <w:tc>
          <w:tcPr>
            <w:tcW w:w="2127" w:type="dxa"/>
          </w:tcPr>
          <w:p w:rsidR="00D8713A" w:rsidRDefault="007A4E58">
            <w:pPr>
              <w:pStyle w:val="TableParagraph"/>
              <w:ind w:left="669" w:right="656"/>
              <w:rPr>
                <w:sz w:val="20"/>
              </w:rPr>
            </w:pPr>
            <w:r>
              <w:rPr>
                <w:sz w:val="20"/>
              </w:rPr>
              <w:t>14005.9</w:t>
            </w:r>
          </w:p>
        </w:tc>
        <w:tc>
          <w:tcPr>
            <w:tcW w:w="2127" w:type="dxa"/>
          </w:tcPr>
          <w:p w:rsidR="00D8713A" w:rsidRDefault="007A4E58">
            <w:pPr>
              <w:pStyle w:val="TableParagraph"/>
              <w:ind w:left="669" w:right="657"/>
              <w:rPr>
                <w:sz w:val="20"/>
              </w:rPr>
            </w:pPr>
            <w:r>
              <w:rPr>
                <w:sz w:val="20"/>
              </w:rPr>
              <w:t>77944.4</w:t>
            </w:r>
          </w:p>
        </w:tc>
      </w:tr>
      <w:tr w:rsidR="00D8713A">
        <w:trPr>
          <w:trHeight w:val="460"/>
        </w:trPr>
        <w:tc>
          <w:tcPr>
            <w:tcW w:w="1951" w:type="dxa"/>
          </w:tcPr>
          <w:p w:rsidR="00D8713A" w:rsidRDefault="007A4E58">
            <w:pPr>
              <w:pStyle w:val="TableParagraph"/>
              <w:spacing w:line="223" w:lineRule="exact"/>
              <w:ind w:left="107"/>
              <w:jc w:val="left"/>
              <w:rPr>
                <w:sz w:val="20"/>
              </w:rPr>
            </w:pPr>
            <w:r>
              <w:rPr>
                <w:sz w:val="20"/>
              </w:rPr>
              <w:t>Rat, single, id</w:t>
            </w:r>
          </w:p>
          <w:p w:rsidR="00D8713A" w:rsidRDefault="007A4E58">
            <w:pPr>
              <w:pStyle w:val="TableParagraph"/>
              <w:spacing w:line="217" w:lineRule="exact"/>
              <w:ind w:left="107"/>
              <w:jc w:val="left"/>
              <w:rPr>
                <w:sz w:val="20"/>
              </w:rPr>
            </w:pPr>
            <w:r>
              <w:rPr>
                <w:sz w:val="20"/>
              </w:rPr>
              <w:t>(</w:t>
            </w:r>
            <w:r w:rsidR="00481E2B">
              <w:rPr>
                <w:sz w:val="20"/>
              </w:rPr>
              <w:t>Project I</w:t>
            </w:r>
            <w:r>
              <w:rPr>
                <w:sz w:val="20"/>
              </w:rPr>
              <w:t>-PH-0009)</w:t>
            </w:r>
          </w:p>
        </w:tc>
        <w:tc>
          <w:tcPr>
            <w:tcW w:w="1843" w:type="dxa"/>
          </w:tcPr>
          <w:p w:rsidR="00D8713A" w:rsidRDefault="007A4E58">
            <w:pPr>
              <w:pStyle w:val="TableParagraph"/>
              <w:spacing w:line="223" w:lineRule="exact"/>
              <w:ind w:left="156" w:right="144"/>
              <w:rPr>
                <w:sz w:val="20"/>
              </w:rPr>
            </w:pPr>
            <w:r>
              <w:rPr>
                <w:sz w:val="20"/>
              </w:rPr>
              <w:t>0.1</w:t>
            </w:r>
          </w:p>
          <w:p w:rsidR="00D8713A" w:rsidRDefault="007A4E58">
            <w:pPr>
              <w:pStyle w:val="TableParagraph"/>
              <w:spacing w:line="217" w:lineRule="exact"/>
              <w:ind w:left="156" w:right="147"/>
              <w:rPr>
                <w:sz w:val="20"/>
              </w:rPr>
            </w:pPr>
            <w:r>
              <w:rPr>
                <w:sz w:val="20"/>
              </w:rPr>
              <w:t>(PAD)</w:t>
            </w:r>
          </w:p>
        </w:tc>
        <w:tc>
          <w:tcPr>
            <w:tcW w:w="1133" w:type="dxa"/>
          </w:tcPr>
          <w:p w:rsidR="00D8713A" w:rsidRDefault="007A4E58">
            <w:pPr>
              <w:pStyle w:val="TableParagraph"/>
              <w:spacing w:before="108" w:line="240" w:lineRule="auto"/>
              <w:ind w:left="10"/>
              <w:rPr>
                <w:sz w:val="20"/>
              </w:rPr>
            </w:pPr>
            <w:r>
              <w:rPr>
                <w:w w:val="99"/>
                <w:sz w:val="20"/>
              </w:rPr>
              <w:t>F</w:t>
            </w:r>
          </w:p>
        </w:tc>
        <w:tc>
          <w:tcPr>
            <w:tcW w:w="2127" w:type="dxa"/>
          </w:tcPr>
          <w:p w:rsidR="00D8713A" w:rsidRDefault="007A4E58">
            <w:pPr>
              <w:pStyle w:val="TableParagraph"/>
              <w:spacing w:before="108" w:line="240" w:lineRule="auto"/>
              <w:ind w:left="669" w:right="653"/>
              <w:rPr>
                <w:sz w:val="20"/>
              </w:rPr>
            </w:pPr>
            <w:r>
              <w:rPr>
                <w:sz w:val="20"/>
              </w:rPr>
              <w:t>14.9</w:t>
            </w:r>
          </w:p>
        </w:tc>
        <w:tc>
          <w:tcPr>
            <w:tcW w:w="2127" w:type="dxa"/>
          </w:tcPr>
          <w:p w:rsidR="00D8713A" w:rsidRDefault="007A4E58">
            <w:pPr>
              <w:pStyle w:val="TableParagraph"/>
              <w:spacing w:before="108" w:line="240" w:lineRule="auto"/>
              <w:ind w:left="12"/>
              <w:rPr>
                <w:sz w:val="20"/>
              </w:rPr>
            </w:pPr>
            <w:r>
              <w:rPr>
                <w:w w:val="99"/>
                <w:sz w:val="20"/>
              </w:rPr>
              <w:t>-</w:t>
            </w:r>
          </w:p>
        </w:tc>
      </w:tr>
    </w:tbl>
    <w:p w:rsidR="00D8713A" w:rsidRDefault="007A4E58">
      <w:pPr>
        <w:spacing w:before="54" w:line="300" w:lineRule="auto"/>
        <w:ind w:left="215" w:right="2513"/>
        <w:rPr>
          <w:sz w:val="20"/>
        </w:rPr>
      </w:pPr>
      <w:r>
        <w:rPr>
          <w:sz w:val="20"/>
        </w:rPr>
        <w:t>NOAEL: no observed adverse-effect level; id: intraduodenally; PAD: pharmacologically active dose. Mean values of C</w:t>
      </w:r>
      <w:r>
        <w:rPr>
          <w:sz w:val="20"/>
          <w:vertAlign w:val="subscript"/>
        </w:rPr>
        <w:t>max</w:t>
      </w:r>
      <w:r>
        <w:rPr>
          <w:sz w:val="20"/>
        </w:rPr>
        <w:t xml:space="preserve"> and AUC</w:t>
      </w:r>
      <w:r>
        <w:rPr>
          <w:sz w:val="20"/>
          <w:vertAlign w:val="subscript"/>
        </w:rPr>
        <w:t>24</w:t>
      </w:r>
      <w:r>
        <w:rPr>
          <w:sz w:val="20"/>
        </w:rPr>
        <w:t xml:space="preserve"> are presented.</w:t>
      </w:r>
    </w:p>
    <w:p w:rsidR="00D8713A" w:rsidRDefault="00481E2B">
      <w:pPr>
        <w:pStyle w:val="a3"/>
        <w:spacing w:before="88" w:line="261" w:lineRule="auto"/>
        <w:ind w:left="215" w:right="1781"/>
      </w:pPr>
      <w:r>
        <w:t>PROJECT I</w:t>
      </w:r>
      <w:r w:rsidR="007A4E58">
        <w:t xml:space="preserve"> revealed no in vitro or in vivo genotoxic potential. </w:t>
      </w:r>
      <w:r>
        <w:t>PROJECT I</w:t>
      </w:r>
      <w:r w:rsidR="007A4E58">
        <w:t xml:space="preserve"> revealed no teratogenic potential in rats or rabbits, although fetal growth retardation was observed at the highest dose tested. </w:t>
      </w:r>
      <w:r>
        <w:t>PROJECT I</w:t>
      </w:r>
      <w:r w:rsidR="007A4E58">
        <w:t xml:space="preserve"> revealed no in vitro phototoxic potential.</w:t>
      </w:r>
    </w:p>
    <w:p w:rsidR="00D8713A" w:rsidRDefault="007A4E58">
      <w:pPr>
        <w:pStyle w:val="a3"/>
        <w:spacing w:before="118"/>
        <w:ind w:left="215"/>
      </w:pPr>
      <w:r>
        <w:t>Nonclinical findings and their relevance to human usage are summarized in [</w:t>
      </w:r>
      <w:hyperlink w:anchor="_bookmark62" w:history="1">
        <w:r>
          <w:t>Table 3</w:t>
        </w:r>
      </w:hyperlink>
      <w:r>
        <w:t>].</w:t>
      </w:r>
    </w:p>
    <w:p w:rsidR="00D8713A" w:rsidRDefault="007A4E58">
      <w:pPr>
        <w:pStyle w:val="a3"/>
        <w:spacing w:before="144" w:line="261" w:lineRule="auto"/>
        <w:ind w:left="215" w:right="1974"/>
      </w:pPr>
      <w:r>
        <w:t xml:space="preserve">Overall, the nonclinical study package consisting of pharmacology, pharmacokinetics and toxicology supports clinical development of </w:t>
      </w:r>
      <w:r w:rsidR="00481E2B">
        <w:t>PROJECT I</w:t>
      </w:r>
      <w:r>
        <w:t>.</w:t>
      </w:r>
    </w:p>
    <w:p w:rsidR="00D8713A" w:rsidRDefault="00D8713A">
      <w:pPr>
        <w:spacing w:line="261" w:lineRule="auto"/>
        <w:sectPr w:rsidR="00D8713A">
          <w:pgSz w:w="12240" w:h="15840"/>
          <w:pgMar w:top="1240" w:right="0" w:bottom="940" w:left="1400" w:header="581" w:footer="748" w:gutter="0"/>
          <w:cols w:space="720"/>
        </w:sectPr>
      </w:pPr>
    </w:p>
    <w:p w:rsidR="00D8713A" w:rsidRDefault="00D8713A">
      <w:pPr>
        <w:pStyle w:val="a3"/>
        <w:rPr>
          <w:sz w:val="20"/>
        </w:rPr>
      </w:pPr>
    </w:p>
    <w:p w:rsidR="00D8713A" w:rsidRDefault="007A4E58">
      <w:pPr>
        <w:pStyle w:val="3"/>
        <w:tabs>
          <w:tab w:val="left" w:pos="1633"/>
        </w:tabs>
        <w:spacing w:before="208"/>
        <w:ind w:left="215"/>
      </w:pPr>
      <w:bookmarkStart w:id="56" w:name="_bookmark62"/>
      <w:bookmarkEnd w:id="56"/>
      <w:r>
        <w:t>Table 3</w:t>
      </w:r>
      <w:r>
        <w:tab/>
        <w:t>Summary of Nonclinical Findings and Their Relevance to Human</w:t>
      </w:r>
      <w:r>
        <w:rPr>
          <w:spacing w:val="-9"/>
        </w:rPr>
        <w:t xml:space="preserve"> </w:t>
      </w:r>
      <w:r>
        <w:t>Usage</w:t>
      </w:r>
    </w:p>
    <w:p w:rsidR="00D8713A" w:rsidRDefault="00D8713A">
      <w:pPr>
        <w:pStyle w:val="a3"/>
        <w:spacing w:before="6"/>
        <w:rPr>
          <w:b/>
          <w:sz w:val="5"/>
        </w:rPr>
      </w:pPr>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071"/>
        <w:gridCol w:w="4152"/>
      </w:tblGrid>
      <w:tr w:rsidR="00D8713A">
        <w:trPr>
          <w:trHeight w:val="230"/>
        </w:trPr>
        <w:tc>
          <w:tcPr>
            <w:tcW w:w="5071" w:type="dxa"/>
          </w:tcPr>
          <w:p w:rsidR="00D8713A" w:rsidRDefault="007A4E58">
            <w:pPr>
              <w:pStyle w:val="TableParagraph"/>
              <w:ind w:left="107"/>
              <w:jc w:val="left"/>
              <w:rPr>
                <w:b/>
                <w:sz w:val="20"/>
              </w:rPr>
            </w:pPr>
            <w:r>
              <w:rPr>
                <w:b/>
                <w:sz w:val="20"/>
              </w:rPr>
              <w:t>Nonclinical Findings</w:t>
            </w:r>
          </w:p>
        </w:tc>
        <w:tc>
          <w:tcPr>
            <w:tcW w:w="4152" w:type="dxa"/>
          </w:tcPr>
          <w:p w:rsidR="00D8713A" w:rsidRDefault="007A4E58">
            <w:pPr>
              <w:pStyle w:val="TableParagraph"/>
              <w:ind w:left="107"/>
              <w:jc w:val="left"/>
              <w:rPr>
                <w:b/>
                <w:sz w:val="20"/>
              </w:rPr>
            </w:pPr>
            <w:r>
              <w:rPr>
                <w:b/>
                <w:sz w:val="20"/>
              </w:rPr>
              <w:t>Relevance to Human Usage</w:t>
            </w:r>
          </w:p>
        </w:tc>
      </w:tr>
      <w:tr w:rsidR="00D8713A">
        <w:trPr>
          <w:trHeight w:val="460"/>
        </w:trPr>
        <w:tc>
          <w:tcPr>
            <w:tcW w:w="5071" w:type="dxa"/>
          </w:tcPr>
          <w:p w:rsidR="00D8713A" w:rsidRDefault="007A4E58">
            <w:pPr>
              <w:pStyle w:val="TableParagraph"/>
              <w:spacing w:line="223" w:lineRule="exact"/>
              <w:ind w:left="107"/>
              <w:jc w:val="left"/>
              <w:rPr>
                <w:sz w:val="20"/>
              </w:rPr>
            </w:pPr>
            <w:r>
              <w:rPr>
                <w:sz w:val="20"/>
              </w:rPr>
              <w:t>&lt;Pharmacological activity&gt;</w:t>
            </w:r>
          </w:p>
          <w:p w:rsidR="00D8713A" w:rsidRDefault="007A4E58">
            <w:pPr>
              <w:pStyle w:val="TableParagraph"/>
              <w:spacing w:line="217" w:lineRule="exact"/>
              <w:ind w:left="107"/>
              <w:jc w:val="left"/>
              <w:rPr>
                <w:sz w:val="20"/>
              </w:rPr>
            </w:pPr>
            <w:r>
              <w:rPr>
                <w:sz w:val="20"/>
              </w:rPr>
              <w:t>Agonistic action on MT</w:t>
            </w:r>
            <w:r>
              <w:rPr>
                <w:sz w:val="20"/>
                <w:vertAlign w:val="subscript"/>
              </w:rPr>
              <w:t>1</w:t>
            </w:r>
            <w:r>
              <w:rPr>
                <w:sz w:val="20"/>
              </w:rPr>
              <w:t xml:space="preserve"> and MT</w:t>
            </w:r>
            <w:r>
              <w:rPr>
                <w:sz w:val="20"/>
                <w:vertAlign w:val="subscript"/>
              </w:rPr>
              <w:t>2</w:t>
            </w:r>
            <w:r>
              <w:rPr>
                <w:sz w:val="20"/>
              </w:rPr>
              <w:t xml:space="preserve"> melatonin receptors</w:t>
            </w:r>
          </w:p>
        </w:tc>
        <w:tc>
          <w:tcPr>
            <w:tcW w:w="4152" w:type="dxa"/>
          </w:tcPr>
          <w:p w:rsidR="00D8713A" w:rsidRDefault="00D8713A">
            <w:pPr>
              <w:pStyle w:val="TableParagraph"/>
              <w:spacing w:before="5" w:line="240" w:lineRule="auto"/>
              <w:jc w:val="left"/>
              <w:rPr>
                <w:b/>
                <w:sz w:val="19"/>
              </w:rPr>
            </w:pPr>
          </w:p>
          <w:p w:rsidR="00D8713A" w:rsidRDefault="007A4E58">
            <w:pPr>
              <w:pStyle w:val="TableParagraph"/>
              <w:spacing w:line="217" w:lineRule="exact"/>
              <w:ind w:left="107"/>
              <w:jc w:val="left"/>
              <w:rPr>
                <w:sz w:val="20"/>
              </w:rPr>
            </w:pPr>
            <w:r>
              <w:rPr>
                <w:sz w:val="20"/>
              </w:rPr>
              <w:t>Potential for sleep disturbances and somnolence</w:t>
            </w:r>
          </w:p>
        </w:tc>
      </w:tr>
      <w:tr w:rsidR="00D8713A">
        <w:trPr>
          <w:trHeight w:val="457"/>
        </w:trPr>
        <w:tc>
          <w:tcPr>
            <w:tcW w:w="5071" w:type="dxa"/>
          </w:tcPr>
          <w:p w:rsidR="00D8713A" w:rsidRDefault="007A4E58">
            <w:pPr>
              <w:pStyle w:val="TableParagraph"/>
              <w:spacing w:line="223" w:lineRule="exact"/>
              <w:ind w:left="107"/>
              <w:jc w:val="left"/>
              <w:rPr>
                <w:sz w:val="20"/>
              </w:rPr>
            </w:pPr>
            <w:r>
              <w:rPr>
                <w:sz w:val="20"/>
              </w:rPr>
              <w:t>&lt;Nervous system from safety pharmacology&gt;</w:t>
            </w:r>
          </w:p>
          <w:p w:rsidR="00D8713A" w:rsidRDefault="007A4E58">
            <w:pPr>
              <w:pStyle w:val="TableParagraph"/>
              <w:spacing w:line="215" w:lineRule="exact"/>
              <w:ind w:left="107"/>
              <w:jc w:val="left"/>
              <w:rPr>
                <w:sz w:val="20"/>
              </w:rPr>
            </w:pPr>
            <w:r>
              <w:rPr>
                <w:sz w:val="20"/>
              </w:rPr>
              <w:t>Vomiting in dogs</w:t>
            </w:r>
          </w:p>
        </w:tc>
        <w:tc>
          <w:tcPr>
            <w:tcW w:w="4152" w:type="dxa"/>
          </w:tcPr>
          <w:p w:rsidR="00D8713A" w:rsidRDefault="00D8713A">
            <w:pPr>
              <w:pStyle w:val="TableParagraph"/>
              <w:spacing w:before="5" w:line="240" w:lineRule="auto"/>
              <w:jc w:val="left"/>
              <w:rPr>
                <w:b/>
                <w:sz w:val="19"/>
              </w:rPr>
            </w:pPr>
          </w:p>
          <w:p w:rsidR="00D8713A" w:rsidRDefault="007A4E58">
            <w:pPr>
              <w:pStyle w:val="TableParagraph"/>
              <w:spacing w:line="215" w:lineRule="exact"/>
              <w:ind w:left="107"/>
              <w:jc w:val="left"/>
              <w:rPr>
                <w:sz w:val="20"/>
              </w:rPr>
            </w:pPr>
            <w:r>
              <w:rPr>
                <w:sz w:val="20"/>
              </w:rPr>
              <w:t>Potential for vomiting and nausea</w:t>
            </w:r>
          </w:p>
        </w:tc>
      </w:tr>
      <w:tr w:rsidR="00D8713A">
        <w:trPr>
          <w:trHeight w:val="460"/>
        </w:trPr>
        <w:tc>
          <w:tcPr>
            <w:tcW w:w="5071" w:type="dxa"/>
          </w:tcPr>
          <w:p w:rsidR="00D8713A" w:rsidRDefault="007A4E58">
            <w:pPr>
              <w:pStyle w:val="TableParagraph"/>
              <w:spacing w:line="228" w:lineRule="exact"/>
              <w:ind w:left="107" w:right="1337"/>
              <w:jc w:val="left"/>
              <w:rPr>
                <w:sz w:val="20"/>
              </w:rPr>
            </w:pPr>
            <w:r>
              <w:rPr>
                <w:sz w:val="20"/>
              </w:rPr>
              <w:t>&lt;Cardiovascular from safety pharmacology&gt; Increase in heart rate in dogs</w:t>
            </w:r>
          </w:p>
        </w:tc>
        <w:tc>
          <w:tcPr>
            <w:tcW w:w="4152" w:type="dxa"/>
          </w:tcPr>
          <w:p w:rsidR="00D8713A" w:rsidRDefault="00D8713A">
            <w:pPr>
              <w:pStyle w:val="TableParagraph"/>
              <w:spacing w:before="5" w:line="240" w:lineRule="auto"/>
              <w:jc w:val="left"/>
              <w:rPr>
                <w:b/>
                <w:sz w:val="19"/>
              </w:rPr>
            </w:pPr>
          </w:p>
          <w:p w:rsidR="00D8713A" w:rsidRDefault="007A4E58">
            <w:pPr>
              <w:pStyle w:val="TableParagraph"/>
              <w:spacing w:line="217" w:lineRule="exact"/>
              <w:ind w:left="107"/>
              <w:jc w:val="left"/>
              <w:rPr>
                <w:sz w:val="20"/>
              </w:rPr>
            </w:pPr>
            <w:r>
              <w:rPr>
                <w:sz w:val="20"/>
              </w:rPr>
              <w:t>Potential for increase in heart rate</w:t>
            </w:r>
          </w:p>
        </w:tc>
      </w:tr>
      <w:tr w:rsidR="00D8713A">
        <w:trPr>
          <w:trHeight w:val="921"/>
        </w:trPr>
        <w:tc>
          <w:tcPr>
            <w:tcW w:w="5071" w:type="dxa"/>
          </w:tcPr>
          <w:p w:rsidR="00D8713A" w:rsidRDefault="007A4E58">
            <w:pPr>
              <w:pStyle w:val="TableParagraph"/>
              <w:spacing w:line="223" w:lineRule="exact"/>
              <w:ind w:left="107"/>
              <w:jc w:val="left"/>
              <w:rPr>
                <w:sz w:val="20"/>
              </w:rPr>
            </w:pPr>
            <w:r>
              <w:rPr>
                <w:sz w:val="20"/>
              </w:rPr>
              <w:t>&lt;Liver&gt;</w:t>
            </w:r>
          </w:p>
          <w:p w:rsidR="00D8713A" w:rsidRDefault="007A4E58">
            <w:pPr>
              <w:pStyle w:val="TableParagraph"/>
              <w:spacing w:line="240" w:lineRule="auto"/>
              <w:ind w:left="107"/>
              <w:jc w:val="left"/>
              <w:rPr>
                <w:sz w:val="20"/>
              </w:rPr>
            </w:pPr>
            <w:r>
              <w:rPr>
                <w:sz w:val="20"/>
              </w:rPr>
              <w:t>Slightly high ALT, ALP, and cholesterol</w:t>
            </w:r>
          </w:p>
          <w:p w:rsidR="00D8713A" w:rsidRDefault="007A4E58">
            <w:pPr>
              <w:pStyle w:val="TableParagraph"/>
              <w:spacing w:before="1" w:line="230" w:lineRule="atLeast"/>
              <w:ind w:left="107" w:right="374"/>
              <w:jc w:val="left"/>
              <w:rPr>
                <w:sz w:val="20"/>
              </w:rPr>
            </w:pPr>
            <w:r>
              <w:rPr>
                <w:sz w:val="20"/>
              </w:rPr>
              <w:t>High liver weight, hepatocyte hypertrophy in rats (due to metabolic enzyme induction)</w:t>
            </w:r>
          </w:p>
        </w:tc>
        <w:tc>
          <w:tcPr>
            <w:tcW w:w="4152" w:type="dxa"/>
          </w:tcPr>
          <w:p w:rsidR="00D8713A" w:rsidRDefault="00D8713A">
            <w:pPr>
              <w:pStyle w:val="TableParagraph"/>
              <w:spacing w:before="5" w:line="240" w:lineRule="auto"/>
              <w:jc w:val="left"/>
              <w:rPr>
                <w:b/>
                <w:sz w:val="19"/>
              </w:rPr>
            </w:pPr>
          </w:p>
          <w:p w:rsidR="00D8713A" w:rsidRDefault="007A4E58">
            <w:pPr>
              <w:pStyle w:val="TableParagraph"/>
              <w:spacing w:line="240" w:lineRule="auto"/>
              <w:ind w:left="799"/>
              <w:jc w:val="left"/>
              <w:rPr>
                <w:sz w:val="20"/>
              </w:rPr>
            </w:pPr>
            <w:r>
              <w:rPr>
                <w:sz w:val="20"/>
              </w:rPr>
              <w:t>Little relevance to human usage</w:t>
            </w:r>
          </w:p>
        </w:tc>
      </w:tr>
      <w:tr w:rsidR="00D8713A">
        <w:trPr>
          <w:trHeight w:val="688"/>
        </w:trPr>
        <w:tc>
          <w:tcPr>
            <w:tcW w:w="5071" w:type="dxa"/>
          </w:tcPr>
          <w:p w:rsidR="00D8713A" w:rsidRDefault="007A4E58">
            <w:pPr>
              <w:pStyle w:val="TableParagraph"/>
              <w:spacing w:line="223" w:lineRule="exact"/>
              <w:ind w:left="107"/>
              <w:jc w:val="left"/>
              <w:rPr>
                <w:sz w:val="20"/>
              </w:rPr>
            </w:pPr>
            <w:r>
              <w:rPr>
                <w:sz w:val="20"/>
              </w:rPr>
              <w:t>&lt;Thyroid gland&gt;</w:t>
            </w:r>
          </w:p>
          <w:p w:rsidR="00D8713A" w:rsidRDefault="007A4E58">
            <w:pPr>
              <w:pStyle w:val="TableParagraph"/>
              <w:spacing w:before="4" w:line="228" w:lineRule="exact"/>
              <w:ind w:left="107" w:right="163"/>
              <w:jc w:val="left"/>
              <w:rPr>
                <w:sz w:val="20"/>
              </w:rPr>
            </w:pPr>
            <w:r>
              <w:rPr>
                <w:sz w:val="20"/>
              </w:rPr>
              <w:t>High thyroid weight, follicular cell hypertrophy in rats (due to metabolic enzyme induction in the liver)</w:t>
            </w:r>
          </w:p>
        </w:tc>
        <w:tc>
          <w:tcPr>
            <w:tcW w:w="4152" w:type="dxa"/>
          </w:tcPr>
          <w:p w:rsidR="00D8713A" w:rsidRDefault="00D8713A">
            <w:pPr>
              <w:pStyle w:val="TableParagraph"/>
              <w:spacing w:before="5" w:line="240" w:lineRule="auto"/>
              <w:jc w:val="left"/>
              <w:rPr>
                <w:b/>
                <w:sz w:val="19"/>
              </w:rPr>
            </w:pPr>
          </w:p>
          <w:p w:rsidR="00D8713A" w:rsidRDefault="007A4E58">
            <w:pPr>
              <w:pStyle w:val="TableParagraph"/>
              <w:spacing w:line="240" w:lineRule="auto"/>
              <w:ind w:left="107"/>
              <w:jc w:val="left"/>
              <w:rPr>
                <w:sz w:val="20"/>
              </w:rPr>
            </w:pPr>
            <w:r>
              <w:rPr>
                <w:sz w:val="20"/>
              </w:rPr>
              <w:t>Little relevance to human usage</w:t>
            </w:r>
          </w:p>
        </w:tc>
      </w:tr>
      <w:tr w:rsidR="00D8713A">
        <w:trPr>
          <w:trHeight w:val="1151"/>
        </w:trPr>
        <w:tc>
          <w:tcPr>
            <w:tcW w:w="5071" w:type="dxa"/>
          </w:tcPr>
          <w:p w:rsidR="00D8713A" w:rsidRDefault="007A4E58">
            <w:pPr>
              <w:pStyle w:val="TableParagraph"/>
              <w:spacing w:line="223" w:lineRule="exact"/>
              <w:ind w:left="107"/>
              <w:jc w:val="left"/>
              <w:rPr>
                <w:sz w:val="20"/>
              </w:rPr>
            </w:pPr>
            <w:r>
              <w:rPr>
                <w:sz w:val="20"/>
              </w:rPr>
              <w:t>&lt;Kidney&gt;</w:t>
            </w:r>
          </w:p>
          <w:p w:rsidR="00D8713A" w:rsidRDefault="007A4E58">
            <w:pPr>
              <w:pStyle w:val="TableParagraph"/>
              <w:spacing w:line="240" w:lineRule="auto"/>
              <w:ind w:left="107" w:right="163"/>
              <w:jc w:val="left"/>
              <w:rPr>
                <w:sz w:val="20"/>
              </w:rPr>
            </w:pPr>
            <w:r>
              <w:rPr>
                <w:sz w:val="20"/>
              </w:rPr>
              <w:t>High urine volume, low urine specific gravity, high urinary total Na and Cl excretion, low urinary pH, high kidney weight in rats</w:t>
            </w:r>
          </w:p>
          <w:p w:rsidR="00D8713A" w:rsidRDefault="007A4E58">
            <w:pPr>
              <w:pStyle w:val="TableParagraph"/>
              <w:spacing w:before="1" w:line="217" w:lineRule="exact"/>
              <w:ind w:left="107"/>
              <w:jc w:val="left"/>
              <w:rPr>
                <w:sz w:val="20"/>
              </w:rPr>
            </w:pPr>
            <w:r>
              <w:rPr>
                <w:sz w:val="20"/>
              </w:rPr>
              <w:t>Occult blood in urine in dogs</w:t>
            </w:r>
          </w:p>
        </w:tc>
        <w:tc>
          <w:tcPr>
            <w:tcW w:w="4152" w:type="dxa"/>
          </w:tcPr>
          <w:p w:rsidR="00D8713A" w:rsidRDefault="00D8713A">
            <w:pPr>
              <w:pStyle w:val="TableParagraph"/>
              <w:spacing w:before="5" w:line="240" w:lineRule="auto"/>
              <w:jc w:val="left"/>
              <w:rPr>
                <w:b/>
                <w:sz w:val="19"/>
              </w:rPr>
            </w:pPr>
          </w:p>
          <w:p w:rsidR="00D8713A" w:rsidRDefault="007A4E58">
            <w:pPr>
              <w:pStyle w:val="TableParagraph"/>
              <w:spacing w:line="240" w:lineRule="auto"/>
              <w:ind w:left="107"/>
              <w:jc w:val="left"/>
              <w:rPr>
                <w:sz w:val="20"/>
              </w:rPr>
            </w:pPr>
            <w:r>
              <w:rPr>
                <w:sz w:val="20"/>
              </w:rPr>
              <w:t>Potential for renal and urinary disorders</w:t>
            </w:r>
          </w:p>
        </w:tc>
      </w:tr>
      <w:tr w:rsidR="00D8713A">
        <w:trPr>
          <w:trHeight w:val="688"/>
        </w:trPr>
        <w:tc>
          <w:tcPr>
            <w:tcW w:w="5071" w:type="dxa"/>
          </w:tcPr>
          <w:p w:rsidR="00D8713A" w:rsidRDefault="007A4E58">
            <w:pPr>
              <w:pStyle w:val="TableParagraph"/>
              <w:spacing w:line="223" w:lineRule="exact"/>
              <w:ind w:left="107"/>
              <w:jc w:val="left"/>
              <w:rPr>
                <w:sz w:val="20"/>
              </w:rPr>
            </w:pPr>
            <w:r>
              <w:rPr>
                <w:sz w:val="20"/>
              </w:rPr>
              <w:t>&lt;Hematopoietic system&gt;</w:t>
            </w:r>
          </w:p>
          <w:p w:rsidR="00D8713A" w:rsidRDefault="007A4E58">
            <w:pPr>
              <w:pStyle w:val="TableParagraph"/>
              <w:spacing w:before="4" w:line="228" w:lineRule="exact"/>
              <w:ind w:left="107" w:right="145"/>
              <w:jc w:val="left"/>
              <w:rPr>
                <w:sz w:val="20"/>
              </w:rPr>
            </w:pPr>
            <w:r>
              <w:rPr>
                <w:sz w:val="20"/>
              </w:rPr>
              <w:t>High neutrophil count, high hemoglobin, hematocrit, MCV, reticulocyte ratio, and monocyte count</w:t>
            </w:r>
          </w:p>
        </w:tc>
        <w:tc>
          <w:tcPr>
            <w:tcW w:w="4152" w:type="dxa"/>
          </w:tcPr>
          <w:p w:rsidR="00D8713A" w:rsidRDefault="00D8713A">
            <w:pPr>
              <w:pStyle w:val="TableParagraph"/>
              <w:spacing w:before="5" w:line="240" w:lineRule="auto"/>
              <w:jc w:val="left"/>
              <w:rPr>
                <w:b/>
                <w:sz w:val="19"/>
              </w:rPr>
            </w:pPr>
          </w:p>
          <w:p w:rsidR="00D8713A" w:rsidRDefault="007A4E58">
            <w:pPr>
              <w:pStyle w:val="TableParagraph"/>
              <w:spacing w:line="240" w:lineRule="auto"/>
              <w:ind w:left="107"/>
              <w:jc w:val="left"/>
              <w:rPr>
                <w:sz w:val="20"/>
              </w:rPr>
            </w:pPr>
            <w:r>
              <w:rPr>
                <w:sz w:val="20"/>
              </w:rPr>
              <w:t>Potential for hematopoietic system disorders</w:t>
            </w:r>
          </w:p>
        </w:tc>
      </w:tr>
      <w:tr w:rsidR="00D8713A">
        <w:trPr>
          <w:trHeight w:val="2759"/>
        </w:trPr>
        <w:tc>
          <w:tcPr>
            <w:tcW w:w="5071" w:type="dxa"/>
          </w:tcPr>
          <w:p w:rsidR="00D8713A" w:rsidRDefault="007A4E58">
            <w:pPr>
              <w:pStyle w:val="TableParagraph"/>
              <w:spacing w:line="223" w:lineRule="exact"/>
              <w:ind w:left="107"/>
              <w:jc w:val="left"/>
              <w:rPr>
                <w:sz w:val="20"/>
              </w:rPr>
            </w:pPr>
            <w:r>
              <w:rPr>
                <w:sz w:val="20"/>
              </w:rPr>
              <w:t>&lt;Drug interactions&gt;</w:t>
            </w:r>
          </w:p>
          <w:p w:rsidR="00D8713A" w:rsidRDefault="00481E2B">
            <w:pPr>
              <w:pStyle w:val="TableParagraph"/>
              <w:spacing w:line="240" w:lineRule="auto"/>
              <w:ind w:left="107" w:right="682"/>
              <w:jc w:val="left"/>
              <w:rPr>
                <w:sz w:val="20"/>
              </w:rPr>
            </w:pPr>
            <w:r>
              <w:rPr>
                <w:sz w:val="20"/>
              </w:rPr>
              <w:t>PROJECT I</w:t>
            </w:r>
            <w:r w:rsidR="007A4E58">
              <w:rPr>
                <w:sz w:val="20"/>
              </w:rPr>
              <w:t xml:space="preserve"> is a substrate and inhibitor of CYP1A2. Time-dependent inhibition of CYP1A2 was observed</w:t>
            </w:r>
          </w:p>
        </w:tc>
        <w:tc>
          <w:tcPr>
            <w:tcW w:w="4152" w:type="dxa"/>
          </w:tcPr>
          <w:p w:rsidR="00D8713A" w:rsidRDefault="00D8713A">
            <w:pPr>
              <w:pStyle w:val="TableParagraph"/>
              <w:spacing w:before="5" w:line="240" w:lineRule="auto"/>
              <w:jc w:val="left"/>
              <w:rPr>
                <w:b/>
                <w:sz w:val="19"/>
              </w:rPr>
            </w:pPr>
          </w:p>
          <w:p w:rsidR="00D8713A" w:rsidRDefault="007A4E58">
            <w:pPr>
              <w:pStyle w:val="TableParagraph"/>
              <w:spacing w:line="240" w:lineRule="auto"/>
              <w:ind w:left="107" w:right="165"/>
              <w:jc w:val="left"/>
              <w:rPr>
                <w:sz w:val="20"/>
              </w:rPr>
            </w:pPr>
            <w:r>
              <w:rPr>
                <w:sz w:val="20"/>
              </w:rPr>
              <w:t xml:space="preserve">CYP1A2 dependent drug interactions can be expected: strong CYP1A2 inhibitors (e.g., ciprofloxacin, fluvoxamine) may elevate </w:t>
            </w:r>
            <w:r w:rsidR="00481E2B">
              <w:rPr>
                <w:sz w:val="20"/>
              </w:rPr>
              <w:t>PROJECT I</w:t>
            </w:r>
            <w:r>
              <w:rPr>
                <w:sz w:val="20"/>
              </w:rPr>
              <w:t xml:space="preserve"> plasma levels and </w:t>
            </w:r>
            <w:r w:rsidR="00481E2B">
              <w:rPr>
                <w:sz w:val="20"/>
              </w:rPr>
              <w:t>PROJECT I</w:t>
            </w:r>
            <w:r>
              <w:rPr>
                <w:sz w:val="20"/>
              </w:rPr>
              <w:t xml:space="preserve"> may increase plasma levels of CYP1A2 substrates. Smoking behaviour (induction of CYP1A2) and caffeine intake (substrate of CYP1A2) (black/green tea, coffee, energy drinks) will be addressed. Volunteers should be non-smokers.</w:t>
            </w:r>
          </w:p>
          <w:p w:rsidR="00D8713A" w:rsidRDefault="007A4E58">
            <w:pPr>
              <w:pStyle w:val="TableParagraph"/>
              <w:spacing w:before="5" w:line="228" w:lineRule="exact"/>
              <w:ind w:left="107" w:right="815"/>
              <w:jc w:val="left"/>
              <w:rPr>
                <w:sz w:val="20"/>
              </w:rPr>
            </w:pPr>
            <w:r>
              <w:rPr>
                <w:sz w:val="20"/>
              </w:rPr>
              <w:t xml:space="preserve">Potential for autoinhibition of </w:t>
            </w:r>
            <w:r w:rsidR="00481E2B">
              <w:rPr>
                <w:sz w:val="20"/>
              </w:rPr>
              <w:t>PROJECT I</w:t>
            </w:r>
            <w:r>
              <w:rPr>
                <w:sz w:val="20"/>
              </w:rPr>
              <w:t xml:space="preserve"> metabolism</w:t>
            </w:r>
          </w:p>
        </w:tc>
      </w:tr>
    </w:tbl>
    <w:p w:rsidR="00D8713A" w:rsidRDefault="007A4E58">
      <w:pPr>
        <w:spacing w:before="53"/>
        <w:ind w:left="215"/>
        <w:rPr>
          <w:sz w:val="20"/>
        </w:rPr>
      </w:pPr>
      <w:r>
        <w:rPr>
          <w:sz w:val="20"/>
        </w:rPr>
        <w:t>ALP: alkaline phosphatase; ALT: alanine aminotransferase; CYP: cytochrome P450; MCV: mean cell volume.</w:t>
      </w:r>
    </w:p>
    <w:p w:rsidR="00D8713A" w:rsidRDefault="007A4E58">
      <w:pPr>
        <w:pStyle w:val="4"/>
        <w:spacing w:line="273" w:lineRule="exact"/>
      </w:pPr>
      <w:r>
        <w:t>List of References</w:t>
      </w:r>
    </w:p>
    <w:p w:rsidR="00D8713A" w:rsidRDefault="007A4E58">
      <w:pPr>
        <w:ind w:left="781" w:right="1743" w:hanging="567"/>
      </w:pPr>
      <w:r>
        <w:t>Hall AP, Elcombe CR, Foster JR, Harada T, Kaufmann W, Knippel A, et al. Liver hypertrophy: a review of adaptive (adverse and non-adverse) changes--conclusions from the 3rd International ESTP Expert Workshop. Toxicol Pathol. 2012;40:971-94.</w:t>
      </w:r>
    </w:p>
    <w:p w:rsidR="00D8713A" w:rsidRDefault="00D8713A" w:rsidP="007A4E58">
      <w:pPr>
        <w:pStyle w:val="a3"/>
        <w:rPr>
          <w:sz w:val="20"/>
        </w:rPr>
      </w:pPr>
    </w:p>
    <w:sectPr w:rsidR="00D8713A">
      <w:headerReference w:type="default" r:id="rId8"/>
      <w:footerReference w:type="default" r:id="rId9"/>
      <w:pgSz w:w="11910" w:h="16840"/>
      <w:pgMar w:top="1120" w:right="1220" w:bottom="280" w:left="12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2571" w:rsidRDefault="00012571">
      <w:r>
        <w:separator/>
      </w:r>
    </w:p>
  </w:endnote>
  <w:endnote w:type="continuationSeparator" w:id="0">
    <w:p w:rsidR="00012571" w:rsidRDefault="000125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713A" w:rsidRDefault="00D8713A">
    <w:pPr>
      <w:pStyle w:val="a3"/>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2571" w:rsidRDefault="00012571">
      <w:r>
        <w:separator/>
      </w:r>
    </w:p>
  </w:footnote>
  <w:footnote w:type="continuationSeparator" w:id="0">
    <w:p w:rsidR="00012571" w:rsidRDefault="000125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713A" w:rsidRDefault="00D8713A">
    <w:pPr>
      <w:pStyle w:val="a3"/>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713A" w:rsidRDefault="00D8713A">
    <w:pPr>
      <w:pStyle w:val="a3"/>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97DE2"/>
    <w:multiLevelType w:val="hybridMultilevel"/>
    <w:tmpl w:val="59B62936"/>
    <w:lvl w:ilvl="0" w:tplc="851AD5F8">
      <w:numFmt w:val="bullet"/>
      <w:lvlText w:val="&gt;"/>
      <w:lvlJc w:val="left"/>
      <w:pPr>
        <w:ind w:left="1749" w:hanging="164"/>
      </w:pPr>
      <w:rPr>
        <w:rFonts w:ascii="Times New Roman" w:eastAsia="Times New Roman" w:hAnsi="Times New Roman" w:cs="Times New Roman" w:hint="default"/>
        <w:w w:val="99"/>
        <w:sz w:val="20"/>
        <w:szCs w:val="20"/>
      </w:rPr>
    </w:lvl>
    <w:lvl w:ilvl="1" w:tplc="471C94AA">
      <w:numFmt w:val="bullet"/>
      <w:lvlText w:val="•"/>
      <w:lvlJc w:val="left"/>
      <w:pPr>
        <w:ind w:left="1928" w:hanging="164"/>
      </w:pPr>
      <w:rPr>
        <w:rFonts w:hint="default"/>
      </w:rPr>
    </w:lvl>
    <w:lvl w:ilvl="2" w:tplc="C16E4A96">
      <w:numFmt w:val="bullet"/>
      <w:lvlText w:val="•"/>
      <w:lvlJc w:val="left"/>
      <w:pPr>
        <w:ind w:left="2116" w:hanging="164"/>
      </w:pPr>
      <w:rPr>
        <w:rFonts w:hint="default"/>
      </w:rPr>
    </w:lvl>
    <w:lvl w:ilvl="3" w:tplc="E3421DF2">
      <w:numFmt w:val="bullet"/>
      <w:lvlText w:val="•"/>
      <w:lvlJc w:val="left"/>
      <w:pPr>
        <w:ind w:left="2304" w:hanging="164"/>
      </w:pPr>
      <w:rPr>
        <w:rFonts w:hint="default"/>
      </w:rPr>
    </w:lvl>
    <w:lvl w:ilvl="4" w:tplc="4962BFBE">
      <w:numFmt w:val="bullet"/>
      <w:lvlText w:val="•"/>
      <w:lvlJc w:val="left"/>
      <w:pPr>
        <w:ind w:left="2492" w:hanging="164"/>
      </w:pPr>
      <w:rPr>
        <w:rFonts w:hint="default"/>
      </w:rPr>
    </w:lvl>
    <w:lvl w:ilvl="5" w:tplc="917824D2">
      <w:numFmt w:val="bullet"/>
      <w:lvlText w:val="•"/>
      <w:lvlJc w:val="left"/>
      <w:pPr>
        <w:ind w:left="2680" w:hanging="164"/>
      </w:pPr>
      <w:rPr>
        <w:rFonts w:hint="default"/>
      </w:rPr>
    </w:lvl>
    <w:lvl w:ilvl="6" w:tplc="13D65E8A">
      <w:numFmt w:val="bullet"/>
      <w:lvlText w:val="•"/>
      <w:lvlJc w:val="left"/>
      <w:pPr>
        <w:ind w:left="2868" w:hanging="164"/>
      </w:pPr>
      <w:rPr>
        <w:rFonts w:hint="default"/>
      </w:rPr>
    </w:lvl>
    <w:lvl w:ilvl="7" w:tplc="33907FF4">
      <w:numFmt w:val="bullet"/>
      <w:lvlText w:val="•"/>
      <w:lvlJc w:val="left"/>
      <w:pPr>
        <w:ind w:left="3056" w:hanging="164"/>
      </w:pPr>
      <w:rPr>
        <w:rFonts w:hint="default"/>
      </w:rPr>
    </w:lvl>
    <w:lvl w:ilvl="8" w:tplc="4D86694C">
      <w:numFmt w:val="bullet"/>
      <w:lvlText w:val="•"/>
      <w:lvlJc w:val="left"/>
      <w:pPr>
        <w:ind w:left="3244" w:hanging="164"/>
      </w:pPr>
      <w:rPr>
        <w:rFonts w:hint="default"/>
      </w:rPr>
    </w:lvl>
  </w:abstractNum>
  <w:abstractNum w:abstractNumId="1" w15:restartNumberingAfterBreak="0">
    <w:nsid w:val="0F4B6F6A"/>
    <w:multiLevelType w:val="multilevel"/>
    <w:tmpl w:val="64520378"/>
    <w:lvl w:ilvl="0">
      <w:start w:val="1"/>
      <w:numFmt w:val="decimal"/>
      <w:lvlText w:val="%1"/>
      <w:lvlJc w:val="left"/>
      <w:pPr>
        <w:ind w:left="611" w:hanging="396"/>
        <w:jc w:val="left"/>
      </w:pPr>
      <w:rPr>
        <w:rFonts w:ascii="Times New Roman" w:eastAsia="Times New Roman" w:hAnsi="Times New Roman" w:cs="Times New Roman" w:hint="default"/>
        <w:b/>
        <w:bCs/>
        <w:spacing w:val="-1"/>
        <w:w w:val="100"/>
        <w:sz w:val="24"/>
        <w:szCs w:val="24"/>
      </w:rPr>
    </w:lvl>
    <w:lvl w:ilvl="1">
      <w:start w:val="1"/>
      <w:numFmt w:val="decimal"/>
      <w:lvlText w:val="%1.%2"/>
      <w:lvlJc w:val="left"/>
      <w:pPr>
        <w:ind w:left="1319" w:hanging="708"/>
        <w:jc w:val="left"/>
      </w:pPr>
      <w:rPr>
        <w:rFonts w:ascii="Times New Roman" w:eastAsia="Times New Roman" w:hAnsi="Times New Roman" w:cs="Times New Roman" w:hint="default"/>
        <w:spacing w:val="-5"/>
        <w:w w:val="100"/>
        <w:sz w:val="24"/>
        <w:szCs w:val="24"/>
      </w:rPr>
    </w:lvl>
    <w:lvl w:ilvl="2">
      <w:start w:val="1"/>
      <w:numFmt w:val="decimal"/>
      <w:lvlText w:val="%1.%2.%3"/>
      <w:lvlJc w:val="left"/>
      <w:pPr>
        <w:ind w:left="2156" w:hanging="838"/>
        <w:jc w:val="left"/>
      </w:pPr>
      <w:rPr>
        <w:rFonts w:ascii="Times New Roman" w:eastAsia="Times New Roman" w:hAnsi="Times New Roman" w:cs="Times New Roman" w:hint="default"/>
        <w:spacing w:val="-5"/>
        <w:w w:val="100"/>
        <w:sz w:val="24"/>
        <w:szCs w:val="24"/>
      </w:rPr>
    </w:lvl>
    <w:lvl w:ilvl="3">
      <w:numFmt w:val="bullet"/>
      <w:lvlText w:val="•"/>
      <w:lvlJc w:val="left"/>
      <w:pPr>
        <w:ind w:left="3245" w:hanging="838"/>
      </w:pPr>
      <w:rPr>
        <w:rFonts w:hint="default"/>
      </w:rPr>
    </w:lvl>
    <w:lvl w:ilvl="4">
      <w:numFmt w:val="bullet"/>
      <w:lvlText w:val="•"/>
      <w:lvlJc w:val="left"/>
      <w:pPr>
        <w:ind w:left="4330" w:hanging="838"/>
      </w:pPr>
      <w:rPr>
        <w:rFonts w:hint="default"/>
      </w:rPr>
    </w:lvl>
    <w:lvl w:ilvl="5">
      <w:numFmt w:val="bullet"/>
      <w:lvlText w:val="•"/>
      <w:lvlJc w:val="left"/>
      <w:pPr>
        <w:ind w:left="5415" w:hanging="838"/>
      </w:pPr>
      <w:rPr>
        <w:rFonts w:hint="default"/>
      </w:rPr>
    </w:lvl>
    <w:lvl w:ilvl="6">
      <w:numFmt w:val="bullet"/>
      <w:lvlText w:val="•"/>
      <w:lvlJc w:val="left"/>
      <w:pPr>
        <w:ind w:left="6500" w:hanging="838"/>
      </w:pPr>
      <w:rPr>
        <w:rFonts w:hint="default"/>
      </w:rPr>
    </w:lvl>
    <w:lvl w:ilvl="7">
      <w:numFmt w:val="bullet"/>
      <w:lvlText w:val="•"/>
      <w:lvlJc w:val="left"/>
      <w:pPr>
        <w:ind w:left="7585" w:hanging="838"/>
      </w:pPr>
      <w:rPr>
        <w:rFonts w:hint="default"/>
      </w:rPr>
    </w:lvl>
    <w:lvl w:ilvl="8">
      <w:numFmt w:val="bullet"/>
      <w:lvlText w:val="•"/>
      <w:lvlJc w:val="left"/>
      <w:pPr>
        <w:ind w:left="8670" w:hanging="838"/>
      </w:pPr>
      <w:rPr>
        <w:rFonts w:hint="default"/>
      </w:rPr>
    </w:lvl>
  </w:abstractNum>
  <w:abstractNum w:abstractNumId="2" w15:restartNumberingAfterBreak="0">
    <w:nsid w:val="10D32692"/>
    <w:multiLevelType w:val="multilevel"/>
    <w:tmpl w:val="9434F33A"/>
    <w:lvl w:ilvl="0">
      <w:start w:val="1"/>
      <w:numFmt w:val="decimal"/>
      <w:lvlText w:val="%1"/>
      <w:lvlJc w:val="left"/>
      <w:pPr>
        <w:ind w:left="923" w:hanging="708"/>
        <w:jc w:val="left"/>
      </w:pPr>
      <w:rPr>
        <w:rFonts w:ascii="Times New Roman" w:eastAsia="Times New Roman" w:hAnsi="Times New Roman" w:cs="Times New Roman" w:hint="default"/>
        <w:b/>
        <w:bCs/>
        <w:w w:val="100"/>
        <w:sz w:val="22"/>
        <w:szCs w:val="22"/>
      </w:rPr>
    </w:lvl>
    <w:lvl w:ilvl="1">
      <w:start w:val="1"/>
      <w:numFmt w:val="decimal"/>
      <w:lvlText w:val="%1.%2"/>
      <w:lvlJc w:val="left"/>
      <w:pPr>
        <w:ind w:left="1348" w:hanging="850"/>
        <w:jc w:val="left"/>
      </w:pPr>
      <w:rPr>
        <w:rFonts w:ascii="Times New Roman" w:eastAsia="Times New Roman" w:hAnsi="Times New Roman" w:cs="Times New Roman" w:hint="default"/>
        <w:w w:val="100"/>
        <w:sz w:val="22"/>
        <w:szCs w:val="22"/>
      </w:rPr>
    </w:lvl>
    <w:lvl w:ilvl="2">
      <w:start w:val="1"/>
      <w:numFmt w:val="decimal"/>
      <w:lvlText w:val="%1.%2.%3"/>
      <w:lvlJc w:val="left"/>
      <w:pPr>
        <w:ind w:left="1775" w:hanging="994"/>
        <w:jc w:val="left"/>
      </w:pPr>
      <w:rPr>
        <w:rFonts w:ascii="Times New Roman" w:eastAsia="Times New Roman" w:hAnsi="Times New Roman" w:cs="Times New Roman" w:hint="default"/>
        <w:w w:val="100"/>
        <w:sz w:val="22"/>
        <w:szCs w:val="22"/>
      </w:rPr>
    </w:lvl>
    <w:lvl w:ilvl="3">
      <w:start w:val="1"/>
      <w:numFmt w:val="decimal"/>
      <w:lvlText w:val="%1.%2.%3.%4"/>
      <w:lvlJc w:val="left"/>
      <w:pPr>
        <w:ind w:left="2200" w:hanging="1133"/>
        <w:jc w:val="left"/>
      </w:pPr>
      <w:rPr>
        <w:rFonts w:ascii="Times New Roman" w:eastAsia="Times New Roman" w:hAnsi="Times New Roman" w:cs="Times New Roman" w:hint="default"/>
        <w:w w:val="100"/>
        <w:sz w:val="22"/>
        <w:szCs w:val="22"/>
      </w:rPr>
    </w:lvl>
    <w:lvl w:ilvl="4">
      <w:numFmt w:val="bullet"/>
      <w:lvlText w:val="•"/>
      <w:lvlJc w:val="left"/>
      <w:pPr>
        <w:ind w:left="3434" w:hanging="1133"/>
      </w:pPr>
      <w:rPr>
        <w:rFonts w:hint="default"/>
      </w:rPr>
    </w:lvl>
    <w:lvl w:ilvl="5">
      <w:numFmt w:val="bullet"/>
      <w:lvlText w:val="•"/>
      <w:lvlJc w:val="left"/>
      <w:pPr>
        <w:ind w:left="4668" w:hanging="1133"/>
      </w:pPr>
      <w:rPr>
        <w:rFonts w:hint="default"/>
      </w:rPr>
    </w:lvl>
    <w:lvl w:ilvl="6">
      <w:numFmt w:val="bullet"/>
      <w:lvlText w:val="•"/>
      <w:lvlJc w:val="left"/>
      <w:pPr>
        <w:ind w:left="5902" w:hanging="1133"/>
      </w:pPr>
      <w:rPr>
        <w:rFonts w:hint="default"/>
      </w:rPr>
    </w:lvl>
    <w:lvl w:ilvl="7">
      <w:numFmt w:val="bullet"/>
      <w:lvlText w:val="•"/>
      <w:lvlJc w:val="left"/>
      <w:pPr>
        <w:ind w:left="7137" w:hanging="1133"/>
      </w:pPr>
      <w:rPr>
        <w:rFonts w:hint="default"/>
      </w:rPr>
    </w:lvl>
    <w:lvl w:ilvl="8">
      <w:numFmt w:val="bullet"/>
      <w:lvlText w:val="•"/>
      <w:lvlJc w:val="left"/>
      <w:pPr>
        <w:ind w:left="8371" w:hanging="1133"/>
      </w:pPr>
      <w:rPr>
        <w:rFonts w:hint="default"/>
      </w:rPr>
    </w:lvl>
  </w:abstractNum>
  <w:abstractNum w:abstractNumId="3" w15:restartNumberingAfterBreak="0">
    <w:nsid w:val="11D41878"/>
    <w:multiLevelType w:val="hybridMultilevel"/>
    <w:tmpl w:val="F67C835C"/>
    <w:lvl w:ilvl="0" w:tplc="F7F07680">
      <w:numFmt w:val="bullet"/>
      <w:lvlText w:val="&gt;"/>
      <w:lvlJc w:val="left"/>
      <w:pPr>
        <w:ind w:left="1749" w:hanging="164"/>
      </w:pPr>
      <w:rPr>
        <w:rFonts w:ascii="Times New Roman" w:eastAsia="Times New Roman" w:hAnsi="Times New Roman" w:cs="Times New Roman" w:hint="default"/>
        <w:w w:val="99"/>
        <w:sz w:val="20"/>
        <w:szCs w:val="20"/>
      </w:rPr>
    </w:lvl>
    <w:lvl w:ilvl="1" w:tplc="8DA21672">
      <w:numFmt w:val="bullet"/>
      <w:lvlText w:val="•"/>
      <w:lvlJc w:val="left"/>
      <w:pPr>
        <w:ind w:left="1928" w:hanging="164"/>
      </w:pPr>
      <w:rPr>
        <w:rFonts w:hint="default"/>
      </w:rPr>
    </w:lvl>
    <w:lvl w:ilvl="2" w:tplc="6E94B102">
      <w:numFmt w:val="bullet"/>
      <w:lvlText w:val="•"/>
      <w:lvlJc w:val="left"/>
      <w:pPr>
        <w:ind w:left="2116" w:hanging="164"/>
      </w:pPr>
      <w:rPr>
        <w:rFonts w:hint="default"/>
      </w:rPr>
    </w:lvl>
    <w:lvl w:ilvl="3" w:tplc="0BBA327C">
      <w:numFmt w:val="bullet"/>
      <w:lvlText w:val="•"/>
      <w:lvlJc w:val="left"/>
      <w:pPr>
        <w:ind w:left="2304" w:hanging="164"/>
      </w:pPr>
      <w:rPr>
        <w:rFonts w:hint="default"/>
      </w:rPr>
    </w:lvl>
    <w:lvl w:ilvl="4" w:tplc="2D9E682E">
      <w:numFmt w:val="bullet"/>
      <w:lvlText w:val="•"/>
      <w:lvlJc w:val="left"/>
      <w:pPr>
        <w:ind w:left="2492" w:hanging="164"/>
      </w:pPr>
      <w:rPr>
        <w:rFonts w:hint="default"/>
      </w:rPr>
    </w:lvl>
    <w:lvl w:ilvl="5" w:tplc="26CA699E">
      <w:numFmt w:val="bullet"/>
      <w:lvlText w:val="•"/>
      <w:lvlJc w:val="left"/>
      <w:pPr>
        <w:ind w:left="2680" w:hanging="164"/>
      </w:pPr>
      <w:rPr>
        <w:rFonts w:hint="default"/>
      </w:rPr>
    </w:lvl>
    <w:lvl w:ilvl="6" w:tplc="2F38EE80">
      <w:numFmt w:val="bullet"/>
      <w:lvlText w:val="•"/>
      <w:lvlJc w:val="left"/>
      <w:pPr>
        <w:ind w:left="2868" w:hanging="164"/>
      </w:pPr>
      <w:rPr>
        <w:rFonts w:hint="default"/>
      </w:rPr>
    </w:lvl>
    <w:lvl w:ilvl="7" w:tplc="43709096">
      <w:numFmt w:val="bullet"/>
      <w:lvlText w:val="•"/>
      <w:lvlJc w:val="left"/>
      <w:pPr>
        <w:ind w:left="3056" w:hanging="164"/>
      </w:pPr>
      <w:rPr>
        <w:rFonts w:hint="default"/>
      </w:rPr>
    </w:lvl>
    <w:lvl w:ilvl="8" w:tplc="59860154">
      <w:numFmt w:val="bullet"/>
      <w:lvlText w:val="•"/>
      <w:lvlJc w:val="left"/>
      <w:pPr>
        <w:ind w:left="3244" w:hanging="164"/>
      </w:pPr>
      <w:rPr>
        <w:rFonts w:hint="default"/>
      </w:rPr>
    </w:lvl>
  </w:abstractNum>
  <w:abstractNum w:abstractNumId="4" w15:restartNumberingAfterBreak="0">
    <w:nsid w:val="13653E54"/>
    <w:multiLevelType w:val="hybridMultilevel"/>
    <w:tmpl w:val="95A678C6"/>
    <w:lvl w:ilvl="0" w:tplc="9F449CAC">
      <w:numFmt w:val="bullet"/>
      <w:lvlText w:val="&gt;"/>
      <w:lvlJc w:val="left"/>
      <w:pPr>
        <w:ind w:left="1748" w:hanging="164"/>
      </w:pPr>
      <w:rPr>
        <w:rFonts w:ascii="Times New Roman" w:eastAsia="Times New Roman" w:hAnsi="Times New Roman" w:cs="Times New Roman" w:hint="default"/>
        <w:w w:val="99"/>
        <w:sz w:val="20"/>
        <w:szCs w:val="20"/>
      </w:rPr>
    </w:lvl>
    <w:lvl w:ilvl="1" w:tplc="0382D28E">
      <w:numFmt w:val="bullet"/>
      <w:lvlText w:val="•"/>
      <w:lvlJc w:val="left"/>
      <w:pPr>
        <w:ind w:left="1928" w:hanging="164"/>
      </w:pPr>
      <w:rPr>
        <w:rFonts w:hint="default"/>
      </w:rPr>
    </w:lvl>
    <w:lvl w:ilvl="2" w:tplc="2786AFA0">
      <w:numFmt w:val="bullet"/>
      <w:lvlText w:val="•"/>
      <w:lvlJc w:val="left"/>
      <w:pPr>
        <w:ind w:left="2116" w:hanging="164"/>
      </w:pPr>
      <w:rPr>
        <w:rFonts w:hint="default"/>
      </w:rPr>
    </w:lvl>
    <w:lvl w:ilvl="3" w:tplc="2C16C9A0">
      <w:numFmt w:val="bullet"/>
      <w:lvlText w:val="•"/>
      <w:lvlJc w:val="left"/>
      <w:pPr>
        <w:ind w:left="2304" w:hanging="164"/>
      </w:pPr>
      <w:rPr>
        <w:rFonts w:hint="default"/>
      </w:rPr>
    </w:lvl>
    <w:lvl w:ilvl="4" w:tplc="938CFD16">
      <w:numFmt w:val="bullet"/>
      <w:lvlText w:val="•"/>
      <w:lvlJc w:val="left"/>
      <w:pPr>
        <w:ind w:left="2492" w:hanging="164"/>
      </w:pPr>
      <w:rPr>
        <w:rFonts w:hint="default"/>
      </w:rPr>
    </w:lvl>
    <w:lvl w:ilvl="5" w:tplc="F2FC6BA0">
      <w:numFmt w:val="bullet"/>
      <w:lvlText w:val="•"/>
      <w:lvlJc w:val="left"/>
      <w:pPr>
        <w:ind w:left="2680" w:hanging="164"/>
      </w:pPr>
      <w:rPr>
        <w:rFonts w:hint="default"/>
      </w:rPr>
    </w:lvl>
    <w:lvl w:ilvl="6" w:tplc="463CC2AA">
      <w:numFmt w:val="bullet"/>
      <w:lvlText w:val="•"/>
      <w:lvlJc w:val="left"/>
      <w:pPr>
        <w:ind w:left="2868" w:hanging="164"/>
      </w:pPr>
      <w:rPr>
        <w:rFonts w:hint="default"/>
      </w:rPr>
    </w:lvl>
    <w:lvl w:ilvl="7" w:tplc="A7E0C538">
      <w:numFmt w:val="bullet"/>
      <w:lvlText w:val="•"/>
      <w:lvlJc w:val="left"/>
      <w:pPr>
        <w:ind w:left="3056" w:hanging="164"/>
      </w:pPr>
      <w:rPr>
        <w:rFonts w:hint="default"/>
      </w:rPr>
    </w:lvl>
    <w:lvl w:ilvl="8" w:tplc="ADA07F98">
      <w:numFmt w:val="bullet"/>
      <w:lvlText w:val="•"/>
      <w:lvlJc w:val="left"/>
      <w:pPr>
        <w:ind w:left="3244" w:hanging="164"/>
      </w:pPr>
      <w:rPr>
        <w:rFonts w:hint="default"/>
      </w:rPr>
    </w:lvl>
  </w:abstractNum>
  <w:abstractNum w:abstractNumId="5" w15:restartNumberingAfterBreak="0">
    <w:nsid w:val="1AEB7290"/>
    <w:multiLevelType w:val="multilevel"/>
    <w:tmpl w:val="9DA2F968"/>
    <w:lvl w:ilvl="0">
      <w:start w:val="4"/>
      <w:numFmt w:val="decimal"/>
      <w:lvlText w:val="%1"/>
      <w:lvlJc w:val="left"/>
      <w:pPr>
        <w:ind w:left="2200" w:hanging="1133"/>
        <w:jc w:val="left"/>
      </w:pPr>
      <w:rPr>
        <w:rFonts w:hint="default"/>
      </w:rPr>
    </w:lvl>
    <w:lvl w:ilvl="1">
      <w:start w:val="2"/>
      <w:numFmt w:val="decimal"/>
      <w:lvlText w:val="%1.%2"/>
      <w:lvlJc w:val="left"/>
      <w:pPr>
        <w:ind w:left="2200" w:hanging="1133"/>
        <w:jc w:val="left"/>
      </w:pPr>
      <w:rPr>
        <w:rFonts w:hint="default"/>
      </w:rPr>
    </w:lvl>
    <w:lvl w:ilvl="2">
      <w:start w:val="4"/>
      <w:numFmt w:val="decimal"/>
      <w:lvlText w:val="%1.%2.%3"/>
      <w:lvlJc w:val="left"/>
      <w:pPr>
        <w:ind w:left="2200" w:hanging="1133"/>
        <w:jc w:val="right"/>
      </w:pPr>
      <w:rPr>
        <w:rFonts w:hint="default"/>
      </w:rPr>
    </w:lvl>
    <w:lvl w:ilvl="3">
      <w:start w:val="2"/>
      <w:numFmt w:val="decimal"/>
      <w:lvlText w:val="%1.%2.%3.%4"/>
      <w:lvlJc w:val="left"/>
      <w:pPr>
        <w:ind w:left="2200" w:hanging="1133"/>
        <w:jc w:val="left"/>
      </w:pPr>
      <w:rPr>
        <w:rFonts w:ascii="Times New Roman" w:eastAsia="Times New Roman" w:hAnsi="Times New Roman" w:cs="Times New Roman" w:hint="default"/>
        <w:w w:val="100"/>
        <w:sz w:val="22"/>
        <w:szCs w:val="22"/>
      </w:rPr>
    </w:lvl>
    <w:lvl w:ilvl="4">
      <w:numFmt w:val="bullet"/>
      <w:lvlText w:val="•"/>
      <w:lvlJc w:val="left"/>
      <w:pPr>
        <w:ind w:left="5656" w:hanging="1133"/>
      </w:pPr>
      <w:rPr>
        <w:rFonts w:hint="default"/>
      </w:rPr>
    </w:lvl>
    <w:lvl w:ilvl="5">
      <w:numFmt w:val="bullet"/>
      <w:lvlText w:val="•"/>
      <w:lvlJc w:val="left"/>
      <w:pPr>
        <w:ind w:left="6520" w:hanging="1133"/>
      </w:pPr>
      <w:rPr>
        <w:rFonts w:hint="default"/>
      </w:rPr>
    </w:lvl>
    <w:lvl w:ilvl="6">
      <w:numFmt w:val="bullet"/>
      <w:lvlText w:val="•"/>
      <w:lvlJc w:val="left"/>
      <w:pPr>
        <w:ind w:left="7384" w:hanging="1133"/>
      </w:pPr>
      <w:rPr>
        <w:rFonts w:hint="default"/>
      </w:rPr>
    </w:lvl>
    <w:lvl w:ilvl="7">
      <w:numFmt w:val="bullet"/>
      <w:lvlText w:val="•"/>
      <w:lvlJc w:val="left"/>
      <w:pPr>
        <w:ind w:left="8248" w:hanging="1133"/>
      </w:pPr>
      <w:rPr>
        <w:rFonts w:hint="default"/>
      </w:rPr>
    </w:lvl>
    <w:lvl w:ilvl="8">
      <w:numFmt w:val="bullet"/>
      <w:lvlText w:val="•"/>
      <w:lvlJc w:val="left"/>
      <w:pPr>
        <w:ind w:left="9112" w:hanging="1133"/>
      </w:pPr>
      <w:rPr>
        <w:rFonts w:hint="default"/>
      </w:rPr>
    </w:lvl>
  </w:abstractNum>
  <w:abstractNum w:abstractNumId="6" w15:restartNumberingAfterBreak="0">
    <w:nsid w:val="243E185A"/>
    <w:multiLevelType w:val="hybridMultilevel"/>
    <w:tmpl w:val="AE7413FE"/>
    <w:lvl w:ilvl="0" w:tplc="37F08380">
      <w:numFmt w:val="bullet"/>
      <w:lvlText w:val="●"/>
      <w:lvlJc w:val="left"/>
      <w:pPr>
        <w:ind w:left="640" w:hanging="425"/>
      </w:pPr>
      <w:rPr>
        <w:rFonts w:ascii="Times New Roman" w:eastAsia="Times New Roman" w:hAnsi="Times New Roman" w:cs="Times New Roman" w:hint="default"/>
        <w:spacing w:val="-6"/>
        <w:w w:val="100"/>
        <w:sz w:val="24"/>
        <w:szCs w:val="24"/>
      </w:rPr>
    </w:lvl>
    <w:lvl w:ilvl="1" w:tplc="5314A162">
      <w:numFmt w:val="bullet"/>
      <w:lvlText w:val="•"/>
      <w:lvlJc w:val="left"/>
      <w:pPr>
        <w:ind w:left="1660" w:hanging="425"/>
      </w:pPr>
      <w:rPr>
        <w:rFonts w:hint="default"/>
      </w:rPr>
    </w:lvl>
    <w:lvl w:ilvl="2" w:tplc="ACC81E1E">
      <w:numFmt w:val="bullet"/>
      <w:lvlText w:val="•"/>
      <w:lvlJc w:val="left"/>
      <w:pPr>
        <w:ind w:left="2680" w:hanging="425"/>
      </w:pPr>
      <w:rPr>
        <w:rFonts w:hint="default"/>
      </w:rPr>
    </w:lvl>
    <w:lvl w:ilvl="3" w:tplc="D4EE3242">
      <w:numFmt w:val="bullet"/>
      <w:lvlText w:val="•"/>
      <w:lvlJc w:val="left"/>
      <w:pPr>
        <w:ind w:left="3700" w:hanging="425"/>
      </w:pPr>
      <w:rPr>
        <w:rFonts w:hint="default"/>
      </w:rPr>
    </w:lvl>
    <w:lvl w:ilvl="4" w:tplc="8F9E4124">
      <w:numFmt w:val="bullet"/>
      <w:lvlText w:val="•"/>
      <w:lvlJc w:val="left"/>
      <w:pPr>
        <w:ind w:left="4720" w:hanging="425"/>
      </w:pPr>
      <w:rPr>
        <w:rFonts w:hint="default"/>
      </w:rPr>
    </w:lvl>
    <w:lvl w:ilvl="5" w:tplc="6D20DAD6">
      <w:numFmt w:val="bullet"/>
      <w:lvlText w:val="•"/>
      <w:lvlJc w:val="left"/>
      <w:pPr>
        <w:ind w:left="5740" w:hanging="425"/>
      </w:pPr>
      <w:rPr>
        <w:rFonts w:hint="default"/>
      </w:rPr>
    </w:lvl>
    <w:lvl w:ilvl="6" w:tplc="C4AA5030">
      <w:numFmt w:val="bullet"/>
      <w:lvlText w:val="•"/>
      <w:lvlJc w:val="left"/>
      <w:pPr>
        <w:ind w:left="6760" w:hanging="425"/>
      </w:pPr>
      <w:rPr>
        <w:rFonts w:hint="default"/>
      </w:rPr>
    </w:lvl>
    <w:lvl w:ilvl="7" w:tplc="BFFC9C7A">
      <w:numFmt w:val="bullet"/>
      <w:lvlText w:val="•"/>
      <w:lvlJc w:val="left"/>
      <w:pPr>
        <w:ind w:left="7780" w:hanging="425"/>
      </w:pPr>
      <w:rPr>
        <w:rFonts w:hint="default"/>
      </w:rPr>
    </w:lvl>
    <w:lvl w:ilvl="8" w:tplc="8270ABF2">
      <w:numFmt w:val="bullet"/>
      <w:lvlText w:val="•"/>
      <w:lvlJc w:val="left"/>
      <w:pPr>
        <w:ind w:left="8800" w:hanging="425"/>
      </w:pPr>
      <w:rPr>
        <w:rFonts w:hint="default"/>
      </w:rPr>
    </w:lvl>
  </w:abstractNum>
  <w:abstractNum w:abstractNumId="7" w15:restartNumberingAfterBreak="0">
    <w:nsid w:val="24B27B46"/>
    <w:multiLevelType w:val="multilevel"/>
    <w:tmpl w:val="A01018F6"/>
    <w:lvl w:ilvl="0">
      <w:start w:val="4"/>
      <w:numFmt w:val="decimal"/>
      <w:lvlText w:val="%1"/>
      <w:lvlJc w:val="left"/>
      <w:pPr>
        <w:ind w:left="1067" w:hanging="852"/>
        <w:jc w:val="left"/>
      </w:pPr>
      <w:rPr>
        <w:rFonts w:hint="default"/>
      </w:rPr>
    </w:lvl>
    <w:lvl w:ilvl="1">
      <w:start w:val="2"/>
      <w:numFmt w:val="decimal"/>
      <w:lvlText w:val="%1.%2"/>
      <w:lvlJc w:val="left"/>
      <w:pPr>
        <w:ind w:left="1067" w:hanging="852"/>
        <w:jc w:val="left"/>
      </w:pPr>
      <w:rPr>
        <w:rFonts w:hint="default"/>
      </w:rPr>
    </w:lvl>
    <w:lvl w:ilvl="2">
      <w:start w:val="3"/>
      <w:numFmt w:val="decimal"/>
      <w:lvlText w:val="%1.%2.%3"/>
      <w:lvlJc w:val="left"/>
      <w:pPr>
        <w:ind w:left="1067" w:hanging="852"/>
        <w:jc w:val="left"/>
      </w:pPr>
      <w:rPr>
        <w:rFonts w:hint="default"/>
      </w:rPr>
    </w:lvl>
    <w:lvl w:ilvl="3">
      <w:start w:val="2"/>
      <w:numFmt w:val="decimal"/>
      <w:lvlText w:val="%1.%2.%3.%4"/>
      <w:lvlJc w:val="left"/>
      <w:pPr>
        <w:ind w:left="1067" w:hanging="852"/>
        <w:jc w:val="left"/>
      </w:pPr>
      <w:rPr>
        <w:rFonts w:ascii="Times New Roman" w:eastAsia="Times New Roman" w:hAnsi="Times New Roman" w:cs="Times New Roman" w:hint="default"/>
        <w:b/>
        <w:bCs/>
        <w:spacing w:val="-1"/>
        <w:w w:val="100"/>
        <w:sz w:val="24"/>
        <w:szCs w:val="24"/>
      </w:rPr>
    </w:lvl>
    <w:lvl w:ilvl="4">
      <w:numFmt w:val="bullet"/>
      <w:lvlText w:val="•"/>
      <w:lvlJc w:val="left"/>
      <w:pPr>
        <w:ind w:left="4972" w:hanging="852"/>
      </w:pPr>
      <w:rPr>
        <w:rFonts w:hint="default"/>
      </w:rPr>
    </w:lvl>
    <w:lvl w:ilvl="5">
      <w:numFmt w:val="bullet"/>
      <w:lvlText w:val="•"/>
      <w:lvlJc w:val="left"/>
      <w:pPr>
        <w:ind w:left="5950" w:hanging="852"/>
      </w:pPr>
      <w:rPr>
        <w:rFonts w:hint="default"/>
      </w:rPr>
    </w:lvl>
    <w:lvl w:ilvl="6">
      <w:numFmt w:val="bullet"/>
      <w:lvlText w:val="•"/>
      <w:lvlJc w:val="left"/>
      <w:pPr>
        <w:ind w:left="6928" w:hanging="852"/>
      </w:pPr>
      <w:rPr>
        <w:rFonts w:hint="default"/>
      </w:rPr>
    </w:lvl>
    <w:lvl w:ilvl="7">
      <w:numFmt w:val="bullet"/>
      <w:lvlText w:val="•"/>
      <w:lvlJc w:val="left"/>
      <w:pPr>
        <w:ind w:left="7906" w:hanging="852"/>
      </w:pPr>
      <w:rPr>
        <w:rFonts w:hint="default"/>
      </w:rPr>
    </w:lvl>
    <w:lvl w:ilvl="8">
      <w:numFmt w:val="bullet"/>
      <w:lvlText w:val="•"/>
      <w:lvlJc w:val="left"/>
      <w:pPr>
        <w:ind w:left="8884" w:hanging="852"/>
      </w:pPr>
      <w:rPr>
        <w:rFonts w:hint="default"/>
      </w:rPr>
    </w:lvl>
  </w:abstractNum>
  <w:abstractNum w:abstractNumId="8" w15:restartNumberingAfterBreak="0">
    <w:nsid w:val="24ED62A7"/>
    <w:multiLevelType w:val="multilevel"/>
    <w:tmpl w:val="18D87EE8"/>
    <w:lvl w:ilvl="0">
      <w:start w:val="4"/>
      <w:numFmt w:val="decimal"/>
      <w:lvlText w:val="%1"/>
      <w:lvlJc w:val="left"/>
      <w:pPr>
        <w:ind w:left="1067" w:hanging="852"/>
      </w:pPr>
      <w:rPr>
        <w:rFonts w:hint="default"/>
      </w:rPr>
    </w:lvl>
    <w:lvl w:ilvl="1">
      <w:start w:val="3"/>
      <w:numFmt w:val="decimal"/>
      <w:lvlText w:val="%1.%2"/>
      <w:lvlJc w:val="left"/>
      <w:pPr>
        <w:ind w:left="1067" w:hanging="852"/>
      </w:pPr>
      <w:rPr>
        <w:rFonts w:hint="default"/>
      </w:rPr>
    </w:lvl>
    <w:lvl w:ilvl="2">
      <w:start w:val="4"/>
      <w:numFmt w:val="decimal"/>
      <w:lvlText w:val="%1.%2.%3"/>
      <w:lvlJc w:val="left"/>
      <w:pPr>
        <w:ind w:left="1067" w:hanging="852"/>
      </w:pPr>
      <w:rPr>
        <w:rFonts w:hint="default"/>
      </w:rPr>
    </w:lvl>
    <w:lvl w:ilvl="3">
      <w:start w:val="1"/>
      <w:numFmt w:val="decimal"/>
      <w:lvlText w:val="%1.%2.%3.%4"/>
      <w:lvlJc w:val="left"/>
      <w:pPr>
        <w:ind w:left="1067" w:hanging="852"/>
      </w:pPr>
      <w:rPr>
        <w:rFonts w:ascii="Times New Roman" w:eastAsia="ＭＳ 明朝" w:hAnsi="Times New Roman" w:cs="Times New Roman" w:hint="default"/>
        <w:b/>
        <w:bCs/>
        <w:spacing w:val="-1"/>
        <w:w w:val="100"/>
        <w:sz w:val="24"/>
        <w:szCs w:val="24"/>
      </w:rPr>
    </w:lvl>
    <w:lvl w:ilvl="4">
      <w:numFmt w:val="bullet"/>
      <w:lvlText w:val="•"/>
      <w:lvlJc w:val="left"/>
      <w:pPr>
        <w:ind w:left="4972" w:hanging="852"/>
      </w:pPr>
      <w:rPr>
        <w:rFonts w:hint="default"/>
      </w:rPr>
    </w:lvl>
    <w:lvl w:ilvl="5">
      <w:numFmt w:val="bullet"/>
      <w:lvlText w:val="•"/>
      <w:lvlJc w:val="left"/>
      <w:pPr>
        <w:ind w:left="5950" w:hanging="852"/>
      </w:pPr>
      <w:rPr>
        <w:rFonts w:hint="default"/>
      </w:rPr>
    </w:lvl>
    <w:lvl w:ilvl="6">
      <w:numFmt w:val="bullet"/>
      <w:lvlText w:val="•"/>
      <w:lvlJc w:val="left"/>
      <w:pPr>
        <w:ind w:left="6928" w:hanging="852"/>
      </w:pPr>
      <w:rPr>
        <w:rFonts w:hint="default"/>
      </w:rPr>
    </w:lvl>
    <w:lvl w:ilvl="7">
      <w:numFmt w:val="bullet"/>
      <w:lvlText w:val="•"/>
      <w:lvlJc w:val="left"/>
      <w:pPr>
        <w:ind w:left="7906" w:hanging="852"/>
      </w:pPr>
      <w:rPr>
        <w:rFonts w:hint="default"/>
      </w:rPr>
    </w:lvl>
    <w:lvl w:ilvl="8">
      <w:numFmt w:val="bullet"/>
      <w:lvlText w:val="•"/>
      <w:lvlJc w:val="left"/>
      <w:pPr>
        <w:ind w:left="8884" w:hanging="852"/>
      </w:pPr>
      <w:rPr>
        <w:rFonts w:hint="default"/>
      </w:rPr>
    </w:lvl>
  </w:abstractNum>
  <w:abstractNum w:abstractNumId="9" w15:restartNumberingAfterBreak="0">
    <w:nsid w:val="292107F8"/>
    <w:multiLevelType w:val="multilevel"/>
    <w:tmpl w:val="5FCCACB2"/>
    <w:lvl w:ilvl="0">
      <w:start w:val="4"/>
      <w:numFmt w:val="decimal"/>
      <w:lvlText w:val="%1"/>
      <w:lvlJc w:val="left"/>
      <w:pPr>
        <w:ind w:left="1067" w:hanging="852"/>
        <w:jc w:val="left"/>
      </w:pPr>
      <w:rPr>
        <w:rFonts w:hint="default"/>
      </w:rPr>
    </w:lvl>
    <w:lvl w:ilvl="1">
      <w:start w:val="2"/>
      <w:numFmt w:val="decimal"/>
      <w:lvlText w:val="%1.%2"/>
      <w:lvlJc w:val="left"/>
      <w:pPr>
        <w:ind w:left="1067" w:hanging="852"/>
        <w:jc w:val="left"/>
      </w:pPr>
      <w:rPr>
        <w:rFonts w:hint="default"/>
      </w:rPr>
    </w:lvl>
    <w:lvl w:ilvl="2">
      <w:start w:val="1"/>
      <w:numFmt w:val="decimal"/>
      <w:lvlText w:val="%1.%2.%3"/>
      <w:lvlJc w:val="left"/>
      <w:pPr>
        <w:ind w:left="1067" w:hanging="852"/>
        <w:jc w:val="left"/>
      </w:pPr>
      <w:rPr>
        <w:rFonts w:ascii="Times New Roman" w:eastAsia="Times New Roman" w:hAnsi="Times New Roman" w:cs="Times New Roman" w:hint="default"/>
        <w:b/>
        <w:bCs/>
        <w:w w:val="100"/>
        <w:sz w:val="24"/>
        <w:szCs w:val="24"/>
      </w:rPr>
    </w:lvl>
    <w:lvl w:ilvl="3">
      <w:numFmt w:val="bullet"/>
      <w:lvlText w:val="•"/>
      <w:lvlJc w:val="left"/>
      <w:pPr>
        <w:ind w:left="3994" w:hanging="852"/>
      </w:pPr>
      <w:rPr>
        <w:rFonts w:hint="default"/>
      </w:rPr>
    </w:lvl>
    <w:lvl w:ilvl="4">
      <w:numFmt w:val="bullet"/>
      <w:lvlText w:val="•"/>
      <w:lvlJc w:val="left"/>
      <w:pPr>
        <w:ind w:left="4972" w:hanging="852"/>
      </w:pPr>
      <w:rPr>
        <w:rFonts w:hint="default"/>
      </w:rPr>
    </w:lvl>
    <w:lvl w:ilvl="5">
      <w:numFmt w:val="bullet"/>
      <w:lvlText w:val="•"/>
      <w:lvlJc w:val="left"/>
      <w:pPr>
        <w:ind w:left="5950" w:hanging="852"/>
      </w:pPr>
      <w:rPr>
        <w:rFonts w:hint="default"/>
      </w:rPr>
    </w:lvl>
    <w:lvl w:ilvl="6">
      <w:numFmt w:val="bullet"/>
      <w:lvlText w:val="•"/>
      <w:lvlJc w:val="left"/>
      <w:pPr>
        <w:ind w:left="6928" w:hanging="852"/>
      </w:pPr>
      <w:rPr>
        <w:rFonts w:hint="default"/>
      </w:rPr>
    </w:lvl>
    <w:lvl w:ilvl="7">
      <w:numFmt w:val="bullet"/>
      <w:lvlText w:val="•"/>
      <w:lvlJc w:val="left"/>
      <w:pPr>
        <w:ind w:left="7906" w:hanging="852"/>
      </w:pPr>
      <w:rPr>
        <w:rFonts w:hint="default"/>
      </w:rPr>
    </w:lvl>
    <w:lvl w:ilvl="8">
      <w:numFmt w:val="bullet"/>
      <w:lvlText w:val="•"/>
      <w:lvlJc w:val="left"/>
      <w:pPr>
        <w:ind w:left="8884" w:hanging="852"/>
      </w:pPr>
      <w:rPr>
        <w:rFonts w:hint="default"/>
      </w:rPr>
    </w:lvl>
  </w:abstractNum>
  <w:abstractNum w:abstractNumId="10" w15:restartNumberingAfterBreak="0">
    <w:nsid w:val="29794E55"/>
    <w:multiLevelType w:val="hybridMultilevel"/>
    <w:tmpl w:val="A6EAE988"/>
    <w:lvl w:ilvl="0" w:tplc="8A4C1298">
      <w:numFmt w:val="bullet"/>
      <w:lvlText w:val="&gt;"/>
      <w:lvlJc w:val="left"/>
      <w:pPr>
        <w:ind w:left="1748" w:hanging="164"/>
      </w:pPr>
      <w:rPr>
        <w:rFonts w:ascii="Times New Roman" w:eastAsia="Times New Roman" w:hAnsi="Times New Roman" w:cs="Times New Roman" w:hint="default"/>
        <w:w w:val="99"/>
        <w:sz w:val="20"/>
        <w:szCs w:val="20"/>
      </w:rPr>
    </w:lvl>
    <w:lvl w:ilvl="1" w:tplc="A7CA79FC">
      <w:numFmt w:val="bullet"/>
      <w:lvlText w:val="•"/>
      <w:lvlJc w:val="left"/>
      <w:pPr>
        <w:ind w:left="1928" w:hanging="164"/>
      </w:pPr>
      <w:rPr>
        <w:rFonts w:hint="default"/>
      </w:rPr>
    </w:lvl>
    <w:lvl w:ilvl="2" w:tplc="44CA7B34">
      <w:numFmt w:val="bullet"/>
      <w:lvlText w:val="•"/>
      <w:lvlJc w:val="left"/>
      <w:pPr>
        <w:ind w:left="2116" w:hanging="164"/>
      </w:pPr>
      <w:rPr>
        <w:rFonts w:hint="default"/>
      </w:rPr>
    </w:lvl>
    <w:lvl w:ilvl="3" w:tplc="200235BA">
      <w:numFmt w:val="bullet"/>
      <w:lvlText w:val="•"/>
      <w:lvlJc w:val="left"/>
      <w:pPr>
        <w:ind w:left="2304" w:hanging="164"/>
      </w:pPr>
      <w:rPr>
        <w:rFonts w:hint="default"/>
      </w:rPr>
    </w:lvl>
    <w:lvl w:ilvl="4" w:tplc="A2C26CE0">
      <w:numFmt w:val="bullet"/>
      <w:lvlText w:val="•"/>
      <w:lvlJc w:val="left"/>
      <w:pPr>
        <w:ind w:left="2492" w:hanging="164"/>
      </w:pPr>
      <w:rPr>
        <w:rFonts w:hint="default"/>
      </w:rPr>
    </w:lvl>
    <w:lvl w:ilvl="5" w:tplc="6AE43518">
      <w:numFmt w:val="bullet"/>
      <w:lvlText w:val="•"/>
      <w:lvlJc w:val="left"/>
      <w:pPr>
        <w:ind w:left="2680" w:hanging="164"/>
      </w:pPr>
      <w:rPr>
        <w:rFonts w:hint="default"/>
      </w:rPr>
    </w:lvl>
    <w:lvl w:ilvl="6" w:tplc="2DB4A702">
      <w:numFmt w:val="bullet"/>
      <w:lvlText w:val="•"/>
      <w:lvlJc w:val="left"/>
      <w:pPr>
        <w:ind w:left="2868" w:hanging="164"/>
      </w:pPr>
      <w:rPr>
        <w:rFonts w:hint="default"/>
      </w:rPr>
    </w:lvl>
    <w:lvl w:ilvl="7" w:tplc="96DE4666">
      <w:numFmt w:val="bullet"/>
      <w:lvlText w:val="•"/>
      <w:lvlJc w:val="left"/>
      <w:pPr>
        <w:ind w:left="3056" w:hanging="164"/>
      </w:pPr>
      <w:rPr>
        <w:rFonts w:hint="default"/>
      </w:rPr>
    </w:lvl>
    <w:lvl w:ilvl="8" w:tplc="38A6948A">
      <w:numFmt w:val="bullet"/>
      <w:lvlText w:val="•"/>
      <w:lvlJc w:val="left"/>
      <w:pPr>
        <w:ind w:left="3244" w:hanging="164"/>
      </w:pPr>
      <w:rPr>
        <w:rFonts w:hint="default"/>
      </w:rPr>
    </w:lvl>
  </w:abstractNum>
  <w:abstractNum w:abstractNumId="11" w15:restartNumberingAfterBreak="0">
    <w:nsid w:val="2AA236C4"/>
    <w:multiLevelType w:val="hybridMultilevel"/>
    <w:tmpl w:val="5290B25C"/>
    <w:lvl w:ilvl="0" w:tplc="E8DAA1FA">
      <w:numFmt w:val="bullet"/>
      <w:lvlText w:val="&gt;"/>
      <w:lvlJc w:val="left"/>
      <w:pPr>
        <w:ind w:left="1749" w:hanging="164"/>
      </w:pPr>
      <w:rPr>
        <w:rFonts w:ascii="Times New Roman" w:eastAsia="Times New Roman" w:hAnsi="Times New Roman" w:cs="Times New Roman" w:hint="default"/>
        <w:w w:val="99"/>
        <w:sz w:val="20"/>
        <w:szCs w:val="20"/>
      </w:rPr>
    </w:lvl>
    <w:lvl w:ilvl="1" w:tplc="8848AE7C">
      <w:numFmt w:val="bullet"/>
      <w:lvlText w:val="•"/>
      <w:lvlJc w:val="left"/>
      <w:pPr>
        <w:ind w:left="1928" w:hanging="164"/>
      </w:pPr>
      <w:rPr>
        <w:rFonts w:hint="default"/>
      </w:rPr>
    </w:lvl>
    <w:lvl w:ilvl="2" w:tplc="7146F992">
      <w:numFmt w:val="bullet"/>
      <w:lvlText w:val="•"/>
      <w:lvlJc w:val="left"/>
      <w:pPr>
        <w:ind w:left="2116" w:hanging="164"/>
      </w:pPr>
      <w:rPr>
        <w:rFonts w:hint="default"/>
      </w:rPr>
    </w:lvl>
    <w:lvl w:ilvl="3" w:tplc="067E7EEC">
      <w:numFmt w:val="bullet"/>
      <w:lvlText w:val="•"/>
      <w:lvlJc w:val="left"/>
      <w:pPr>
        <w:ind w:left="2304" w:hanging="164"/>
      </w:pPr>
      <w:rPr>
        <w:rFonts w:hint="default"/>
      </w:rPr>
    </w:lvl>
    <w:lvl w:ilvl="4" w:tplc="A7DC56D2">
      <w:numFmt w:val="bullet"/>
      <w:lvlText w:val="•"/>
      <w:lvlJc w:val="left"/>
      <w:pPr>
        <w:ind w:left="2492" w:hanging="164"/>
      </w:pPr>
      <w:rPr>
        <w:rFonts w:hint="default"/>
      </w:rPr>
    </w:lvl>
    <w:lvl w:ilvl="5" w:tplc="37C6F53A">
      <w:numFmt w:val="bullet"/>
      <w:lvlText w:val="•"/>
      <w:lvlJc w:val="left"/>
      <w:pPr>
        <w:ind w:left="2680" w:hanging="164"/>
      </w:pPr>
      <w:rPr>
        <w:rFonts w:hint="default"/>
      </w:rPr>
    </w:lvl>
    <w:lvl w:ilvl="6" w:tplc="569E6262">
      <w:numFmt w:val="bullet"/>
      <w:lvlText w:val="•"/>
      <w:lvlJc w:val="left"/>
      <w:pPr>
        <w:ind w:left="2868" w:hanging="164"/>
      </w:pPr>
      <w:rPr>
        <w:rFonts w:hint="default"/>
      </w:rPr>
    </w:lvl>
    <w:lvl w:ilvl="7" w:tplc="CD025A64">
      <w:numFmt w:val="bullet"/>
      <w:lvlText w:val="•"/>
      <w:lvlJc w:val="left"/>
      <w:pPr>
        <w:ind w:left="3056" w:hanging="164"/>
      </w:pPr>
      <w:rPr>
        <w:rFonts w:hint="default"/>
      </w:rPr>
    </w:lvl>
    <w:lvl w:ilvl="8" w:tplc="3BA6BB5E">
      <w:numFmt w:val="bullet"/>
      <w:lvlText w:val="•"/>
      <w:lvlJc w:val="left"/>
      <w:pPr>
        <w:ind w:left="3244" w:hanging="164"/>
      </w:pPr>
      <w:rPr>
        <w:rFonts w:hint="default"/>
      </w:rPr>
    </w:lvl>
  </w:abstractNum>
  <w:abstractNum w:abstractNumId="12" w15:restartNumberingAfterBreak="0">
    <w:nsid w:val="2B580147"/>
    <w:multiLevelType w:val="multilevel"/>
    <w:tmpl w:val="A376968C"/>
    <w:lvl w:ilvl="0">
      <w:start w:val="1"/>
      <w:numFmt w:val="decimal"/>
      <w:lvlText w:val="%1"/>
      <w:lvlJc w:val="left"/>
      <w:pPr>
        <w:ind w:left="1078" w:hanging="852"/>
        <w:jc w:val="left"/>
      </w:pPr>
      <w:rPr>
        <w:rFonts w:ascii="Times New Roman" w:eastAsia="Times New Roman" w:hAnsi="Times New Roman" w:cs="Times New Roman" w:hint="default"/>
        <w:b/>
        <w:bCs/>
        <w:w w:val="100"/>
        <w:sz w:val="28"/>
        <w:szCs w:val="28"/>
      </w:rPr>
    </w:lvl>
    <w:lvl w:ilvl="1">
      <w:start w:val="1"/>
      <w:numFmt w:val="decimal"/>
      <w:lvlText w:val="%1.%2"/>
      <w:lvlJc w:val="left"/>
      <w:pPr>
        <w:ind w:left="1078" w:hanging="852"/>
        <w:jc w:val="left"/>
      </w:pPr>
      <w:rPr>
        <w:rFonts w:ascii="Times New Roman" w:eastAsia="Times New Roman" w:hAnsi="Times New Roman" w:cs="Times New Roman" w:hint="default"/>
        <w:b/>
        <w:bCs/>
        <w:w w:val="100"/>
        <w:sz w:val="28"/>
        <w:szCs w:val="28"/>
      </w:rPr>
    </w:lvl>
    <w:lvl w:ilvl="2">
      <w:start w:val="1"/>
      <w:numFmt w:val="decimal"/>
      <w:lvlText w:val="%1.%2.%3"/>
      <w:lvlJc w:val="left"/>
      <w:pPr>
        <w:ind w:left="1078" w:hanging="852"/>
        <w:jc w:val="left"/>
      </w:pPr>
      <w:rPr>
        <w:rFonts w:ascii="Times New Roman" w:eastAsia="Times New Roman" w:hAnsi="Times New Roman" w:cs="Times New Roman" w:hint="default"/>
        <w:b/>
        <w:bCs/>
        <w:spacing w:val="-1"/>
        <w:w w:val="100"/>
        <w:sz w:val="24"/>
        <w:szCs w:val="24"/>
      </w:rPr>
    </w:lvl>
    <w:lvl w:ilvl="3">
      <w:numFmt w:val="bullet"/>
      <w:lvlText w:val="•"/>
      <w:lvlJc w:val="left"/>
      <w:pPr>
        <w:ind w:left="5406" w:hanging="852"/>
      </w:pPr>
      <w:rPr>
        <w:rFonts w:hint="default"/>
      </w:rPr>
    </w:lvl>
    <w:lvl w:ilvl="4">
      <w:numFmt w:val="bullet"/>
      <w:lvlText w:val="•"/>
      <w:lvlJc w:val="left"/>
      <w:pPr>
        <w:ind w:left="6848" w:hanging="852"/>
      </w:pPr>
      <w:rPr>
        <w:rFonts w:hint="default"/>
      </w:rPr>
    </w:lvl>
    <w:lvl w:ilvl="5">
      <w:numFmt w:val="bullet"/>
      <w:lvlText w:val="•"/>
      <w:lvlJc w:val="left"/>
      <w:pPr>
        <w:ind w:left="8290" w:hanging="852"/>
      </w:pPr>
      <w:rPr>
        <w:rFonts w:hint="default"/>
      </w:rPr>
    </w:lvl>
    <w:lvl w:ilvl="6">
      <w:numFmt w:val="bullet"/>
      <w:lvlText w:val="•"/>
      <w:lvlJc w:val="left"/>
      <w:pPr>
        <w:ind w:left="9732" w:hanging="852"/>
      </w:pPr>
      <w:rPr>
        <w:rFonts w:hint="default"/>
      </w:rPr>
    </w:lvl>
    <w:lvl w:ilvl="7">
      <w:numFmt w:val="bullet"/>
      <w:lvlText w:val="•"/>
      <w:lvlJc w:val="left"/>
      <w:pPr>
        <w:ind w:left="11174" w:hanging="852"/>
      </w:pPr>
      <w:rPr>
        <w:rFonts w:hint="default"/>
      </w:rPr>
    </w:lvl>
    <w:lvl w:ilvl="8">
      <w:numFmt w:val="bullet"/>
      <w:lvlText w:val="•"/>
      <w:lvlJc w:val="left"/>
      <w:pPr>
        <w:ind w:left="12616" w:hanging="852"/>
      </w:pPr>
      <w:rPr>
        <w:rFonts w:hint="default"/>
      </w:rPr>
    </w:lvl>
  </w:abstractNum>
  <w:abstractNum w:abstractNumId="13" w15:restartNumberingAfterBreak="0">
    <w:nsid w:val="329D6313"/>
    <w:multiLevelType w:val="hybridMultilevel"/>
    <w:tmpl w:val="1AD6E650"/>
    <w:lvl w:ilvl="0" w:tplc="49C6ADF0">
      <w:numFmt w:val="bullet"/>
      <w:lvlText w:val="&gt;"/>
      <w:lvlJc w:val="left"/>
      <w:pPr>
        <w:ind w:left="650" w:hanging="164"/>
      </w:pPr>
      <w:rPr>
        <w:rFonts w:ascii="Times New Roman" w:eastAsia="Times New Roman" w:hAnsi="Times New Roman" w:cs="Times New Roman" w:hint="default"/>
        <w:w w:val="99"/>
        <w:sz w:val="20"/>
        <w:szCs w:val="20"/>
      </w:rPr>
    </w:lvl>
    <w:lvl w:ilvl="1" w:tplc="83FE35B8">
      <w:numFmt w:val="bullet"/>
      <w:lvlText w:val="•"/>
      <w:lvlJc w:val="left"/>
      <w:pPr>
        <w:ind w:left="737" w:hanging="164"/>
      </w:pPr>
      <w:rPr>
        <w:rFonts w:hint="default"/>
      </w:rPr>
    </w:lvl>
    <w:lvl w:ilvl="2" w:tplc="2F38D172">
      <w:numFmt w:val="bullet"/>
      <w:lvlText w:val="•"/>
      <w:lvlJc w:val="left"/>
      <w:pPr>
        <w:ind w:left="814" w:hanging="164"/>
      </w:pPr>
      <w:rPr>
        <w:rFonts w:hint="default"/>
      </w:rPr>
    </w:lvl>
    <w:lvl w:ilvl="3" w:tplc="81BA1F20">
      <w:numFmt w:val="bullet"/>
      <w:lvlText w:val="•"/>
      <w:lvlJc w:val="left"/>
      <w:pPr>
        <w:ind w:left="891" w:hanging="164"/>
      </w:pPr>
      <w:rPr>
        <w:rFonts w:hint="default"/>
      </w:rPr>
    </w:lvl>
    <w:lvl w:ilvl="4" w:tplc="8C82CD5C">
      <w:numFmt w:val="bullet"/>
      <w:lvlText w:val="•"/>
      <w:lvlJc w:val="left"/>
      <w:pPr>
        <w:ind w:left="968" w:hanging="164"/>
      </w:pPr>
      <w:rPr>
        <w:rFonts w:hint="default"/>
      </w:rPr>
    </w:lvl>
    <w:lvl w:ilvl="5" w:tplc="CD1890E8">
      <w:numFmt w:val="bullet"/>
      <w:lvlText w:val="•"/>
      <w:lvlJc w:val="left"/>
      <w:pPr>
        <w:ind w:left="1045" w:hanging="164"/>
      </w:pPr>
      <w:rPr>
        <w:rFonts w:hint="default"/>
      </w:rPr>
    </w:lvl>
    <w:lvl w:ilvl="6" w:tplc="A6022666">
      <w:numFmt w:val="bullet"/>
      <w:lvlText w:val="•"/>
      <w:lvlJc w:val="left"/>
      <w:pPr>
        <w:ind w:left="1122" w:hanging="164"/>
      </w:pPr>
      <w:rPr>
        <w:rFonts w:hint="default"/>
      </w:rPr>
    </w:lvl>
    <w:lvl w:ilvl="7" w:tplc="A0C2AE0A">
      <w:numFmt w:val="bullet"/>
      <w:lvlText w:val="•"/>
      <w:lvlJc w:val="left"/>
      <w:pPr>
        <w:ind w:left="1199" w:hanging="164"/>
      </w:pPr>
      <w:rPr>
        <w:rFonts w:hint="default"/>
      </w:rPr>
    </w:lvl>
    <w:lvl w:ilvl="8" w:tplc="290E8D1A">
      <w:numFmt w:val="bullet"/>
      <w:lvlText w:val="•"/>
      <w:lvlJc w:val="left"/>
      <w:pPr>
        <w:ind w:left="1276" w:hanging="164"/>
      </w:pPr>
      <w:rPr>
        <w:rFonts w:hint="default"/>
      </w:rPr>
    </w:lvl>
  </w:abstractNum>
  <w:abstractNum w:abstractNumId="14" w15:restartNumberingAfterBreak="0">
    <w:nsid w:val="39911DC1"/>
    <w:multiLevelType w:val="multilevel"/>
    <w:tmpl w:val="12F6D6C0"/>
    <w:lvl w:ilvl="0">
      <w:start w:val="4"/>
      <w:numFmt w:val="decimal"/>
      <w:lvlText w:val="%1"/>
      <w:lvlJc w:val="left"/>
      <w:pPr>
        <w:ind w:left="1067" w:hanging="852"/>
        <w:jc w:val="left"/>
      </w:pPr>
      <w:rPr>
        <w:rFonts w:hint="default"/>
      </w:rPr>
    </w:lvl>
    <w:lvl w:ilvl="1">
      <w:start w:val="3"/>
      <w:numFmt w:val="decimal"/>
      <w:lvlText w:val="%1.%2"/>
      <w:lvlJc w:val="left"/>
      <w:pPr>
        <w:ind w:left="1067" w:hanging="852"/>
        <w:jc w:val="left"/>
      </w:pPr>
      <w:rPr>
        <w:rFonts w:hint="default"/>
      </w:rPr>
    </w:lvl>
    <w:lvl w:ilvl="2">
      <w:start w:val="1"/>
      <w:numFmt w:val="decimal"/>
      <w:lvlText w:val="%1.%2.%3"/>
      <w:lvlJc w:val="left"/>
      <w:pPr>
        <w:ind w:left="1067" w:hanging="852"/>
        <w:jc w:val="left"/>
      </w:pPr>
      <w:rPr>
        <w:rFonts w:ascii="Times New Roman" w:eastAsia="Times New Roman" w:hAnsi="Times New Roman" w:cs="Times New Roman" w:hint="default"/>
        <w:b/>
        <w:bCs/>
        <w:spacing w:val="-1"/>
        <w:w w:val="100"/>
        <w:sz w:val="24"/>
        <w:szCs w:val="24"/>
      </w:rPr>
    </w:lvl>
    <w:lvl w:ilvl="3">
      <w:start w:val="1"/>
      <w:numFmt w:val="decimal"/>
      <w:lvlText w:val="%1.%2.%3.%4"/>
      <w:lvlJc w:val="left"/>
      <w:pPr>
        <w:ind w:left="1067" w:hanging="852"/>
        <w:jc w:val="left"/>
      </w:pPr>
      <w:rPr>
        <w:rFonts w:ascii="Times New Roman" w:eastAsia="Times New Roman" w:hAnsi="Times New Roman" w:cs="Times New Roman" w:hint="default"/>
        <w:b/>
        <w:bCs/>
        <w:spacing w:val="-1"/>
        <w:w w:val="100"/>
        <w:sz w:val="24"/>
        <w:szCs w:val="24"/>
      </w:rPr>
    </w:lvl>
    <w:lvl w:ilvl="4">
      <w:start w:val="1"/>
      <w:numFmt w:val="decimal"/>
      <w:lvlText w:val="%1.%2.%3.%4.%5"/>
      <w:lvlJc w:val="left"/>
      <w:pPr>
        <w:ind w:left="1348" w:hanging="1133"/>
        <w:jc w:val="left"/>
      </w:pPr>
      <w:rPr>
        <w:rFonts w:ascii="Times New Roman" w:eastAsia="Times New Roman" w:hAnsi="Times New Roman" w:cs="Times New Roman" w:hint="default"/>
        <w:b/>
        <w:bCs/>
        <w:spacing w:val="-1"/>
        <w:w w:val="100"/>
        <w:sz w:val="24"/>
        <w:szCs w:val="24"/>
      </w:rPr>
    </w:lvl>
    <w:lvl w:ilvl="5">
      <w:numFmt w:val="bullet"/>
      <w:lvlText w:val="•"/>
      <w:lvlJc w:val="left"/>
      <w:pPr>
        <w:ind w:left="5562" w:hanging="1133"/>
      </w:pPr>
      <w:rPr>
        <w:rFonts w:hint="default"/>
      </w:rPr>
    </w:lvl>
    <w:lvl w:ilvl="6">
      <w:numFmt w:val="bullet"/>
      <w:lvlText w:val="•"/>
      <w:lvlJc w:val="left"/>
      <w:pPr>
        <w:ind w:left="6617" w:hanging="1133"/>
      </w:pPr>
      <w:rPr>
        <w:rFonts w:hint="default"/>
      </w:rPr>
    </w:lvl>
    <w:lvl w:ilvl="7">
      <w:numFmt w:val="bullet"/>
      <w:lvlText w:val="•"/>
      <w:lvlJc w:val="left"/>
      <w:pPr>
        <w:ind w:left="7673" w:hanging="1133"/>
      </w:pPr>
      <w:rPr>
        <w:rFonts w:hint="default"/>
      </w:rPr>
    </w:lvl>
    <w:lvl w:ilvl="8">
      <w:numFmt w:val="bullet"/>
      <w:lvlText w:val="•"/>
      <w:lvlJc w:val="left"/>
      <w:pPr>
        <w:ind w:left="8728" w:hanging="1133"/>
      </w:pPr>
      <w:rPr>
        <w:rFonts w:hint="default"/>
      </w:rPr>
    </w:lvl>
  </w:abstractNum>
  <w:abstractNum w:abstractNumId="15" w15:restartNumberingAfterBreak="0">
    <w:nsid w:val="3C6664AD"/>
    <w:multiLevelType w:val="hybridMultilevel"/>
    <w:tmpl w:val="091247B0"/>
    <w:lvl w:ilvl="0" w:tplc="B728F90E">
      <w:numFmt w:val="bullet"/>
      <w:lvlText w:val="&gt;"/>
      <w:lvlJc w:val="left"/>
      <w:pPr>
        <w:ind w:left="215" w:hanging="195"/>
      </w:pPr>
      <w:rPr>
        <w:rFonts w:ascii="Times New Roman" w:eastAsia="Times New Roman" w:hAnsi="Times New Roman" w:cs="Times New Roman" w:hint="default"/>
        <w:w w:val="100"/>
        <w:sz w:val="24"/>
        <w:szCs w:val="24"/>
      </w:rPr>
    </w:lvl>
    <w:lvl w:ilvl="1" w:tplc="45D2D5D6">
      <w:numFmt w:val="bullet"/>
      <w:lvlText w:val="•"/>
      <w:lvlJc w:val="left"/>
      <w:pPr>
        <w:ind w:left="1282" w:hanging="195"/>
      </w:pPr>
      <w:rPr>
        <w:rFonts w:hint="default"/>
      </w:rPr>
    </w:lvl>
    <w:lvl w:ilvl="2" w:tplc="32682E2C">
      <w:numFmt w:val="bullet"/>
      <w:lvlText w:val="•"/>
      <w:lvlJc w:val="left"/>
      <w:pPr>
        <w:ind w:left="2344" w:hanging="195"/>
      </w:pPr>
      <w:rPr>
        <w:rFonts w:hint="default"/>
      </w:rPr>
    </w:lvl>
    <w:lvl w:ilvl="3" w:tplc="B5B0B326">
      <w:numFmt w:val="bullet"/>
      <w:lvlText w:val="•"/>
      <w:lvlJc w:val="left"/>
      <w:pPr>
        <w:ind w:left="3406" w:hanging="195"/>
      </w:pPr>
      <w:rPr>
        <w:rFonts w:hint="default"/>
      </w:rPr>
    </w:lvl>
    <w:lvl w:ilvl="4" w:tplc="5448D874">
      <w:numFmt w:val="bullet"/>
      <w:lvlText w:val="•"/>
      <w:lvlJc w:val="left"/>
      <w:pPr>
        <w:ind w:left="4468" w:hanging="195"/>
      </w:pPr>
      <w:rPr>
        <w:rFonts w:hint="default"/>
      </w:rPr>
    </w:lvl>
    <w:lvl w:ilvl="5" w:tplc="62FCC958">
      <w:numFmt w:val="bullet"/>
      <w:lvlText w:val="•"/>
      <w:lvlJc w:val="left"/>
      <w:pPr>
        <w:ind w:left="5530" w:hanging="195"/>
      </w:pPr>
      <w:rPr>
        <w:rFonts w:hint="default"/>
      </w:rPr>
    </w:lvl>
    <w:lvl w:ilvl="6" w:tplc="B8DC808A">
      <w:numFmt w:val="bullet"/>
      <w:lvlText w:val="•"/>
      <w:lvlJc w:val="left"/>
      <w:pPr>
        <w:ind w:left="6592" w:hanging="195"/>
      </w:pPr>
      <w:rPr>
        <w:rFonts w:hint="default"/>
      </w:rPr>
    </w:lvl>
    <w:lvl w:ilvl="7" w:tplc="C3D8EA68">
      <w:numFmt w:val="bullet"/>
      <w:lvlText w:val="•"/>
      <w:lvlJc w:val="left"/>
      <w:pPr>
        <w:ind w:left="7654" w:hanging="195"/>
      </w:pPr>
      <w:rPr>
        <w:rFonts w:hint="default"/>
      </w:rPr>
    </w:lvl>
    <w:lvl w:ilvl="8" w:tplc="5FF0ED24">
      <w:numFmt w:val="bullet"/>
      <w:lvlText w:val="•"/>
      <w:lvlJc w:val="left"/>
      <w:pPr>
        <w:ind w:left="8716" w:hanging="195"/>
      </w:pPr>
      <w:rPr>
        <w:rFonts w:hint="default"/>
      </w:rPr>
    </w:lvl>
  </w:abstractNum>
  <w:abstractNum w:abstractNumId="16" w15:restartNumberingAfterBreak="0">
    <w:nsid w:val="43380D8B"/>
    <w:multiLevelType w:val="hybridMultilevel"/>
    <w:tmpl w:val="A1AE3568"/>
    <w:lvl w:ilvl="0" w:tplc="2782F7FA">
      <w:numFmt w:val="bullet"/>
      <w:lvlText w:val="&gt;"/>
      <w:lvlJc w:val="left"/>
      <w:pPr>
        <w:ind w:left="600" w:hanging="164"/>
      </w:pPr>
      <w:rPr>
        <w:rFonts w:ascii="Times New Roman" w:eastAsia="Times New Roman" w:hAnsi="Times New Roman" w:cs="Times New Roman" w:hint="default"/>
        <w:w w:val="99"/>
        <w:sz w:val="20"/>
        <w:szCs w:val="20"/>
      </w:rPr>
    </w:lvl>
    <w:lvl w:ilvl="1" w:tplc="D5247792">
      <w:numFmt w:val="bullet"/>
      <w:lvlText w:val="•"/>
      <w:lvlJc w:val="left"/>
      <w:pPr>
        <w:ind w:left="683" w:hanging="164"/>
      </w:pPr>
      <w:rPr>
        <w:rFonts w:hint="default"/>
      </w:rPr>
    </w:lvl>
    <w:lvl w:ilvl="2" w:tplc="8F52DBB8">
      <w:numFmt w:val="bullet"/>
      <w:lvlText w:val="•"/>
      <w:lvlJc w:val="left"/>
      <w:pPr>
        <w:ind w:left="766" w:hanging="164"/>
      </w:pPr>
      <w:rPr>
        <w:rFonts w:hint="default"/>
      </w:rPr>
    </w:lvl>
    <w:lvl w:ilvl="3" w:tplc="AD1E0446">
      <w:numFmt w:val="bullet"/>
      <w:lvlText w:val="•"/>
      <w:lvlJc w:val="left"/>
      <w:pPr>
        <w:ind w:left="849" w:hanging="164"/>
      </w:pPr>
      <w:rPr>
        <w:rFonts w:hint="default"/>
      </w:rPr>
    </w:lvl>
    <w:lvl w:ilvl="4" w:tplc="298C4D88">
      <w:numFmt w:val="bullet"/>
      <w:lvlText w:val="•"/>
      <w:lvlJc w:val="left"/>
      <w:pPr>
        <w:ind w:left="932" w:hanging="164"/>
      </w:pPr>
      <w:rPr>
        <w:rFonts w:hint="default"/>
      </w:rPr>
    </w:lvl>
    <w:lvl w:ilvl="5" w:tplc="C4BE44C8">
      <w:numFmt w:val="bullet"/>
      <w:lvlText w:val="•"/>
      <w:lvlJc w:val="left"/>
      <w:pPr>
        <w:ind w:left="1015" w:hanging="164"/>
      </w:pPr>
      <w:rPr>
        <w:rFonts w:hint="default"/>
      </w:rPr>
    </w:lvl>
    <w:lvl w:ilvl="6" w:tplc="02501A28">
      <w:numFmt w:val="bullet"/>
      <w:lvlText w:val="•"/>
      <w:lvlJc w:val="left"/>
      <w:pPr>
        <w:ind w:left="1098" w:hanging="164"/>
      </w:pPr>
      <w:rPr>
        <w:rFonts w:hint="default"/>
      </w:rPr>
    </w:lvl>
    <w:lvl w:ilvl="7" w:tplc="F79CAAB2">
      <w:numFmt w:val="bullet"/>
      <w:lvlText w:val="•"/>
      <w:lvlJc w:val="left"/>
      <w:pPr>
        <w:ind w:left="1181" w:hanging="164"/>
      </w:pPr>
      <w:rPr>
        <w:rFonts w:hint="default"/>
      </w:rPr>
    </w:lvl>
    <w:lvl w:ilvl="8" w:tplc="020CF01C">
      <w:numFmt w:val="bullet"/>
      <w:lvlText w:val="•"/>
      <w:lvlJc w:val="left"/>
      <w:pPr>
        <w:ind w:left="1264" w:hanging="164"/>
      </w:pPr>
      <w:rPr>
        <w:rFonts w:hint="default"/>
      </w:rPr>
    </w:lvl>
  </w:abstractNum>
  <w:abstractNum w:abstractNumId="17" w15:restartNumberingAfterBreak="0">
    <w:nsid w:val="47902F45"/>
    <w:multiLevelType w:val="multilevel"/>
    <w:tmpl w:val="29CAB4A4"/>
    <w:lvl w:ilvl="0">
      <w:start w:val="4"/>
      <w:numFmt w:val="decimal"/>
      <w:lvlText w:val="%1"/>
      <w:lvlJc w:val="left"/>
      <w:pPr>
        <w:ind w:left="2200" w:hanging="1133"/>
        <w:jc w:val="right"/>
      </w:pPr>
      <w:rPr>
        <w:rFonts w:hint="default"/>
      </w:rPr>
    </w:lvl>
    <w:lvl w:ilvl="1">
      <w:start w:val="3"/>
      <w:numFmt w:val="decimal"/>
      <w:lvlText w:val="%1.%2"/>
      <w:lvlJc w:val="left"/>
      <w:pPr>
        <w:ind w:left="2200" w:hanging="1133"/>
        <w:jc w:val="right"/>
      </w:pPr>
      <w:rPr>
        <w:rFonts w:hint="default"/>
      </w:rPr>
    </w:lvl>
    <w:lvl w:ilvl="2">
      <w:start w:val="3"/>
      <w:numFmt w:val="decimal"/>
      <w:lvlText w:val="%1.%2.%3"/>
      <w:lvlJc w:val="left"/>
      <w:pPr>
        <w:ind w:left="2200" w:hanging="1133"/>
        <w:jc w:val="right"/>
      </w:pPr>
      <w:rPr>
        <w:rFonts w:hint="default"/>
      </w:rPr>
    </w:lvl>
    <w:lvl w:ilvl="3">
      <w:start w:val="1"/>
      <w:numFmt w:val="decimal"/>
      <w:lvlText w:val="%1.%2.%3.%4"/>
      <w:lvlJc w:val="left"/>
      <w:pPr>
        <w:ind w:left="2200" w:hanging="1133"/>
        <w:jc w:val="left"/>
      </w:pPr>
      <w:rPr>
        <w:rFonts w:ascii="Times New Roman" w:eastAsia="Times New Roman" w:hAnsi="Times New Roman" w:cs="Times New Roman" w:hint="default"/>
        <w:w w:val="100"/>
        <w:sz w:val="22"/>
        <w:szCs w:val="22"/>
      </w:rPr>
    </w:lvl>
    <w:lvl w:ilvl="4">
      <w:numFmt w:val="bullet"/>
      <w:lvlText w:val="•"/>
      <w:lvlJc w:val="left"/>
      <w:pPr>
        <w:ind w:left="5656" w:hanging="1133"/>
      </w:pPr>
      <w:rPr>
        <w:rFonts w:hint="default"/>
      </w:rPr>
    </w:lvl>
    <w:lvl w:ilvl="5">
      <w:numFmt w:val="bullet"/>
      <w:lvlText w:val="•"/>
      <w:lvlJc w:val="left"/>
      <w:pPr>
        <w:ind w:left="6520" w:hanging="1133"/>
      </w:pPr>
      <w:rPr>
        <w:rFonts w:hint="default"/>
      </w:rPr>
    </w:lvl>
    <w:lvl w:ilvl="6">
      <w:numFmt w:val="bullet"/>
      <w:lvlText w:val="•"/>
      <w:lvlJc w:val="left"/>
      <w:pPr>
        <w:ind w:left="7384" w:hanging="1133"/>
      </w:pPr>
      <w:rPr>
        <w:rFonts w:hint="default"/>
      </w:rPr>
    </w:lvl>
    <w:lvl w:ilvl="7">
      <w:numFmt w:val="bullet"/>
      <w:lvlText w:val="•"/>
      <w:lvlJc w:val="left"/>
      <w:pPr>
        <w:ind w:left="8248" w:hanging="1133"/>
      </w:pPr>
      <w:rPr>
        <w:rFonts w:hint="default"/>
      </w:rPr>
    </w:lvl>
    <w:lvl w:ilvl="8">
      <w:numFmt w:val="bullet"/>
      <w:lvlText w:val="•"/>
      <w:lvlJc w:val="left"/>
      <w:pPr>
        <w:ind w:left="9112" w:hanging="1133"/>
      </w:pPr>
      <w:rPr>
        <w:rFonts w:hint="default"/>
      </w:rPr>
    </w:lvl>
  </w:abstractNum>
  <w:abstractNum w:abstractNumId="18" w15:restartNumberingAfterBreak="0">
    <w:nsid w:val="4DD23BD3"/>
    <w:multiLevelType w:val="multilevel"/>
    <w:tmpl w:val="9034C222"/>
    <w:lvl w:ilvl="0">
      <w:start w:val="4"/>
      <w:numFmt w:val="decimal"/>
      <w:lvlText w:val="%1"/>
      <w:lvlJc w:val="left"/>
      <w:pPr>
        <w:ind w:left="1067" w:hanging="852"/>
        <w:jc w:val="left"/>
      </w:pPr>
      <w:rPr>
        <w:rFonts w:hint="default"/>
      </w:rPr>
    </w:lvl>
    <w:lvl w:ilvl="1">
      <w:start w:val="1"/>
      <w:numFmt w:val="decimal"/>
      <w:lvlText w:val="%1.%2"/>
      <w:lvlJc w:val="left"/>
      <w:pPr>
        <w:ind w:left="1067" w:hanging="852"/>
        <w:jc w:val="left"/>
      </w:pPr>
      <w:rPr>
        <w:rFonts w:hint="default"/>
      </w:rPr>
    </w:lvl>
    <w:lvl w:ilvl="2">
      <w:start w:val="2"/>
      <w:numFmt w:val="decimal"/>
      <w:lvlText w:val="%1.%2.%3"/>
      <w:lvlJc w:val="left"/>
      <w:pPr>
        <w:ind w:left="1067" w:hanging="852"/>
        <w:jc w:val="left"/>
      </w:pPr>
      <w:rPr>
        <w:rFonts w:ascii="Times New Roman" w:eastAsia="Times New Roman" w:hAnsi="Times New Roman" w:cs="Times New Roman" w:hint="default"/>
        <w:b/>
        <w:bCs/>
        <w:spacing w:val="-1"/>
        <w:w w:val="100"/>
        <w:sz w:val="24"/>
        <w:szCs w:val="24"/>
      </w:rPr>
    </w:lvl>
    <w:lvl w:ilvl="3">
      <w:start w:val="1"/>
      <w:numFmt w:val="decimal"/>
      <w:lvlText w:val="%1.%2.%3.%4"/>
      <w:lvlJc w:val="left"/>
      <w:pPr>
        <w:ind w:left="1067" w:hanging="852"/>
        <w:jc w:val="left"/>
      </w:pPr>
      <w:rPr>
        <w:rFonts w:ascii="Times New Roman" w:eastAsia="Times New Roman" w:hAnsi="Times New Roman" w:cs="Times New Roman" w:hint="default"/>
        <w:b/>
        <w:bCs/>
        <w:spacing w:val="-1"/>
        <w:w w:val="100"/>
        <w:sz w:val="24"/>
        <w:szCs w:val="24"/>
      </w:rPr>
    </w:lvl>
    <w:lvl w:ilvl="4">
      <w:numFmt w:val="bullet"/>
      <w:lvlText w:val="•"/>
      <w:lvlJc w:val="left"/>
      <w:pPr>
        <w:ind w:left="4972" w:hanging="852"/>
      </w:pPr>
      <w:rPr>
        <w:rFonts w:hint="default"/>
      </w:rPr>
    </w:lvl>
    <w:lvl w:ilvl="5">
      <w:numFmt w:val="bullet"/>
      <w:lvlText w:val="•"/>
      <w:lvlJc w:val="left"/>
      <w:pPr>
        <w:ind w:left="5950" w:hanging="852"/>
      </w:pPr>
      <w:rPr>
        <w:rFonts w:hint="default"/>
      </w:rPr>
    </w:lvl>
    <w:lvl w:ilvl="6">
      <w:numFmt w:val="bullet"/>
      <w:lvlText w:val="•"/>
      <w:lvlJc w:val="left"/>
      <w:pPr>
        <w:ind w:left="6928" w:hanging="852"/>
      </w:pPr>
      <w:rPr>
        <w:rFonts w:hint="default"/>
      </w:rPr>
    </w:lvl>
    <w:lvl w:ilvl="7">
      <w:numFmt w:val="bullet"/>
      <w:lvlText w:val="•"/>
      <w:lvlJc w:val="left"/>
      <w:pPr>
        <w:ind w:left="7906" w:hanging="852"/>
      </w:pPr>
      <w:rPr>
        <w:rFonts w:hint="default"/>
      </w:rPr>
    </w:lvl>
    <w:lvl w:ilvl="8">
      <w:numFmt w:val="bullet"/>
      <w:lvlText w:val="•"/>
      <w:lvlJc w:val="left"/>
      <w:pPr>
        <w:ind w:left="8884" w:hanging="852"/>
      </w:pPr>
      <w:rPr>
        <w:rFonts w:hint="default"/>
      </w:rPr>
    </w:lvl>
  </w:abstractNum>
  <w:abstractNum w:abstractNumId="19" w15:restartNumberingAfterBreak="0">
    <w:nsid w:val="4F693228"/>
    <w:multiLevelType w:val="multilevel"/>
    <w:tmpl w:val="483CB222"/>
    <w:lvl w:ilvl="0">
      <w:start w:val="3"/>
      <w:numFmt w:val="decimal"/>
      <w:lvlText w:val="%1"/>
      <w:lvlJc w:val="left"/>
      <w:pPr>
        <w:ind w:left="1078" w:hanging="852"/>
        <w:jc w:val="left"/>
      </w:pPr>
      <w:rPr>
        <w:rFonts w:hint="default"/>
      </w:rPr>
    </w:lvl>
    <w:lvl w:ilvl="1">
      <w:start w:val="13"/>
      <w:numFmt w:val="decimal"/>
      <w:lvlText w:val="%1.%2"/>
      <w:lvlJc w:val="left"/>
      <w:pPr>
        <w:ind w:left="1078" w:hanging="852"/>
        <w:jc w:val="left"/>
      </w:pPr>
      <w:rPr>
        <w:rFonts w:ascii="Times New Roman" w:eastAsia="Times New Roman" w:hAnsi="Times New Roman" w:cs="Times New Roman" w:hint="default"/>
        <w:b/>
        <w:bCs/>
        <w:spacing w:val="-1"/>
        <w:w w:val="100"/>
        <w:sz w:val="28"/>
        <w:szCs w:val="28"/>
      </w:rPr>
    </w:lvl>
    <w:lvl w:ilvl="2">
      <w:numFmt w:val="bullet"/>
      <w:lvlText w:val="•"/>
      <w:lvlJc w:val="left"/>
      <w:pPr>
        <w:ind w:left="3964" w:hanging="852"/>
      </w:pPr>
      <w:rPr>
        <w:rFonts w:hint="default"/>
      </w:rPr>
    </w:lvl>
    <w:lvl w:ilvl="3">
      <w:numFmt w:val="bullet"/>
      <w:lvlText w:val="•"/>
      <w:lvlJc w:val="left"/>
      <w:pPr>
        <w:ind w:left="5406" w:hanging="852"/>
      </w:pPr>
      <w:rPr>
        <w:rFonts w:hint="default"/>
      </w:rPr>
    </w:lvl>
    <w:lvl w:ilvl="4">
      <w:numFmt w:val="bullet"/>
      <w:lvlText w:val="•"/>
      <w:lvlJc w:val="left"/>
      <w:pPr>
        <w:ind w:left="6848" w:hanging="852"/>
      </w:pPr>
      <w:rPr>
        <w:rFonts w:hint="default"/>
      </w:rPr>
    </w:lvl>
    <w:lvl w:ilvl="5">
      <w:numFmt w:val="bullet"/>
      <w:lvlText w:val="•"/>
      <w:lvlJc w:val="left"/>
      <w:pPr>
        <w:ind w:left="8290" w:hanging="852"/>
      </w:pPr>
      <w:rPr>
        <w:rFonts w:hint="default"/>
      </w:rPr>
    </w:lvl>
    <w:lvl w:ilvl="6">
      <w:numFmt w:val="bullet"/>
      <w:lvlText w:val="•"/>
      <w:lvlJc w:val="left"/>
      <w:pPr>
        <w:ind w:left="9732" w:hanging="852"/>
      </w:pPr>
      <w:rPr>
        <w:rFonts w:hint="default"/>
      </w:rPr>
    </w:lvl>
    <w:lvl w:ilvl="7">
      <w:numFmt w:val="bullet"/>
      <w:lvlText w:val="•"/>
      <w:lvlJc w:val="left"/>
      <w:pPr>
        <w:ind w:left="11174" w:hanging="852"/>
      </w:pPr>
      <w:rPr>
        <w:rFonts w:hint="default"/>
      </w:rPr>
    </w:lvl>
    <w:lvl w:ilvl="8">
      <w:numFmt w:val="bullet"/>
      <w:lvlText w:val="•"/>
      <w:lvlJc w:val="left"/>
      <w:pPr>
        <w:ind w:left="12616" w:hanging="852"/>
      </w:pPr>
      <w:rPr>
        <w:rFonts w:hint="default"/>
      </w:rPr>
    </w:lvl>
  </w:abstractNum>
  <w:abstractNum w:abstractNumId="20" w15:restartNumberingAfterBreak="0">
    <w:nsid w:val="52B52CC9"/>
    <w:multiLevelType w:val="multilevel"/>
    <w:tmpl w:val="5218EA22"/>
    <w:lvl w:ilvl="0">
      <w:start w:val="3"/>
      <w:numFmt w:val="decimal"/>
      <w:lvlText w:val="%1"/>
      <w:lvlJc w:val="left"/>
      <w:pPr>
        <w:ind w:left="1359" w:hanging="850"/>
        <w:jc w:val="right"/>
      </w:pPr>
      <w:rPr>
        <w:rFonts w:hint="default"/>
      </w:rPr>
    </w:lvl>
    <w:lvl w:ilvl="1">
      <w:start w:val="3"/>
      <w:numFmt w:val="decimal"/>
      <w:lvlText w:val="%1.%2"/>
      <w:lvlJc w:val="left"/>
      <w:pPr>
        <w:ind w:left="1359" w:hanging="850"/>
        <w:jc w:val="left"/>
      </w:pPr>
      <w:rPr>
        <w:rFonts w:ascii="Times New Roman" w:eastAsia="Times New Roman" w:hAnsi="Times New Roman" w:cs="Times New Roman" w:hint="default"/>
        <w:w w:val="100"/>
        <w:sz w:val="22"/>
        <w:szCs w:val="22"/>
      </w:rPr>
    </w:lvl>
    <w:lvl w:ilvl="2">
      <w:start w:val="1"/>
      <w:numFmt w:val="decimal"/>
      <w:lvlText w:val="%1.%2.%3"/>
      <w:lvlJc w:val="left"/>
      <w:pPr>
        <w:ind w:left="1786" w:hanging="994"/>
        <w:jc w:val="left"/>
      </w:pPr>
      <w:rPr>
        <w:rFonts w:ascii="Times New Roman" w:eastAsia="Times New Roman" w:hAnsi="Times New Roman" w:cs="Times New Roman" w:hint="default"/>
        <w:w w:val="100"/>
        <w:sz w:val="22"/>
        <w:szCs w:val="22"/>
      </w:rPr>
    </w:lvl>
    <w:lvl w:ilvl="3">
      <w:numFmt w:val="bullet"/>
      <w:lvlText w:val="•"/>
      <w:lvlJc w:val="left"/>
      <w:pPr>
        <w:ind w:left="4828" w:hanging="994"/>
      </w:pPr>
      <w:rPr>
        <w:rFonts w:hint="default"/>
      </w:rPr>
    </w:lvl>
    <w:lvl w:ilvl="4">
      <w:numFmt w:val="bullet"/>
      <w:lvlText w:val="•"/>
      <w:lvlJc w:val="left"/>
      <w:pPr>
        <w:ind w:left="6353" w:hanging="994"/>
      </w:pPr>
      <w:rPr>
        <w:rFonts w:hint="default"/>
      </w:rPr>
    </w:lvl>
    <w:lvl w:ilvl="5">
      <w:numFmt w:val="bullet"/>
      <w:lvlText w:val="•"/>
      <w:lvlJc w:val="left"/>
      <w:pPr>
        <w:ind w:left="7877" w:hanging="994"/>
      </w:pPr>
      <w:rPr>
        <w:rFonts w:hint="default"/>
      </w:rPr>
    </w:lvl>
    <w:lvl w:ilvl="6">
      <w:numFmt w:val="bullet"/>
      <w:lvlText w:val="•"/>
      <w:lvlJc w:val="left"/>
      <w:pPr>
        <w:ind w:left="9402" w:hanging="994"/>
      </w:pPr>
      <w:rPr>
        <w:rFonts w:hint="default"/>
      </w:rPr>
    </w:lvl>
    <w:lvl w:ilvl="7">
      <w:numFmt w:val="bullet"/>
      <w:lvlText w:val="•"/>
      <w:lvlJc w:val="left"/>
      <w:pPr>
        <w:ind w:left="10926" w:hanging="994"/>
      </w:pPr>
      <w:rPr>
        <w:rFonts w:hint="default"/>
      </w:rPr>
    </w:lvl>
    <w:lvl w:ilvl="8">
      <w:numFmt w:val="bullet"/>
      <w:lvlText w:val="•"/>
      <w:lvlJc w:val="left"/>
      <w:pPr>
        <w:ind w:left="12451" w:hanging="994"/>
      </w:pPr>
      <w:rPr>
        <w:rFonts w:hint="default"/>
      </w:rPr>
    </w:lvl>
  </w:abstractNum>
  <w:abstractNum w:abstractNumId="21" w15:restartNumberingAfterBreak="0">
    <w:nsid w:val="57A1755B"/>
    <w:multiLevelType w:val="hybridMultilevel"/>
    <w:tmpl w:val="0812DAF8"/>
    <w:lvl w:ilvl="0" w:tplc="1DB861EE">
      <w:numFmt w:val="bullet"/>
      <w:lvlText w:val="&gt;"/>
      <w:lvlJc w:val="left"/>
      <w:pPr>
        <w:ind w:left="1748" w:hanging="164"/>
      </w:pPr>
      <w:rPr>
        <w:rFonts w:ascii="Times New Roman" w:eastAsia="Times New Roman" w:hAnsi="Times New Roman" w:cs="Times New Roman" w:hint="default"/>
        <w:w w:val="99"/>
        <w:sz w:val="20"/>
        <w:szCs w:val="20"/>
      </w:rPr>
    </w:lvl>
    <w:lvl w:ilvl="1" w:tplc="5D1EBB1E">
      <w:numFmt w:val="bullet"/>
      <w:lvlText w:val="•"/>
      <w:lvlJc w:val="left"/>
      <w:pPr>
        <w:ind w:left="1928" w:hanging="164"/>
      </w:pPr>
      <w:rPr>
        <w:rFonts w:hint="default"/>
      </w:rPr>
    </w:lvl>
    <w:lvl w:ilvl="2" w:tplc="E85A636C">
      <w:numFmt w:val="bullet"/>
      <w:lvlText w:val="•"/>
      <w:lvlJc w:val="left"/>
      <w:pPr>
        <w:ind w:left="2116" w:hanging="164"/>
      </w:pPr>
      <w:rPr>
        <w:rFonts w:hint="default"/>
      </w:rPr>
    </w:lvl>
    <w:lvl w:ilvl="3" w:tplc="A178FD9A">
      <w:numFmt w:val="bullet"/>
      <w:lvlText w:val="•"/>
      <w:lvlJc w:val="left"/>
      <w:pPr>
        <w:ind w:left="2304" w:hanging="164"/>
      </w:pPr>
      <w:rPr>
        <w:rFonts w:hint="default"/>
      </w:rPr>
    </w:lvl>
    <w:lvl w:ilvl="4" w:tplc="A6849F7C">
      <w:numFmt w:val="bullet"/>
      <w:lvlText w:val="•"/>
      <w:lvlJc w:val="left"/>
      <w:pPr>
        <w:ind w:left="2492" w:hanging="164"/>
      </w:pPr>
      <w:rPr>
        <w:rFonts w:hint="default"/>
      </w:rPr>
    </w:lvl>
    <w:lvl w:ilvl="5" w:tplc="EFFEA038">
      <w:numFmt w:val="bullet"/>
      <w:lvlText w:val="•"/>
      <w:lvlJc w:val="left"/>
      <w:pPr>
        <w:ind w:left="2680" w:hanging="164"/>
      </w:pPr>
      <w:rPr>
        <w:rFonts w:hint="default"/>
      </w:rPr>
    </w:lvl>
    <w:lvl w:ilvl="6" w:tplc="0DFE5046">
      <w:numFmt w:val="bullet"/>
      <w:lvlText w:val="•"/>
      <w:lvlJc w:val="left"/>
      <w:pPr>
        <w:ind w:left="2868" w:hanging="164"/>
      </w:pPr>
      <w:rPr>
        <w:rFonts w:hint="default"/>
      </w:rPr>
    </w:lvl>
    <w:lvl w:ilvl="7" w:tplc="E9D0625A">
      <w:numFmt w:val="bullet"/>
      <w:lvlText w:val="•"/>
      <w:lvlJc w:val="left"/>
      <w:pPr>
        <w:ind w:left="3056" w:hanging="164"/>
      </w:pPr>
      <w:rPr>
        <w:rFonts w:hint="default"/>
      </w:rPr>
    </w:lvl>
    <w:lvl w:ilvl="8" w:tplc="6D44245A">
      <w:numFmt w:val="bullet"/>
      <w:lvlText w:val="•"/>
      <w:lvlJc w:val="left"/>
      <w:pPr>
        <w:ind w:left="3244" w:hanging="164"/>
      </w:pPr>
      <w:rPr>
        <w:rFonts w:hint="default"/>
      </w:rPr>
    </w:lvl>
  </w:abstractNum>
  <w:abstractNum w:abstractNumId="22" w15:restartNumberingAfterBreak="0">
    <w:nsid w:val="5B521D90"/>
    <w:multiLevelType w:val="multilevel"/>
    <w:tmpl w:val="B720C14C"/>
    <w:lvl w:ilvl="0">
      <w:start w:val="4"/>
      <w:numFmt w:val="decimal"/>
      <w:lvlText w:val="%1"/>
      <w:lvlJc w:val="left"/>
      <w:pPr>
        <w:ind w:left="2200" w:hanging="1133"/>
        <w:jc w:val="left"/>
      </w:pPr>
      <w:rPr>
        <w:rFonts w:hint="default"/>
      </w:rPr>
    </w:lvl>
    <w:lvl w:ilvl="1">
      <w:start w:val="2"/>
      <w:numFmt w:val="decimal"/>
      <w:lvlText w:val="%1.%2"/>
      <w:lvlJc w:val="left"/>
      <w:pPr>
        <w:ind w:left="2200" w:hanging="1133"/>
        <w:jc w:val="right"/>
      </w:pPr>
      <w:rPr>
        <w:rFonts w:hint="default"/>
      </w:rPr>
    </w:lvl>
    <w:lvl w:ilvl="2">
      <w:start w:val="6"/>
      <w:numFmt w:val="decimal"/>
      <w:lvlText w:val="%1.%2.%3"/>
      <w:lvlJc w:val="left"/>
      <w:pPr>
        <w:ind w:left="2200" w:hanging="1133"/>
        <w:jc w:val="right"/>
      </w:pPr>
      <w:rPr>
        <w:rFonts w:hint="default"/>
      </w:rPr>
    </w:lvl>
    <w:lvl w:ilvl="3">
      <w:start w:val="1"/>
      <w:numFmt w:val="decimal"/>
      <w:lvlText w:val="%1.%2.%3.%4"/>
      <w:lvlJc w:val="left"/>
      <w:pPr>
        <w:ind w:left="2200" w:hanging="1133"/>
        <w:jc w:val="left"/>
      </w:pPr>
      <w:rPr>
        <w:rFonts w:ascii="Times New Roman" w:eastAsia="Times New Roman" w:hAnsi="Times New Roman" w:cs="Times New Roman" w:hint="default"/>
        <w:w w:val="100"/>
        <w:sz w:val="22"/>
        <w:szCs w:val="22"/>
      </w:rPr>
    </w:lvl>
    <w:lvl w:ilvl="4">
      <w:numFmt w:val="bullet"/>
      <w:lvlText w:val="•"/>
      <w:lvlJc w:val="left"/>
      <w:pPr>
        <w:ind w:left="5656" w:hanging="1133"/>
      </w:pPr>
      <w:rPr>
        <w:rFonts w:hint="default"/>
      </w:rPr>
    </w:lvl>
    <w:lvl w:ilvl="5">
      <w:numFmt w:val="bullet"/>
      <w:lvlText w:val="•"/>
      <w:lvlJc w:val="left"/>
      <w:pPr>
        <w:ind w:left="6520" w:hanging="1133"/>
      </w:pPr>
      <w:rPr>
        <w:rFonts w:hint="default"/>
      </w:rPr>
    </w:lvl>
    <w:lvl w:ilvl="6">
      <w:numFmt w:val="bullet"/>
      <w:lvlText w:val="•"/>
      <w:lvlJc w:val="left"/>
      <w:pPr>
        <w:ind w:left="7384" w:hanging="1133"/>
      </w:pPr>
      <w:rPr>
        <w:rFonts w:hint="default"/>
      </w:rPr>
    </w:lvl>
    <w:lvl w:ilvl="7">
      <w:numFmt w:val="bullet"/>
      <w:lvlText w:val="•"/>
      <w:lvlJc w:val="left"/>
      <w:pPr>
        <w:ind w:left="8248" w:hanging="1133"/>
      </w:pPr>
      <w:rPr>
        <w:rFonts w:hint="default"/>
      </w:rPr>
    </w:lvl>
    <w:lvl w:ilvl="8">
      <w:numFmt w:val="bullet"/>
      <w:lvlText w:val="•"/>
      <w:lvlJc w:val="left"/>
      <w:pPr>
        <w:ind w:left="9112" w:hanging="1133"/>
      </w:pPr>
      <w:rPr>
        <w:rFonts w:hint="default"/>
      </w:rPr>
    </w:lvl>
  </w:abstractNum>
  <w:abstractNum w:abstractNumId="23" w15:restartNumberingAfterBreak="0">
    <w:nsid w:val="632F3FC7"/>
    <w:multiLevelType w:val="multilevel"/>
    <w:tmpl w:val="2340B32A"/>
    <w:lvl w:ilvl="0">
      <w:start w:val="4"/>
      <w:numFmt w:val="decimal"/>
      <w:lvlText w:val="%1"/>
      <w:lvlJc w:val="left"/>
      <w:pPr>
        <w:ind w:left="1067" w:hanging="852"/>
        <w:jc w:val="left"/>
      </w:pPr>
      <w:rPr>
        <w:rFonts w:hint="default"/>
      </w:rPr>
    </w:lvl>
    <w:lvl w:ilvl="1">
      <w:start w:val="3"/>
      <w:numFmt w:val="decimal"/>
      <w:lvlText w:val="%1.%2"/>
      <w:lvlJc w:val="left"/>
      <w:pPr>
        <w:ind w:left="1067" w:hanging="852"/>
        <w:jc w:val="left"/>
      </w:pPr>
      <w:rPr>
        <w:rFonts w:hint="default"/>
      </w:rPr>
    </w:lvl>
    <w:lvl w:ilvl="2">
      <w:start w:val="6"/>
      <w:numFmt w:val="decimal"/>
      <w:lvlText w:val="%1.%2.%3"/>
      <w:lvlJc w:val="left"/>
      <w:pPr>
        <w:ind w:left="1067" w:hanging="852"/>
        <w:jc w:val="left"/>
      </w:pPr>
      <w:rPr>
        <w:rFonts w:ascii="Times New Roman" w:eastAsia="Times New Roman" w:hAnsi="Times New Roman" w:cs="Times New Roman" w:hint="default"/>
        <w:b/>
        <w:bCs/>
        <w:spacing w:val="-1"/>
        <w:w w:val="100"/>
        <w:sz w:val="24"/>
        <w:szCs w:val="24"/>
      </w:rPr>
    </w:lvl>
    <w:lvl w:ilvl="3">
      <w:numFmt w:val="bullet"/>
      <w:lvlText w:val="•"/>
      <w:lvlJc w:val="left"/>
      <w:pPr>
        <w:ind w:left="3994" w:hanging="852"/>
      </w:pPr>
      <w:rPr>
        <w:rFonts w:hint="default"/>
      </w:rPr>
    </w:lvl>
    <w:lvl w:ilvl="4">
      <w:numFmt w:val="bullet"/>
      <w:lvlText w:val="•"/>
      <w:lvlJc w:val="left"/>
      <w:pPr>
        <w:ind w:left="4972" w:hanging="852"/>
      </w:pPr>
      <w:rPr>
        <w:rFonts w:hint="default"/>
      </w:rPr>
    </w:lvl>
    <w:lvl w:ilvl="5">
      <w:numFmt w:val="bullet"/>
      <w:lvlText w:val="•"/>
      <w:lvlJc w:val="left"/>
      <w:pPr>
        <w:ind w:left="5950" w:hanging="852"/>
      </w:pPr>
      <w:rPr>
        <w:rFonts w:hint="default"/>
      </w:rPr>
    </w:lvl>
    <w:lvl w:ilvl="6">
      <w:numFmt w:val="bullet"/>
      <w:lvlText w:val="•"/>
      <w:lvlJc w:val="left"/>
      <w:pPr>
        <w:ind w:left="6928" w:hanging="852"/>
      </w:pPr>
      <w:rPr>
        <w:rFonts w:hint="default"/>
      </w:rPr>
    </w:lvl>
    <w:lvl w:ilvl="7">
      <w:numFmt w:val="bullet"/>
      <w:lvlText w:val="•"/>
      <w:lvlJc w:val="left"/>
      <w:pPr>
        <w:ind w:left="7906" w:hanging="852"/>
      </w:pPr>
      <w:rPr>
        <w:rFonts w:hint="default"/>
      </w:rPr>
    </w:lvl>
    <w:lvl w:ilvl="8">
      <w:numFmt w:val="bullet"/>
      <w:lvlText w:val="•"/>
      <w:lvlJc w:val="left"/>
      <w:pPr>
        <w:ind w:left="8884" w:hanging="852"/>
      </w:pPr>
      <w:rPr>
        <w:rFonts w:hint="default"/>
      </w:rPr>
    </w:lvl>
  </w:abstractNum>
  <w:abstractNum w:abstractNumId="24" w15:restartNumberingAfterBreak="0">
    <w:nsid w:val="654134F2"/>
    <w:multiLevelType w:val="hybridMultilevel"/>
    <w:tmpl w:val="EADE031C"/>
    <w:lvl w:ilvl="0" w:tplc="ADC019E8">
      <w:numFmt w:val="bullet"/>
      <w:lvlText w:val="&gt;"/>
      <w:lvlJc w:val="left"/>
      <w:pPr>
        <w:ind w:left="1748" w:hanging="164"/>
      </w:pPr>
      <w:rPr>
        <w:rFonts w:ascii="Times New Roman" w:eastAsia="Times New Roman" w:hAnsi="Times New Roman" w:cs="Times New Roman" w:hint="default"/>
        <w:w w:val="99"/>
        <w:sz w:val="20"/>
        <w:szCs w:val="20"/>
      </w:rPr>
    </w:lvl>
    <w:lvl w:ilvl="1" w:tplc="3E6E6A0E">
      <w:numFmt w:val="bullet"/>
      <w:lvlText w:val="•"/>
      <w:lvlJc w:val="left"/>
      <w:pPr>
        <w:ind w:left="1928" w:hanging="164"/>
      </w:pPr>
      <w:rPr>
        <w:rFonts w:hint="default"/>
      </w:rPr>
    </w:lvl>
    <w:lvl w:ilvl="2" w:tplc="048CA9D4">
      <w:numFmt w:val="bullet"/>
      <w:lvlText w:val="•"/>
      <w:lvlJc w:val="left"/>
      <w:pPr>
        <w:ind w:left="2116" w:hanging="164"/>
      </w:pPr>
      <w:rPr>
        <w:rFonts w:hint="default"/>
      </w:rPr>
    </w:lvl>
    <w:lvl w:ilvl="3" w:tplc="94AC17B2">
      <w:numFmt w:val="bullet"/>
      <w:lvlText w:val="•"/>
      <w:lvlJc w:val="left"/>
      <w:pPr>
        <w:ind w:left="2304" w:hanging="164"/>
      </w:pPr>
      <w:rPr>
        <w:rFonts w:hint="default"/>
      </w:rPr>
    </w:lvl>
    <w:lvl w:ilvl="4" w:tplc="6B9CCAD4">
      <w:numFmt w:val="bullet"/>
      <w:lvlText w:val="•"/>
      <w:lvlJc w:val="left"/>
      <w:pPr>
        <w:ind w:left="2492" w:hanging="164"/>
      </w:pPr>
      <w:rPr>
        <w:rFonts w:hint="default"/>
      </w:rPr>
    </w:lvl>
    <w:lvl w:ilvl="5" w:tplc="AE5A3578">
      <w:numFmt w:val="bullet"/>
      <w:lvlText w:val="•"/>
      <w:lvlJc w:val="left"/>
      <w:pPr>
        <w:ind w:left="2680" w:hanging="164"/>
      </w:pPr>
      <w:rPr>
        <w:rFonts w:hint="default"/>
      </w:rPr>
    </w:lvl>
    <w:lvl w:ilvl="6" w:tplc="85022CA6">
      <w:numFmt w:val="bullet"/>
      <w:lvlText w:val="•"/>
      <w:lvlJc w:val="left"/>
      <w:pPr>
        <w:ind w:left="2868" w:hanging="164"/>
      </w:pPr>
      <w:rPr>
        <w:rFonts w:hint="default"/>
      </w:rPr>
    </w:lvl>
    <w:lvl w:ilvl="7" w:tplc="560C839E">
      <w:numFmt w:val="bullet"/>
      <w:lvlText w:val="•"/>
      <w:lvlJc w:val="left"/>
      <w:pPr>
        <w:ind w:left="3056" w:hanging="164"/>
      </w:pPr>
      <w:rPr>
        <w:rFonts w:hint="default"/>
      </w:rPr>
    </w:lvl>
    <w:lvl w:ilvl="8" w:tplc="D5605CC4">
      <w:numFmt w:val="bullet"/>
      <w:lvlText w:val="•"/>
      <w:lvlJc w:val="left"/>
      <w:pPr>
        <w:ind w:left="3244" w:hanging="164"/>
      </w:pPr>
      <w:rPr>
        <w:rFonts w:hint="default"/>
      </w:rPr>
    </w:lvl>
  </w:abstractNum>
  <w:abstractNum w:abstractNumId="25" w15:restartNumberingAfterBreak="0">
    <w:nsid w:val="66AF0230"/>
    <w:multiLevelType w:val="hybridMultilevel"/>
    <w:tmpl w:val="4A02872C"/>
    <w:lvl w:ilvl="0" w:tplc="38325FB6">
      <w:start w:val="5"/>
      <w:numFmt w:val="decimal"/>
      <w:lvlText w:val="%1"/>
      <w:lvlJc w:val="left"/>
      <w:pPr>
        <w:ind w:left="1067" w:hanging="852"/>
        <w:jc w:val="left"/>
      </w:pPr>
      <w:rPr>
        <w:rFonts w:ascii="Times New Roman" w:eastAsia="Times New Roman" w:hAnsi="Times New Roman" w:cs="Times New Roman" w:hint="default"/>
        <w:b/>
        <w:bCs/>
        <w:w w:val="100"/>
        <w:sz w:val="28"/>
        <w:szCs w:val="28"/>
      </w:rPr>
    </w:lvl>
    <w:lvl w:ilvl="1" w:tplc="365A9532">
      <w:numFmt w:val="bullet"/>
      <w:lvlText w:val="•"/>
      <w:lvlJc w:val="left"/>
      <w:pPr>
        <w:ind w:left="2038" w:hanging="852"/>
      </w:pPr>
      <w:rPr>
        <w:rFonts w:hint="default"/>
      </w:rPr>
    </w:lvl>
    <w:lvl w:ilvl="2" w:tplc="0CE64E7E">
      <w:numFmt w:val="bullet"/>
      <w:lvlText w:val="•"/>
      <w:lvlJc w:val="left"/>
      <w:pPr>
        <w:ind w:left="3016" w:hanging="852"/>
      </w:pPr>
      <w:rPr>
        <w:rFonts w:hint="default"/>
      </w:rPr>
    </w:lvl>
    <w:lvl w:ilvl="3" w:tplc="BAB68268">
      <w:numFmt w:val="bullet"/>
      <w:lvlText w:val="•"/>
      <w:lvlJc w:val="left"/>
      <w:pPr>
        <w:ind w:left="3994" w:hanging="852"/>
      </w:pPr>
      <w:rPr>
        <w:rFonts w:hint="default"/>
      </w:rPr>
    </w:lvl>
    <w:lvl w:ilvl="4" w:tplc="6C509040">
      <w:numFmt w:val="bullet"/>
      <w:lvlText w:val="•"/>
      <w:lvlJc w:val="left"/>
      <w:pPr>
        <w:ind w:left="4972" w:hanging="852"/>
      </w:pPr>
      <w:rPr>
        <w:rFonts w:hint="default"/>
      </w:rPr>
    </w:lvl>
    <w:lvl w:ilvl="5" w:tplc="4AEA6C0E">
      <w:numFmt w:val="bullet"/>
      <w:lvlText w:val="•"/>
      <w:lvlJc w:val="left"/>
      <w:pPr>
        <w:ind w:left="5950" w:hanging="852"/>
      </w:pPr>
      <w:rPr>
        <w:rFonts w:hint="default"/>
      </w:rPr>
    </w:lvl>
    <w:lvl w:ilvl="6" w:tplc="DFBCC7BE">
      <w:numFmt w:val="bullet"/>
      <w:lvlText w:val="•"/>
      <w:lvlJc w:val="left"/>
      <w:pPr>
        <w:ind w:left="6928" w:hanging="852"/>
      </w:pPr>
      <w:rPr>
        <w:rFonts w:hint="default"/>
      </w:rPr>
    </w:lvl>
    <w:lvl w:ilvl="7" w:tplc="67C4356C">
      <w:numFmt w:val="bullet"/>
      <w:lvlText w:val="•"/>
      <w:lvlJc w:val="left"/>
      <w:pPr>
        <w:ind w:left="7906" w:hanging="852"/>
      </w:pPr>
      <w:rPr>
        <w:rFonts w:hint="default"/>
      </w:rPr>
    </w:lvl>
    <w:lvl w:ilvl="8" w:tplc="BD52834E">
      <w:numFmt w:val="bullet"/>
      <w:lvlText w:val="•"/>
      <w:lvlJc w:val="left"/>
      <w:pPr>
        <w:ind w:left="8884" w:hanging="852"/>
      </w:pPr>
      <w:rPr>
        <w:rFonts w:hint="default"/>
      </w:rPr>
    </w:lvl>
  </w:abstractNum>
  <w:abstractNum w:abstractNumId="26" w15:restartNumberingAfterBreak="0">
    <w:nsid w:val="679A5783"/>
    <w:multiLevelType w:val="multilevel"/>
    <w:tmpl w:val="F632707A"/>
    <w:lvl w:ilvl="0">
      <w:start w:val="4"/>
      <w:numFmt w:val="decimal"/>
      <w:lvlText w:val="%1"/>
      <w:lvlJc w:val="left"/>
      <w:pPr>
        <w:ind w:left="1775" w:hanging="994"/>
        <w:jc w:val="left"/>
      </w:pPr>
      <w:rPr>
        <w:rFonts w:hint="default"/>
      </w:rPr>
    </w:lvl>
    <w:lvl w:ilvl="1">
      <w:start w:val="3"/>
      <w:numFmt w:val="decimal"/>
      <w:lvlText w:val="%1.%2"/>
      <w:lvlJc w:val="left"/>
      <w:pPr>
        <w:ind w:left="1775" w:hanging="994"/>
        <w:jc w:val="left"/>
      </w:pPr>
      <w:rPr>
        <w:rFonts w:hint="default"/>
      </w:rPr>
    </w:lvl>
    <w:lvl w:ilvl="2">
      <w:start w:val="1"/>
      <w:numFmt w:val="decimal"/>
      <w:lvlText w:val="%1.%2.%3"/>
      <w:lvlJc w:val="left"/>
      <w:pPr>
        <w:ind w:left="1775" w:hanging="994"/>
        <w:jc w:val="left"/>
      </w:pPr>
      <w:rPr>
        <w:rFonts w:ascii="Times New Roman" w:eastAsia="Times New Roman" w:hAnsi="Times New Roman" w:cs="Times New Roman" w:hint="default"/>
        <w:w w:val="100"/>
        <w:sz w:val="22"/>
        <w:szCs w:val="22"/>
      </w:rPr>
    </w:lvl>
    <w:lvl w:ilvl="3">
      <w:start w:val="1"/>
      <w:numFmt w:val="decimal"/>
      <w:lvlText w:val="%1.%2.%3.%4"/>
      <w:lvlJc w:val="left"/>
      <w:pPr>
        <w:ind w:left="2200" w:hanging="1133"/>
        <w:jc w:val="left"/>
      </w:pPr>
      <w:rPr>
        <w:rFonts w:ascii="Times New Roman" w:eastAsia="Times New Roman" w:hAnsi="Times New Roman" w:cs="Times New Roman" w:hint="default"/>
        <w:w w:val="100"/>
        <w:sz w:val="22"/>
        <w:szCs w:val="22"/>
      </w:rPr>
    </w:lvl>
    <w:lvl w:ilvl="4">
      <w:numFmt w:val="bullet"/>
      <w:lvlText w:val="•"/>
      <w:lvlJc w:val="left"/>
      <w:pPr>
        <w:ind w:left="5080" w:hanging="1133"/>
      </w:pPr>
      <w:rPr>
        <w:rFonts w:hint="default"/>
      </w:rPr>
    </w:lvl>
    <w:lvl w:ilvl="5">
      <w:numFmt w:val="bullet"/>
      <w:lvlText w:val="•"/>
      <w:lvlJc w:val="left"/>
      <w:pPr>
        <w:ind w:left="6040" w:hanging="1133"/>
      </w:pPr>
      <w:rPr>
        <w:rFonts w:hint="default"/>
      </w:rPr>
    </w:lvl>
    <w:lvl w:ilvl="6">
      <w:numFmt w:val="bullet"/>
      <w:lvlText w:val="•"/>
      <w:lvlJc w:val="left"/>
      <w:pPr>
        <w:ind w:left="7000" w:hanging="1133"/>
      </w:pPr>
      <w:rPr>
        <w:rFonts w:hint="default"/>
      </w:rPr>
    </w:lvl>
    <w:lvl w:ilvl="7">
      <w:numFmt w:val="bullet"/>
      <w:lvlText w:val="•"/>
      <w:lvlJc w:val="left"/>
      <w:pPr>
        <w:ind w:left="7960" w:hanging="1133"/>
      </w:pPr>
      <w:rPr>
        <w:rFonts w:hint="default"/>
      </w:rPr>
    </w:lvl>
    <w:lvl w:ilvl="8">
      <w:numFmt w:val="bullet"/>
      <w:lvlText w:val="•"/>
      <w:lvlJc w:val="left"/>
      <w:pPr>
        <w:ind w:left="8920" w:hanging="1133"/>
      </w:pPr>
      <w:rPr>
        <w:rFonts w:hint="default"/>
      </w:rPr>
    </w:lvl>
  </w:abstractNum>
  <w:abstractNum w:abstractNumId="27" w15:restartNumberingAfterBreak="0">
    <w:nsid w:val="6B8D5A0D"/>
    <w:multiLevelType w:val="multilevel"/>
    <w:tmpl w:val="5C7A27C2"/>
    <w:lvl w:ilvl="0">
      <w:start w:val="2"/>
      <w:numFmt w:val="decimal"/>
      <w:lvlText w:val="%1"/>
      <w:lvlJc w:val="left"/>
      <w:pPr>
        <w:ind w:left="1359" w:hanging="850"/>
        <w:jc w:val="right"/>
      </w:pPr>
      <w:rPr>
        <w:rFonts w:hint="default"/>
      </w:rPr>
    </w:lvl>
    <w:lvl w:ilvl="1">
      <w:start w:val="2"/>
      <w:numFmt w:val="decimal"/>
      <w:lvlText w:val="%1.%2"/>
      <w:lvlJc w:val="left"/>
      <w:pPr>
        <w:ind w:left="1359" w:hanging="850"/>
        <w:jc w:val="left"/>
      </w:pPr>
      <w:rPr>
        <w:rFonts w:ascii="Times New Roman" w:eastAsia="Times New Roman" w:hAnsi="Times New Roman" w:cs="Times New Roman" w:hint="default"/>
        <w:w w:val="100"/>
        <w:sz w:val="22"/>
        <w:szCs w:val="22"/>
      </w:rPr>
    </w:lvl>
    <w:lvl w:ilvl="2">
      <w:numFmt w:val="bullet"/>
      <w:lvlText w:val="•"/>
      <w:lvlJc w:val="left"/>
      <w:pPr>
        <w:ind w:left="4188" w:hanging="850"/>
      </w:pPr>
      <w:rPr>
        <w:rFonts w:hint="default"/>
      </w:rPr>
    </w:lvl>
    <w:lvl w:ilvl="3">
      <w:numFmt w:val="bullet"/>
      <w:lvlText w:val="•"/>
      <w:lvlJc w:val="left"/>
      <w:pPr>
        <w:ind w:left="5602" w:hanging="850"/>
      </w:pPr>
      <w:rPr>
        <w:rFonts w:hint="default"/>
      </w:rPr>
    </w:lvl>
    <w:lvl w:ilvl="4">
      <w:numFmt w:val="bullet"/>
      <w:lvlText w:val="•"/>
      <w:lvlJc w:val="left"/>
      <w:pPr>
        <w:ind w:left="7016" w:hanging="850"/>
      </w:pPr>
      <w:rPr>
        <w:rFonts w:hint="default"/>
      </w:rPr>
    </w:lvl>
    <w:lvl w:ilvl="5">
      <w:numFmt w:val="bullet"/>
      <w:lvlText w:val="•"/>
      <w:lvlJc w:val="left"/>
      <w:pPr>
        <w:ind w:left="8430" w:hanging="850"/>
      </w:pPr>
      <w:rPr>
        <w:rFonts w:hint="default"/>
      </w:rPr>
    </w:lvl>
    <w:lvl w:ilvl="6">
      <w:numFmt w:val="bullet"/>
      <w:lvlText w:val="•"/>
      <w:lvlJc w:val="left"/>
      <w:pPr>
        <w:ind w:left="9844" w:hanging="850"/>
      </w:pPr>
      <w:rPr>
        <w:rFonts w:hint="default"/>
      </w:rPr>
    </w:lvl>
    <w:lvl w:ilvl="7">
      <w:numFmt w:val="bullet"/>
      <w:lvlText w:val="•"/>
      <w:lvlJc w:val="left"/>
      <w:pPr>
        <w:ind w:left="11258" w:hanging="850"/>
      </w:pPr>
      <w:rPr>
        <w:rFonts w:hint="default"/>
      </w:rPr>
    </w:lvl>
    <w:lvl w:ilvl="8">
      <w:numFmt w:val="bullet"/>
      <w:lvlText w:val="•"/>
      <w:lvlJc w:val="left"/>
      <w:pPr>
        <w:ind w:left="12672" w:hanging="850"/>
      </w:pPr>
      <w:rPr>
        <w:rFonts w:hint="default"/>
      </w:rPr>
    </w:lvl>
  </w:abstractNum>
  <w:abstractNum w:abstractNumId="28" w15:restartNumberingAfterBreak="0">
    <w:nsid w:val="6C802C01"/>
    <w:multiLevelType w:val="multilevel"/>
    <w:tmpl w:val="BF92D932"/>
    <w:lvl w:ilvl="0">
      <w:start w:val="2"/>
      <w:numFmt w:val="decimal"/>
      <w:lvlText w:val="%1"/>
      <w:lvlJc w:val="left"/>
      <w:pPr>
        <w:ind w:left="1067" w:hanging="852"/>
        <w:jc w:val="left"/>
      </w:pPr>
      <w:rPr>
        <w:rFonts w:ascii="Times New Roman" w:eastAsia="Times New Roman" w:hAnsi="Times New Roman" w:cs="Times New Roman" w:hint="default"/>
        <w:b/>
        <w:bCs/>
        <w:w w:val="100"/>
        <w:sz w:val="28"/>
        <w:szCs w:val="28"/>
      </w:rPr>
    </w:lvl>
    <w:lvl w:ilvl="1">
      <w:start w:val="1"/>
      <w:numFmt w:val="decimal"/>
      <w:lvlText w:val="%1.%2."/>
      <w:lvlJc w:val="left"/>
      <w:pPr>
        <w:ind w:left="935" w:hanging="720"/>
        <w:jc w:val="left"/>
      </w:pPr>
      <w:rPr>
        <w:rFonts w:ascii="Times New Roman" w:eastAsia="Times New Roman" w:hAnsi="Times New Roman" w:cs="Times New Roman" w:hint="default"/>
        <w:b/>
        <w:bCs/>
        <w:spacing w:val="-1"/>
        <w:w w:val="100"/>
        <w:sz w:val="24"/>
        <w:szCs w:val="24"/>
      </w:rPr>
    </w:lvl>
    <w:lvl w:ilvl="2">
      <w:numFmt w:val="bullet"/>
      <w:lvlText w:val="•"/>
      <w:lvlJc w:val="left"/>
      <w:pPr>
        <w:ind w:left="2146" w:hanging="720"/>
      </w:pPr>
      <w:rPr>
        <w:rFonts w:hint="default"/>
      </w:rPr>
    </w:lvl>
    <w:lvl w:ilvl="3">
      <w:numFmt w:val="bullet"/>
      <w:lvlText w:val="•"/>
      <w:lvlJc w:val="left"/>
      <w:pPr>
        <w:ind w:left="3233" w:hanging="720"/>
      </w:pPr>
      <w:rPr>
        <w:rFonts w:hint="default"/>
      </w:rPr>
    </w:lvl>
    <w:lvl w:ilvl="4">
      <w:numFmt w:val="bullet"/>
      <w:lvlText w:val="•"/>
      <w:lvlJc w:val="left"/>
      <w:pPr>
        <w:ind w:left="4320" w:hanging="720"/>
      </w:pPr>
      <w:rPr>
        <w:rFonts w:hint="default"/>
      </w:rPr>
    </w:lvl>
    <w:lvl w:ilvl="5">
      <w:numFmt w:val="bullet"/>
      <w:lvlText w:val="•"/>
      <w:lvlJc w:val="left"/>
      <w:pPr>
        <w:ind w:left="5406" w:hanging="720"/>
      </w:pPr>
      <w:rPr>
        <w:rFonts w:hint="default"/>
      </w:rPr>
    </w:lvl>
    <w:lvl w:ilvl="6">
      <w:numFmt w:val="bullet"/>
      <w:lvlText w:val="•"/>
      <w:lvlJc w:val="left"/>
      <w:pPr>
        <w:ind w:left="6493" w:hanging="720"/>
      </w:pPr>
      <w:rPr>
        <w:rFonts w:hint="default"/>
      </w:rPr>
    </w:lvl>
    <w:lvl w:ilvl="7">
      <w:numFmt w:val="bullet"/>
      <w:lvlText w:val="•"/>
      <w:lvlJc w:val="left"/>
      <w:pPr>
        <w:ind w:left="7580" w:hanging="720"/>
      </w:pPr>
      <w:rPr>
        <w:rFonts w:hint="default"/>
      </w:rPr>
    </w:lvl>
    <w:lvl w:ilvl="8">
      <w:numFmt w:val="bullet"/>
      <w:lvlText w:val="•"/>
      <w:lvlJc w:val="left"/>
      <w:pPr>
        <w:ind w:left="8666" w:hanging="720"/>
      </w:pPr>
      <w:rPr>
        <w:rFonts w:hint="default"/>
      </w:rPr>
    </w:lvl>
  </w:abstractNum>
  <w:abstractNum w:abstractNumId="29" w15:restartNumberingAfterBreak="0">
    <w:nsid w:val="75DB18A5"/>
    <w:multiLevelType w:val="hybridMultilevel"/>
    <w:tmpl w:val="3AAA1EE8"/>
    <w:lvl w:ilvl="0" w:tplc="EE4801F4">
      <w:numFmt w:val="bullet"/>
      <w:lvlText w:val="&gt;"/>
      <w:lvlJc w:val="left"/>
      <w:pPr>
        <w:ind w:left="1749" w:hanging="164"/>
      </w:pPr>
      <w:rPr>
        <w:rFonts w:ascii="Times New Roman" w:eastAsia="Times New Roman" w:hAnsi="Times New Roman" w:cs="Times New Roman" w:hint="default"/>
        <w:w w:val="99"/>
        <w:sz w:val="20"/>
        <w:szCs w:val="20"/>
      </w:rPr>
    </w:lvl>
    <w:lvl w:ilvl="1" w:tplc="31249B20">
      <w:numFmt w:val="bullet"/>
      <w:lvlText w:val="•"/>
      <w:lvlJc w:val="left"/>
      <w:pPr>
        <w:ind w:left="1928" w:hanging="164"/>
      </w:pPr>
      <w:rPr>
        <w:rFonts w:hint="default"/>
      </w:rPr>
    </w:lvl>
    <w:lvl w:ilvl="2" w:tplc="BAF4D970">
      <w:numFmt w:val="bullet"/>
      <w:lvlText w:val="•"/>
      <w:lvlJc w:val="left"/>
      <w:pPr>
        <w:ind w:left="2116" w:hanging="164"/>
      </w:pPr>
      <w:rPr>
        <w:rFonts w:hint="default"/>
      </w:rPr>
    </w:lvl>
    <w:lvl w:ilvl="3" w:tplc="40E28AE4">
      <w:numFmt w:val="bullet"/>
      <w:lvlText w:val="•"/>
      <w:lvlJc w:val="left"/>
      <w:pPr>
        <w:ind w:left="2304" w:hanging="164"/>
      </w:pPr>
      <w:rPr>
        <w:rFonts w:hint="default"/>
      </w:rPr>
    </w:lvl>
    <w:lvl w:ilvl="4" w:tplc="AFC0E618">
      <w:numFmt w:val="bullet"/>
      <w:lvlText w:val="•"/>
      <w:lvlJc w:val="left"/>
      <w:pPr>
        <w:ind w:left="2492" w:hanging="164"/>
      </w:pPr>
      <w:rPr>
        <w:rFonts w:hint="default"/>
      </w:rPr>
    </w:lvl>
    <w:lvl w:ilvl="5" w:tplc="E24E8092">
      <w:numFmt w:val="bullet"/>
      <w:lvlText w:val="•"/>
      <w:lvlJc w:val="left"/>
      <w:pPr>
        <w:ind w:left="2680" w:hanging="164"/>
      </w:pPr>
      <w:rPr>
        <w:rFonts w:hint="default"/>
      </w:rPr>
    </w:lvl>
    <w:lvl w:ilvl="6" w:tplc="F6FCC3A6">
      <w:numFmt w:val="bullet"/>
      <w:lvlText w:val="•"/>
      <w:lvlJc w:val="left"/>
      <w:pPr>
        <w:ind w:left="2868" w:hanging="164"/>
      </w:pPr>
      <w:rPr>
        <w:rFonts w:hint="default"/>
      </w:rPr>
    </w:lvl>
    <w:lvl w:ilvl="7" w:tplc="47608E92">
      <w:numFmt w:val="bullet"/>
      <w:lvlText w:val="•"/>
      <w:lvlJc w:val="left"/>
      <w:pPr>
        <w:ind w:left="3056" w:hanging="164"/>
      </w:pPr>
      <w:rPr>
        <w:rFonts w:hint="default"/>
      </w:rPr>
    </w:lvl>
    <w:lvl w:ilvl="8" w:tplc="00F624CA">
      <w:numFmt w:val="bullet"/>
      <w:lvlText w:val="•"/>
      <w:lvlJc w:val="left"/>
      <w:pPr>
        <w:ind w:left="3244" w:hanging="164"/>
      </w:pPr>
      <w:rPr>
        <w:rFonts w:hint="default"/>
      </w:rPr>
    </w:lvl>
  </w:abstractNum>
  <w:abstractNum w:abstractNumId="30" w15:restartNumberingAfterBreak="0">
    <w:nsid w:val="78A762F8"/>
    <w:multiLevelType w:val="hybridMultilevel"/>
    <w:tmpl w:val="271CE922"/>
    <w:lvl w:ilvl="0" w:tplc="66B213D0">
      <w:numFmt w:val="bullet"/>
      <w:lvlText w:val="&gt;"/>
      <w:lvlJc w:val="left"/>
      <w:pPr>
        <w:ind w:left="1748" w:hanging="164"/>
      </w:pPr>
      <w:rPr>
        <w:rFonts w:ascii="Times New Roman" w:eastAsia="Times New Roman" w:hAnsi="Times New Roman" w:cs="Times New Roman" w:hint="default"/>
        <w:w w:val="99"/>
        <w:sz w:val="20"/>
        <w:szCs w:val="20"/>
      </w:rPr>
    </w:lvl>
    <w:lvl w:ilvl="1" w:tplc="8F122598">
      <w:numFmt w:val="bullet"/>
      <w:lvlText w:val="•"/>
      <w:lvlJc w:val="left"/>
      <w:pPr>
        <w:ind w:left="1928" w:hanging="164"/>
      </w:pPr>
      <w:rPr>
        <w:rFonts w:hint="default"/>
      </w:rPr>
    </w:lvl>
    <w:lvl w:ilvl="2" w:tplc="A086A162">
      <w:numFmt w:val="bullet"/>
      <w:lvlText w:val="•"/>
      <w:lvlJc w:val="left"/>
      <w:pPr>
        <w:ind w:left="2116" w:hanging="164"/>
      </w:pPr>
      <w:rPr>
        <w:rFonts w:hint="default"/>
      </w:rPr>
    </w:lvl>
    <w:lvl w:ilvl="3" w:tplc="C3A2D672">
      <w:numFmt w:val="bullet"/>
      <w:lvlText w:val="•"/>
      <w:lvlJc w:val="left"/>
      <w:pPr>
        <w:ind w:left="2304" w:hanging="164"/>
      </w:pPr>
      <w:rPr>
        <w:rFonts w:hint="default"/>
      </w:rPr>
    </w:lvl>
    <w:lvl w:ilvl="4" w:tplc="60147E24">
      <w:numFmt w:val="bullet"/>
      <w:lvlText w:val="•"/>
      <w:lvlJc w:val="left"/>
      <w:pPr>
        <w:ind w:left="2492" w:hanging="164"/>
      </w:pPr>
      <w:rPr>
        <w:rFonts w:hint="default"/>
      </w:rPr>
    </w:lvl>
    <w:lvl w:ilvl="5" w:tplc="A2A408B8">
      <w:numFmt w:val="bullet"/>
      <w:lvlText w:val="•"/>
      <w:lvlJc w:val="left"/>
      <w:pPr>
        <w:ind w:left="2680" w:hanging="164"/>
      </w:pPr>
      <w:rPr>
        <w:rFonts w:hint="default"/>
      </w:rPr>
    </w:lvl>
    <w:lvl w:ilvl="6" w:tplc="CBCE1DAC">
      <w:numFmt w:val="bullet"/>
      <w:lvlText w:val="•"/>
      <w:lvlJc w:val="left"/>
      <w:pPr>
        <w:ind w:left="2868" w:hanging="164"/>
      </w:pPr>
      <w:rPr>
        <w:rFonts w:hint="default"/>
      </w:rPr>
    </w:lvl>
    <w:lvl w:ilvl="7" w:tplc="C7580C58">
      <w:numFmt w:val="bullet"/>
      <w:lvlText w:val="•"/>
      <w:lvlJc w:val="left"/>
      <w:pPr>
        <w:ind w:left="3056" w:hanging="164"/>
      </w:pPr>
      <w:rPr>
        <w:rFonts w:hint="default"/>
      </w:rPr>
    </w:lvl>
    <w:lvl w:ilvl="8" w:tplc="E70A254A">
      <w:numFmt w:val="bullet"/>
      <w:lvlText w:val="•"/>
      <w:lvlJc w:val="left"/>
      <w:pPr>
        <w:ind w:left="3244" w:hanging="164"/>
      </w:pPr>
      <w:rPr>
        <w:rFonts w:hint="default"/>
      </w:rPr>
    </w:lvl>
  </w:abstractNum>
  <w:abstractNum w:abstractNumId="31" w15:restartNumberingAfterBreak="0">
    <w:nsid w:val="792E1E8E"/>
    <w:multiLevelType w:val="multilevel"/>
    <w:tmpl w:val="D3866F00"/>
    <w:lvl w:ilvl="0">
      <w:start w:val="4"/>
      <w:numFmt w:val="decimal"/>
      <w:lvlText w:val="%1"/>
      <w:lvlJc w:val="left"/>
      <w:pPr>
        <w:ind w:left="1348" w:hanging="1133"/>
        <w:jc w:val="left"/>
      </w:pPr>
      <w:rPr>
        <w:rFonts w:hint="default"/>
      </w:rPr>
    </w:lvl>
    <w:lvl w:ilvl="1">
      <w:start w:val="1"/>
      <w:numFmt w:val="decimal"/>
      <w:lvlText w:val="%1.%2"/>
      <w:lvlJc w:val="left"/>
      <w:pPr>
        <w:ind w:left="1348" w:hanging="1133"/>
        <w:jc w:val="left"/>
      </w:pPr>
      <w:rPr>
        <w:rFonts w:hint="default"/>
      </w:rPr>
    </w:lvl>
    <w:lvl w:ilvl="2">
      <w:start w:val="1"/>
      <w:numFmt w:val="decimal"/>
      <w:lvlText w:val="%1.%2.%3"/>
      <w:lvlJc w:val="left"/>
      <w:pPr>
        <w:ind w:left="1348" w:hanging="1133"/>
        <w:jc w:val="left"/>
      </w:pPr>
      <w:rPr>
        <w:rFonts w:hint="default"/>
      </w:rPr>
    </w:lvl>
    <w:lvl w:ilvl="3">
      <w:start w:val="1"/>
      <w:numFmt w:val="decimal"/>
      <w:lvlText w:val="%1.%2.%3.%4"/>
      <w:lvlJc w:val="left"/>
      <w:pPr>
        <w:ind w:left="1348" w:hanging="1133"/>
        <w:jc w:val="left"/>
      </w:pPr>
      <w:rPr>
        <w:rFonts w:hint="default"/>
      </w:rPr>
    </w:lvl>
    <w:lvl w:ilvl="4">
      <w:start w:val="3"/>
      <w:numFmt w:val="decimal"/>
      <w:lvlText w:val="%1.%2.%3.%4.%5"/>
      <w:lvlJc w:val="left"/>
      <w:pPr>
        <w:ind w:left="1348" w:hanging="1133"/>
        <w:jc w:val="left"/>
      </w:pPr>
      <w:rPr>
        <w:rFonts w:ascii="Times New Roman" w:eastAsia="Times New Roman" w:hAnsi="Times New Roman" w:cs="Times New Roman" w:hint="default"/>
        <w:b/>
        <w:bCs/>
        <w:spacing w:val="-1"/>
        <w:w w:val="97"/>
        <w:sz w:val="24"/>
        <w:szCs w:val="24"/>
      </w:rPr>
    </w:lvl>
    <w:lvl w:ilvl="5">
      <w:numFmt w:val="bullet"/>
      <w:lvlText w:val="•"/>
      <w:lvlJc w:val="left"/>
      <w:pPr>
        <w:ind w:left="6090" w:hanging="1133"/>
      </w:pPr>
      <w:rPr>
        <w:rFonts w:hint="default"/>
      </w:rPr>
    </w:lvl>
    <w:lvl w:ilvl="6">
      <w:numFmt w:val="bullet"/>
      <w:lvlText w:val="•"/>
      <w:lvlJc w:val="left"/>
      <w:pPr>
        <w:ind w:left="7040" w:hanging="1133"/>
      </w:pPr>
      <w:rPr>
        <w:rFonts w:hint="default"/>
      </w:rPr>
    </w:lvl>
    <w:lvl w:ilvl="7">
      <w:numFmt w:val="bullet"/>
      <w:lvlText w:val="•"/>
      <w:lvlJc w:val="left"/>
      <w:pPr>
        <w:ind w:left="7990" w:hanging="1133"/>
      </w:pPr>
      <w:rPr>
        <w:rFonts w:hint="default"/>
      </w:rPr>
    </w:lvl>
    <w:lvl w:ilvl="8">
      <w:numFmt w:val="bullet"/>
      <w:lvlText w:val="•"/>
      <w:lvlJc w:val="left"/>
      <w:pPr>
        <w:ind w:left="8940" w:hanging="1133"/>
      </w:pPr>
      <w:rPr>
        <w:rFonts w:hint="default"/>
      </w:rPr>
    </w:lvl>
  </w:abstractNum>
  <w:abstractNum w:abstractNumId="32" w15:restartNumberingAfterBreak="0">
    <w:nsid w:val="7C60328B"/>
    <w:multiLevelType w:val="multilevel"/>
    <w:tmpl w:val="E5FA65C0"/>
    <w:lvl w:ilvl="0">
      <w:start w:val="3"/>
      <w:numFmt w:val="decimal"/>
      <w:lvlText w:val="%1"/>
      <w:lvlJc w:val="left"/>
      <w:pPr>
        <w:ind w:left="215" w:hanging="852"/>
        <w:jc w:val="left"/>
      </w:pPr>
      <w:rPr>
        <w:rFonts w:hint="default"/>
      </w:rPr>
    </w:lvl>
    <w:lvl w:ilvl="1">
      <w:start w:val="1"/>
      <w:numFmt w:val="decimal"/>
      <w:lvlText w:val="%1.%2"/>
      <w:lvlJc w:val="left"/>
      <w:pPr>
        <w:ind w:left="215" w:hanging="852"/>
        <w:jc w:val="left"/>
      </w:pPr>
      <w:rPr>
        <w:rFonts w:ascii="Times New Roman" w:eastAsia="Times New Roman" w:hAnsi="Times New Roman" w:cs="Times New Roman" w:hint="default"/>
        <w:b/>
        <w:bCs/>
        <w:w w:val="100"/>
        <w:sz w:val="28"/>
        <w:szCs w:val="28"/>
      </w:rPr>
    </w:lvl>
    <w:lvl w:ilvl="2">
      <w:start w:val="1"/>
      <w:numFmt w:val="decimal"/>
      <w:lvlText w:val="%1.%2.%3"/>
      <w:lvlJc w:val="left"/>
      <w:pPr>
        <w:ind w:left="1067" w:hanging="852"/>
        <w:jc w:val="left"/>
      </w:pPr>
      <w:rPr>
        <w:rFonts w:ascii="Times New Roman" w:eastAsia="Times New Roman" w:hAnsi="Times New Roman" w:cs="Times New Roman" w:hint="default"/>
        <w:b/>
        <w:bCs/>
        <w:spacing w:val="-1"/>
        <w:w w:val="100"/>
        <w:sz w:val="24"/>
        <w:szCs w:val="24"/>
      </w:rPr>
    </w:lvl>
    <w:lvl w:ilvl="3">
      <w:start w:val="1"/>
      <w:numFmt w:val="decimal"/>
      <w:lvlText w:val="%1.%2.%3.%4"/>
      <w:lvlJc w:val="left"/>
      <w:pPr>
        <w:ind w:left="1067" w:hanging="852"/>
        <w:jc w:val="left"/>
      </w:pPr>
      <w:rPr>
        <w:rFonts w:ascii="Times New Roman" w:eastAsia="Times New Roman" w:hAnsi="Times New Roman" w:cs="Times New Roman" w:hint="default"/>
        <w:b/>
        <w:bCs/>
        <w:spacing w:val="-1"/>
        <w:w w:val="100"/>
        <w:sz w:val="24"/>
        <w:szCs w:val="24"/>
      </w:rPr>
    </w:lvl>
    <w:lvl w:ilvl="4">
      <w:start w:val="1"/>
      <w:numFmt w:val="decimal"/>
      <w:lvlText w:val="%1.%2.%3.%4.%5"/>
      <w:lvlJc w:val="left"/>
      <w:pPr>
        <w:ind w:left="1348" w:hanging="1133"/>
        <w:jc w:val="left"/>
      </w:pPr>
      <w:rPr>
        <w:rFonts w:ascii="Times New Roman" w:eastAsia="Times New Roman" w:hAnsi="Times New Roman" w:cs="Times New Roman" w:hint="default"/>
        <w:b/>
        <w:bCs/>
        <w:spacing w:val="-1"/>
        <w:w w:val="97"/>
        <w:sz w:val="24"/>
        <w:szCs w:val="24"/>
      </w:rPr>
    </w:lvl>
    <w:lvl w:ilvl="5">
      <w:numFmt w:val="bullet"/>
      <w:lvlText w:val="•"/>
      <w:lvlJc w:val="left"/>
      <w:pPr>
        <w:ind w:left="4902" w:hanging="1133"/>
      </w:pPr>
      <w:rPr>
        <w:rFonts w:hint="default"/>
      </w:rPr>
    </w:lvl>
    <w:lvl w:ilvl="6">
      <w:numFmt w:val="bullet"/>
      <w:lvlText w:val="•"/>
      <w:lvlJc w:val="left"/>
      <w:pPr>
        <w:ind w:left="6090" w:hanging="1133"/>
      </w:pPr>
      <w:rPr>
        <w:rFonts w:hint="default"/>
      </w:rPr>
    </w:lvl>
    <w:lvl w:ilvl="7">
      <w:numFmt w:val="bullet"/>
      <w:lvlText w:val="•"/>
      <w:lvlJc w:val="left"/>
      <w:pPr>
        <w:ind w:left="7277" w:hanging="1133"/>
      </w:pPr>
      <w:rPr>
        <w:rFonts w:hint="default"/>
      </w:rPr>
    </w:lvl>
    <w:lvl w:ilvl="8">
      <w:numFmt w:val="bullet"/>
      <w:lvlText w:val="•"/>
      <w:lvlJc w:val="left"/>
      <w:pPr>
        <w:ind w:left="8465" w:hanging="1133"/>
      </w:pPr>
      <w:rPr>
        <w:rFonts w:hint="default"/>
      </w:rPr>
    </w:lvl>
  </w:abstractNum>
  <w:abstractNum w:abstractNumId="33" w15:restartNumberingAfterBreak="0">
    <w:nsid w:val="7DD05772"/>
    <w:multiLevelType w:val="multilevel"/>
    <w:tmpl w:val="FD64ACF0"/>
    <w:lvl w:ilvl="0">
      <w:start w:val="4"/>
      <w:numFmt w:val="decimal"/>
      <w:lvlText w:val="%1"/>
      <w:lvlJc w:val="left"/>
      <w:pPr>
        <w:ind w:left="1348" w:hanging="1133"/>
        <w:jc w:val="left"/>
      </w:pPr>
      <w:rPr>
        <w:rFonts w:hint="default"/>
      </w:rPr>
    </w:lvl>
    <w:lvl w:ilvl="1">
      <w:start w:val="1"/>
      <w:numFmt w:val="decimal"/>
      <w:lvlText w:val="%1.%2"/>
      <w:lvlJc w:val="left"/>
      <w:pPr>
        <w:ind w:left="1348" w:hanging="1133"/>
        <w:jc w:val="left"/>
      </w:pPr>
      <w:rPr>
        <w:rFonts w:hint="default"/>
      </w:rPr>
    </w:lvl>
    <w:lvl w:ilvl="2">
      <w:start w:val="1"/>
      <w:numFmt w:val="decimal"/>
      <w:lvlText w:val="%1.%2.%3"/>
      <w:lvlJc w:val="left"/>
      <w:pPr>
        <w:ind w:left="1348" w:hanging="1133"/>
        <w:jc w:val="left"/>
      </w:pPr>
      <w:rPr>
        <w:rFonts w:hint="default"/>
      </w:rPr>
    </w:lvl>
    <w:lvl w:ilvl="3">
      <w:start w:val="2"/>
      <w:numFmt w:val="decimal"/>
      <w:lvlText w:val="%1.%2.%3.%4"/>
      <w:lvlJc w:val="left"/>
      <w:pPr>
        <w:ind w:left="1348" w:hanging="1133"/>
        <w:jc w:val="left"/>
      </w:pPr>
      <w:rPr>
        <w:rFonts w:hint="default"/>
      </w:rPr>
    </w:lvl>
    <w:lvl w:ilvl="4">
      <w:start w:val="3"/>
      <w:numFmt w:val="decimal"/>
      <w:lvlText w:val="%1.%2.%3.%4.%5"/>
      <w:lvlJc w:val="left"/>
      <w:pPr>
        <w:ind w:left="1348" w:hanging="1133"/>
        <w:jc w:val="left"/>
      </w:pPr>
      <w:rPr>
        <w:rFonts w:ascii="Times New Roman" w:eastAsia="Times New Roman" w:hAnsi="Times New Roman" w:cs="Times New Roman" w:hint="default"/>
        <w:b/>
        <w:bCs/>
        <w:spacing w:val="-3"/>
        <w:w w:val="100"/>
        <w:sz w:val="24"/>
        <w:szCs w:val="24"/>
      </w:rPr>
    </w:lvl>
    <w:lvl w:ilvl="5">
      <w:numFmt w:val="bullet"/>
      <w:lvlText w:val="•"/>
      <w:lvlJc w:val="left"/>
      <w:pPr>
        <w:ind w:left="7828" w:hanging="1133"/>
      </w:pPr>
      <w:rPr>
        <w:rFonts w:hint="default"/>
      </w:rPr>
    </w:lvl>
    <w:lvl w:ilvl="6">
      <w:numFmt w:val="bullet"/>
      <w:lvlText w:val="•"/>
      <w:lvlJc w:val="left"/>
      <w:pPr>
        <w:ind w:left="8431" w:hanging="1133"/>
      </w:pPr>
      <w:rPr>
        <w:rFonts w:hint="default"/>
      </w:rPr>
    </w:lvl>
    <w:lvl w:ilvl="7">
      <w:numFmt w:val="bullet"/>
      <w:lvlText w:val="•"/>
      <w:lvlJc w:val="left"/>
      <w:pPr>
        <w:ind w:left="9033" w:hanging="1133"/>
      </w:pPr>
      <w:rPr>
        <w:rFonts w:hint="default"/>
      </w:rPr>
    </w:lvl>
    <w:lvl w:ilvl="8">
      <w:numFmt w:val="bullet"/>
      <w:lvlText w:val="•"/>
      <w:lvlJc w:val="left"/>
      <w:pPr>
        <w:ind w:left="9635" w:hanging="1133"/>
      </w:pPr>
      <w:rPr>
        <w:rFonts w:hint="default"/>
      </w:rPr>
    </w:lvl>
  </w:abstractNum>
  <w:num w:numId="1">
    <w:abstractNumId w:val="19"/>
  </w:num>
  <w:num w:numId="2">
    <w:abstractNumId w:val="13"/>
  </w:num>
  <w:num w:numId="3">
    <w:abstractNumId w:val="16"/>
  </w:num>
  <w:num w:numId="4">
    <w:abstractNumId w:val="3"/>
  </w:num>
  <w:num w:numId="5">
    <w:abstractNumId w:val="10"/>
  </w:num>
  <w:num w:numId="6">
    <w:abstractNumId w:val="0"/>
  </w:num>
  <w:num w:numId="7">
    <w:abstractNumId w:val="4"/>
  </w:num>
  <w:num w:numId="8">
    <w:abstractNumId w:val="11"/>
  </w:num>
  <w:num w:numId="9">
    <w:abstractNumId w:val="21"/>
  </w:num>
  <w:num w:numId="10">
    <w:abstractNumId w:val="30"/>
  </w:num>
  <w:num w:numId="11">
    <w:abstractNumId w:val="29"/>
  </w:num>
  <w:num w:numId="12">
    <w:abstractNumId w:val="24"/>
  </w:num>
  <w:num w:numId="13">
    <w:abstractNumId w:val="12"/>
  </w:num>
  <w:num w:numId="14">
    <w:abstractNumId w:val="20"/>
  </w:num>
  <w:num w:numId="15">
    <w:abstractNumId w:val="27"/>
  </w:num>
  <w:num w:numId="16">
    <w:abstractNumId w:val="25"/>
  </w:num>
  <w:num w:numId="17">
    <w:abstractNumId w:val="23"/>
  </w:num>
  <w:num w:numId="18">
    <w:abstractNumId w:val="14"/>
  </w:num>
  <w:num w:numId="19">
    <w:abstractNumId w:val="8"/>
  </w:num>
  <w:num w:numId="20">
    <w:abstractNumId w:val="7"/>
  </w:num>
  <w:num w:numId="21">
    <w:abstractNumId w:val="9"/>
  </w:num>
  <w:num w:numId="22">
    <w:abstractNumId w:val="18"/>
  </w:num>
  <w:num w:numId="23">
    <w:abstractNumId w:val="33"/>
  </w:num>
  <w:num w:numId="24">
    <w:abstractNumId w:val="31"/>
  </w:num>
  <w:num w:numId="25">
    <w:abstractNumId w:val="32"/>
  </w:num>
  <w:num w:numId="26">
    <w:abstractNumId w:val="6"/>
  </w:num>
  <w:num w:numId="27">
    <w:abstractNumId w:val="28"/>
  </w:num>
  <w:num w:numId="28">
    <w:abstractNumId w:val="15"/>
  </w:num>
  <w:num w:numId="29">
    <w:abstractNumId w:val="1"/>
  </w:num>
  <w:num w:numId="30">
    <w:abstractNumId w:val="17"/>
  </w:num>
  <w:num w:numId="31">
    <w:abstractNumId w:val="26"/>
  </w:num>
  <w:num w:numId="32">
    <w:abstractNumId w:val="22"/>
  </w:num>
  <w:num w:numId="33">
    <w:abstractNumId w:val="5"/>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drawingGridHorizontalSpacing w:val="110"/>
  <w:displayHorizontalDrawingGridEvery w:val="2"/>
  <w:characterSpacingControl w:val="doNotCompress"/>
  <w:hdrShapeDefaults>
    <o:shapedefaults v:ext="edit" spidmax="4097">
      <v:textbox inset="5.85pt,.7pt,5.85pt,.7pt"/>
    </o:shapedefaults>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D8713A"/>
    <w:rsid w:val="00012571"/>
    <w:rsid w:val="00481E2B"/>
    <w:rsid w:val="007A4E58"/>
    <w:rsid w:val="00A51331"/>
    <w:rsid w:val="00D8713A"/>
    <w:rsid w:val="00FA46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5:docId w15:val="{EB40D482-FD56-46C0-9946-A08D0F825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spacing w:before="1"/>
      <w:ind w:left="215" w:right="4209"/>
      <w:jc w:val="center"/>
      <w:outlineLvl w:val="0"/>
    </w:pPr>
    <w:rPr>
      <w:b/>
      <w:bCs/>
      <w:sz w:val="32"/>
      <w:szCs w:val="32"/>
    </w:rPr>
  </w:style>
  <w:style w:type="paragraph" w:styleId="2">
    <w:name w:val="heading 2"/>
    <w:basedOn w:val="a"/>
    <w:uiPriority w:val="9"/>
    <w:unhideWhenUsed/>
    <w:qFormat/>
    <w:pPr>
      <w:spacing w:before="89"/>
      <w:ind w:left="1078" w:hanging="852"/>
      <w:outlineLvl w:val="1"/>
    </w:pPr>
    <w:rPr>
      <w:b/>
      <w:bCs/>
      <w:sz w:val="28"/>
      <w:szCs w:val="28"/>
    </w:rPr>
  </w:style>
  <w:style w:type="paragraph" w:styleId="3">
    <w:name w:val="heading 3"/>
    <w:basedOn w:val="a"/>
    <w:uiPriority w:val="9"/>
    <w:unhideWhenUsed/>
    <w:qFormat/>
    <w:pPr>
      <w:spacing w:before="144"/>
      <w:ind w:left="1067"/>
      <w:outlineLvl w:val="2"/>
    </w:pPr>
    <w:rPr>
      <w:b/>
      <w:bCs/>
      <w:sz w:val="24"/>
      <w:szCs w:val="24"/>
    </w:rPr>
  </w:style>
  <w:style w:type="paragraph" w:styleId="4">
    <w:name w:val="heading 4"/>
    <w:basedOn w:val="a"/>
    <w:uiPriority w:val="9"/>
    <w:unhideWhenUsed/>
    <w:qFormat/>
    <w:pPr>
      <w:spacing w:before="91"/>
      <w:ind w:left="215"/>
      <w:outlineLvl w:val="3"/>
    </w:pPr>
    <w:rPr>
      <w:b/>
      <w:bCs/>
      <w: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167"/>
      <w:ind w:left="923" w:hanging="708"/>
    </w:pPr>
    <w:rPr>
      <w:b/>
      <w:bCs/>
    </w:rPr>
  </w:style>
  <w:style w:type="paragraph" w:styleId="20">
    <w:name w:val="toc 2"/>
    <w:basedOn w:val="a"/>
    <w:uiPriority w:val="1"/>
    <w:qFormat/>
    <w:pPr>
      <w:spacing w:before="107"/>
      <w:ind w:left="1348" w:hanging="850"/>
    </w:pPr>
  </w:style>
  <w:style w:type="paragraph" w:styleId="30">
    <w:name w:val="toc 3"/>
    <w:basedOn w:val="a"/>
    <w:uiPriority w:val="1"/>
    <w:qFormat/>
    <w:pPr>
      <w:spacing w:before="107"/>
      <w:ind w:left="1775" w:hanging="994"/>
    </w:pPr>
  </w:style>
  <w:style w:type="paragraph" w:styleId="40">
    <w:name w:val="toc 4"/>
    <w:basedOn w:val="a"/>
    <w:uiPriority w:val="1"/>
    <w:qFormat/>
    <w:pPr>
      <w:spacing w:before="107"/>
      <w:ind w:left="2200" w:hanging="1133"/>
    </w:pPr>
  </w:style>
  <w:style w:type="paragraph" w:styleId="5">
    <w:name w:val="toc 5"/>
    <w:basedOn w:val="a"/>
    <w:uiPriority w:val="1"/>
    <w:qFormat/>
    <w:pPr>
      <w:spacing w:before="47"/>
      <w:ind w:left="2200"/>
    </w:pPr>
  </w:style>
  <w:style w:type="paragraph" w:styleId="a3">
    <w:name w:val="Body Text"/>
    <w:basedOn w:val="a"/>
    <w:uiPriority w:val="1"/>
    <w:qFormat/>
    <w:rPr>
      <w:sz w:val="24"/>
      <w:szCs w:val="24"/>
    </w:rPr>
  </w:style>
  <w:style w:type="paragraph" w:styleId="a4">
    <w:name w:val="List Paragraph"/>
    <w:basedOn w:val="a"/>
    <w:uiPriority w:val="1"/>
    <w:qFormat/>
    <w:pPr>
      <w:spacing w:before="107"/>
      <w:ind w:left="1067" w:hanging="852"/>
    </w:pPr>
  </w:style>
  <w:style w:type="paragraph" w:customStyle="1" w:styleId="TableParagraph">
    <w:name w:val="Table Paragraph"/>
    <w:basedOn w:val="a"/>
    <w:uiPriority w:val="1"/>
    <w:qFormat/>
    <w:pPr>
      <w:spacing w:line="210" w:lineRule="exact"/>
      <w:jc w:val="center"/>
    </w:pPr>
  </w:style>
  <w:style w:type="paragraph" w:styleId="a5">
    <w:name w:val="header"/>
    <w:basedOn w:val="a"/>
    <w:link w:val="a6"/>
    <w:uiPriority w:val="99"/>
    <w:unhideWhenUsed/>
    <w:rsid w:val="007A4E58"/>
    <w:pPr>
      <w:tabs>
        <w:tab w:val="center" w:pos="4252"/>
        <w:tab w:val="right" w:pos="8504"/>
      </w:tabs>
      <w:snapToGrid w:val="0"/>
    </w:pPr>
  </w:style>
  <w:style w:type="character" w:customStyle="1" w:styleId="a6">
    <w:name w:val="ヘッダー (文字)"/>
    <w:basedOn w:val="a0"/>
    <w:link w:val="a5"/>
    <w:uiPriority w:val="99"/>
    <w:rsid w:val="007A4E58"/>
    <w:rPr>
      <w:rFonts w:ascii="Times New Roman" w:eastAsia="Times New Roman" w:hAnsi="Times New Roman" w:cs="Times New Roman"/>
    </w:rPr>
  </w:style>
  <w:style w:type="paragraph" w:styleId="a7">
    <w:name w:val="footer"/>
    <w:basedOn w:val="a"/>
    <w:link w:val="a8"/>
    <w:uiPriority w:val="99"/>
    <w:unhideWhenUsed/>
    <w:rsid w:val="007A4E58"/>
    <w:pPr>
      <w:tabs>
        <w:tab w:val="center" w:pos="4252"/>
        <w:tab w:val="right" w:pos="8504"/>
      </w:tabs>
      <w:snapToGrid w:val="0"/>
    </w:pPr>
  </w:style>
  <w:style w:type="character" w:customStyle="1" w:styleId="a8">
    <w:name w:val="フッター (文字)"/>
    <w:basedOn w:val="a0"/>
    <w:link w:val="a7"/>
    <w:uiPriority w:val="99"/>
    <w:rsid w:val="007A4E5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7EA8C9399C6F4249AB6A1823D3F13C35" ma:contentTypeVersion="2" ma:contentTypeDescription="新しいドキュメントを作成します。" ma:contentTypeScope="" ma:versionID="c267b9b797f40c944765c8d30051a1e5">
  <xsd:schema xmlns:xsd="http://www.w3.org/2001/XMLSchema" xmlns:xs="http://www.w3.org/2001/XMLSchema" xmlns:p="http://schemas.microsoft.com/office/2006/metadata/properties" xmlns:ns2="d2d78206-1d2d-40f9-bf0a-cbf8439a388f" targetNamespace="http://schemas.microsoft.com/office/2006/metadata/properties" ma:root="true" ma:fieldsID="84d7a9bbb7a6b358c850931979e06c8a" ns2:_="">
    <xsd:import namespace="d2d78206-1d2d-40f9-bf0a-cbf8439a388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78206-1d2d-40f9-bf0a-cbf8439a38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A3D4D34-DFE6-4FAA-93E2-359332F84C8E}"/>
</file>

<file path=customXml/itemProps2.xml><?xml version="1.0" encoding="utf-8"?>
<ds:datastoreItem xmlns:ds="http://schemas.openxmlformats.org/officeDocument/2006/customXml" ds:itemID="{7E675D65-2E38-4420-8E2A-5FADC3D779A9}"/>
</file>

<file path=customXml/itemProps3.xml><?xml version="1.0" encoding="utf-8"?>
<ds:datastoreItem xmlns:ds="http://schemas.openxmlformats.org/officeDocument/2006/customXml" ds:itemID="{CB7D2323-CEE3-45C1-877D-05C034E2F95A}"/>
</file>

<file path=docProps/app.xml><?xml version="1.0" encoding="utf-8"?>
<Properties xmlns="http://schemas.openxmlformats.org/officeDocument/2006/extended-properties" xmlns:vt="http://schemas.openxmlformats.org/officeDocument/2006/docPropsVTypes">
  <Template>Normal</Template>
  <TotalTime>6</TotalTime>
  <Pages>8</Pages>
  <Words>2950</Words>
  <Characters>16817</Characters>
  <Application>Microsoft Office Word</Application>
  <DocSecurity>0</DocSecurity>
  <Lines>140</Lines>
  <Paragraphs>39</Paragraphs>
  <ScaleCrop>false</ScaleCrop>
  <Company/>
  <LinksUpToDate>false</LinksUpToDate>
  <CharactersWithSpaces>19728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Watanabe, Yudai(渡辺 雄大)</cp:lastModifiedBy>
  <cp:revision>5</cp:revision>
  <dcterms:created xsi:type="dcterms:W3CDTF">2021-06-22T01:19:00Z</dcterms:created>
  <dcterms:modified xsi:type="dcterms:W3CDTF">2021-07-08T09:39:00Z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2014-03-13T00:00:00Z</vt:filetime>
  </property>
  <property fmtid="{D5CDD505-2E9C-101B-9397-08002B2CF9AE}" pid="3" name="LastSaved">
    <vt:filetime>2021-06-22T00:00:00Z</vt:filetime>
  </property>
  <property fmtid="{D5CDD505-2E9C-101B-9397-08002B2CF9AE}" pid="4" name="ContentTypeId">
    <vt:lpwstr>0x0101007EA8C9399C6F4249AB6A1823D3F13C35</vt:lpwstr>
  </property>
</Properties>
</file>