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904" w:rsidRDefault="00ED218C" w:rsidP="002206D5">
      <w:pP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Bacterial Reverse Mutation Test of </w:t>
      </w:r>
      <w:r w:rsidR="00DE36F1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I</w:t>
      </w:r>
    </w:p>
    <w:p w:rsidR="005835E5" w:rsidRDefault="005835E5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ED218C" w:rsidRDefault="00ED218C" w:rsidP="00ED218C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11 SUMMARY AND CONCLUSION</w:t>
      </w:r>
    </w:p>
    <w:p w:rsidR="00ED218C" w:rsidRDefault="00ED218C" w:rsidP="00ED218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The objective of this study was to assess the potential of </w:t>
      </w:r>
      <w:r w:rsidR="00DE36F1">
        <w:rPr>
          <w:rFonts w:ascii="TimesNewRomanPSMT" w:hAnsi="TimesNewRomanPSMT" w:cs="TimesNewRomanPSMT"/>
          <w:kern w:val="0"/>
          <w:szCs w:val="24"/>
        </w:rPr>
        <w:t>PROJECT I</w:t>
      </w:r>
      <w:r>
        <w:rPr>
          <w:rFonts w:ascii="TimesNewRomanPSMT" w:hAnsi="TimesNewRomanPSMT" w:cs="TimesNewRomanPSMT"/>
          <w:kern w:val="0"/>
          <w:szCs w:val="24"/>
        </w:rPr>
        <w:t xml:space="preserve"> for inducibility of gene mutation.</w:t>
      </w:r>
    </w:p>
    <w:p w:rsidR="00ED218C" w:rsidRDefault="00ED218C" w:rsidP="00ED218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A bacterial reverse mutation test was performed with 5 test strains of bacteria [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Salmonella typhimurium </w:t>
      </w:r>
      <w:r>
        <w:rPr>
          <w:rFonts w:ascii="TimesNewRomanPSMT" w:hAnsi="TimesNewRomanPSMT" w:cs="TimesNewRomanPSMT"/>
          <w:kern w:val="0"/>
          <w:szCs w:val="24"/>
        </w:rPr>
        <w:t xml:space="preserve">(TA100, TA1535, TA98, and TA1537) and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 xml:space="preserve">)], using the pre-incubation method with and without metabolic activation. Based on the results of the dose-finding test at 5, 15, 50, 150, 500, 1500,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/plate, the main test was performed at 156, 313, 625, 1250, 2500,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/plate.</w:t>
      </w:r>
    </w:p>
    <w:p w:rsidR="00ED218C" w:rsidRDefault="00ED218C" w:rsidP="00ED218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Test article precipitation was observed at 2500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upon addition of the test article formulation, and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on the plates after incubation for 48 hours with and without metabolic activation. Growth inhibition was not observed at up to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in any test strain with or without metabolic activation.</w:t>
      </w:r>
    </w:p>
    <w:p w:rsidR="00ED218C" w:rsidRDefault="00ED218C" w:rsidP="00ED218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comparison with the negative control, no 2-fold or greater increase in the number of revertant colonies was observed in any test strain with or without metabolic activation.</w:t>
      </w:r>
    </w:p>
    <w:p w:rsidR="002206D5" w:rsidRPr="006C2900" w:rsidRDefault="00ED218C" w:rsidP="00ED218C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It was concluded that </w:t>
      </w:r>
      <w:r w:rsidR="00DE36F1">
        <w:rPr>
          <w:rFonts w:ascii="TimesNewRomanPSMT" w:hAnsi="TimesNewRomanPSMT" w:cs="TimesNewRomanPSMT"/>
          <w:kern w:val="0"/>
          <w:szCs w:val="24"/>
        </w:rPr>
        <w:t>PROJECT I</w:t>
      </w:r>
      <w:r>
        <w:rPr>
          <w:rFonts w:ascii="TimesNewRomanPSMT" w:hAnsi="TimesNewRomanPSMT" w:cs="TimesNewRomanPSMT"/>
          <w:kern w:val="0"/>
          <w:szCs w:val="24"/>
        </w:rPr>
        <w:t xml:space="preserve"> has no potential to induce gene mutation in bacteria under the conditions of this study.</w:t>
      </w:r>
    </w:p>
    <w:sectPr w:rsidR="002206D5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206D5"/>
    <w:rsid w:val="00280895"/>
    <w:rsid w:val="002C7EB3"/>
    <w:rsid w:val="00305291"/>
    <w:rsid w:val="00361285"/>
    <w:rsid w:val="003F667A"/>
    <w:rsid w:val="005835E5"/>
    <w:rsid w:val="006C2900"/>
    <w:rsid w:val="006D1064"/>
    <w:rsid w:val="00714904"/>
    <w:rsid w:val="008E19B0"/>
    <w:rsid w:val="00953BD7"/>
    <w:rsid w:val="00D87BA5"/>
    <w:rsid w:val="00DE36F1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44EAAA-80FD-497C-94AB-1E70E4C213E6}"/>
</file>

<file path=customXml/itemProps2.xml><?xml version="1.0" encoding="utf-8"?>
<ds:datastoreItem xmlns:ds="http://schemas.openxmlformats.org/officeDocument/2006/customXml" ds:itemID="{59BD67B6-546B-499D-B64B-6EE459D1B27D}"/>
</file>

<file path=customXml/itemProps3.xml><?xml version="1.0" encoding="utf-8"?>
<ds:datastoreItem xmlns:ds="http://schemas.openxmlformats.org/officeDocument/2006/customXml" ds:itemID="{DE14EC47-56CB-450A-9093-7F4D9FF614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2021-06-23T13:02:00Z</dcterms:created>
  <dcterms:modified xsi:type="dcterms:W3CDTF">2021-06-30T12:07:00Z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