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AB3" w:rsidRDefault="00C85E37" w:rsidP="00C85E37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 w:rsidRPr="00C85E37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Four-Week Repeated Oral Dose Toxicity Study of </w:t>
      </w:r>
      <w:bookmarkStart w:id="0" w:name="_GoBack"/>
      <w:r w:rsidR="000753B1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Project K</w:t>
      </w:r>
      <w:bookmarkEnd w:id="0"/>
      <w:r w:rsidRPr="00C85E37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in Dogs Followed by a 4-Week Recovery Period</w:t>
      </w:r>
    </w:p>
    <w:p w:rsidR="00C85E37" w:rsidRPr="00C85E37" w:rsidRDefault="00C85E37" w:rsidP="00C85E37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:rsidR="00795604" w:rsidRDefault="00795604" w:rsidP="00795604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 xml:space="preserve">11 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SUMMARY</w:t>
      </w:r>
      <w:proofErr w:type="gramEnd"/>
    </w:p>
    <w:p w:rsidR="00C85E37" w:rsidRPr="00C85E37" w:rsidRDefault="000753B1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r>
        <w:rPr>
          <w:rFonts w:eastAsia="TimesNewRoman,Bold"/>
          <w:kern w:val="0"/>
          <w:szCs w:val="24"/>
        </w:rPr>
        <w:t>Project K</w:t>
      </w:r>
      <w:r w:rsidR="00C85E37" w:rsidRPr="00C85E37">
        <w:rPr>
          <w:rFonts w:eastAsia="TimesNewRoman,Bold"/>
          <w:kern w:val="0"/>
          <w:szCs w:val="24"/>
        </w:rPr>
        <w:t xml:space="preserve"> suspended in 0.5% methylcellulose solution was orally administered to</w:t>
      </w:r>
      <w:r w:rsidR="00C85E37">
        <w:rPr>
          <w:rFonts w:eastAsia="TimesNewRoman,Bold"/>
          <w:kern w:val="0"/>
          <w:szCs w:val="24"/>
        </w:rPr>
        <w:t xml:space="preserve"> </w:t>
      </w:r>
      <w:r w:rsidR="00C85E37" w:rsidRPr="00C85E37">
        <w:rPr>
          <w:rFonts w:eastAsia="TimesNewRoman,Bold"/>
          <w:kern w:val="0"/>
          <w:szCs w:val="24"/>
        </w:rPr>
        <w:t xml:space="preserve">4 male and 4 female beagle dogs per group at doses of 0.03, 0.3, and 100 mg/kg as </w:t>
      </w:r>
      <w:r>
        <w:rPr>
          <w:rFonts w:eastAsia="TimesNewRoman,Bold"/>
          <w:kern w:val="0"/>
          <w:szCs w:val="24"/>
        </w:rPr>
        <w:t>PROJECT K</w:t>
      </w:r>
      <w:r w:rsidR="00C85E37">
        <w:rPr>
          <w:rFonts w:eastAsia="TimesNewRoman,Bold"/>
          <w:kern w:val="0"/>
          <w:szCs w:val="24"/>
        </w:rPr>
        <w:t xml:space="preserve"> </w:t>
      </w:r>
      <w:r w:rsidR="00C85E37" w:rsidRPr="00C85E37">
        <w:rPr>
          <w:rFonts w:eastAsia="TimesNewRoman,Bold"/>
          <w:kern w:val="0"/>
          <w:szCs w:val="24"/>
        </w:rPr>
        <w:t xml:space="preserve">once daily for 4 </w:t>
      </w:r>
      <w:proofErr w:type="spellStart"/>
      <w:r w:rsidR="00C85E37" w:rsidRPr="00C85E37">
        <w:rPr>
          <w:rFonts w:eastAsia="TimesNewRoman,Bold"/>
          <w:kern w:val="0"/>
          <w:szCs w:val="24"/>
        </w:rPr>
        <w:t>wk</w:t>
      </w:r>
      <w:proofErr w:type="spellEnd"/>
      <w:r w:rsidR="00C85E37" w:rsidRPr="00C85E37">
        <w:rPr>
          <w:rFonts w:eastAsia="TimesNewRoman,Bold"/>
          <w:kern w:val="0"/>
          <w:szCs w:val="24"/>
        </w:rPr>
        <w:t xml:space="preserve"> to evaluate toxicological changes. A control group received 0.5%</w:t>
      </w:r>
      <w:r w:rsidR="00C85E37">
        <w:rPr>
          <w:rFonts w:eastAsia="TimesNewRoman,Bold"/>
          <w:kern w:val="0"/>
          <w:szCs w:val="24"/>
        </w:rPr>
        <w:t xml:space="preserve"> </w:t>
      </w:r>
      <w:r w:rsidR="00C85E37" w:rsidRPr="00C85E37">
        <w:rPr>
          <w:rFonts w:eastAsia="TimesNewRoman,Bold"/>
          <w:kern w:val="0"/>
          <w:szCs w:val="24"/>
        </w:rPr>
        <w:t>methylcellulose solution, the vehicle for the test article.</w:t>
      </w:r>
    </w:p>
    <w:p w:rsidR="00C85E37" w:rsidRPr="00C85E37" w:rsidRDefault="00C85E37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r w:rsidRPr="00C85E37">
        <w:rPr>
          <w:rFonts w:eastAsia="TimesNewRoman,Bold"/>
          <w:kern w:val="0"/>
          <w:szCs w:val="24"/>
        </w:rPr>
        <w:t>A recovery group consisting of 3 male and 3 female beagle dogs treated with 100 mg/kg was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 xml:space="preserve">also included, to investigate whether toxic changes induced during 4 </w:t>
      </w:r>
      <w:proofErr w:type="spellStart"/>
      <w:r w:rsidRPr="00C85E37">
        <w:rPr>
          <w:rFonts w:eastAsia="TimesNewRoman,Bold"/>
          <w:kern w:val="0"/>
          <w:szCs w:val="24"/>
        </w:rPr>
        <w:t>wk</w:t>
      </w:r>
      <w:proofErr w:type="spellEnd"/>
      <w:r w:rsidRPr="00C85E37">
        <w:rPr>
          <w:rFonts w:eastAsia="TimesNewRoman,Bold"/>
          <w:kern w:val="0"/>
          <w:szCs w:val="24"/>
        </w:rPr>
        <w:t xml:space="preserve"> of treatment period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resolved after a 4-wk recovery period.</w:t>
      </w:r>
    </w:p>
    <w:p w:rsidR="00C85E37" w:rsidRPr="00C85E37" w:rsidRDefault="00C85E37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r w:rsidRPr="00C85E37">
        <w:rPr>
          <w:rFonts w:eastAsia="TimesNewRoman,Bold"/>
          <w:kern w:val="0"/>
          <w:szCs w:val="24"/>
        </w:rPr>
        <w:t xml:space="preserve">To evaluate systemic exposure, the plasma </w:t>
      </w:r>
      <w:r w:rsidR="000753B1">
        <w:rPr>
          <w:rFonts w:eastAsia="TimesNewRoman,Bold"/>
          <w:kern w:val="0"/>
          <w:szCs w:val="24"/>
        </w:rPr>
        <w:t>PROJECT K</w:t>
      </w:r>
      <w:r w:rsidRPr="00C85E37">
        <w:rPr>
          <w:rFonts w:eastAsia="TimesNewRoman,Bold"/>
          <w:kern w:val="0"/>
          <w:szCs w:val="24"/>
        </w:rPr>
        <w:t xml:space="preserve"> concentration was also measured.</w:t>
      </w:r>
    </w:p>
    <w:p w:rsidR="00C85E37" w:rsidRPr="00C85E37" w:rsidRDefault="00C85E37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r w:rsidRPr="00C85E37">
        <w:rPr>
          <w:rFonts w:eastAsia="TimesNewRoman,Bold"/>
          <w:kern w:val="0"/>
          <w:szCs w:val="24"/>
        </w:rPr>
        <w:t>During the treatment period, animals underwent observation of general signs, measurement of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body weight and food consumption, hematology, blood chemistry testing, urinalysis,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ophthalmologic examination, electrocardiography, and toxicokinetic analysis. During the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recovery period, animals underwent observation of general signs, measurement of body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weight and food consumption, hematology, blood chemistry testing, and urinalysis. Gross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pathological examination, organ weight measurement, and histopathological examination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were conducted at the completion of the treatment and recovery periods.</w:t>
      </w:r>
    </w:p>
    <w:p w:rsidR="00C85E37" w:rsidRPr="00C85E37" w:rsidRDefault="00C85E37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r w:rsidRPr="00C85E37">
        <w:rPr>
          <w:rFonts w:eastAsia="TimesNewRoman,Bold"/>
          <w:kern w:val="0"/>
          <w:szCs w:val="24"/>
        </w:rPr>
        <w:t>There was no animal death in any dose group.</w:t>
      </w:r>
    </w:p>
    <w:p w:rsidR="00C85E37" w:rsidRPr="00C85E37" w:rsidRDefault="00C85E37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r w:rsidRPr="00C85E37">
        <w:rPr>
          <w:rFonts w:eastAsia="TimesNewRoman,Bold"/>
          <w:kern w:val="0"/>
          <w:szCs w:val="24"/>
        </w:rPr>
        <w:t>Toxicological changes were not observed at 0.03 mg/kg, but did occur at 0.3 mg/kg and more.</w:t>
      </w:r>
    </w:p>
    <w:p w:rsidR="00C85E37" w:rsidRPr="00C85E37" w:rsidRDefault="00C85E37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r w:rsidRPr="00C85E37">
        <w:rPr>
          <w:rFonts w:eastAsia="TimesNewRoman,Bold"/>
          <w:kern w:val="0"/>
          <w:szCs w:val="24"/>
        </w:rPr>
        <w:t>The main findings are described below (Appendix 1).</w:t>
      </w:r>
    </w:p>
    <w:p w:rsidR="00C85E37" w:rsidRPr="00C85E37" w:rsidRDefault="00C85E37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r w:rsidRPr="00C85E37">
        <w:rPr>
          <w:rFonts w:eastAsia="TimesNewRoman,Bold"/>
          <w:kern w:val="0"/>
          <w:szCs w:val="24"/>
        </w:rPr>
        <w:t>At 0.3 mg/kg and more, findings included vomiting, soft feces, and abnormal-colored feces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(reddish, reddish soft, reddish watery, and reddish mucous feces; dark-reddish, dark-reddish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soft, dark-reddish watery, and dark-reddish mucous feces; with positive occult blood test);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increases in fibrinogen; and decreases in total protein, albumin, calcium, and sodium; and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slight infiltration of inflammatory cells in the duodenal mucosa.</w:t>
      </w:r>
    </w:p>
    <w:p w:rsidR="00C85E37" w:rsidRPr="00C85E37" w:rsidRDefault="00C85E37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r w:rsidRPr="00C85E37">
        <w:rPr>
          <w:rFonts w:eastAsia="TimesNewRoman,Bold"/>
          <w:kern w:val="0"/>
          <w:szCs w:val="24"/>
        </w:rPr>
        <w:t>At 100 mg/kg, findings included those observed in the 0.3 mg/kg group, as well as the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following: vomitus with test article, watery feces, and emaciation; decreases in body weight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and food consumption; decreases in RBC count, hemoglobin, hematocrit, mean cell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hemoglobin concentration, globulin, albumin/globulin ratio, total bilirubin, total cholesterol,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ALP activity, ALT activity, and glucose; and increases in platelet count, reticulocyte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percentage, WBC count, neutrophil count, monocyte count, and chlorine. Autopsy findings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included depressed focus and dark red focus in the duodenum, ascites retention, edema of the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pancreas, and obscure thymus. There were statistically significant increases in absolute and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relative weights of the spleen, and relative weight of the pancreas, and a statistically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significant difference in thymus weight as compared with the control group. In histopathology,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 xml:space="preserve">findings were ulcer/erosion of the duodenum; </w:t>
      </w:r>
      <w:r w:rsidRPr="00C85E37">
        <w:rPr>
          <w:rFonts w:eastAsia="TimesNewRoman,Bold"/>
          <w:kern w:val="0"/>
          <w:szCs w:val="24"/>
        </w:rPr>
        <w:lastRenderedPageBreak/>
        <w:t>ulcer/erosion and regeneration of mucosal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epithelia of the ileum; hypercellularity in sternal and femoral bone marrows; extramedullary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hematopoiesis in the spleen; thymic atrophy; granuloma of the liver; and interstitial edema of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the pancreas.</w:t>
      </w:r>
    </w:p>
    <w:p w:rsidR="00C85E37" w:rsidRPr="00C85E37" w:rsidRDefault="00C85E37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r w:rsidRPr="00C85E37">
        <w:rPr>
          <w:rFonts w:eastAsia="TimesNewRoman,Bold"/>
          <w:kern w:val="0"/>
          <w:szCs w:val="24"/>
        </w:rPr>
        <w:t>In the recovery group, among the changes induced during the 4-wk administration period,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increases in platelet count and reticulocyte percentage, and decreased mean corpuscular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hemoglobin concentration were still observed. In addition, some animals had decreases in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mean corpuscular volume, mean corpuscular hemoglobin, and mean corpuscular hemoglobin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concentration. These changes were judged to be secondary to recovery of erythrocyte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parameters that decreased or tended to decrease during the treatment period, and were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expected to resolve by prolongation of the recovery period since the erythrocyte parameters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returned to normal values by 4-wk drug withdrawal. Increased platelet count resolved in 1 of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the 2 animals after drug withdrawal.</w:t>
      </w:r>
    </w:p>
    <w:p w:rsidR="00C85E37" w:rsidRPr="00C85E37" w:rsidRDefault="00C85E37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proofErr w:type="gramStart"/>
      <w:r w:rsidRPr="00C85E37">
        <w:rPr>
          <w:rFonts w:eastAsia="TimesNewRoman,Bold"/>
          <w:kern w:val="0"/>
          <w:szCs w:val="24"/>
        </w:rPr>
        <w:t>Soft feces, watery feces, and abnormal-colored feces,</w:t>
      </w:r>
      <w:proofErr w:type="gramEnd"/>
      <w:r w:rsidRPr="00C85E37">
        <w:rPr>
          <w:rFonts w:eastAsia="TimesNewRoman,Bold"/>
          <w:kern w:val="0"/>
          <w:szCs w:val="24"/>
        </w:rPr>
        <w:t xml:space="preserve"> increased relative weight of the spleen,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and hypercellularity in sternal and femoral bone marrows were alleviated in frequency or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severity, and thus they were considered to show tendency to recovery.</w:t>
      </w:r>
    </w:p>
    <w:p w:rsidR="00C85E37" w:rsidRPr="00C85E37" w:rsidRDefault="00C85E37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r w:rsidRPr="00C85E37">
        <w:rPr>
          <w:rFonts w:eastAsia="TimesNewRoman,Bold"/>
          <w:kern w:val="0"/>
          <w:szCs w:val="24"/>
        </w:rPr>
        <w:t>No other changes occurred in the recovery group.</w:t>
      </w:r>
    </w:p>
    <w:p w:rsidR="00C85E37" w:rsidRPr="00C85E37" w:rsidRDefault="00C85E37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r w:rsidRPr="00C85E37">
        <w:rPr>
          <w:rFonts w:eastAsia="TimesNewRoman,Bold"/>
          <w:kern w:val="0"/>
          <w:szCs w:val="24"/>
        </w:rPr>
        <w:t xml:space="preserve">When the dose was increased from 0.03 to 0.3 mg/kg, </w:t>
      </w:r>
      <w:proofErr w:type="spellStart"/>
      <w:r w:rsidRPr="00C85E37">
        <w:rPr>
          <w:rFonts w:eastAsia="TimesNewRoman,Bold"/>
          <w:kern w:val="0"/>
          <w:szCs w:val="24"/>
        </w:rPr>
        <w:t>Cmax</w:t>
      </w:r>
      <w:proofErr w:type="spellEnd"/>
      <w:r w:rsidRPr="00C85E37">
        <w:rPr>
          <w:rFonts w:eastAsia="TimesNewRoman,Bold"/>
          <w:kern w:val="0"/>
          <w:szCs w:val="24"/>
        </w:rPr>
        <w:t xml:space="preserve"> and AUC24 values on day 1 of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males increased at a rate equal to the dose ratio (</w:t>
      </w:r>
      <w:proofErr w:type="spellStart"/>
      <w:r w:rsidRPr="00C85E37">
        <w:rPr>
          <w:rFonts w:eastAsia="TimesNewRoman,Bold"/>
          <w:kern w:val="0"/>
          <w:szCs w:val="24"/>
        </w:rPr>
        <w:t>Cmax</w:t>
      </w:r>
      <w:proofErr w:type="spellEnd"/>
      <w:r w:rsidRPr="00C85E37">
        <w:rPr>
          <w:rFonts w:eastAsia="TimesNewRoman,Bold"/>
          <w:kern w:val="0"/>
          <w:szCs w:val="24"/>
        </w:rPr>
        <w:t>, 9.8-fold; AUC24, 9.6-fold) and those of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females increased at a rate lower than the dose ratio (</w:t>
      </w:r>
      <w:proofErr w:type="spellStart"/>
      <w:r w:rsidRPr="00C85E37">
        <w:rPr>
          <w:rFonts w:eastAsia="TimesNewRoman,Bold"/>
          <w:kern w:val="0"/>
          <w:szCs w:val="24"/>
        </w:rPr>
        <w:t>Cmax</w:t>
      </w:r>
      <w:proofErr w:type="spellEnd"/>
      <w:r w:rsidRPr="00C85E37">
        <w:rPr>
          <w:rFonts w:eastAsia="TimesNewRoman,Bold"/>
          <w:kern w:val="0"/>
          <w:szCs w:val="24"/>
        </w:rPr>
        <w:t>, 7.1-fold; AUC24, 7.5-fold).</w:t>
      </w:r>
    </w:p>
    <w:p w:rsidR="00C85E37" w:rsidRDefault="00C85E37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r w:rsidRPr="00C85E37">
        <w:rPr>
          <w:rFonts w:eastAsia="TimesNewRoman,Bold"/>
          <w:kern w:val="0"/>
          <w:szCs w:val="24"/>
        </w:rPr>
        <w:t>When the dose was increased from 0.3 to 100 mg/kg, the values for both males and females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increased at a rate lower than the dose ratio (</w:t>
      </w:r>
      <w:proofErr w:type="spellStart"/>
      <w:r w:rsidRPr="00C85E37">
        <w:rPr>
          <w:rFonts w:eastAsia="TimesNewRoman,Bold"/>
          <w:kern w:val="0"/>
          <w:szCs w:val="24"/>
        </w:rPr>
        <w:t>Cmax</w:t>
      </w:r>
      <w:proofErr w:type="spellEnd"/>
      <w:r w:rsidRPr="00C85E37">
        <w:rPr>
          <w:rFonts w:eastAsia="TimesNewRoman,Bold"/>
          <w:kern w:val="0"/>
          <w:szCs w:val="24"/>
        </w:rPr>
        <w:t>, 12.6- and 17.0-fold, respectively; AUC24,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24.2- and 17.2-fold, respectively).</w:t>
      </w:r>
    </w:p>
    <w:p w:rsidR="00C85E37" w:rsidRPr="00C85E37" w:rsidRDefault="00C85E37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r w:rsidRPr="00C85E37">
        <w:rPr>
          <w:rFonts w:eastAsia="TimesNewRoman,Bold"/>
          <w:kern w:val="0"/>
          <w:szCs w:val="24"/>
        </w:rPr>
        <w:t xml:space="preserve">Comparison of the </w:t>
      </w:r>
      <w:proofErr w:type="spellStart"/>
      <w:r w:rsidRPr="00C85E37">
        <w:rPr>
          <w:rFonts w:eastAsia="TimesNewRoman,Bold"/>
          <w:kern w:val="0"/>
          <w:szCs w:val="24"/>
        </w:rPr>
        <w:t>Cmax</w:t>
      </w:r>
      <w:proofErr w:type="spellEnd"/>
      <w:r w:rsidRPr="00C85E37">
        <w:rPr>
          <w:rFonts w:eastAsia="TimesNewRoman,Bold"/>
          <w:kern w:val="0"/>
          <w:szCs w:val="24"/>
        </w:rPr>
        <w:t xml:space="preserve"> and AUC24 values between day 1 and week 2 or 4 indicated that the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AUC24 value for females in the 100 mg/kg group at week 2 was 2.5 times higher than that on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day 1. No other significant difference was observed in any group.</w:t>
      </w:r>
    </w:p>
    <w:p w:rsidR="00C85E37" w:rsidRPr="00C85E37" w:rsidRDefault="00C85E37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r w:rsidRPr="00C85E37">
        <w:rPr>
          <w:rFonts w:eastAsia="TimesNewRoman,Bold"/>
          <w:kern w:val="0"/>
          <w:szCs w:val="24"/>
        </w:rPr>
        <w:t>No gender difference was noted.</w:t>
      </w:r>
    </w:p>
    <w:p w:rsidR="00795604" w:rsidRPr="00C85E37" w:rsidRDefault="00C85E37" w:rsidP="00C85E37">
      <w:pPr>
        <w:autoSpaceDE w:val="0"/>
        <w:autoSpaceDN w:val="0"/>
        <w:adjustRightInd w:val="0"/>
        <w:jc w:val="left"/>
        <w:rPr>
          <w:rFonts w:eastAsia="TimesNewRoman,Bold"/>
          <w:kern w:val="0"/>
          <w:szCs w:val="24"/>
        </w:rPr>
      </w:pPr>
      <w:r w:rsidRPr="00C85E37">
        <w:rPr>
          <w:rFonts w:eastAsia="TimesNewRoman,Bold"/>
          <w:kern w:val="0"/>
          <w:szCs w:val="24"/>
        </w:rPr>
        <w:t>In summary, the no-observed-adverse-effect level (NOAEL) for this study was judged to be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0.03 mg/kg/day (Appendix 1). Changes during administration can be expected to disappear or</w:t>
      </w:r>
      <w:r>
        <w:rPr>
          <w:rFonts w:eastAsia="TimesNewRoman,Bold"/>
          <w:kern w:val="0"/>
          <w:szCs w:val="24"/>
        </w:rPr>
        <w:t xml:space="preserve"> </w:t>
      </w:r>
      <w:r w:rsidRPr="00C85E37">
        <w:rPr>
          <w:rFonts w:eastAsia="TimesNewRoman,Bold"/>
          <w:kern w:val="0"/>
          <w:szCs w:val="24"/>
        </w:rPr>
        <w:t>tend to disappear by drug withdrawal.</w:t>
      </w:r>
    </w:p>
    <w:sectPr w:rsidR="00795604" w:rsidRPr="00C85E37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2FF" w:rsidRDefault="006E52FF" w:rsidP="00C85E37">
      <w:r>
        <w:separator/>
      </w:r>
    </w:p>
  </w:endnote>
  <w:endnote w:type="continuationSeparator" w:id="0">
    <w:p w:rsidR="006E52FF" w:rsidRDefault="006E52FF" w:rsidP="00C8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2FF" w:rsidRDefault="006E52FF" w:rsidP="00C85E37">
      <w:r>
        <w:separator/>
      </w:r>
    </w:p>
  </w:footnote>
  <w:footnote w:type="continuationSeparator" w:id="0">
    <w:p w:rsidR="006E52FF" w:rsidRDefault="006E52FF" w:rsidP="00C85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0753B1"/>
    <w:rsid w:val="002206D5"/>
    <w:rsid w:val="00280895"/>
    <w:rsid w:val="002C7EB3"/>
    <w:rsid w:val="00305291"/>
    <w:rsid w:val="00361285"/>
    <w:rsid w:val="003A0A7C"/>
    <w:rsid w:val="003D6AB3"/>
    <w:rsid w:val="003F667A"/>
    <w:rsid w:val="005835E5"/>
    <w:rsid w:val="006C2900"/>
    <w:rsid w:val="006E52FF"/>
    <w:rsid w:val="00714904"/>
    <w:rsid w:val="00795604"/>
    <w:rsid w:val="008E19B0"/>
    <w:rsid w:val="00953BD7"/>
    <w:rsid w:val="00C85E37"/>
    <w:rsid w:val="00D0213C"/>
    <w:rsid w:val="00D87BA5"/>
    <w:rsid w:val="00E62016"/>
    <w:rsid w:val="00ED218C"/>
    <w:rsid w:val="00F9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E3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85E37"/>
    <w:rPr>
      <w:sz w:val="24"/>
    </w:rPr>
  </w:style>
  <w:style w:type="paragraph" w:styleId="a5">
    <w:name w:val="footer"/>
    <w:basedOn w:val="a"/>
    <w:link w:val="a6"/>
    <w:uiPriority w:val="99"/>
    <w:unhideWhenUsed/>
    <w:rsid w:val="00C85E3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85E3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3CFB52-8E0A-4429-9C1C-FCEDECE1F2CD}"/>
</file>

<file path=customXml/itemProps2.xml><?xml version="1.0" encoding="utf-8"?>
<ds:datastoreItem xmlns:ds="http://schemas.openxmlformats.org/officeDocument/2006/customXml" ds:itemID="{510BF76E-F4A7-4B87-8D88-DD075F615D6A}"/>
</file>

<file path=customXml/itemProps3.xml><?xml version="1.0" encoding="utf-8"?>
<ds:datastoreItem xmlns:ds="http://schemas.openxmlformats.org/officeDocument/2006/customXml" ds:itemID="{ABC5D789-9870-4530-8121-63FF79095D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6</cp:revision>
  <dcterms:created xsi:type="dcterms:W3CDTF">2021-06-23T13:22:00Z</dcterms:created>
  <dcterms:modified xsi:type="dcterms:W3CDTF">2021-06-30T12:23:00Z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