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7AC" w:rsidRPr="00E967AC" w:rsidRDefault="00E967AC" w:rsidP="00E967AC">
      <w:pPr>
        <w:pStyle w:val="a4"/>
        <w:numPr>
          <w:ilvl w:val="0"/>
          <w:numId w:val="14"/>
        </w:numPr>
        <w:tabs>
          <w:tab w:val="left" w:pos="1067"/>
          <w:tab w:val="left" w:pos="1068"/>
        </w:tabs>
        <w:spacing w:before="120"/>
        <w:outlineLvl w:val="2"/>
        <w:rPr>
          <w:b/>
          <w:bCs/>
          <w:vanish/>
          <w:sz w:val="24"/>
          <w:szCs w:val="24"/>
        </w:rPr>
      </w:pPr>
      <w:bookmarkStart w:id="0" w:name="4.1.3_Safety_Pharmacology"/>
      <w:bookmarkStart w:id="1" w:name="_bookmark20"/>
      <w:bookmarkEnd w:id="0"/>
      <w:bookmarkEnd w:id="1"/>
    </w:p>
    <w:p w:rsidR="00E967AC" w:rsidRPr="00E967AC" w:rsidRDefault="00E967AC" w:rsidP="00E967AC">
      <w:pPr>
        <w:pStyle w:val="a4"/>
        <w:numPr>
          <w:ilvl w:val="0"/>
          <w:numId w:val="14"/>
        </w:numPr>
        <w:tabs>
          <w:tab w:val="left" w:pos="1067"/>
          <w:tab w:val="left" w:pos="1068"/>
        </w:tabs>
        <w:spacing w:before="120"/>
        <w:outlineLvl w:val="2"/>
        <w:rPr>
          <w:b/>
          <w:bCs/>
          <w:vanish/>
          <w:sz w:val="24"/>
          <w:szCs w:val="24"/>
        </w:rPr>
      </w:pPr>
    </w:p>
    <w:p w:rsidR="00E967AC" w:rsidRPr="00E967AC" w:rsidRDefault="00E967AC" w:rsidP="00E967AC">
      <w:pPr>
        <w:pStyle w:val="a4"/>
        <w:numPr>
          <w:ilvl w:val="1"/>
          <w:numId w:val="14"/>
        </w:numPr>
        <w:tabs>
          <w:tab w:val="left" w:pos="1067"/>
          <w:tab w:val="left" w:pos="1068"/>
        </w:tabs>
        <w:spacing w:before="120"/>
        <w:outlineLvl w:val="2"/>
        <w:rPr>
          <w:b/>
          <w:bCs/>
          <w:vanish/>
          <w:sz w:val="24"/>
          <w:szCs w:val="24"/>
        </w:rPr>
      </w:pPr>
    </w:p>
    <w:p w:rsidR="00E967AC" w:rsidRPr="00E967AC" w:rsidRDefault="00E967AC" w:rsidP="00E967AC">
      <w:pPr>
        <w:pStyle w:val="a4"/>
        <w:numPr>
          <w:ilvl w:val="2"/>
          <w:numId w:val="14"/>
        </w:numPr>
        <w:tabs>
          <w:tab w:val="left" w:pos="1067"/>
          <w:tab w:val="left" w:pos="1068"/>
        </w:tabs>
        <w:spacing w:before="120"/>
        <w:outlineLvl w:val="2"/>
        <w:rPr>
          <w:b/>
          <w:bCs/>
          <w:vanish/>
          <w:sz w:val="24"/>
          <w:szCs w:val="24"/>
        </w:rPr>
      </w:pPr>
    </w:p>
    <w:p w:rsidR="00E967AC" w:rsidRPr="00E967AC" w:rsidRDefault="00E967AC" w:rsidP="00E967AC">
      <w:pPr>
        <w:pStyle w:val="a4"/>
        <w:numPr>
          <w:ilvl w:val="2"/>
          <w:numId w:val="14"/>
        </w:numPr>
        <w:tabs>
          <w:tab w:val="left" w:pos="1067"/>
          <w:tab w:val="left" w:pos="1068"/>
        </w:tabs>
        <w:spacing w:before="120"/>
        <w:outlineLvl w:val="2"/>
        <w:rPr>
          <w:b/>
          <w:bCs/>
          <w:vanish/>
          <w:sz w:val="24"/>
          <w:szCs w:val="24"/>
        </w:rPr>
      </w:pPr>
    </w:p>
    <w:p w:rsidR="002754CD" w:rsidRDefault="00166C67" w:rsidP="00E967AC">
      <w:pPr>
        <w:pStyle w:val="3"/>
        <w:numPr>
          <w:ilvl w:val="2"/>
          <w:numId w:val="14"/>
        </w:numPr>
        <w:tabs>
          <w:tab w:val="left" w:pos="1067"/>
          <w:tab w:val="left" w:pos="1068"/>
        </w:tabs>
        <w:spacing w:before="120"/>
      </w:pPr>
      <w:r>
        <w:t>Safety</w:t>
      </w:r>
      <w:r>
        <w:rPr>
          <w:spacing w:val="-2"/>
        </w:rPr>
        <w:t xml:space="preserve"> </w:t>
      </w:r>
      <w:r>
        <w:t>Pharmacology</w:t>
      </w:r>
    </w:p>
    <w:p w:rsidR="002754CD" w:rsidRDefault="00166C67">
      <w:pPr>
        <w:pStyle w:val="a3"/>
        <w:spacing w:before="139"/>
      </w:pPr>
      <w:r>
        <w:t>An overview of safety pharmacology studies is provided in End-of-Text Table 1.2.</w:t>
      </w:r>
    </w:p>
    <w:p w:rsidR="002754CD" w:rsidRDefault="00166C67">
      <w:pPr>
        <w:pStyle w:val="3"/>
        <w:numPr>
          <w:ilvl w:val="3"/>
          <w:numId w:val="14"/>
        </w:numPr>
        <w:tabs>
          <w:tab w:val="left" w:pos="1068"/>
        </w:tabs>
        <w:spacing w:before="149"/>
      </w:pPr>
      <w:bookmarkStart w:id="2" w:name="4.1.3.1_Effects_on_the_Cardiovascular_Sy"/>
      <w:bookmarkStart w:id="3" w:name="_bookmark21"/>
      <w:bookmarkEnd w:id="2"/>
      <w:bookmarkEnd w:id="3"/>
      <w:r>
        <w:t>Effects on the Cardiovascular</w:t>
      </w:r>
      <w:r>
        <w:rPr>
          <w:spacing w:val="-2"/>
        </w:rPr>
        <w:t xml:space="preserve"> </w:t>
      </w:r>
      <w:r>
        <w:t>System</w:t>
      </w:r>
    </w:p>
    <w:p w:rsidR="002754CD" w:rsidRDefault="00166C67" w:rsidP="00166C67">
      <w:pPr>
        <w:pStyle w:val="a3"/>
        <w:spacing w:before="139" w:line="261" w:lineRule="auto"/>
        <w:ind w:right="1921"/>
      </w:pPr>
      <w:r>
        <w:t xml:space="preserve">The effects of </w:t>
      </w:r>
      <w:r w:rsidR="0059640A">
        <w:t>PROJECT O</w:t>
      </w:r>
      <w:r>
        <w:t xml:space="preserve"> on the human ether-a-go-go-related gene (</w:t>
      </w:r>
      <w:proofErr w:type="spellStart"/>
      <w:r>
        <w:t>hERG</w:t>
      </w:r>
      <w:proofErr w:type="spellEnd"/>
      <w:r>
        <w:t xml:space="preserve">) current were studied in </w:t>
      </w:r>
      <w:proofErr w:type="spellStart"/>
      <w:r>
        <w:t>hERG</w:t>
      </w:r>
      <w:proofErr w:type="spellEnd"/>
      <w:r>
        <w:t xml:space="preserve">-transfected HEK293 cells by the whole-cell patch-clamp technique (Study </w:t>
      </w:r>
      <w:r w:rsidR="0059640A">
        <w:t>Project O</w:t>
      </w:r>
      <w:r>
        <w:t xml:space="preserve">-PT-0001). The compensated suppression rates of </w:t>
      </w:r>
      <w:r w:rsidR="0059640A">
        <w:t>PROJECT O</w:t>
      </w:r>
      <w:r>
        <w:t xml:space="preserve"> at the concentrations of 0.610 x 10</w:t>
      </w:r>
      <w:r>
        <w:rPr>
          <w:vertAlign w:val="superscript"/>
        </w:rPr>
        <w:t>-7</w:t>
      </w:r>
      <w:r>
        <w:t>, 1.98 x 10</w:t>
      </w:r>
      <w:r>
        <w:rPr>
          <w:vertAlign w:val="superscript"/>
        </w:rPr>
        <w:t>-7</w:t>
      </w:r>
      <w:r>
        <w:t xml:space="preserve"> and 0.674 x 10</w:t>
      </w:r>
      <w:r>
        <w:rPr>
          <w:vertAlign w:val="superscript"/>
        </w:rPr>
        <w:t>-6</w:t>
      </w:r>
      <w:r>
        <w:t xml:space="preserve"> mol/L were -4.6%, -6.9% and4.5%, respectively. No statistically significant difference was noted at these 3 test concentrations when compared to the rate in the control group. These results indicate that </w:t>
      </w:r>
      <w:r w:rsidR="0059640A">
        <w:t>PROJECT O</w:t>
      </w:r>
      <w:r>
        <w:t xml:space="preserve"> does not affect the </w:t>
      </w:r>
      <w:proofErr w:type="spellStart"/>
      <w:r>
        <w:t>hERG</w:t>
      </w:r>
      <w:proofErr w:type="spellEnd"/>
      <w:r>
        <w:t xml:space="preserve"> current in </w:t>
      </w:r>
      <w:proofErr w:type="spellStart"/>
      <w:r>
        <w:t>hERG</w:t>
      </w:r>
      <w:proofErr w:type="spellEnd"/>
      <w:r>
        <w:t>-transfected HEK293 cells at concentrations of up to 0.674 x 10</w:t>
      </w:r>
      <w:r>
        <w:rPr>
          <w:vertAlign w:val="superscript"/>
        </w:rPr>
        <w:t>-6</w:t>
      </w:r>
      <w:r>
        <w:t xml:space="preserve"> mol/L (approximately 492 ng/mL).</w:t>
      </w:r>
    </w:p>
    <w:p w:rsidR="002754CD" w:rsidRDefault="00166C67">
      <w:pPr>
        <w:pStyle w:val="a3"/>
        <w:spacing w:before="116" w:line="261" w:lineRule="auto"/>
        <w:ind w:right="1880"/>
      </w:pPr>
      <w:r>
        <w:t xml:space="preserve">The effects of </w:t>
      </w:r>
      <w:r w:rsidR="0059640A">
        <w:t>PROJECT O</w:t>
      </w:r>
      <w:r>
        <w:t xml:space="preserve"> on action potentials in isolated guinea-pig papillary muscles were studied by the glass-electrode technique under a surface-</w:t>
      </w:r>
      <w:proofErr w:type="spellStart"/>
      <w:r>
        <w:t>superfusing</w:t>
      </w:r>
      <w:proofErr w:type="spellEnd"/>
      <w:r>
        <w:t xml:space="preserve"> condition</w:t>
      </w:r>
    </w:p>
    <w:p w:rsidR="002754CD" w:rsidRDefault="00166C67">
      <w:pPr>
        <w:pStyle w:val="a3"/>
        <w:spacing w:line="274" w:lineRule="exact"/>
      </w:pPr>
      <w:r>
        <w:t xml:space="preserve">(Study </w:t>
      </w:r>
      <w:r w:rsidR="0059640A">
        <w:t>Project O</w:t>
      </w:r>
      <w:r>
        <w:t xml:space="preserve">-PT-0004). When </w:t>
      </w:r>
      <w:r w:rsidR="0059640A">
        <w:t>PROJECT O</w:t>
      </w:r>
      <w:r>
        <w:t xml:space="preserve"> was applied for 45 minutes at the concentration of</w:t>
      </w:r>
    </w:p>
    <w:p w:rsidR="002754CD" w:rsidRDefault="00166C67">
      <w:pPr>
        <w:pStyle w:val="a3"/>
        <w:spacing w:before="24" w:line="261" w:lineRule="auto"/>
        <w:ind w:right="1560"/>
      </w:pPr>
      <w:r>
        <w:t>1.99 x 10</w:t>
      </w:r>
      <w:r>
        <w:rPr>
          <w:vertAlign w:val="superscript"/>
        </w:rPr>
        <w:t>-7</w:t>
      </w:r>
      <w:r>
        <w:t xml:space="preserve"> mol/L, the percent changes in action potential duration (APD)</w:t>
      </w:r>
      <w:r>
        <w:rPr>
          <w:vertAlign w:val="subscript"/>
        </w:rPr>
        <w:t>30</w:t>
      </w:r>
      <w:r>
        <w:t>, APD</w:t>
      </w:r>
      <w:r>
        <w:rPr>
          <w:vertAlign w:val="subscript"/>
        </w:rPr>
        <w:t>90</w:t>
      </w:r>
      <w:r>
        <w:t xml:space="preserve"> and APD</w:t>
      </w:r>
      <w:r>
        <w:rPr>
          <w:vertAlign w:val="subscript"/>
        </w:rPr>
        <w:t>30-90</w:t>
      </w:r>
      <w:r>
        <w:t xml:space="preserve"> were 0.2%, 1.6% and 4.7%, respectively.  No effects were noted on the APD. On the resting membrane potential, action-potential amplitude or </w:t>
      </w:r>
      <w:proofErr w:type="spellStart"/>
      <w:r>
        <w:t>dV</w:t>
      </w:r>
      <w:proofErr w:type="spellEnd"/>
      <w:r>
        <w:t>/</w:t>
      </w:r>
      <w:proofErr w:type="spellStart"/>
      <w:r>
        <w:t>dt</w:t>
      </w:r>
      <w:r>
        <w:rPr>
          <w:vertAlign w:val="subscript"/>
        </w:rPr>
        <w:t>max</w:t>
      </w:r>
      <w:proofErr w:type="spellEnd"/>
      <w:r>
        <w:t xml:space="preserve">, no effects were noted, either. The results indicate that </w:t>
      </w:r>
      <w:r w:rsidR="0059640A">
        <w:t>PROJECT O</w:t>
      </w:r>
      <w:r>
        <w:t xml:space="preserve"> does not affect the action potentials in isolated guinea-pig papillary muscles at the concentration of 1.99 x 10</w:t>
      </w:r>
      <w:r>
        <w:rPr>
          <w:vertAlign w:val="superscript"/>
        </w:rPr>
        <w:t>-7</w:t>
      </w:r>
      <w:r>
        <w:t xml:space="preserve"> mol/L (145</w:t>
      </w:r>
      <w:r>
        <w:rPr>
          <w:spacing w:val="-38"/>
        </w:rPr>
        <w:t xml:space="preserve"> </w:t>
      </w:r>
      <w:r>
        <w:t>ng/mL).</w:t>
      </w:r>
    </w:p>
    <w:p w:rsidR="002754CD" w:rsidRDefault="00166C67">
      <w:pPr>
        <w:pStyle w:val="a3"/>
        <w:spacing w:before="116" w:line="261" w:lineRule="auto"/>
        <w:ind w:right="1865"/>
      </w:pPr>
      <w:r>
        <w:t xml:space="preserve">In male beagle dogs under unanesthetized conditions administered a single oral dose of </w:t>
      </w:r>
      <w:r w:rsidR="0059640A">
        <w:t>PROJECT O</w:t>
      </w:r>
      <w:r>
        <w:t xml:space="preserve"> at dose levels of 3, 10 and 30 mg/kg at a dose volume of 5 mL/kg, </w:t>
      </w:r>
      <w:r w:rsidR="0059640A">
        <w:t>PROJECT O</w:t>
      </w:r>
      <w:r>
        <w:t xml:space="preserve"> did not affect the blood pressure, heart rate or electrocardiogram parameters such as QRS duration or PR, QT or corrected QT interval using </w:t>
      </w:r>
      <w:proofErr w:type="spellStart"/>
      <w:r>
        <w:t>Fridericia’s</w:t>
      </w:r>
      <w:proofErr w:type="spellEnd"/>
      <w:r>
        <w:t xml:space="preserve"> formula</w:t>
      </w:r>
    </w:p>
    <w:p w:rsidR="002754CD" w:rsidRDefault="00166C67">
      <w:pPr>
        <w:pStyle w:val="a3"/>
        <w:spacing w:line="261" w:lineRule="auto"/>
        <w:ind w:right="1633"/>
      </w:pPr>
      <w:r>
        <w:t xml:space="preserve">(Study </w:t>
      </w:r>
      <w:r w:rsidR="0059640A">
        <w:t>Project O</w:t>
      </w:r>
      <w:r>
        <w:t xml:space="preserve">-PT-0003). These results indicate that </w:t>
      </w:r>
      <w:r w:rsidR="0059640A">
        <w:t>PROJECT O</w:t>
      </w:r>
      <w:r>
        <w:t xml:space="preserve"> has no effect on the cardiovascular system at doses of up to 30 mg/kg.</w:t>
      </w:r>
    </w:p>
    <w:p w:rsidR="002754CD" w:rsidRDefault="00166C67">
      <w:pPr>
        <w:pStyle w:val="3"/>
        <w:numPr>
          <w:ilvl w:val="3"/>
          <w:numId w:val="13"/>
        </w:numPr>
        <w:tabs>
          <w:tab w:val="left" w:pos="1068"/>
        </w:tabs>
        <w:spacing w:before="120"/>
      </w:pPr>
      <w:bookmarkStart w:id="4" w:name="4.1.3.2_Effects_on_the_CNS"/>
      <w:bookmarkStart w:id="5" w:name="_bookmark22"/>
      <w:bookmarkEnd w:id="4"/>
      <w:bookmarkEnd w:id="5"/>
      <w:r>
        <w:t>Effects on the</w:t>
      </w:r>
      <w:r>
        <w:rPr>
          <w:spacing w:val="-4"/>
        </w:rPr>
        <w:t xml:space="preserve"> </w:t>
      </w:r>
      <w:r>
        <w:t>CNS</w:t>
      </w:r>
    </w:p>
    <w:p w:rsidR="002754CD" w:rsidRDefault="00166C67">
      <w:pPr>
        <w:pStyle w:val="a3"/>
        <w:spacing w:before="139" w:line="261" w:lineRule="auto"/>
        <w:ind w:right="1900"/>
      </w:pPr>
      <w:r>
        <w:t xml:space="preserve">In order to investigate the effects of a single dose of </w:t>
      </w:r>
      <w:r w:rsidR="0059640A">
        <w:t>PROJECT O</w:t>
      </w:r>
      <w:r>
        <w:t xml:space="preserve"> at dose levels of 10, 30 and 100 mg/kg on the CNS, the effects on the general activity and behavior in male rats were determined (Study </w:t>
      </w:r>
      <w:r w:rsidR="0059640A">
        <w:t>Project O</w:t>
      </w:r>
      <w:r>
        <w:t xml:space="preserve">-PT-0002). </w:t>
      </w:r>
      <w:r w:rsidR="0059640A">
        <w:t>PROJECT O</w:t>
      </w:r>
      <w:r>
        <w:t xml:space="preserve"> at the dose of 10, 30 or 100 mg/kg did not affect the general activity and behavior in any of rats up to 24 h after administration. The results indicate that </w:t>
      </w:r>
      <w:r w:rsidR="0059640A">
        <w:t>PROJECT O</w:t>
      </w:r>
      <w:r>
        <w:t xml:space="preserve"> has no effect on the CNS at doses of up to 100 mg/kg.</w:t>
      </w:r>
    </w:p>
    <w:p w:rsidR="002754CD" w:rsidRDefault="00166C67">
      <w:pPr>
        <w:pStyle w:val="a3"/>
        <w:spacing w:before="116" w:line="261" w:lineRule="auto"/>
        <w:ind w:right="1779"/>
      </w:pPr>
      <w:r>
        <w:t xml:space="preserve">In male beagle dogs under unanesthetized conditions administered a single oral dose of </w:t>
      </w:r>
      <w:r w:rsidR="0059640A">
        <w:t>PROJECT O</w:t>
      </w:r>
      <w:r>
        <w:t xml:space="preserve"> at dose levels of 3, 10 and 30 mg/kg at a dose volume of 5 mL/kg, </w:t>
      </w:r>
      <w:r w:rsidR="0059640A">
        <w:t>PROJECT O</w:t>
      </w:r>
      <w:r>
        <w:t xml:space="preserve"> did not affect the body temperature (Study </w:t>
      </w:r>
      <w:r w:rsidR="0059640A">
        <w:t>Project O</w:t>
      </w:r>
      <w:r>
        <w:t xml:space="preserve">-PT-0003). During the observation of general activity and behavior, transient vomiting after administration of </w:t>
      </w:r>
      <w:r w:rsidR="0059640A">
        <w:t>PROJECT O</w:t>
      </w:r>
      <w:r>
        <w:t xml:space="preserve"> 10 and 30 mg/kg was noted in 1 and 3 animals, respectively.</w:t>
      </w:r>
    </w:p>
    <w:p w:rsidR="002754CD" w:rsidRDefault="00166C67">
      <w:pPr>
        <w:pStyle w:val="3"/>
        <w:numPr>
          <w:ilvl w:val="3"/>
          <w:numId w:val="13"/>
        </w:numPr>
        <w:tabs>
          <w:tab w:val="left" w:pos="1068"/>
        </w:tabs>
        <w:spacing w:before="121"/>
      </w:pPr>
      <w:bookmarkStart w:id="6" w:name="4.1.3.3_Effects_on_the_Respiratory_Syste"/>
      <w:bookmarkStart w:id="7" w:name="_bookmark23"/>
      <w:bookmarkEnd w:id="6"/>
      <w:bookmarkEnd w:id="7"/>
      <w:r>
        <w:t>Effects on the Respiratory</w:t>
      </w:r>
      <w:r>
        <w:rPr>
          <w:spacing w:val="-1"/>
        </w:rPr>
        <w:t xml:space="preserve"> </w:t>
      </w:r>
      <w:r>
        <w:t>System</w:t>
      </w:r>
    </w:p>
    <w:p w:rsidR="002754CD" w:rsidRDefault="00166C67">
      <w:pPr>
        <w:pStyle w:val="a3"/>
        <w:spacing w:before="139" w:line="261" w:lineRule="auto"/>
        <w:ind w:right="1633"/>
      </w:pPr>
      <w:r>
        <w:t xml:space="preserve">In male beagle dogs under unanesthetized conditions administered a single oral dose of </w:t>
      </w:r>
      <w:r w:rsidR="0059640A">
        <w:t>PROJECT O</w:t>
      </w:r>
      <w:r>
        <w:t xml:space="preserve"> at dose levels of 3, 10 and 30 mg/kg at a dose volume of 5 mL/kg, </w:t>
      </w:r>
      <w:r w:rsidR="0059640A">
        <w:t xml:space="preserve">PROJECT </w:t>
      </w:r>
      <w:r w:rsidR="0059640A">
        <w:lastRenderedPageBreak/>
        <w:t>O</w:t>
      </w:r>
      <w:r>
        <w:t xml:space="preserve"> did not affect respiration rate, blood gases (blood pH, PaO</w:t>
      </w:r>
      <w:r>
        <w:rPr>
          <w:vertAlign w:val="subscript"/>
        </w:rPr>
        <w:t>2</w:t>
      </w:r>
      <w:r>
        <w:t>, PaCO</w:t>
      </w:r>
      <w:r>
        <w:rPr>
          <w:vertAlign w:val="subscript"/>
        </w:rPr>
        <w:t>2</w:t>
      </w:r>
      <w:r>
        <w:t>, SaO</w:t>
      </w:r>
      <w:r>
        <w:rPr>
          <w:vertAlign w:val="subscript"/>
        </w:rPr>
        <w:t>2</w:t>
      </w:r>
      <w:r>
        <w:t xml:space="preserve">) or blood-electrolyte concentrations (sodium, potassium, chloride, calcium) (Study </w:t>
      </w:r>
      <w:r w:rsidR="0059640A">
        <w:t>Project O</w:t>
      </w:r>
      <w:r>
        <w:t xml:space="preserve">-PT-0003). These results indicate that </w:t>
      </w:r>
      <w:r w:rsidR="0059640A">
        <w:t>PROJECT O</w:t>
      </w:r>
      <w:r>
        <w:t xml:space="preserve"> has no effect on the respiratory system at doses of up to 30 mg/kg.</w:t>
      </w:r>
    </w:p>
    <w:p w:rsidR="002754CD" w:rsidRDefault="00166C67">
      <w:pPr>
        <w:pStyle w:val="3"/>
        <w:numPr>
          <w:ilvl w:val="2"/>
          <w:numId w:val="13"/>
        </w:numPr>
        <w:tabs>
          <w:tab w:val="left" w:pos="1067"/>
          <w:tab w:val="left" w:pos="1068"/>
        </w:tabs>
        <w:spacing w:before="121"/>
      </w:pPr>
      <w:bookmarkStart w:id="8" w:name="4.1.4_Pharmacodynamic_Drug_Interactions"/>
      <w:bookmarkStart w:id="9" w:name="_bookmark24"/>
      <w:bookmarkEnd w:id="8"/>
      <w:bookmarkEnd w:id="9"/>
      <w:r>
        <w:t>Pharmacodynamic Drug</w:t>
      </w:r>
      <w:r>
        <w:rPr>
          <w:spacing w:val="-4"/>
        </w:rPr>
        <w:t xml:space="preserve"> </w:t>
      </w:r>
      <w:r>
        <w:t>Interactions</w:t>
      </w:r>
    </w:p>
    <w:p w:rsidR="002754CD" w:rsidRDefault="00166C67" w:rsidP="00166C67">
      <w:pPr>
        <w:pStyle w:val="a3"/>
        <w:spacing w:before="139"/>
      </w:pPr>
      <w:r>
        <w:t xml:space="preserve">No pharmacodynamic drug interaction studies have been </w:t>
      </w:r>
      <w:proofErr w:type="spellStart"/>
      <w:r>
        <w:t>conducted.</w:t>
      </w:r>
      <w:bookmarkStart w:id="10" w:name="4.1.5_Other_Pharmacology_Studies"/>
      <w:bookmarkStart w:id="11" w:name="_bookmark25"/>
      <w:bookmarkEnd w:id="10"/>
      <w:bookmarkEnd w:id="11"/>
      <w:r>
        <w:t>Other</w:t>
      </w:r>
      <w:proofErr w:type="spellEnd"/>
      <w:r>
        <w:t xml:space="preserve"> Pharmacology Studies</w:t>
      </w:r>
    </w:p>
    <w:p w:rsidR="002754CD" w:rsidRDefault="00166C67">
      <w:pPr>
        <w:pStyle w:val="a3"/>
        <w:spacing w:before="140"/>
      </w:pPr>
      <w:r>
        <w:t>No other pharmacology study was conducted.</w:t>
      </w:r>
    </w:p>
    <w:p w:rsidR="002754CD" w:rsidRDefault="002754CD">
      <w:pPr>
        <w:pStyle w:val="a3"/>
        <w:spacing w:before="139"/>
      </w:pPr>
      <w:bookmarkStart w:id="12" w:name="4.2_Pharmacokinetics_and_Product_Metabol"/>
      <w:bookmarkStart w:id="13" w:name="_bookmark26"/>
      <w:bookmarkEnd w:id="12"/>
      <w:bookmarkEnd w:id="13"/>
    </w:p>
    <w:p w:rsidR="002754CD" w:rsidRDefault="00166C67" w:rsidP="00E967AC">
      <w:pPr>
        <w:pStyle w:val="2"/>
        <w:numPr>
          <w:ilvl w:val="1"/>
          <w:numId w:val="11"/>
        </w:numPr>
        <w:tabs>
          <w:tab w:val="left" w:pos="1067"/>
          <w:tab w:val="left" w:pos="1068"/>
        </w:tabs>
        <w:spacing w:before="124"/>
      </w:pPr>
      <w:bookmarkStart w:id="14" w:name="4.3_Toxicology"/>
      <w:bookmarkStart w:id="15" w:name="_bookmark43"/>
      <w:bookmarkStart w:id="16" w:name="_GoBack"/>
      <w:bookmarkEnd w:id="14"/>
      <w:bookmarkEnd w:id="15"/>
      <w:bookmarkEnd w:id="16"/>
      <w:r>
        <w:t>Toxicology</w:t>
      </w:r>
    </w:p>
    <w:p w:rsidR="002754CD" w:rsidRDefault="00166C67">
      <w:pPr>
        <w:pStyle w:val="a3"/>
        <w:spacing w:before="140"/>
      </w:pPr>
      <w:r>
        <w:t>An overview of toxicology studies is provided in End-of-Text Table 3.1.</w:t>
      </w:r>
    </w:p>
    <w:p w:rsidR="002754CD" w:rsidRDefault="00166C67">
      <w:pPr>
        <w:pStyle w:val="3"/>
        <w:numPr>
          <w:ilvl w:val="2"/>
          <w:numId w:val="10"/>
        </w:numPr>
        <w:tabs>
          <w:tab w:val="left" w:pos="1067"/>
          <w:tab w:val="left" w:pos="1068"/>
        </w:tabs>
        <w:spacing w:before="149"/>
      </w:pPr>
      <w:bookmarkStart w:id="17" w:name="4.3.1_Single_dose_Toxicity"/>
      <w:bookmarkStart w:id="18" w:name="_bookmark44"/>
      <w:bookmarkEnd w:id="17"/>
      <w:bookmarkEnd w:id="18"/>
      <w:r>
        <w:t>Single-dose</w:t>
      </w:r>
      <w:r>
        <w:rPr>
          <w:spacing w:val="-2"/>
        </w:rPr>
        <w:t xml:space="preserve"> </w:t>
      </w:r>
      <w:r>
        <w:t>Toxicity</w:t>
      </w:r>
    </w:p>
    <w:p w:rsidR="002754CD" w:rsidRDefault="00166C67">
      <w:pPr>
        <w:pStyle w:val="a3"/>
        <w:spacing w:before="139"/>
      </w:pPr>
      <w:r>
        <w:t>Noteworthy findings from single-dose toxicity studies are presented in End-of-Text Table 3.4.</w:t>
      </w:r>
    </w:p>
    <w:p w:rsidR="002754CD" w:rsidRDefault="0059640A">
      <w:pPr>
        <w:pStyle w:val="a3"/>
        <w:spacing w:before="144" w:line="261" w:lineRule="auto"/>
        <w:ind w:right="1699"/>
      </w:pPr>
      <w:r>
        <w:t>PROJECT O</w:t>
      </w:r>
      <w:r w:rsidR="00166C67">
        <w:t xml:space="preserve"> was administered orally as a single dose at dose levels of 100, 200 and 400 mg/kg to 5 male and 5 female SD rats (Study </w:t>
      </w:r>
      <w:r>
        <w:t>Project O</w:t>
      </w:r>
      <w:r w:rsidR="00166C67">
        <w:t>-TX-0004). Clinical signs, body weight, food consumption and gross pathology examinations were conducted and histopathological evaluation was performed on the organ showing grossly visible indications of morphologic abnormalities. The high dose level was selected based on the MFD concentration of</w:t>
      </w:r>
    </w:p>
    <w:p w:rsidR="002754CD" w:rsidRDefault="00166C67">
      <w:pPr>
        <w:pStyle w:val="a3"/>
        <w:spacing w:line="261" w:lineRule="auto"/>
        <w:ind w:right="1598"/>
      </w:pPr>
      <w:r>
        <w:t>20 mg/mL for soluble vehicle, 10% hydroxypropyl-β-cyclodextrin (HP-β-CD) containing propylene glycol (PG) solvent and the maximum acceptable dose volume of 20 mL/kg for a single dose in rats. Because of the specific vehicle, the negative control and vehicle control were designated as group 1 (water for injection) and group 2 (soluble vehicle: 10% HP-β-CD containing PG solvent), respectively.</w:t>
      </w:r>
    </w:p>
    <w:p w:rsidR="002754CD" w:rsidRDefault="00166C67">
      <w:pPr>
        <w:pStyle w:val="a3"/>
        <w:spacing w:before="112" w:line="261" w:lineRule="auto"/>
        <w:ind w:right="2134"/>
      </w:pPr>
      <w:r>
        <w:t>A tendency for decreased food consumption was observed in males and females in 100, 200 and 400 mg/kg groups on day 1 when compared to the control group</w:t>
      </w:r>
    </w:p>
    <w:p w:rsidR="002754CD" w:rsidRDefault="00166C67">
      <w:pPr>
        <w:pStyle w:val="a3"/>
        <w:spacing w:line="274" w:lineRule="exact"/>
      </w:pPr>
      <w:r>
        <w:t xml:space="preserve">(Study </w:t>
      </w:r>
      <w:r w:rsidR="0059640A">
        <w:t>Project O</w:t>
      </w:r>
      <w:r>
        <w:t>-TX-0004).</w:t>
      </w:r>
    </w:p>
    <w:p w:rsidR="002754CD" w:rsidRDefault="00166C67">
      <w:pPr>
        <w:pStyle w:val="a3"/>
        <w:spacing w:before="144" w:line="261" w:lineRule="auto"/>
        <w:ind w:right="1634"/>
      </w:pPr>
      <w:r>
        <w:t>No test substance-related effects on body weight and necropsy were observed in any animals in any dosing groups.</w:t>
      </w:r>
    </w:p>
    <w:p w:rsidR="002754CD" w:rsidRDefault="00166C67" w:rsidP="00166C67">
      <w:pPr>
        <w:pStyle w:val="a3"/>
        <w:spacing w:before="118" w:line="261" w:lineRule="auto"/>
        <w:ind w:right="1633"/>
      </w:pPr>
      <w:r>
        <w:t xml:space="preserve">Based on the results of Study </w:t>
      </w:r>
      <w:r w:rsidR="0059640A">
        <w:t>Project O</w:t>
      </w:r>
      <w:r>
        <w:t xml:space="preserve">-TX-0004, </w:t>
      </w:r>
      <w:r w:rsidR="0059640A">
        <w:t>PROJECT O</w:t>
      </w:r>
      <w:r>
        <w:t xml:space="preserve"> was well-tolerated up to 400 mg/kg (MFD) without remarkable toxicity when administered orally to </w:t>
      </w:r>
      <w:proofErr w:type="spellStart"/>
      <w:r>
        <w:t>rats.</w:t>
      </w:r>
      <w:r w:rsidR="0059640A">
        <w:t>PROJECT</w:t>
      </w:r>
      <w:proofErr w:type="spellEnd"/>
      <w:r w:rsidR="0059640A">
        <w:t xml:space="preserve"> O</w:t>
      </w:r>
      <w:r>
        <w:t xml:space="preserve"> was administered orally as a single dose at dose levels of 150 and 300 mg/kg to male and female beagle dogs (1/sex/group) (Study </w:t>
      </w:r>
      <w:r w:rsidR="0059640A">
        <w:t>Project O</w:t>
      </w:r>
      <w:r>
        <w:t>-TX-0005). Clinical signs, body weight, food consumption, hematology, blood chemistry and toxicokinetics were conducted. The high dose level was selected based on the MFD concentration of 20 mg/mL and the maximum acceptable dose volume of 15 mL/kg for a single dose in dog. Because of the specific vehicle, the negative control and vehicle control were designated as group 1 (water for injection) and group 2 (soluble vehicle: 10% HP-β-CD containing PG solvent), respectively.</w:t>
      </w:r>
    </w:p>
    <w:p w:rsidR="002754CD" w:rsidRDefault="00166C67">
      <w:pPr>
        <w:pStyle w:val="a3"/>
        <w:spacing w:before="113" w:line="261" w:lineRule="auto"/>
        <w:ind w:right="3339"/>
      </w:pPr>
      <w:r>
        <w:t xml:space="preserve">There were no deaths in any animals in any dosing groups during the study </w:t>
      </w:r>
      <w:r>
        <w:lastRenderedPageBreak/>
        <w:t xml:space="preserve">(Study </w:t>
      </w:r>
      <w:r w:rsidR="0059640A">
        <w:t>Project O</w:t>
      </w:r>
      <w:r>
        <w:t>-TX-0005).</w:t>
      </w:r>
    </w:p>
    <w:p w:rsidR="002754CD" w:rsidRDefault="00166C67">
      <w:pPr>
        <w:pStyle w:val="a3"/>
        <w:spacing w:before="118"/>
      </w:pPr>
      <w:r>
        <w:t>Vomiting containing the test substance was observed in males and females at 150 and</w:t>
      </w:r>
    </w:p>
    <w:p w:rsidR="002754CD" w:rsidRDefault="00166C67">
      <w:pPr>
        <w:pStyle w:val="a3"/>
        <w:spacing w:before="25" w:line="261" w:lineRule="auto"/>
        <w:ind w:right="1633"/>
      </w:pPr>
      <w:r>
        <w:t xml:space="preserve">300 mg/kg at 20 to 50 minutes after dosing. Also, salivation was observed in the female at 300 mg/kg from 20 minutes to 1 h </w:t>
      </w:r>
      <w:proofErr w:type="spellStart"/>
      <w:r>
        <w:t>postdose</w:t>
      </w:r>
      <w:proofErr w:type="spellEnd"/>
      <w:r>
        <w:t>. These changes were not observed in the test substance groups at 2 h and thereafter. Vomiting was also seen in females of the water and vehicle control groups, but it was only a small volume of foam.</w:t>
      </w:r>
    </w:p>
    <w:p w:rsidR="002754CD" w:rsidRDefault="00166C67">
      <w:pPr>
        <w:pStyle w:val="a3"/>
        <w:spacing w:before="116" w:line="261" w:lineRule="auto"/>
        <w:ind w:right="2726"/>
      </w:pPr>
      <w:r>
        <w:t>No test substance-related toxicity effects on body weights, food consumption and hematology were evident in any animals in any dosing groups.</w:t>
      </w:r>
    </w:p>
    <w:p w:rsidR="002754CD" w:rsidRDefault="00166C67">
      <w:pPr>
        <w:pStyle w:val="a3"/>
        <w:spacing w:before="119" w:line="261" w:lineRule="auto"/>
        <w:ind w:right="1540"/>
      </w:pPr>
      <w:r>
        <w:t>In blood chemistry, total bilirubin (T-</w:t>
      </w:r>
      <w:proofErr w:type="spellStart"/>
      <w:r>
        <w:t>bil</w:t>
      </w:r>
      <w:proofErr w:type="spellEnd"/>
      <w:r>
        <w:t>), direct bilirubin (D-</w:t>
      </w:r>
      <w:proofErr w:type="spellStart"/>
      <w:r>
        <w:t>bil</w:t>
      </w:r>
      <w:proofErr w:type="spellEnd"/>
      <w:r>
        <w:t>), indirect bilirubin (I-</w:t>
      </w:r>
      <w:proofErr w:type="spellStart"/>
      <w:r>
        <w:t>bil</w:t>
      </w:r>
      <w:proofErr w:type="spellEnd"/>
      <w:r>
        <w:t>) and TBA were increased in male and female at 300 mg/kg on day 1. High value of T-</w:t>
      </w:r>
      <w:proofErr w:type="spellStart"/>
      <w:r>
        <w:t>bil</w:t>
      </w:r>
      <w:proofErr w:type="spellEnd"/>
      <w:r>
        <w:t xml:space="preserve"> at</w:t>
      </w:r>
    </w:p>
    <w:p w:rsidR="002754CD" w:rsidRDefault="00166C67">
      <w:pPr>
        <w:pStyle w:val="a3"/>
        <w:spacing w:line="261" w:lineRule="auto"/>
        <w:ind w:right="1641"/>
      </w:pPr>
      <w:r>
        <w:t>300 mg/kg was mainly due to the high value in D-</w:t>
      </w:r>
      <w:proofErr w:type="spellStart"/>
      <w:r>
        <w:t>bil</w:t>
      </w:r>
      <w:proofErr w:type="spellEnd"/>
      <w:r>
        <w:t>. At 150 mg/kg, an increase of TBA in female was only evident on day 1, and no remarkable changes were observed in the bilirubin values in both sexes and TBA in male. There were no increases in these parameters on days 7 and 14.</w:t>
      </w:r>
    </w:p>
    <w:p w:rsidR="002754CD" w:rsidRDefault="00166C67">
      <w:pPr>
        <w:pStyle w:val="a3"/>
        <w:spacing w:before="115" w:line="261" w:lineRule="auto"/>
        <w:ind w:right="1585"/>
      </w:pPr>
      <w:r>
        <w:t xml:space="preserve">In toxicokinetics, vomiting, which included detectable levels of test article-like substance, occurred in both male and female dogs within 1 hour post-dose; meaningful increases in </w:t>
      </w:r>
      <w:proofErr w:type="spellStart"/>
      <w:r>
        <w:t>C</w:t>
      </w:r>
      <w:r>
        <w:rPr>
          <w:vertAlign w:val="subscript"/>
        </w:rPr>
        <w:t>max</w:t>
      </w:r>
      <w:proofErr w:type="spellEnd"/>
      <w:r>
        <w:t xml:space="preserve"> and AUC</w:t>
      </w:r>
      <w:r>
        <w:rPr>
          <w:vertAlign w:val="subscript"/>
        </w:rPr>
        <w:t>24</w:t>
      </w:r>
      <w:r>
        <w:t xml:space="preserve"> did not occur consistently across the dose range from 150 to 300 mg/kg</w:t>
      </w:r>
    </w:p>
    <w:p w:rsidR="002754CD" w:rsidRDefault="00166C67">
      <w:pPr>
        <w:pStyle w:val="a3"/>
        <w:spacing w:line="274" w:lineRule="exact"/>
      </w:pPr>
      <w:r>
        <w:t xml:space="preserve">(Study </w:t>
      </w:r>
      <w:r w:rsidR="0059640A">
        <w:t>Project O</w:t>
      </w:r>
      <w:r>
        <w:t>-TX-0005).</w:t>
      </w:r>
    </w:p>
    <w:p w:rsidR="002754CD" w:rsidRDefault="00166C67">
      <w:pPr>
        <w:pStyle w:val="a3"/>
        <w:spacing w:before="144" w:line="261" w:lineRule="auto"/>
        <w:ind w:right="1552"/>
      </w:pPr>
      <w:r>
        <w:t xml:space="preserve">Based on the results of Study </w:t>
      </w:r>
      <w:r w:rsidR="0059640A">
        <w:t>Project O</w:t>
      </w:r>
      <w:r>
        <w:t xml:space="preserve">-TX-0005, a single oral administration of </w:t>
      </w:r>
      <w:r w:rsidR="0059640A">
        <w:t>PROJECT O</w:t>
      </w:r>
      <w:r>
        <w:t xml:space="preserve"> was well tolerated up to 300 mg/kg in dogs with transient clinical signs of vomiting and salivation after dosing and increases in T-</w:t>
      </w:r>
      <w:proofErr w:type="spellStart"/>
      <w:r>
        <w:t>bil</w:t>
      </w:r>
      <w:proofErr w:type="spellEnd"/>
      <w:r>
        <w:t>, D-</w:t>
      </w:r>
      <w:proofErr w:type="spellStart"/>
      <w:r>
        <w:t>bil</w:t>
      </w:r>
      <w:proofErr w:type="spellEnd"/>
      <w:r>
        <w:t>, I-</w:t>
      </w:r>
      <w:proofErr w:type="spellStart"/>
      <w:r>
        <w:t>bil</w:t>
      </w:r>
      <w:proofErr w:type="spellEnd"/>
      <w:r>
        <w:t xml:space="preserve"> and TBA on day 1 after dosing.</w:t>
      </w:r>
    </w:p>
    <w:p w:rsidR="002754CD" w:rsidRDefault="00166C67">
      <w:pPr>
        <w:pStyle w:val="3"/>
        <w:numPr>
          <w:ilvl w:val="2"/>
          <w:numId w:val="10"/>
        </w:numPr>
        <w:tabs>
          <w:tab w:val="left" w:pos="1067"/>
          <w:tab w:val="left" w:pos="1068"/>
        </w:tabs>
        <w:spacing w:before="122"/>
      </w:pPr>
      <w:bookmarkStart w:id="19" w:name="4.3.2_Repeat_dose_Toxicity"/>
      <w:bookmarkStart w:id="20" w:name="_bookmark45"/>
      <w:bookmarkEnd w:id="19"/>
      <w:bookmarkEnd w:id="20"/>
      <w:r>
        <w:t>Repeat-dose</w:t>
      </w:r>
      <w:r>
        <w:rPr>
          <w:spacing w:val="-2"/>
        </w:rPr>
        <w:t xml:space="preserve"> </w:t>
      </w:r>
      <w:r>
        <w:t>Toxicity</w:t>
      </w:r>
    </w:p>
    <w:p w:rsidR="002754CD" w:rsidRDefault="00166C67">
      <w:pPr>
        <w:pStyle w:val="a3"/>
        <w:spacing w:before="139"/>
      </w:pPr>
      <w:r>
        <w:t>Tabulated data for pivotal repeat-dose toxicity studies are presented in End-of-Text Table 3.6.</w:t>
      </w:r>
    </w:p>
    <w:p w:rsidR="002754CD" w:rsidRDefault="00166C67">
      <w:pPr>
        <w:pStyle w:val="a3"/>
        <w:spacing w:before="144" w:line="261" w:lineRule="auto"/>
        <w:ind w:right="1933"/>
      </w:pPr>
      <w:r>
        <w:t xml:space="preserve">Definitive 4-week oral repeated dose toxicity studies of </w:t>
      </w:r>
      <w:r w:rsidR="0059640A">
        <w:t>PROJECT O</w:t>
      </w:r>
      <w:r>
        <w:t xml:space="preserve"> were conducted in both rats and dogs with </w:t>
      </w:r>
      <w:r w:rsidR="0059640A">
        <w:t>PROJECT O</w:t>
      </w:r>
      <w:r>
        <w:t xml:space="preserve"> (free form, development form).</w:t>
      </w:r>
    </w:p>
    <w:p w:rsidR="002754CD" w:rsidRDefault="00166C67">
      <w:pPr>
        <w:pStyle w:val="3"/>
        <w:numPr>
          <w:ilvl w:val="3"/>
          <w:numId w:val="10"/>
        </w:numPr>
        <w:tabs>
          <w:tab w:val="left" w:pos="1068"/>
        </w:tabs>
        <w:spacing w:before="124"/>
      </w:pPr>
      <w:bookmarkStart w:id="21" w:name="4.3.2.1_Rat"/>
      <w:bookmarkStart w:id="22" w:name="_bookmark46"/>
      <w:bookmarkEnd w:id="21"/>
      <w:bookmarkEnd w:id="22"/>
      <w:r>
        <w:t>Rat</w:t>
      </w:r>
    </w:p>
    <w:p w:rsidR="002754CD" w:rsidRDefault="00166C67">
      <w:pPr>
        <w:pStyle w:val="a4"/>
        <w:numPr>
          <w:ilvl w:val="4"/>
          <w:numId w:val="10"/>
        </w:numPr>
        <w:tabs>
          <w:tab w:val="left" w:pos="1347"/>
          <w:tab w:val="left" w:pos="1348"/>
        </w:tabs>
        <w:spacing w:before="144"/>
        <w:rPr>
          <w:b/>
          <w:sz w:val="24"/>
        </w:rPr>
      </w:pPr>
      <w:bookmarkStart w:id="23" w:name="4.3.2.1.1_4_week_Repeated_Oral_Dose_Toxi"/>
      <w:bookmarkEnd w:id="23"/>
      <w:r>
        <w:rPr>
          <w:b/>
          <w:sz w:val="24"/>
        </w:rPr>
        <w:t>4-week Repeated Oral Dose Toxicity</w:t>
      </w:r>
      <w:r>
        <w:rPr>
          <w:b/>
          <w:spacing w:val="-1"/>
          <w:sz w:val="24"/>
        </w:rPr>
        <w:t xml:space="preserve"> </w:t>
      </w:r>
      <w:r>
        <w:rPr>
          <w:b/>
          <w:sz w:val="24"/>
        </w:rPr>
        <w:t>Study</w:t>
      </w:r>
    </w:p>
    <w:p w:rsidR="002754CD" w:rsidRDefault="0059640A" w:rsidP="00166C67">
      <w:pPr>
        <w:pStyle w:val="a3"/>
        <w:spacing w:before="139" w:line="261" w:lineRule="auto"/>
        <w:ind w:right="1750"/>
      </w:pPr>
      <w:r>
        <w:t>PROJECT O</w:t>
      </w:r>
      <w:r w:rsidR="00166C67">
        <w:t xml:space="preserve"> dissolved in the vehicle, soluble vehicle: 10% HP-β-CD containing PG solvent in order to maximize systemic absorption and exposure without local irritation </w:t>
      </w:r>
      <w:proofErr w:type="spellStart"/>
      <w:r w:rsidR="00166C67">
        <w:t>wasadministered</w:t>
      </w:r>
      <w:proofErr w:type="spellEnd"/>
      <w:r w:rsidR="00166C67">
        <w:t xml:space="preserve"> orally once daily for 4 weeks at dose levels of 3, 10, 30 and 100 mg/kg to 10 male and 10 female Crl:CD(SD) rats per group in order to investigate its toxicity</w:t>
      </w:r>
    </w:p>
    <w:p w:rsidR="002754CD" w:rsidRDefault="00166C67">
      <w:pPr>
        <w:pStyle w:val="a3"/>
        <w:spacing w:line="261" w:lineRule="auto"/>
        <w:ind w:right="1588"/>
      </w:pPr>
      <w:r>
        <w:t xml:space="preserve">(Study </w:t>
      </w:r>
      <w:r w:rsidR="0059640A">
        <w:t>Project O</w:t>
      </w:r>
      <w:r>
        <w:t xml:space="preserve">-TX-0006). The highest dose level was set at 100 mg/kg per day based on the MFD concentration of 20 mg/mL and the maximum acceptable dose volume of 5 mL/kg for the vehicle. Five males and 5 females were added to the negative and vehicle control groups and the 100 mg/kg group to assess the reversibility of toxicity observed during the dosing period in a subsequent 4-week recovery period. A satellite group (3 males and 3 females in each control group and 12 males and 12 females in each test-article group) was added at each dose level to assess systemic exposure to </w:t>
      </w:r>
      <w:r w:rsidR="0059640A">
        <w:t>PROJECT O</w:t>
      </w:r>
      <w:r>
        <w:t xml:space="preserve">. The following observations and examinations were performed in this study: clinical signs, body weight, food consumption, ophthalmology, urinalysis, hematology, blood chemistry, PTH analysis, </w:t>
      </w:r>
      <w:r>
        <w:lastRenderedPageBreak/>
        <w:t>gross pathology, organ weights, histopathology and toxicokinetics.</w:t>
      </w:r>
    </w:p>
    <w:p w:rsidR="002754CD" w:rsidRDefault="00166C67">
      <w:pPr>
        <w:pStyle w:val="a3"/>
        <w:spacing w:before="110" w:line="261" w:lineRule="auto"/>
        <w:ind w:right="1633"/>
      </w:pPr>
      <w:r>
        <w:t xml:space="preserve">No animal died in any group. No toxic changes were noted in any group in any examination during the dosing or recovery period (Study </w:t>
      </w:r>
      <w:r w:rsidR="0059640A">
        <w:t>Project O</w:t>
      </w:r>
      <w:r>
        <w:t>-TX-0006).</w:t>
      </w:r>
    </w:p>
    <w:p w:rsidR="002754CD" w:rsidRDefault="00166C67">
      <w:pPr>
        <w:pStyle w:val="a3"/>
        <w:spacing w:before="118" w:line="261" w:lineRule="auto"/>
        <w:ind w:right="1587"/>
      </w:pPr>
      <w:r>
        <w:t>Low urinary inorganic phosphorus excretion was noted in females in the 10 mg/kg group and above at week 2 of dosing, whereas there were no clear changes in urinary inorganic phosphorus excretion at week 4 of dosing or serum inorganic phosphorus level at the end of the dosing period. Low urinary inorganic phosphorus excretion was considered to be related to the pharmacological effect (inhibition of inorganic phosphate absorption in the small intestine) of the test article; therefore, the change was not considered to be toxicologically significant.</w:t>
      </w:r>
    </w:p>
    <w:p w:rsidR="002754CD" w:rsidRDefault="00166C67">
      <w:pPr>
        <w:pStyle w:val="a3"/>
        <w:spacing w:before="115" w:line="261" w:lineRule="auto"/>
        <w:ind w:right="1539"/>
      </w:pPr>
      <w:r>
        <w:t>In the vehicle control group, slightly high aspartate transaminase and alanine transaminase and slightly high adrenal weight were noted in both sexes, but no corresponding histopathological findings were observed in the liver or adrenal. This slightly elevated transaminase is considered to be caused by HP-β-CD, component of the vehicle [</w:t>
      </w:r>
      <w:proofErr w:type="spellStart"/>
      <w:r>
        <w:t>Thackaberry</w:t>
      </w:r>
      <w:proofErr w:type="spellEnd"/>
      <w:r>
        <w:t xml:space="preserve"> et al, 2010; Gould &amp; Scott, 2005]. Statistically significant high absolute adrenal weight was also noted in males and high relative adrenal weight was noted in females.</w:t>
      </w:r>
    </w:p>
    <w:p w:rsidR="002754CD" w:rsidRDefault="00166C67">
      <w:pPr>
        <w:pStyle w:val="a3"/>
        <w:spacing w:before="115" w:line="261" w:lineRule="auto"/>
        <w:ind w:right="1633"/>
      </w:pPr>
      <w:r>
        <w:t xml:space="preserve">In toxicokinetics, </w:t>
      </w:r>
      <w:proofErr w:type="spellStart"/>
      <w:r>
        <w:t>C</w:t>
      </w:r>
      <w:r>
        <w:rPr>
          <w:vertAlign w:val="subscript"/>
        </w:rPr>
        <w:t>max</w:t>
      </w:r>
      <w:proofErr w:type="spellEnd"/>
      <w:r>
        <w:t xml:space="preserve"> and AUC</w:t>
      </w:r>
      <w:r>
        <w:rPr>
          <w:vertAlign w:val="subscript"/>
        </w:rPr>
        <w:t>24</w:t>
      </w:r>
      <w:r>
        <w:t xml:space="preserve"> generally increased less than dose proportionally in both sexes and there were no sex differences or repeated dose effects in any toxicokinetic parameter during the dosing period.</w:t>
      </w:r>
    </w:p>
    <w:p w:rsidR="002754CD" w:rsidRDefault="00166C67">
      <w:pPr>
        <w:pStyle w:val="a3"/>
        <w:spacing w:before="117" w:line="261" w:lineRule="auto"/>
        <w:ind w:right="2052"/>
      </w:pPr>
      <w:r>
        <w:t xml:space="preserve">It was concluded that, under the conditions of Study </w:t>
      </w:r>
      <w:r w:rsidR="0059640A">
        <w:t>Project O</w:t>
      </w:r>
      <w:r>
        <w:t>-TX-0006, the NOAEL was 100 mg/kg per day for males and females.</w:t>
      </w:r>
    </w:p>
    <w:p w:rsidR="002754CD" w:rsidRDefault="00166C67">
      <w:pPr>
        <w:pStyle w:val="3"/>
        <w:numPr>
          <w:ilvl w:val="3"/>
          <w:numId w:val="10"/>
        </w:numPr>
        <w:tabs>
          <w:tab w:val="left" w:pos="1068"/>
        </w:tabs>
        <w:spacing w:before="123"/>
      </w:pPr>
      <w:bookmarkStart w:id="24" w:name="4.3.2.2_Dog"/>
      <w:bookmarkStart w:id="25" w:name="_bookmark47"/>
      <w:bookmarkEnd w:id="24"/>
      <w:bookmarkEnd w:id="25"/>
      <w:r>
        <w:t>Dog</w:t>
      </w:r>
    </w:p>
    <w:p w:rsidR="002754CD" w:rsidRPr="0059640A" w:rsidRDefault="00166C67">
      <w:pPr>
        <w:pStyle w:val="a4"/>
        <w:numPr>
          <w:ilvl w:val="4"/>
          <w:numId w:val="10"/>
        </w:numPr>
        <w:tabs>
          <w:tab w:val="left" w:pos="1347"/>
          <w:tab w:val="left" w:pos="1348"/>
        </w:tabs>
        <w:spacing w:before="144"/>
        <w:rPr>
          <w:b/>
          <w:sz w:val="24"/>
          <w:highlight w:val="cyan"/>
        </w:rPr>
      </w:pPr>
      <w:bookmarkStart w:id="26" w:name="4.3.2.2.1_4_week_Repeated_Oral_Dose_Toxi"/>
      <w:bookmarkEnd w:id="26"/>
      <w:r w:rsidRPr="0059640A">
        <w:rPr>
          <w:b/>
          <w:sz w:val="24"/>
          <w:highlight w:val="cyan"/>
        </w:rPr>
        <w:t>4-week Repeated Oral Dose Toxicity</w:t>
      </w:r>
      <w:r w:rsidRPr="0059640A">
        <w:rPr>
          <w:b/>
          <w:spacing w:val="-3"/>
          <w:sz w:val="24"/>
          <w:highlight w:val="cyan"/>
        </w:rPr>
        <w:t xml:space="preserve"> </w:t>
      </w:r>
      <w:r w:rsidRPr="0059640A">
        <w:rPr>
          <w:b/>
          <w:sz w:val="24"/>
          <w:highlight w:val="cyan"/>
        </w:rPr>
        <w:t>Study</w:t>
      </w:r>
    </w:p>
    <w:p w:rsidR="002754CD" w:rsidRPr="0059640A" w:rsidRDefault="0059640A" w:rsidP="0059640A">
      <w:pPr>
        <w:pStyle w:val="a3"/>
        <w:spacing w:before="140" w:line="261" w:lineRule="auto"/>
        <w:ind w:right="2193"/>
        <w:rPr>
          <w:highlight w:val="cyan"/>
        </w:rPr>
      </w:pPr>
      <w:r w:rsidRPr="0059640A">
        <w:rPr>
          <w:highlight w:val="cyan"/>
        </w:rPr>
        <w:t>PROJECT O</w:t>
      </w:r>
      <w:r w:rsidR="00166C67" w:rsidRPr="0059640A">
        <w:rPr>
          <w:highlight w:val="cyan"/>
        </w:rPr>
        <w:t xml:space="preserve"> dissolved in the soluble vehicle, 10% HP-β-CD containing PG solvent, was administered orally once daily for 4 weeks at dose levels of 3, 10, 30 and 100 mg/kg to 4 male and 4 female beagle dogs per group in order to investigate its toxicity</w:t>
      </w:r>
      <w:r>
        <w:rPr>
          <w:highlight w:val="cyan"/>
        </w:rPr>
        <w:t xml:space="preserve"> </w:t>
      </w:r>
      <w:r w:rsidR="00166C67" w:rsidRPr="0059640A">
        <w:rPr>
          <w:highlight w:val="cyan"/>
        </w:rPr>
        <w:t xml:space="preserve">(Study </w:t>
      </w:r>
      <w:r w:rsidRPr="0059640A">
        <w:rPr>
          <w:highlight w:val="cyan"/>
        </w:rPr>
        <w:t>Project O</w:t>
      </w:r>
      <w:r w:rsidR="00166C67" w:rsidRPr="0059640A">
        <w:rPr>
          <w:highlight w:val="cyan"/>
        </w:rPr>
        <w:t>-TX-0007). The highest dose level was set at 100 mg/kg per day based on the MFD concentration of 20 mg/mL and the maximum acceptable dose volume of 5 mL/kg for the vehicle. Three males and 3 females were added to the 100 mg/kg group in order to assess the reversibility of toxicity during a subsequent 4-week recovery period.</w:t>
      </w:r>
    </w:p>
    <w:p w:rsidR="002754CD" w:rsidRPr="0059640A" w:rsidRDefault="00166C67">
      <w:pPr>
        <w:pStyle w:val="a3"/>
        <w:spacing w:before="118" w:line="261" w:lineRule="auto"/>
        <w:ind w:right="1606"/>
        <w:rPr>
          <w:highlight w:val="cyan"/>
        </w:rPr>
      </w:pPr>
      <w:r w:rsidRPr="0059640A">
        <w:rPr>
          <w:highlight w:val="cyan"/>
        </w:rPr>
        <w:t xml:space="preserve">The animals in the control groups received water for injection (negative control) or the vehicle (vehicle control). Systemic exposure to </w:t>
      </w:r>
      <w:r w:rsidR="0059640A" w:rsidRPr="0059640A">
        <w:rPr>
          <w:highlight w:val="cyan"/>
        </w:rPr>
        <w:t>PROJECT O</w:t>
      </w:r>
      <w:r w:rsidRPr="0059640A">
        <w:rPr>
          <w:highlight w:val="cyan"/>
        </w:rPr>
        <w:t xml:space="preserve"> was also evaluated. The following observations and examinations were performed: clinical signs, body weight, food consumption, ophthalmology, electrocardiography, urinalysis, hematology, blood chemistry, gross pathology, organ weights, histopathology, electron microscopy and PTH analysis.</w:t>
      </w:r>
    </w:p>
    <w:p w:rsidR="002754CD" w:rsidRPr="0059640A" w:rsidRDefault="00166C67">
      <w:pPr>
        <w:pStyle w:val="a3"/>
        <w:spacing w:before="116" w:line="261" w:lineRule="auto"/>
        <w:ind w:right="2174"/>
        <w:rPr>
          <w:highlight w:val="cyan"/>
        </w:rPr>
      </w:pPr>
      <w:r w:rsidRPr="0059640A">
        <w:rPr>
          <w:highlight w:val="cyan"/>
        </w:rPr>
        <w:t>Soft stool was observed in all test article groups at the same frequency as in the vehicle control group, and this symptom was considered as an effect of the vehicle.</w:t>
      </w:r>
    </w:p>
    <w:p w:rsidR="002754CD" w:rsidRPr="0059640A" w:rsidRDefault="00166C67">
      <w:pPr>
        <w:pStyle w:val="a3"/>
        <w:spacing w:before="118"/>
        <w:rPr>
          <w:highlight w:val="cyan"/>
        </w:rPr>
      </w:pPr>
      <w:r w:rsidRPr="0059640A">
        <w:rPr>
          <w:highlight w:val="cyan"/>
        </w:rPr>
        <w:t>No test article-related changes were noted at 3 mg/kg.</w:t>
      </w:r>
    </w:p>
    <w:p w:rsidR="002754CD" w:rsidRPr="0059640A" w:rsidRDefault="00166C67">
      <w:pPr>
        <w:pStyle w:val="a3"/>
        <w:spacing w:before="144" w:line="261" w:lineRule="auto"/>
        <w:ind w:right="1633"/>
        <w:rPr>
          <w:highlight w:val="cyan"/>
        </w:rPr>
      </w:pPr>
      <w:r w:rsidRPr="0059640A">
        <w:rPr>
          <w:highlight w:val="cyan"/>
        </w:rPr>
        <w:lastRenderedPageBreak/>
        <w:t>At 10 mg/kg, plasma ALP and T-</w:t>
      </w:r>
      <w:proofErr w:type="spellStart"/>
      <w:r w:rsidRPr="0059640A">
        <w:rPr>
          <w:highlight w:val="cyan"/>
        </w:rPr>
        <w:t>bil</w:t>
      </w:r>
      <w:proofErr w:type="spellEnd"/>
      <w:r w:rsidRPr="0059640A">
        <w:rPr>
          <w:highlight w:val="cyan"/>
        </w:rPr>
        <w:t xml:space="preserve"> increased or tended to increase except for ALP in females, albumin and total protein exhibited decreasing trends in some male and female animals. Hypertrophy and proliferation of Kupffer cells in the liver (slight or very slight) were observed in 1 male and all females.</w:t>
      </w:r>
    </w:p>
    <w:p w:rsidR="002754CD" w:rsidRPr="0059640A" w:rsidRDefault="00166C67">
      <w:pPr>
        <w:pStyle w:val="a3"/>
        <w:spacing w:before="117" w:line="261" w:lineRule="auto"/>
        <w:ind w:right="1573"/>
        <w:rPr>
          <w:highlight w:val="cyan"/>
        </w:rPr>
      </w:pPr>
      <w:r w:rsidRPr="0059640A">
        <w:rPr>
          <w:highlight w:val="cyan"/>
        </w:rPr>
        <w:t>At higher dose levels (30 and 100 mg/kg), vomiting was observed in all males and all females, mainly 1 h after dosing. Slight decreases were noted in body weight in males and females and in food consumption in females at 100 mg/kg. The following blood chemistry and histopathological changes were observed in a dose-dependent manner: increased ALP and TBA in males at 30 mg/kg and more and in females at 100 mg/kg; increased T-</w:t>
      </w:r>
      <w:proofErr w:type="spellStart"/>
      <w:r w:rsidRPr="0059640A">
        <w:rPr>
          <w:highlight w:val="cyan"/>
        </w:rPr>
        <w:t>bil</w:t>
      </w:r>
      <w:proofErr w:type="spellEnd"/>
      <w:r w:rsidRPr="0059640A">
        <w:rPr>
          <w:highlight w:val="cyan"/>
        </w:rPr>
        <w:t xml:space="preserve"> (mainly due to increased D-</w:t>
      </w:r>
      <w:proofErr w:type="spellStart"/>
      <w:r w:rsidRPr="0059640A">
        <w:rPr>
          <w:highlight w:val="cyan"/>
        </w:rPr>
        <w:t>bil</w:t>
      </w:r>
      <w:proofErr w:type="spellEnd"/>
      <w:r w:rsidRPr="0059640A">
        <w:rPr>
          <w:highlight w:val="cyan"/>
        </w:rPr>
        <w:t>) and decreased albumin in males and females at 30 mg/kg or more; decreased calcium in males at 30 mg/kg and greater; decreased total protein in males at 100 mg/kg and in females at 30 mg/kg and greater; and hypertrophy and proliferation of the Kupffer cells (moderate or marked), mononuclear cell infiltration (very slight or slight) and/or very slight clear cell change in the centrilobular hepatocytes in the liver in males and females at 30 mg/kg and greater. In the Kupffer cells, cytoplasm was positive for periodic acid-Schiff stain. Under electron microscopy, the Kupffer cells at 100 mg/kg per day contained enlarged irregularly shaped lysosomes including amorphous/fibrillary/laminated structures.</w:t>
      </w:r>
    </w:p>
    <w:p w:rsidR="002754CD" w:rsidRPr="0059640A" w:rsidRDefault="00166C67" w:rsidP="0059640A">
      <w:pPr>
        <w:pStyle w:val="a3"/>
        <w:spacing w:before="109" w:line="261" w:lineRule="auto"/>
        <w:ind w:right="1554"/>
        <w:rPr>
          <w:highlight w:val="cyan"/>
        </w:rPr>
      </w:pPr>
      <w:r w:rsidRPr="0059640A">
        <w:rPr>
          <w:highlight w:val="cyan"/>
        </w:rPr>
        <w:t>Due to their location in the sinusoids of the liver and their nature (fixed macrophages), Kupffer cells are the first cells of the mononuclear phagocyte system to come into contact with foreign materials coming from the gastrointestinal tract [</w:t>
      </w:r>
      <w:proofErr w:type="spellStart"/>
      <w:r w:rsidRPr="0059640A">
        <w:rPr>
          <w:highlight w:val="cyan"/>
        </w:rPr>
        <w:t>Racanelli</w:t>
      </w:r>
      <w:proofErr w:type="spellEnd"/>
      <w:r w:rsidRPr="0059640A">
        <w:rPr>
          <w:highlight w:val="cyan"/>
        </w:rPr>
        <w:t xml:space="preserve"> &amp; </w:t>
      </w:r>
      <w:proofErr w:type="spellStart"/>
      <w:r w:rsidRPr="0059640A">
        <w:rPr>
          <w:highlight w:val="cyan"/>
        </w:rPr>
        <w:t>Rehermann</w:t>
      </w:r>
      <w:proofErr w:type="spellEnd"/>
      <w:r w:rsidRPr="0059640A">
        <w:rPr>
          <w:highlight w:val="cyan"/>
        </w:rPr>
        <w:t xml:space="preserve">, 2006]. Although no histopathological changes were noted in the bile duct, above-mentioned blood chemistry and histopathological findings were indicative of some hepatobiliary effect of </w:t>
      </w:r>
      <w:r w:rsidR="0059640A" w:rsidRPr="0059640A">
        <w:rPr>
          <w:highlight w:val="cyan"/>
        </w:rPr>
        <w:t>PROJECT O</w:t>
      </w:r>
      <w:r w:rsidRPr="0059640A">
        <w:rPr>
          <w:highlight w:val="cyan"/>
        </w:rPr>
        <w:t>. At the end of the 4-week recovery period, hypertrophy and proliferation of the Kupffer cells in the liver remained, but the incidence and severity of these changes were lower than those at the end of the dosing period. Other changes which had been caused by</w:t>
      </w:r>
      <w:r w:rsidR="0059640A">
        <w:rPr>
          <w:highlight w:val="cyan"/>
        </w:rPr>
        <w:t xml:space="preserve"> </w:t>
      </w:r>
      <w:r w:rsidRPr="0059640A">
        <w:rPr>
          <w:highlight w:val="cyan"/>
        </w:rPr>
        <w:t>4-week treatment completely recovered.</w:t>
      </w:r>
    </w:p>
    <w:p w:rsidR="002754CD" w:rsidRPr="0059640A" w:rsidRDefault="00166C67">
      <w:pPr>
        <w:pStyle w:val="a3"/>
        <w:spacing w:before="144"/>
        <w:rPr>
          <w:highlight w:val="cyan"/>
        </w:rPr>
      </w:pPr>
      <w:r w:rsidRPr="0059640A">
        <w:rPr>
          <w:highlight w:val="cyan"/>
        </w:rPr>
        <w:t xml:space="preserve">In toxicokinetics, on day 1, </w:t>
      </w:r>
      <w:proofErr w:type="spellStart"/>
      <w:r w:rsidRPr="0059640A">
        <w:rPr>
          <w:highlight w:val="cyan"/>
        </w:rPr>
        <w:t>t</w:t>
      </w:r>
      <w:r w:rsidRPr="0059640A">
        <w:rPr>
          <w:highlight w:val="cyan"/>
          <w:vertAlign w:val="subscript"/>
        </w:rPr>
        <w:t>max</w:t>
      </w:r>
      <w:proofErr w:type="spellEnd"/>
      <w:r w:rsidRPr="0059640A">
        <w:rPr>
          <w:highlight w:val="cyan"/>
        </w:rPr>
        <w:t xml:space="preserve"> did not differ between dose levels. </w:t>
      </w:r>
      <w:proofErr w:type="spellStart"/>
      <w:r w:rsidRPr="0059640A">
        <w:rPr>
          <w:highlight w:val="cyan"/>
        </w:rPr>
        <w:t>C</w:t>
      </w:r>
      <w:r w:rsidRPr="0059640A">
        <w:rPr>
          <w:highlight w:val="cyan"/>
          <w:vertAlign w:val="subscript"/>
        </w:rPr>
        <w:t>max</w:t>
      </w:r>
      <w:proofErr w:type="spellEnd"/>
      <w:r w:rsidRPr="0059640A">
        <w:rPr>
          <w:highlight w:val="cyan"/>
        </w:rPr>
        <w:t xml:space="preserve"> and</w:t>
      </w:r>
    </w:p>
    <w:p w:rsidR="002754CD" w:rsidRPr="0059640A" w:rsidRDefault="00166C67" w:rsidP="0059640A">
      <w:pPr>
        <w:pStyle w:val="a3"/>
        <w:spacing w:before="24" w:line="261" w:lineRule="auto"/>
        <w:ind w:right="1633"/>
        <w:rPr>
          <w:highlight w:val="cyan"/>
        </w:rPr>
      </w:pPr>
      <w:r w:rsidRPr="0059640A">
        <w:rPr>
          <w:highlight w:val="cyan"/>
        </w:rPr>
        <w:t>AUC</w:t>
      </w:r>
      <w:r w:rsidRPr="0059640A">
        <w:rPr>
          <w:highlight w:val="cyan"/>
          <w:vertAlign w:val="subscript"/>
        </w:rPr>
        <w:t>24</w:t>
      </w:r>
      <w:r w:rsidRPr="0059640A">
        <w:rPr>
          <w:highlight w:val="cyan"/>
        </w:rPr>
        <w:t xml:space="preserve"> increased dose-dependently, but less than dose proportionally, at all dose levels except in females at 100 mg/kg. </w:t>
      </w:r>
      <w:proofErr w:type="spellStart"/>
      <w:r w:rsidRPr="0059640A">
        <w:rPr>
          <w:highlight w:val="cyan"/>
        </w:rPr>
        <w:t>C</w:t>
      </w:r>
      <w:r w:rsidRPr="0059640A">
        <w:rPr>
          <w:highlight w:val="cyan"/>
          <w:vertAlign w:val="subscript"/>
        </w:rPr>
        <w:t>max</w:t>
      </w:r>
      <w:proofErr w:type="spellEnd"/>
      <w:r w:rsidRPr="0059640A">
        <w:rPr>
          <w:highlight w:val="cyan"/>
        </w:rPr>
        <w:t xml:space="preserve"> and AUC</w:t>
      </w:r>
      <w:r w:rsidRPr="0059640A">
        <w:rPr>
          <w:highlight w:val="cyan"/>
          <w:vertAlign w:val="subscript"/>
        </w:rPr>
        <w:t>24</w:t>
      </w:r>
      <w:r w:rsidRPr="0059640A">
        <w:rPr>
          <w:highlight w:val="cyan"/>
        </w:rPr>
        <w:t xml:space="preserve"> in females at 100 mg/kg were lower than</w:t>
      </w:r>
      <w:r w:rsidR="0059640A">
        <w:rPr>
          <w:highlight w:val="cyan"/>
        </w:rPr>
        <w:t xml:space="preserve"> </w:t>
      </w:r>
      <w:r w:rsidRPr="0059640A">
        <w:rPr>
          <w:highlight w:val="cyan"/>
        </w:rPr>
        <w:t xml:space="preserve">those at 30 mg/kg. Vomiting was observed in a number of animals at 100 mg/kg. Although the amount of administered test article expelled in vomitus was unclear, the loss was considered one of the reasons for the low exposure. After repeated dosing, </w:t>
      </w:r>
      <w:proofErr w:type="spellStart"/>
      <w:r w:rsidRPr="0059640A">
        <w:rPr>
          <w:highlight w:val="cyan"/>
        </w:rPr>
        <w:t>C</w:t>
      </w:r>
      <w:r w:rsidRPr="0059640A">
        <w:rPr>
          <w:highlight w:val="cyan"/>
          <w:vertAlign w:val="subscript"/>
        </w:rPr>
        <w:t>max</w:t>
      </w:r>
      <w:proofErr w:type="spellEnd"/>
      <w:r w:rsidRPr="0059640A">
        <w:rPr>
          <w:highlight w:val="cyan"/>
        </w:rPr>
        <w:t xml:space="preserve"> and</w:t>
      </w:r>
      <w:r w:rsidR="0059640A">
        <w:rPr>
          <w:highlight w:val="cyan"/>
        </w:rPr>
        <w:t xml:space="preserve"> </w:t>
      </w:r>
      <w:r w:rsidRPr="0059640A">
        <w:rPr>
          <w:highlight w:val="cyan"/>
        </w:rPr>
        <w:t>AUC</w:t>
      </w:r>
      <w:r w:rsidRPr="0059640A">
        <w:rPr>
          <w:highlight w:val="cyan"/>
          <w:vertAlign w:val="subscript"/>
        </w:rPr>
        <w:t>24</w:t>
      </w:r>
      <w:r w:rsidRPr="0059640A">
        <w:rPr>
          <w:highlight w:val="cyan"/>
        </w:rPr>
        <w:t xml:space="preserve"> did not change at 3 to 30 mg/kg. At 100 mg/kg, these parameters increased with repeated dosing, and a dose-proportional or slightly greater than dose-proportional increase in exposure (AUC</w:t>
      </w:r>
      <w:r w:rsidRPr="0059640A">
        <w:rPr>
          <w:highlight w:val="cyan"/>
          <w:vertAlign w:val="subscript"/>
        </w:rPr>
        <w:t>24</w:t>
      </w:r>
      <w:r w:rsidRPr="0059640A">
        <w:rPr>
          <w:highlight w:val="cyan"/>
        </w:rPr>
        <w:t xml:space="preserve">) from those at 3 mg/kg was noted at 100 mg/kg in males on days 14 and 28 and in females at day 28. After repeated dosing, </w:t>
      </w:r>
      <w:proofErr w:type="spellStart"/>
      <w:r w:rsidRPr="0059640A">
        <w:rPr>
          <w:highlight w:val="cyan"/>
        </w:rPr>
        <w:t>t</w:t>
      </w:r>
      <w:r w:rsidRPr="0059640A">
        <w:rPr>
          <w:highlight w:val="cyan"/>
          <w:vertAlign w:val="subscript"/>
        </w:rPr>
        <w:t>max</w:t>
      </w:r>
      <w:proofErr w:type="spellEnd"/>
      <w:r w:rsidRPr="0059640A">
        <w:rPr>
          <w:highlight w:val="cyan"/>
        </w:rPr>
        <w:t xml:space="preserve"> did not differ. There were no clear sex differences in any parameter.</w:t>
      </w:r>
    </w:p>
    <w:p w:rsidR="002754CD" w:rsidRDefault="00166C67" w:rsidP="0059640A">
      <w:pPr>
        <w:pStyle w:val="a3"/>
        <w:spacing w:before="113"/>
      </w:pPr>
      <w:r w:rsidRPr="0059640A">
        <w:rPr>
          <w:highlight w:val="cyan"/>
        </w:rPr>
        <w:t xml:space="preserve">It was concluded that, under the conditions of Study </w:t>
      </w:r>
      <w:r w:rsidR="0059640A" w:rsidRPr="0059640A">
        <w:rPr>
          <w:highlight w:val="cyan"/>
        </w:rPr>
        <w:t>Project O</w:t>
      </w:r>
      <w:r w:rsidRPr="0059640A">
        <w:rPr>
          <w:highlight w:val="cyan"/>
        </w:rPr>
        <w:t>-TX-0007, the NOAEL was</w:t>
      </w:r>
      <w:r w:rsidR="0059640A">
        <w:rPr>
          <w:highlight w:val="cyan"/>
        </w:rPr>
        <w:t xml:space="preserve"> </w:t>
      </w:r>
      <w:r w:rsidRPr="0059640A">
        <w:rPr>
          <w:highlight w:val="cyan"/>
        </w:rPr>
        <w:t>3 mg/kg per day for males and females. Reversibility of the test article-related changes was indicated at the end of the 4-week recovery period.</w:t>
      </w:r>
    </w:p>
    <w:p w:rsidR="002754CD" w:rsidRDefault="00166C67">
      <w:pPr>
        <w:pStyle w:val="3"/>
        <w:numPr>
          <w:ilvl w:val="2"/>
          <w:numId w:val="9"/>
        </w:numPr>
        <w:tabs>
          <w:tab w:val="left" w:pos="1067"/>
          <w:tab w:val="left" w:pos="1068"/>
        </w:tabs>
        <w:spacing w:before="123"/>
      </w:pPr>
      <w:bookmarkStart w:id="27" w:name="4.3.3_Genotoxicity"/>
      <w:bookmarkStart w:id="28" w:name="_bookmark48"/>
      <w:bookmarkEnd w:id="27"/>
      <w:bookmarkEnd w:id="28"/>
      <w:r>
        <w:t>Genotoxicity</w:t>
      </w:r>
    </w:p>
    <w:p w:rsidR="002754CD" w:rsidRDefault="00166C67">
      <w:pPr>
        <w:pStyle w:val="a3"/>
        <w:spacing w:before="140" w:line="364" w:lineRule="auto"/>
        <w:ind w:right="2087"/>
      </w:pPr>
      <w:r>
        <w:lastRenderedPageBreak/>
        <w:t xml:space="preserve">Tabulated data from in vitro genotoxicity studies are provided in End-of Text Table 3.7. The potential genotoxicity of </w:t>
      </w:r>
      <w:r w:rsidR="0059640A">
        <w:t>PROJECT O</w:t>
      </w:r>
      <w:r>
        <w:t xml:space="preserve"> was evaluated in vitro.</w:t>
      </w:r>
    </w:p>
    <w:p w:rsidR="002754CD" w:rsidRPr="0059640A" w:rsidRDefault="00166C67">
      <w:pPr>
        <w:pStyle w:val="a3"/>
        <w:spacing w:before="1" w:line="261" w:lineRule="auto"/>
        <w:ind w:right="1584"/>
        <w:rPr>
          <w:highlight w:val="yellow"/>
        </w:rPr>
      </w:pPr>
      <w:r w:rsidRPr="0059640A">
        <w:rPr>
          <w:highlight w:val="yellow"/>
        </w:rPr>
        <w:t xml:space="preserve">In order to assess the potential of </w:t>
      </w:r>
      <w:r w:rsidR="0059640A" w:rsidRPr="0059640A">
        <w:rPr>
          <w:highlight w:val="yellow"/>
        </w:rPr>
        <w:t>PROJECT O</w:t>
      </w:r>
      <w:r w:rsidRPr="0059640A">
        <w:rPr>
          <w:highlight w:val="yellow"/>
        </w:rPr>
        <w:t xml:space="preserve"> to induce gene mutation, a bacterial reverse mutation test was performed with 5 test strains of bacteria (Salmonella typhimurium [TA100, TA1535, TA98, and TA1537] and Escherichia coli [WP2uvrA]), using the preincubation method with and without metabolic activation (Study </w:t>
      </w:r>
      <w:r w:rsidR="0059640A" w:rsidRPr="0059640A">
        <w:rPr>
          <w:highlight w:val="yellow"/>
        </w:rPr>
        <w:t>Project O</w:t>
      </w:r>
      <w:r w:rsidRPr="0059640A">
        <w:rPr>
          <w:highlight w:val="yellow"/>
        </w:rPr>
        <w:t>-TX-0008). Based on the results of the dose-finding test at 15, 50, 150, 500, 1500 and 5000 µg/plate, the main test</w:t>
      </w:r>
      <w:r w:rsidRPr="0059640A">
        <w:rPr>
          <w:spacing w:val="-22"/>
          <w:highlight w:val="yellow"/>
        </w:rPr>
        <w:t xml:space="preserve"> </w:t>
      </w:r>
      <w:r w:rsidRPr="0059640A">
        <w:rPr>
          <w:highlight w:val="yellow"/>
        </w:rPr>
        <w:t>was</w:t>
      </w:r>
    </w:p>
    <w:p w:rsidR="002754CD" w:rsidRPr="0059640A" w:rsidRDefault="00166C67">
      <w:pPr>
        <w:pStyle w:val="a3"/>
        <w:spacing w:line="272" w:lineRule="exact"/>
        <w:rPr>
          <w:highlight w:val="yellow"/>
        </w:rPr>
      </w:pPr>
      <w:r w:rsidRPr="0059640A">
        <w:rPr>
          <w:highlight w:val="yellow"/>
        </w:rPr>
        <w:t>performed at 15.6, 31.3, 62.5, 125, 250 and 500 µg/plate.</w:t>
      </w:r>
    </w:p>
    <w:p w:rsidR="002754CD" w:rsidRPr="0059640A" w:rsidRDefault="00166C67">
      <w:pPr>
        <w:pStyle w:val="a3"/>
        <w:spacing w:before="144" w:line="261" w:lineRule="auto"/>
        <w:ind w:right="1539"/>
        <w:rPr>
          <w:highlight w:val="yellow"/>
        </w:rPr>
      </w:pPr>
      <w:r w:rsidRPr="0059640A">
        <w:rPr>
          <w:highlight w:val="yellow"/>
        </w:rPr>
        <w:t xml:space="preserve">Test article precipitation was observed at 500 </w:t>
      </w:r>
      <w:proofErr w:type="spellStart"/>
      <w:r w:rsidRPr="0059640A">
        <w:rPr>
          <w:highlight w:val="yellow"/>
        </w:rPr>
        <w:t>μg</w:t>
      </w:r>
      <w:proofErr w:type="spellEnd"/>
      <w:r w:rsidRPr="0059640A">
        <w:rPr>
          <w:highlight w:val="yellow"/>
        </w:rPr>
        <w:t>/plate and greater without metabolic activation and at 250 µg/plate and greater with metabolic activation after incubation for 48 h.</w:t>
      </w:r>
    </w:p>
    <w:p w:rsidR="002754CD" w:rsidRPr="0059640A" w:rsidRDefault="00166C67">
      <w:pPr>
        <w:pStyle w:val="a3"/>
        <w:spacing w:before="118" w:line="261" w:lineRule="auto"/>
        <w:ind w:right="1974"/>
        <w:rPr>
          <w:highlight w:val="yellow"/>
        </w:rPr>
      </w:pPr>
      <w:r w:rsidRPr="0059640A">
        <w:rPr>
          <w:highlight w:val="yellow"/>
        </w:rPr>
        <w:t>Growth inhibition was not observed up to 5000 µg/plate in any test strain with or without metabolic activation.</w:t>
      </w:r>
    </w:p>
    <w:p w:rsidR="002754CD" w:rsidRPr="0059640A" w:rsidRDefault="00166C67">
      <w:pPr>
        <w:pStyle w:val="a3"/>
        <w:spacing w:before="118" w:line="261" w:lineRule="auto"/>
        <w:ind w:right="1554"/>
        <w:rPr>
          <w:highlight w:val="yellow"/>
        </w:rPr>
      </w:pPr>
      <w:r w:rsidRPr="0059640A">
        <w:rPr>
          <w:highlight w:val="yellow"/>
        </w:rPr>
        <w:t>In comparison with the negative control, no 2-fold or greater and dose-dependent increase in the number of revertant colonies was observed in any test strain either in the dose-finding test or the main test with or without metabolic activation.</w:t>
      </w:r>
    </w:p>
    <w:p w:rsidR="002754CD" w:rsidRDefault="00166C67">
      <w:pPr>
        <w:pStyle w:val="a3"/>
        <w:spacing w:before="118"/>
      </w:pPr>
      <w:r w:rsidRPr="0059640A">
        <w:rPr>
          <w:highlight w:val="yellow"/>
        </w:rPr>
        <w:t xml:space="preserve">It was concluded that </w:t>
      </w:r>
      <w:r w:rsidR="0059640A" w:rsidRPr="0059640A">
        <w:rPr>
          <w:highlight w:val="yellow"/>
        </w:rPr>
        <w:t>PROJECT O</w:t>
      </w:r>
      <w:r w:rsidRPr="0059640A">
        <w:rPr>
          <w:highlight w:val="yellow"/>
        </w:rPr>
        <w:t xml:space="preserve"> did not induce gene mutation in bacteria.</w:t>
      </w:r>
    </w:p>
    <w:p w:rsidR="002754CD" w:rsidRDefault="00166C67">
      <w:pPr>
        <w:pStyle w:val="a3"/>
        <w:spacing w:before="144" w:line="261" w:lineRule="auto"/>
        <w:ind w:right="1633"/>
      </w:pPr>
      <w:r>
        <w:t xml:space="preserve">In order to evaluate whether </w:t>
      </w:r>
      <w:r w:rsidR="0059640A">
        <w:t>PROJECT O</w:t>
      </w:r>
      <w:r>
        <w:t xml:space="preserve"> induces chromosomal aberrations, a chromosomal aberration test was performed with cultured mammalian cells (CHL/IU) in short-term treatments for 6 h with and without metabolic activation, and continuous treatment for 24 h without metabolic activation (Study </w:t>
      </w:r>
      <w:r w:rsidR="0059640A">
        <w:t>Project O</w:t>
      </w:r>
      <w:r>
        <w:t>-TX-0009).</w:t>
      </w:r>
    </w:p>
    <w:p w:rsidR="002754CD" w:rsidRDefault="00166C67">
      <w:pPr>
        <w:pStyle w:val="a3"/>
        <w:spacing w:before="117" w:line="261" w:lineRule="auto"/>
        <w:ind w:right="1684"/>
      </w:pPr>
      <w:r>
        <w:t>The dose levels for the chromosomal aberration test were set based on the results of the dose-finding test. The highest dose for chromosomal analysis was set based on the cell proliferation ratio and 2 lower doses were set for chromosomal analysis. Chromosomal aberrations were analyzed at the following doses: 222, 333 and 500 µg/mL in short-term treatment with and without metabolic activation and 65.8, 148 and 222 µg/mL in continuous</w:t>
      </w:r>
    </w:p>
    <w:p w:rsidR="002754CD" w:rsidRDefault="002754CD">
      <w:pPr>
        <w:spacing w:line="261" w:lineRule="auto"/>
        <w:sectPr w:rsidR="002754CD">
          <w:headerReference w:type="default" r:id="rId7"/>
          <w:footerReference w:type="default" r:id="rId8"/>
          <w:pgSz w:w="12240" w:h="15840"/>
          <w:pgMar w:top="1560" w:right="60" w:bottom="940" w:left="1400" w:header="581" w:footer="748" w:gutter="0"/>
          <w:cols w:space="720"/>
        </w:sectPr>
      </w:pPr>
    </w:p>
    <w:p w:rsidR="002754CD" w:rsidRDefault="00166C67">
      <w:pPr>
        <w:pStyle w:val="a3"/>
        <w:spacing w:before="146" w:line="261" w:lineRule="auto"/>
        <w:ind w:right="1633"/>
      </w:pPr>
      <w:r>
        <w:lastRenderedPageBreak/>
        <w:t>treatment for 24 h. The number and incidence of cells with structural and numerical chromosomal aberrations were investigated.</w:t>
      </w:r>
    </w:p>
    <w:p w:rsidR="002754CD" w:rsidRDefault="00166C67">
      <w:pPr>
        <w:pStyle w:val="a3"/>
        <w:spacing w:before="118" w:line="261" w:lineRule="auto"/>
        <w:ind w:right="1633"/>
      </w:pPr>
      <w:r>
        <w:t>Test article precipitation in the treatment medium was observed at 222 µg/mL and greater at the start and end of treatment.</w:t>
      </w:r>
    </w:p>
    <w:p w:rsidR="002754CD" w:rsidRDefault="00166C67">
      <w:pPr>
        <w:pStyle w:val="a3"/>
        <w:spacing w:before="118" w:line="261" w:lineRule="auto"/>
        <w:ind w:right="1627"/>
      </w:pPr>
      <w:r>
        <w:t>The cell proliferation ratio determined from the population doubling showed dose-dependent decreases in continuous treatment for 24 h only.</w:t>
      </w:r>
    </w:p>
    <w:p w:rsidR="002754CD" w:rsidRDefault="00166C67">
      <w:pPr>
        <w:pStyle w:val="a3"/>
        <w:spacing w:before="119" w:line="261" w:lineRule="auto"/>
        <w:ind w:right="1494"/>
      </w:pPr>
      <w:r>
        <w:t>No significant increase in the number of cells with structural or numerical chromosomal aberrations was noted in any treatment group when compared with the negative control group.</w:t>
      </w:r>
    </w:p>
    <w:p w:rsidR="002754CD" w:rsidRDefault="00166C67">
      <w:pPr>
        <w:pStyle w:val="a3"/>
        <w:spacing w:before="118" w:line="261" w:lineRule="auto"/>
        <w:ind w:right="1866"/>
      </w:pPr>
      <w:r>
        <w:t xml:space="preserve">It was concluded that, </w:t>
      </w:r>
      <w:r w:rsidR="0059640A">
        <w:t>PROJECT O</w:t>
      </w:r>
      <w:r>
        <w:t xml:space="preserve"> did not induce chromosomal aberrations in CHL/IU cells, regardless of the presence or absence of metabolic activation, or treatment length.</w:t>
      </w:r>
    </w:p>
    <w:p w:rsidR="002754CD" w:rsidRDefault="00166C67">
      <w:pPr>
        <w:pStyle w:val="3"/>
        <w:numPr>
          <w:ilvl w:val="2"/>
          <w:numId w:val="9"/>
        </w:numPr>
        <w:tabs>
          <w:tab w:val="left" w:pos="1067"/>
          <w:tab w:val="left" w:pos="1068"/>
        </w:tabs>
        <w:spacing w:before="123"/>
      </w:pPr>
      <w:bookmarkStart w:id="29" w:name="4.3.4_Carcinogenicity"/>
      <w:bookmarkStart w:id="30" w:name="_bookmark49"/>
      <w:bookmarkEnd w:id="29"/>
      <w:bookmarkEnd w:id="30"/>
      <w:r>
        <w:t>Carcinogenicity</w:t>
      </w:r>
    </w:p>
    <w:p w:rsidR="002754CD" w:rsidRDefault="00166C67">
      <w:pPr>
        <w:pStyle w:val="a3"/>
        <w:spacing w:before="140" w:line="261" w:lineRule="auto"/>
        <w:ind w:right="1940"/>
      </w:pPr>
      <w:r>
        <w:t xml:space="preserve">No longer-term studies have yet been conducted with </w:t>
      </w:r>
      <w:r w:rsidR="0059640A">
        <w:t>PROJECT O</w:t>
      </w:r>
      <w:r>
        <w:t>, but the genotoxicity data shows no reason for concern in the in vitro situation.</w:t>
      </w:r>
    </w:p>
    <w:p w:rsidR="002754CD" w:rsidRDefault="00166C67">
      <w:pPr>
        <w:pStyle w:val="3"/>
        <w:numPr>
          <w:ilvl w:val="2"/>
          <w:numId w:val="9"/>
        </w:numPr>
        <w:tabs>
          <w:tab w:val="left" w:pos="1067"/>
          <w:tab w:val="left" w:pos="1068"/>
        </w:tabs>
        <w:spacing w:before="123"/>
      </w:pPr>
      <w:bookmarkStart w:id="31" w:name="4.3.5_Reproductive_and_Developmental_Tox"/>
      <w:bookmarkStart w:id="32" w:name="_bookmark50"/>
      <w:bookmarkEnd w:id="31"/>
      <w:bookmarkEnd w:id="32"/>
      <w:r>
        <w:t>Reproductive and Developmental</w:t>
      </w:r>
      <w:r>
        <w:rPr>
          <w:spacing w:val="-5"/>
        </w:rPr>
        <w:t xml:space="preserve"> </w:t>
      </w:r>
      <w:r>
        <w:t>Toxicity</w:t>
      </w:r>
    </w:p>
    <w:p w:rsidR="002754CD" w:rsidRDefault="00166C67">
      <w:pPr>
        <w:pStyle w:val="a3"/>
        <w:spacing w:before="139" w:line="261" w:lineRule="auto"/>
        <w:ind w:right="1704"/>
      </w:pPr>
      <w:r>
        <w:t>Tabulated data from pivotal reproductive and developmental toxicity studies are provided in End-of-Text Tables 3.11 and 3.12.</w:t>
      </w:r>
    </w:p>
    <w:p w:rsidR="002754CD" w:rsidRDefault="00166C67">
      <w:pPr>
        <w:pStyle w:val="a3"/>
        <w:spacing w:before="118" w:line="261" w:lineRule="auto"/>
        <w:ind w:right="1946"/>
      </w:pPr>
      <w:r>
        <w:t xml:space="preserve">A study to assess the effects of </w:t>
      </w:r>
      <w:r w:rsidR="0059640A">
        <w:t>PROJECT O</w:t>
      </w:r>
      <w:r>
        <w:t xml:space="preserve"> on fertility and early embryonic development to implantation was conducted in rats. Studies to assess the teratogenic potential of </w:t>
      </w:r>
      <w:r w:rsidR="0059640A">
        <w:t>PROJECT O</w:t>
      </w:r>
      <w:r>
        <w:t xml:space="preserve"> were conducted in rats and rabbits.</w:t>
      </w:r>
    </w:p>
    <w:p w:rsidR="002754CD" w:rsidRDefault="00166C67">
      <w:pPr>
        <w:pStyle w:val="3"/>
        <w:numPr>
          <w:ilvl w:val="3"/>
          <w:numId w:val="9"/>
        </w:numPr>
        <w:tabs>
          <w:tab w:val="left" w:pos="1068"/>
        </w:tabs>
        <w:spacing w:before="123"/>
      </w:pPr>
      <w:bookmarkStart w:id="33" w:name="4.3.5.1_Effects_on_Fertility_and_Early_E"/>
      <w:bookmarkStart w:id="34" w:name="_bookmark51"/>
      <w:bookmarkEnd w:id="33"/>
      <w:bookmarkEnd w:id="34"/>
      <w:r>
        <w:t>Effects on Fertility and Early Embryonic Development to</w:t>
      </w:r>
      <w:r>
        <w:rPr>
          <w:spacing w:val="-12"/>
        </w:rPr>
        <w:t xml:space="preserve"> </w:t>
      </w:r>
      <w:r>
        <w:t>Implantation</w:t>
      </w:r>
    </w:p>
    <w:p w:rsidR="002754CD" w:rsidRDefault="00166C67">
      <w:pPr>
        <w:pStyle w:val="a4"/>
        <w:numPr>
          <w:ilvl w:val="4"/>
          <w:numId w:val="9"/>
        </w:numPr>
        <w:tabs>
          <w:tab w:val="left" w:pos="1347"/>
          <w:tab w:val="left" w:pos="1348"/>
        </w:tabs>
        <w:spacing w:before="144"/>
        <w:rPr>
          <w:b/>
          <w:sz w:val="24"/>
        </w:rPr>
      </w:pPr>
      <w:bookmarkStart w:id="35" w:name="4.3.5.1.1_Study_in_Rats"/>
      <w:bookmarkEnd w:id="35"/>
      <w:r>
        <w:rPr>
          <w:b/>
          <w:sz w:val="24"/>
        </w:rPr>
        <w:t>Study in</w:t>
      </w:r>
      <w:r>
        <w:rPr>
          <w:b/>
          <w:spacing w:val="-1"/>
          <w:sz w:val="24"/>
        </w:rPr>
        <w:t xml:space="preserve"> </w:t>
      </w:r>
      <w:r>
        <w:rPr>
          <w:b/>
          <w:sz w:val="24"/>
        </w:rPr>
        <w:t>Rats</w:t>
      </w:r>
    </w:p>
    <w:p w:rsidR="002754CD" w:rsidRDefault="00166C67">
      <w:pPr>
        <w:pStyle w:val="a3"/>
        <w:spacing w:before="139" w:line="261" w:lineRule="auto"/>
        <w:ind w:right="1794"/>
      </w:pPr>
      <w:r>
        <w:t>Tabulated data from the reproductive and developmental toxicity study on early embryonic development to implantation are provided in End-of-Text Table 3.11.</w:t>
      </w:r>
    </w:p>
    <w:p w:rsidR="002754CD" w:rsidRDefault="0059640A">
      <w:pPr>
        <w:pStyle w:val="a3"/>
        <w:spacing w:before="118" w:line="261" w:lineRule="auto"/>
        <w:ind w:right="1587"/>
      </w:pPr>
      <w:r>
        <w:t>PROJECT O</w:t>
      </w:r>
      <w:r w:rsidR="00166C67">
        <w:rPr>
          <w:spacing w:val="-3"/>
        </w:rPr>
        <w:t xml:space="preserve"> </w:t>
      </w:r>
      <w:r w:rsidR="00166C67">
        <w:t>was</w:t>
      </w:r>
      <w:r w:rsidR="00166C67">
        <w:rPr>
          <w:spacing w:val="-3"/>
        </w:rPr>
        <w:t xml:space="preserve"> </w:t>
      </w:r>
      <w:r w:rsidR="00166C67">
        <w:t>administered</w:t>
      </w:r>
      <w:r w:rsidR="00166C67">
        <w:rPr>
          <w:spacing w:val="-4"/>
        </w:rPr>
        <w:t xml:space="preserve"> </w:t>
      </w:r>
      <w:r w:rsidR="00166C67">
        <w:t>orally</w:t>
      </w:r>
      <w:r w:rsidR="00166C67">
        <w:rPr>
          <w:spacing w:val="-4"/>
        </w:rPr>
        <w:t xml:space="preserve"> </w:t>
      </w:r>
      <w:r w:rsidR="00166C67">
        <w:t>to</w:t>
      </w:r>
      <w:r w:rsidR="00166C67">
        <w:rPr>
          <w:spacing w:val="-5"/>
        </w:rPr>
        <w:t xml:space="preserve"> </w:t>
      </w:r>
      <w:r w:rsidR="00166C67">
        <w:t>20</w:t>
      </w:r>
      <w:r w:rsidR="00166C67">
        <w:rPr>
          <w:spacing w:val="-2"/>
        </w:rPr>
        <w:t xml:space="preserve"> </w:t>
      </w:r>
      <w:r w:rsidR="00166C67">
        <w:t>male</w:t>
      </w:r>
      <w:r w:rsidR="00166C67">
        <w:rPr>
          <w:spacing w:val="-3"/>
        </w:rPr>
        <w:t xml:space="preserve"> </w:t>
      </w:r>
      <w:r w:rsidR="00166C67">
        <w:t>and</w:t>
      </w:r>
      <w:r w:rsidR="00166C67">
        <w:rPr>
          <w:spacing w:val="-2"/>
        </w:rPr>
        <w:t xml:space="preserve"> </w:t>
      </w:r>
      <w:r w:rsidR="00166C67">
        <w:t>20</w:t>
      </w:r>
      <w:r w:rsidR="00166C67">
        <w:rPr>
          <w:spacing w:val="-3"/>
        </w:rPr>
        <w:t xml:space="preserve"> </w:t>
      </w:r>
      <w:r w:rsidR="00166C67">
        <w:t>female</w:t>
      </w:r>
      <w:r w:rsidR="00166C67">
        <w:rPr>
          <w:spacing w:val="-3"/>
        </w:rPr>
        <w:t xml:space="preserve"> </w:t>
      </w:r>
      <w:r w:rsidR="00166C67">
        <w:t>Crl:CD(SD)</w:t>
      </w:r>
      <w:r w:rsidR="00166C67">
        <w:rPr>
          <w:spacing w:val="-4"/>
        </w:rPr>
        <w:t xml:space="preserve"> </w:t>
      </w:r>
      <w:r w:rsidR="00166C67">
        <w:t>rats</w:t>
      </w:r>
      <w:r w:rsidR="00166C67">
        <w:rPr>
          <w:spacing w:val="-3"/>
        </w:rPr>
        <w:t xml:space="preserve"> </w:t>
      </w:r>
      <w:r w:rsidR="00166C67">
        <w:t>in</w:t>
      </w:r>
      <w:r w:rsidR="00166C67">
        <w:rPr>
          <w:spacing w:val="-3"/>
        </w:rPr>
        <w:t xml:space="preserve"> </w:t>
      </w:r>
      <w:r w:rsidR="00166C67">
        <w:t>each</w:t>
      </w:r>
      <w:r w:rsidR="00166C67">
        <w:rPr>
          <w:spacing w:val="-4"/>
        </w:rPr>
        <w:t xml:space="preserve"> </w:t>
      </w:r>
      <w:r w:rsidR="00166C67">
        <w:t>group</w:t>
      </w:r>
      <w:r w:rsidR="00166C67">
        <w:rPr>
          <w:spacing w:val="-3"/>
        </w:rPr>
        <w:t xml:space="preserve"> </w:t>
      </w:r>
      <w:r w:rsidR="00166C67">
        <w:t xml:space="preserve">at dose levels of 0 (water for injection), 0 (10% HP-β-CD containing PG solvent), 10, 30 and 100 mg/kg per day from before mating (males and females) and through the mating period (males and females) until implantation (day 7 of gestation, females) (Study </w:t>
      </w:r>
      <w:r>
        <w:t>Project O</w:t>
      </w:r>
      <w:r w:rsidR="00166C67">
        <w:t xml:space="preserve">-TX-0018). In females, effects on estrous cycle, fertilization, tubal transport, implantation and embryonic development at the preimplantation stage were evaluated. In males, effects on functional aspects (e.g., on libido and insemination) that might not be detected by histological examination of the male reproductive organs were evaluated.  Systemic exposure to </w:t>
      </w:r>
      <w:r>
        <w:t>PROJECT O</w:t>
      </w:r>
      <w:r w:rsidR="00166C67">
        <w:t xml:space="preserve"> was also</w:t>
      </w:r>
      <w:r w:rsidR="00166C67">
        <w:rPr>
          <w:spacing w:val="-3"/>
        </w:rPr>
        <w:t xml:space="preserve"> </w:t>
      </w:r>
      <w:r w:rsidR="00166C67">
        <w:t>assessed.</w:t>
      </w:r>
    </w:p>
    <w:p w:rsidR="002754CD" w:rsidRDefault="00166C67">
      <w:pPr>
        <w:pStyle w:val="3"/>
        <w:spacing w:before="118"/>
        <w:ind w:left="215"/>
      </w:pPr>
      <w:r>
        <w:t>Effects on General Toxicity of Parental Animals</w:t>
      </w:r>
    </w:p>
    <w:p w:rsidR="002754CD" w:rsidRDefault="00166C67">
      <w:pPr>
        <w:pStyle w:val="a3"/>
        <w:spacing w:before="139" w:line="261" w:lineRule="auto"/>
        <w:ind w:right="1684"/>
      </w:pPr>
      <w:r>
        <w:t>No animals died and no abnormalities were observed in clinical signs in any group. No test article-related changes were noted in body weight, body weight gain or food consumption in any test article group. No gross pathological abnormalities were observed in any group.</w:t>
      </w:r>
    </w:p>
    <w:p w:rsidR="002754CD" w:rsidRDefault="002754CD">
      <w:pPr>
        <w:spacing w:line="261" w:lineRule="auto"/>
        <w:sectPr w:rsidR="002754CD">
          <w:pgSz w:w="12240" w:h="15840"/>
          <w:pgMar w:top="1560" w:right="60" w:bottom="940" w:left="1400" w:header="581" w:footer="748" w:gutter="0"/>
          <w:cols w:space="720"/>
        </w:sectPr>
      </w:pPr>
    </w:p>
    <w:p w:rsidR="002754CD" w:rsidRDefault="00166C67">
      <w:pPr>
        <w:pStyle w:val="3"/>
        <w:spacing w:before="150"/>
        <w:ind w:left="215"/>
      </w:pPr>
      <w:r>
        <w:lastRenderedPageBreak/>
        <w:t>Effects on Reproductive Function</w:t>
      </w:r>
    </w:p>
    <w:p w:rsidR="002754CD" w:rsidRDefault="00166C67">
      <w:pPr>
        <w:pStyle w:val="a3"/>
        <w:spacing w:before="140" w:line="261" w:lineRule="auto"/>
        <w:ind w:right="1588"/>
      </w:pPr>
      <w:r>
        <w:t>No test article-related changes were noted in the frequency of estrus, estrous interval, copulation rate, mean copulatory interval, fertility rate, number of corpora lutea or number of implantations or preimplantation loss rate in any test article group.</w:t>
      </w:r>
    </w:p>
    <w:p w:rsidR="002754CD" w:rsidRDefault="00166C67">
      <w:pPr>
        <w:pStyle w:val="3"/>
        <w:spacing w:before="122"/>
        <w:ind w:left="215"/>
      </w:pPr>
      <w:r>
        <w:t>Effects on Early Embryonic Development</w:t>
      </w:r>
    </w:p>
    <w:p w:rsidR="002754CD" w:rsidRDefault="00166C67">
      <w:pPr>
        <w:pStyle w:val="a3"/>
        <w:spacing w:before="139" w:line="261" w:lineRule="auto"/>
        <w:ind w:right="2441"/>
      </w:pPr>
      <w:r>
        <w:t xml:space="preserve">No test article-related changes were noted in the number of live embryos, number of </w:t>
      </w:r>
      <w:proofErr w:type="spellStart"/>
      <w:r>
        <w:t>postimplantation</w:t>
      </w:r>
      <w:proofErr w:type="spellEnd"/>
      <w:r>
        <w:t xml:space="preserve"> losses or </w:t>
      </w:r>
      <w:proofErr w:type="spellStart"/>
      <w:r>
        <w:t>postimplantation</w:t>
      </w:r>
      <w:proofErr w:type="spellEnd"/>
      <w:r>
        <w:t xml:space="preserve"> loss rate in any test article group.</w:t>
      </w:r>
    </w:p>
    <w:p w:rsidR="002754CD" w:rsidRDefault="00166C67">
      <w:pPr>
        <w:pStyle w:val="3"/>
        <w:spacing w:before="123"/>
        <w:ind w:left="215"/>
      </w:pPr>
      <w:r>
        <w:t>Toxicokinetics</w:t>
      </w:r>
    </w:p>
    <w:p w:rsidR="002754CD" w:rsidRDefault="00166C67">
      <w:pPr>
        <w:pStyle w:val="a3"/>
        <w:spacing w:before="140" w:line="261" w:lineRule="auto"/>
        <w:ind w:right="1633"/>
      </w:pPr>
      <w:proofErr w:type="spellStart"/>
      <w:r>
        <w:t>C</w:t>
      </w:r>
      <w:r>
        <w:rPr>
          <w:vertAlign w:val="subscript"/>
        </w:rPr>
        <w:t>max</w:t>
      </w:r>
      <w:proofErr w:type="spellEnd"/>
      <w:r>
        <w:t xml:space="preserve"> and AUC</w:t>
      </w:r>
      <w:r>
        <w:rPr>
          <w:vertAlign w:val="subscript"/>
        </w:rPr>
        <w:t>24</w:t>
      </w:r>
      <w:r>
        <w:t xml:space="preserve"> values increased less than dose-proportionally on day 1 of dosing and following repeated administration (day 28 of dosing for males and day 14 of dosing for females) and were almost constant on both stages in both sexes. For both stages in both sexes, </w:t>
      </w:r>
      <w:proofErr w:type="spellStart"/>
      <w:r>
        <w:t>t</w:t>
      </w:r>
      <w:r>
        <w:rPr>
          <w:vertAlign w:val="subscript"/>
        </w:rPr>
        <w:t>max</w:t>
      </w:r>
      <w:proofErr w:type="spellEnd"/>
      <w:r>
        <w:t xml:space="preserve"> values were 0.5 to 1 h and those values were almost constant at all doses and dosing times. There was no sex difference.</w:t>
      </w:r>
    </w:p>
    <w:p w:rsidR="002754CD" w:rsidRDefault="00166C67">
      <w:pPr>
        <w:pStyle w:val="a3"/>
        <w:spacing w:before="116" w:line="261" w:lineRule="auto"/>
        <w:ind w:right="1746"/>
      </w:pPr>
      <w:r>
        <w:t xml:space="preserve">Based on these results, it was concluded that, under the conditions of Study </w:t>
      </w:r>
      <w:r w:rsidR="0059640A">
        <w:t>Project O</w:t>
      </w:r>
      <w:r>
        <w:t xml:space="preserve">-TX-0018, the NOAEL of </w:t>
      </w:r>
      <w:r w:rsidR="0059640A">
        <w:t>PROJECT O</w:t>
      </w:r>
      <w:r>
        <w:t xml:space="preserve"> was 100 mg/kg per day for general toxicity and reproductive function in parental animals and for early embryonic development.</w:t>
      </w:r>
    </w:p>
    <w:p w:rsidR="002754CD" w:rsidRDefault="00166C67">
      <w:pPr>
        <w:pStyle w:val="3"/>
        <w:numPr>
          <w:ilvl w:val="3"/>
          <w:numId w:val="9"/>
        </w:numPr>
        <w:tabs>
          <w:tab w:val="left" w:pos="1068"/>
        </w:tabs>
        <w:spacing w:before="122"/>
      </w:pPr>
      <w:bookmarkStart w:id="36" w:name="4.3.5.2_Effects_on_Embryo_fetal_Developm"/>
      <w:bookmarkStart w:id="37" w:name="_bookmark52"/>
      <w:bookmarkEnd w:id="36"/>
      <w:bookmarkEnd w:id="37"/>
      <w:r>
        <w:t>Effects on Embryo-fetal</w:t>
      </w:r>
      <w:r>
        <w:rPr>
          <w:spacing w:val="-3"/>
        </w:rPr>
        <w:t xml:space="preserve"> </w:t>
      </w:r>
      <w:r>
        <w:t>Development</w:t>
      </w:r>
    </w:p>
    <w:p w:rsidR="002754CD" w:rsidRDefault="00166C67">
      <w:pPr>
        <w:pStyle w:val="a3"/>
        <w:spacing w:before="139" w:line="261" w:lineRule="auto"/>
        <w:ind w:right="1974"/>
      </w:pPr>
      <w:r>
        <w:t>Tabulated data from the reproductive and developmental toxicity studies on embryo-fetal development are provided in End-of-Text Table 3.12.</w:t>
      </w:r>
    </w:p>
    <w:p w:rsidR="002754CD" w:rsidRDefault="00166C67">
      <w:pPr>
        <w:pStyle w:val="3"/>
        <w:numPr>
          <w:ilvl w:val="4"/>
          <w:numId w:val="9"/>
        </w:numPr>
        <w:tabs>
          <w:tab w:val="left" w:pos="1347"/>
          <w:tab w:val="left" w:pos="1348"/>
        </w:tabs>
        <w:spacing w:before="123"/>
      </w:pPr>
      <w:bookmarkStart w:id="38" w:name="4.3.5.2.1_Study_in_Rats"/>
      <w:bookmarkEnd w:id="38"/>
      <w:r>
        <w:t>Study in</w:t>
      </w:r>
      <w:r>
        <w:rPr>
          <w:spacing w:val="-1"/>
        </w:rPr>
        <w:t xml:space="preserve"> </w:t>
      </w:r>
      <w:r>
        <w:t>Rats</w:t>
      </w:r>
    </w:p>
    <w:p w:rsidR="002754CD" w:rsidRDefault="0059640A">
      <w:pPr>
        <w:pStyle w:val="a3"/>
        <w:spacing w:before="140" w:line="261" w:lineRule="auto"/>
        <w:ind w:right="1891"/>
      </w:pPr>
      <w:r>
        <w:t>PROJECT O</w:t>
      </w:r>
      <w:r w:rsidR="00166C67">
        <w:t xml:space="preserve"> was administered orally to 18 to 20 pregnant Crl:CD(SD) rats per group at dose levels of 0 (water for injection), 0 (10% HP-β-CD containing PG solvent), 30, 100 and 200 mg/kg per day during the period from implantation to closure of the hard palate (from</w:t>
      </w:r>
    </w:p>
    <w:p w:rsidR="002754CD" w:rsidRDefault="00166C67">
      <w:pPr>
        <w:pStyle w:val="a3"/>
        <w:spacing w:line="261" w:lineRule="auto"/>
        <w:ind w:right="1716"/>
        <w:jc w:val="both"/>
      </w:pPr>
      <w:r>
        <w:t xml:space="preserve">day 7 to day 17 of gestation) to investigate the effects of </w:t>
      </w:r>
      <w:r w:rsidR="0059640A">
        <w:t>PROJECT O</w:t>
      </w:r>
      <w:r>
        <w:t xml:space="preserve"> on pregnant females and embryo-fetal development (Study </w:t>
      </w:r>
      <w:r w:rsidR="0059640A">
        <w:t>Project O</w:t>
      </w:r>
      <w:r>
        <w:t xml:space="preserve">-TX-0011). Systemic exposure to </w:t>
      </w:r>
      <w:r w:rsidR="0059640A">
        <w:t>PROJECT O</w:t>
      </w:r>
      <w:r>
        <w:t xml:space="preserve"> in dams was also assessed.</w:t>
      </w:r>
    </w:p>
    <w:p w:rsidR="002754CD" w:rsidRDefault="00166C67">
      <w:pPr>
        <w:pStyle w:val="3"/>
        <w:spacing w:before="119"/>
        <w:ind w:left="215"/>
      </w:pPr>
      <w:r>
        <w:t>Effect on Dams</w:t>
      </w:r>
    </w:p>
    <w:p w:rsidR="002754CD" w:rsidRDefault="00166C67">
      <w:pPr>
        <w:pStyle w:val="a3"/>
        <w:spacing w:before="140" w:line="261" w:lineRule="auto"/>
        <w:ind w:right="1496"/>
      </w:pPr>
      <w:r>
        <w:t>No dams died in any group and no abnormalities were observed in clinical signs in any group. In the 200 mg/kg group, low food consumption was noted during the dosing period. No test article-related changes were noted in food consumption in the 100 or 30 mg/kg group or in body weight, body weight gain, gross pathology, number of corpora lutea or number of implantations in any test article group.</w:t>
      </w:r>
    </w:p>
    <w:p w:rsidR="002754CD" w:rsidRDefault="00166C67">
      <w:pPr>
        <w:pStyle w:val="3"/>
        <w:spacing w:before="120"/>
        <w:ind w:left="215"/>
      </w:pPr>
      <w:r>
        <w:t>Effect on Fetuses</w:t>
      </w:r>
    </w:p>
    <w:p w:rsidR="002754CD" w:rsidRDefault="00166C67">
      <w:pPr>
        <w:pStyle w:val="a3"/>
        <w:spacing w:before="140" w:line="261" w:lineRule="auto"/>
        <w:ind w:right="1687"/>
      </w:pPr>
      <w:r>
        <w:t xml:space="preserve">No test article-related changes were noted in the number of live fetuses, number of embryofetal deaths, </w:t>
      </w:r>
      <w:proofErr w:type="spellStart"/>
      <w:r>
        <w:t>postimplantation</w:t>
      </w:r>
      <w:proofErr w:type="spellEnd"/>
      <w:r>
        <w:t xml:space="preserve"> loss rate, fetal body weight, placental weight, sex ratio or external or placental findings in any test article group or in visceral or skeletal findings in the 200 mg/kg group.</w:t>
      </w:r>
    </w:p>
    <w:p w:rsidR="002754CD" w:rsidRDefault="002754CD">
      <w:pPr>
        <w:spacing w:line="261" w:lineRule="auto"/>
        <w:sectPr w:rsidR="002754CD">
          <w:pgSz w:w="12240" w:h="15840"/>
          <w:pgMar w:top="1560" w:right="60" w:bottom="940" w:left="1400" w:header="581" w:footer="748" w:gutter="0"/>
          <w:cols w:space="720"/>
        </w:sectPr>
      </w:pPr>
    </w:p>
    <w:p w:rsidR="002754CD" w:rsidRDefault="00166C67">
      <w:pPr>
        <w:pStyle w:val="3"/>
        <w:spacing w:before="150"/>
        <w:ind w:left="215"/>
      </w:pPr>
      <w:r>
        <w:lastRenderedPageBreak/>
        <w:t>Toxicokinetics</w:t>
      </w:r>
    </w:p>
    <w:p w:rsidR="002754CD" w:rsidRDefault="00166C67">
      <w:pPr>
        <w:pStyle w:val="a3"/>
        <w:spacing w:before="140" w:line="261" w:lineRule="auto"/>
        <w:ind w:right="1633"/>
      </w:pPr>
      <w:proofErr w:type="spellStart"/>
      <w:r>
        <w:t>C</w:t>
      </w:r>
      <w:r>
        <w:rPr>
          <w:vertAlign w:val="subscript"/>
        </w:rPr>
        <w:t>max</w:t>
      </w:r>
      <w:proofErr w:type="spellEnd"/>
      <w:r>
        <w:t xml:space="preserve"> and AUC</w:t>
      </w:r>
      <w:r>
        <w:rPr>
          <w:vertAlign w:val="subscript"/>
        </w:rPr>
        <w:t>24</w:t>
      </w:r>
      <w:r>
        <w:t xml:space="preserve"> values increased with increasing dose on both days 7 and 17 of gestation, except </w:t>
      </w:r>
      <w:proofErr w:type="spellStart"/>
      <w:r>
        <w:t>C</w:t>
      </w:r>
      <w:r>
        <w:rPr>
          <w:vertAlign w:val="subscript"/>
        </w:rPr>
        <w:t>max</w:t>
      </w:r>
      <w:proofErr w:type="spellEnd"/>
      <w:r>
        <w:t xml:space="preserve"> on day 17 of gestation in the 200 mg/kg group. For both stages, </w:t>
      </w:r>
      <w:proofErr w:type="spellStart"/>
      <w:r>
        <w:t>t</w:t>
      </w:r>
      <w:r>
        <w:rPr>
          <w:vertAlign w:val="subscript"/>
        </w:rPr>
        <w:t>max</w:t>
      </w:r>
      <w:proofErr w:type="spellEnd"/>
      <w:r>
        <w:t xml:space="preserve"> values were</w:t>
      </w:r>
    </w:p>
    <w:p w:rsidR="002754CD" w:rsidRDefault="00166C67">
      <w:pPr>
        <w:pStyle w:val="a3"/>
        <w:spacing w:line="274" w:lineRule="exact"/>
      </w:pPr>
      <w:r>
        <w:t>0.5 to 1 h. Those values were almost constant regardless of the frequency of dosing.</w:t>
      </w:r>
    </w:p>
    <w:p w:rsidR="002754CD" w:rsidRDefault="00166C67">
      <w:pPr>
        <w:pStyle w:val="a3"/>
        <w:spacing w:before="144" w:line="261" w:lineRule="auto"/>
        <w:ind w:right="1764"/>
      </w:pPr>
      <w:r>
        <w:t xml:space="preserve">Based on these results, it was concluded that, under the conditions of Study </w:t>
      </w:r>
      <w:r w:rsidR="0059640A">
        <w:t>Project O</w:t>
      </w:r>
      <w:r>
        <w:t xml:space="preserve">-TX-0011, the NOAEL of </w:t>
      </w:r>
      <w:r w:rsidR="0059640A">
        <w:t>PROJECT O</w:t>
      </w:r>
      <w:r>
        <w:t xml:space="preserve"> was 100 mg/kg per day for dams and 200 mg/kg per day for embryo-fetal development.</w:t>
      </w:r>
    </w:p>
    <w:p w:rsidR="002754CD" w:rsidRDefault="00166C67">
      <w:pPr>
        <w:pStyle w:val="3"/>
        <w:tabs>
          <w:tab w:val="left" w:pos="1347"/>
        </w:tabs>
        <w:spacing w:before="122"/>
        <w:ind w:left="215"/>
      </w:pPr>
      <w:bookmarkStart w:id="39" w:name="4.3.5.2.2_Study_in_Rabbits"/>
      <w:bookmarkEnd w:id="39"/>
      <w:r>
        <w:t>4.3.5.2.2</w:t>
      </w:r>
      <w:r>
        <w:tab/>
        <w:t>Study in</w:t>
      </w:r>
      <w:r>
        <w:rPr>
          <w:spacing w:val="-1"/>
        </w:rPr>
        <w:t xml:space="preserve"> </w:t>
      </w:r>
      <w:r>
        <w:t>Rabbits</w:t>
      </w:r>
    </w:p>
    <w:p w:rsidR="002754CD" w:rsidRDefault="0059640A">
      <w:pPr>
        <w:pStyle w:val="a3"/>
        <w:spacing w:before="139" w:line="261" w:lineRule="auto"/>
        <w:ind w:right="1813"/>
      </w:pPr>
      <w:r>
        <w:t>PROJECT O</w:t>
      </w:r>
      <w:r w:rsidR="00166C67">
        <w:t xml:space="preserve"> was administered orally to 17 to 19 pregnant </w:t>
      </w:r>
      <w:proofErr w:type="spellStart"/>
      <w:r w:rsidR="00166C67">
        <w:t>Kbl:NZW</w:t>
      </w:r>
      <w:proofErr w:type="spellEnd"/>
      <w:r w:rsidR="00166C67">
        <w:t xml:space="preserve"> rabbits per group at dose levels of 0 (water for injection), 0 (10% HP-β-CD containing PG solvent), 5, 10 and</w:t>
      </w:r>
    </w:p>
    <w:p w:rsidR="002754CD" w:rsidRDefault="00166C67">
      <w:pPr>
        <w:pStyle w:val="a3"/>
        <w:spacing w:line="261" w:lineRule="auto"/>
        <w:ind w:right="1747"/>
      </w:pPr>
      <w:r>
        <w:t xml:space="preserve">20 mg/kg per day during the period from implantation to closure of the hard palate (from day 6 to day 18 of gestation) to investigate the effects of </w:t>
      </w:r>
      <w:r w:rsidR="0059640A">
        <w:t>PROJECT O</w:t>
      </w:r>
      <w:r>
        <w:t xml:space="preserve"> on pregnant females and embryofetal development (Study </w:t>
      </w:r>
      <w:r w:rsidR="0059640A">
        <w:t>Project O</w:t>
      </w:r>
      <w:r>
        <w:t xml:space="preserve">-TX-0014). Systemic exposure to </w:t>
      </w:r>
      <w:r w:rsidR="0059640A">
        <w:t>PROJECT O</w:t>
      </w:r>
      <w:r>
        <w:t xml:space="preserve"> in dams was also assessed.</w:t>
      </w:r>
    </w:p>
    <w:p w:rsidR="002754CD" w:rsidRDefault="00166C67">
      <w:pPr>
        <w:pStyle w:val="3"/>
        <w:spacing w:before="120"/>
        <w:ind w:left="215"/>
      </w:pPr>
      <w:r>
        <w:t>Effect on Dams</w:t>
      </w:r>
    </w:p>
    <w:p w:rsidR="002754CD" w:rsidRDefault="00166C67">
      <w:pPr>
        <w:pStyle w:val="a3"/>
        <w:spacing w:before="139" w:line="261" w:lineRule="auto"/>
        <w:ind w:right="1626"/>
      </w:pPr>
      <w:r>
        <w:t>No dams died in any group and no test article-related changes were noted in clinical signs, body weight, body weight gain, food consumption, gross pathology, number of corpora lutea or number of implantations in any test article group.</w:t>
      </w:r>
    </w:p>
    <w:p w:rsidR="002754CD" w:rsidRDefault="00166C67">
      <w:pPr>
        <w:pStyle w:val="3"/>
        <w:spacing w:before="123"/>
        <w:ind w:left="215"/>
      </w:pPr>
      <w:r>
        <w:t>Effect on Fetuses</w:t>
      </w:r>
    </w:p>
    <w:p w:rsidR="002754CD" w:rsidRDefault="00166C67">
      <w:pPr>
        <w:pStyle w:val="a3"/>
        <w:spacing w:before="139" w:line="261" w:lineRule="auto"/>
        <w:ind w:right="1741"/>
      </w:pPr>
      <w:r>
        <w:t xml:space="preserve">No test article-related changes were noted in the number of live fetuses, number of embryofetal deaths, </w:t>
      </w:r>
      <w:proofErr w:type="spellStart"/>
      <w:r>
        <w:t>postimplantation</w:t>
      </w:r>
      <w:proofErr w:type="spellEnd"/>
      <w:r>
        <w:t xml:space="preserve"> loss rate, body weight, placental weight, sex ratio or external, placental or visceral findings in any test article group, or in skeletal findings in the 20 mg/kg group.</w:t>
      </w:r>
    </w:p>
    <w:p w:rsidR="002754CD" w:rsidRDefault="00166C67">
      <w:pPr>
        <w:pStyle w:val="3"/>
        <w:spacing w:before="122"/>
        <w:ind w:left="215"/>
      </w:pPr>
      <w:r>
        <w:t>Toxicokinetics</w:t>
      </w:r>
    </w:p>
    <w:p w:rsidR="002754CD" w:rsidRDefault="00166C67">
      <w:pPr>
        <w:pStyle w:val="a3"/>
        <w:spacing w:before="139"/>
      </w:pPr>
      <w:proofErr w:type="spellStart"/>
      <w:r>
        <w:t>C</w:t>
      </w:r>
      <w:r>
        <w:rPr>
          <w:vertAlign w:val="subscript"/>
        </w:rPr>
        <w:t>max</w:t>
      </w:r>
      <w:proofErr w:type="spellEnd"/>
      <w:r>
        <w:t xml:space="preserve"> and AUC</w:t>
      </w:r>
      <w:r>
        <w:rPr>
          <w:vertAlign w:val="subscript"/>
        </w:rPr>
        <w:t>24</w:t>
      </w:r>
      <w:r>
        <w:t xml:space="preserve"> values increased almost dose-proportionally but slightly less than</w:t>
      </w:r>
    </w:p>
    <w:p w:rsidR="002754CD" w:rsidRDefault="00166C67">
      <w:pPr>
        <w:pStyle w:val="a3"/>
        <w:spacing w:before="24" w:line="261" w:lineRule="auto"/>
        <w:ind w:right="1633"/>
      </w:pPr>
      <w:r>
        <w:t xml:space="preserve">dose-dependently at up to 20 mg/kg after the first and final dosing. For both stages, </w:t>
      </w:r>
      <w:proofErr w:type="spellStart"/>
      <w:r>
        <w:t>t</w:t>
      </w:r>
      <w:r>
        <w:rPr>
          <w:vertAlign w:val="subscript"/>
        </w:rPr>
        <w:t>max</w:t>
      </w:r>
      <w:proofErr w:type="spellEnd"/>
      <w:r>
        <w:t xml:space="preserve"> values ranged from 4.0 to 6.7 h. Those values were almost constant regardless of the frequency of dosing.</w:t>
      </w:r>
    </w:p>
    <w:p w:rsidR="002754CD" w:rsidRDefault="00166C67">
      <w:pPr>
        <w:pStyle w:val="a3"/>
        <w:spacing w:before="117" w:line="261" w:lineRule="auto"/>
        <w:ind w:right="1746"/>
      </w:pPr>
      <w:r>
        <w:t xml:space="preserve">Based on these results, it was concluded that, under the conditions of Study </w:t>
      </w:r>
      <w:r w:rsidR="0059640A">
        <w:t>Project O</w:t>
      </w:r>
      <w:r>
        <w:t xml:space="preserve">-TX-0014, the NOAEL of </w:t>
      </w:r>
      <w:r w:rsidR="0059640A">
        <w:t>PROJECT O</w:t>
      </w:r>
      <w:r>
        <w:t xml:space="preserve"> was 20 mg/kg per day for dams and embryo-fetal development.</w:t>
      </w:r>
    </w:p>
    <w:p w:rsidR="002754CD" w:rsidRDefault="00166C67">
      <w:pPr>
        <w:pStyle w:val="3"/>
        <w:numPr>
          <w:ilvl w:val="2"/>
          <w:numId w:val="8"/>
        </w:numPr>
        <w:tabs>
          <w:tab w:val="left" w:pos="1067"/>
          <w:tab w:val="left" w:pos="1068"/>
        </w:tabs>
        <w:spacing w:before="123"/>
      </w:pPr>
      <w:bookmarkStart w:id="40" w:name="4.3.6_Local_Tolerance"/>
      <w:bookmarkStart w:id="41" w:name="_bookmark53"/>
      <w:bookmarkEnd w:id="40"/>
      <w:bookmarkEnd w:id="41"/>
      <w:r>
        <w:t>Local</w:t>
      </w:r>
      <w:r>
        <w:rPr>
          <w:spacing w:val="-2"/>
        </w:rPr>
        <w:t xml:space="preserve"> </w:t>
      </w:r>
      <w:r>
        <w:t>Tolerance</w:t>
      </w:r>
    </w:p>
    <w:p w:rsidR="002754CD" w:rsidRDefault="00166C67">
      <w:pPr>
        <w:pStyle w:val="a3"/>
        <w:spacing w:before="140"/>
      </w:pPr>
      <w:r>
        <w:t>No local tolerance studies were conducted.</w:t>
      </w:r>
    </w:p>
    <w:p w:rsidR="002754CD" w:rsidRDefault="00166C67">
      <w:pPr>
        <w:pStyle w:val="3"/>
        <w:numPr>
          <w:ilvl w:val="2"/>
          <w:numId w:val="8"/>
        </w:numPr>
        <w:tabs>
          <w:tab w:val="left" w:pos="1067"/>
          <w:tab w:val="left" w:pos="1068"/>
        </w:tabs>
        <w:spacing w:before="149"/>
      </w:pPr>
      <w:bookmarkStart w:id="42" w:name="4.3.7_Other_Toxicity_Studies"/>
      <w:bookmarkStart w:id="43" w:name="_bookmark54"/>
      <w:bookmarkEnd w:id="42"/>
      <w:bookmarkEnd w:id="43"/>
      <w:r>
        <w:t>Other Toxicity</w:t>
      </w:r>
      <w:r>
        <w:rPr>
          <w:spacing w:val="-1"/>
        </w:rPr>
        <w:t xml:space="preserve"> </w:t>
      </w:r>
      <w:r>
        <w:t>Studies</w:t>
      </w:r>
    </w:p>
    <w:p w:rsidR="002754CD" w:rsidRDefault="00166C67">
      <w:pPr>
        <w:pStyle w:val="a3"/>
        <w:spacing w:before="139"/>
      </w:pPr>
      <w:r>
        <w:t>No other toxicity study was conducted.</w:t>
      </w:r>
    </w:p>
    <w:p w:rsidR="002754CD" w:rsidRDefault="002754CD">
      <w:pPr>
        <w:sectPr w:rsidR="002754CD">
          <w:pgSz w:w="12240" w:h="15840"/>
          <w:pgMar w:top="1560" w:right="60" w:bottom="940" w:left="1400" w:header="581" w:footer="748" w:gutter="0"/>
          <w:cols w:space="720"/>
        </w:sectPr>
      </w:pPr>
    </w:p>
    <w:p w:rsidR="002754CD" w:rsidRDefault="00166C67">
      <w:pPr>
        <w:pStyle w:val="2"/>
        <w:numPr>
          <w:ilvl w:val="1"/>
          <w:numId w:val="7"/>
        </w:numPr>
        <w:tabs>
          <w:tab w:val="left" w:pos="1067"/>
          <w:tab w:val="left" w:pos="1068"/>
        </w:tabs>
        <w:spacing w:before="125"/>
        <w:ind w:right="1633"/>
      </w:pPr>
      <w:bookmarkStart w:id="44" w:name="4.4_Integrated_Nonclinical_Overview_and_"/>
      <w:bookmarkStart w:id="45" w:name="_bookmark55"/>
      <w:bookmarkEnd w:id="44"/>
      <w:bookmarkEnd w:id="45"/>
      <w:r>
        <w:lastRenderedPageBreak/>
        <w:t>Integrated Nonclinical Overview and Conclusion: Potential Clinical Relevance</w:t>
      </w:r>
    </w:p>
    <w:p w:rsidR="002754CD" w:rsidRDefault="0059640A">
      <w:pPr>
        <w:pStyle w:val="a3"/>
        <w:spacing w:before="140" w:line="261" w:lineRule="auto"/>
        <w:ind w:right="1713"/>
      </w:pPr>
      <w:r>
        <w:t>PROJECT O</w:t>
      </w:r>
      <w:r w:rsidR="00166C67">
        <w:t xml:space="preserve"> is under development for the treatment of hyperphosphatemia. </w:t>
      </w:r>
      <w:r>
        <w:t>PROJECT O</w:t>
      </w:r>
      <w:r w:rsidR="00166C67">
        <w:t xml:space="preserve"> is a NPT-IIb inhibitor with IC</w:t>
      </w:r>
      <w:r w:rsidR="00166C67">
        <w:rPr>
          <w:vertAlign w:val="subscript"/>
        </w:rPr>
        <w:t>50</w:t>
      </w:r>
      <w:r w:rsidR="00166C67">
        <w:t xml:space="preserve"> values of 7.0 and 88 nmol/L against human and rat NPT-IIb, respectively. In vivo studies in rats suggest that </w:t>
      </w:r>
      <w:r>
        <w:t>PROJECT O</w:t>
      </w:r>
      <w:r w:rsidR="00166C67">
        <w:t xml:space="preserve"> inhibits phosphate absorption directly in the intestinal tract and not by systemic exposure. In an adenine-induced CKD rat model with hyperphosphatemia (ASHP rats), </w:t>
      </w:r>
      <w:r>
        <w:t>PROJECT O</w:t>
      </w:r>
      <w:r w:rsidR="00166C67">
        <w:t xml:space="preserve"> decreases the elevated plasma inorganic phosphorus level. ASHP rats are a well-established model mimicking clinical complications of late-stage CKD patients. Treatment effects of vitamin D and phosphate binders on hyperphosphatemia, secondary hyperparathyroidism and vascular calcification</w:t>
      </w:r>
    </w:p>
    <w:p w:rsidR="002754CD" w:rsidRDefault="00166C67">
      <w:pPr>
        <w:pStyle w:val="a3"/>
        <w:spacing w:line="261" w:lineRule="auto"/>
        <w:ind w:right="1621"/>
      </w:pPr>
      <w:r>
        <w:t>were clearly demonstrated in this model in the literature [</w:t>
      </w:r>
      <w:proofErr w:type="spellStart"/>
      <w:r>
        <w:t>Terai</w:t>
      </w:r>
      <w:proofErr w:type="spellEnd"/>
      <w:r>
        <w:t xml:space="preserve"> et al, 2009; </w:t>
      </w:r>
      <w:proofErr w:type="spellStart"/>
      <w:r>
        <w:t>Terai</w:t>
      </w:r>
      <w:proofErr w:type="spellEnd"/>
      <w:r>
        <w:t xml:space="preserve"> et al, 2008]. Therefore the beneficial effects of </w:t>
      </w:r>
      <w:r w:rsidR="0059640A">
        <w:t>PROJECT O</w:t>
      </w:r>
      <w:r>
        <w:t xml:space="preserve"> observed in this model can support the development of </w:t>
      </w:r>
      <w:r w:rsidR="0059640A">
        <w:t>PROJECT O</w:t>
      </w:r>
      <w:r>
        <w:t xml:space="preserve"> for the indication of hyperphosphatemia in CKD patients on dialysis.</w:t>
      </w:r>
    </w:p>
    <w:p w:rsidR="002754CD" w:rsidRDefault="00166C67">
      <w:pPr>
        <w:pStyle w:val="a3"/>
        <w:spacing w:before="110" w:line="261" w:lineRule="auto"/>
        <w:ind w:right="1567"/>
      </w:pPr>
      <w:r>
        <w:t xml:space="preserve">In a screening panel, </w:t>
      </w:r>
      <w:r w:rsidR="0059640A">
        <w:t>PROJECT O</w:t>
      </w:r>
      <w:r>
        <w:t xml:space="preserve"> inhibits the radioligand binding to the CCK-A receptor by more than 50% (81.17%) at 10 µmol/L with an IC</w:t>
      </w:r>
      <w:r>
        <w:rPr>
          <w:vertAlign w:val="subscript"/>
        </w:rPr>
        <w:t>50</w:t>
      </w:r>
      <w:r>
        <w:t xml:space="preserve"> value of 652 nmol/L, which is much higher than that of NPT-IIb inhibition, suggesting the effect on the human CCK-A receptor is much less potent relative to the observed human NPT-IIb inhibition.</w:t>
      </w:r>
    </w:p>
    <w:p w:rsidR="002754CD" w:rsidRDefault="00166C67">
      <w:pPr>
        <w:pStyle w:val="a3"/>
        <w:spacing w:before="117" w:line="261" w:lineRule="auto"/>
        <w:ind w:right="1633"/>
      </w:pPr>
      <w:r>
        <w:t xml:space="preserve">The preclinical toxicity profile of </w:t>
      </w:r>
      <w:r w:rsidR="0059640A">
        <w:t>PROJECT O</w:t>
      </w:r>
      <w:r>
        <w:t xml:space="preserve"> has been evaluated using solubilizing solvent under maximized exposure conditions in rats and dogs. All findings were evaluated for the assessment of relevance to human risk and impact on clinical trial design. Findings of potential concern for clinical trials include hepatobiliary effects.</w:t>
      </w:r>
    </w:p>
    <w:p w:rsidR="002754CD" w:rsidRDefault="00166C67">
      <w:pPr>
        <w:pStyle w:val="3"/>
        <w:numPr>
          <w:ilvl w:val="2"/>
          <w:numId w:val="7"/>
        </w:numPr>
        <w:tabs>
          <w:tab w:val="left" w:pos="1067"/>
          <w:tab w:val="left" w:pos="1068"/>
        </w:tabs>
        <w:spacing w:before="121"/>
      </w:pPr>
      <w:bookmarkStart w:id="46" w:name="4.4.1_Target_Organ_Toxicity"/>
      <w:bookmarkStart w:id="47" w:name="_bookmark56"/>
      <w:bookmarkEnd w:id="46"/>
      <w:bookmarkEnd w:id="47"/>
      <w:r>
        <w:t>Target Organ</w:t>
      </w:r>
      <w:r>
        <w:rPr>
          <w:spacing w:val="-3"/>
        </w:rPr>
        <w:t xml:space="preserve"> </w:t>
      </w:r>
      <w:r>
        <w:t>Toxicity</w:t>
      </w:r>
    </w:p>
    <w:p w:rsidR="002754CD" w:rsidRDefault="00166C67">
      <w:pPr>
        <w:pStyle w:val="a3"/>
        <w:spacing w:before="140" w:line="261" w:lineRule="auto"/>
        <w:ind w:right="1606"/>
      </w:pPr>
      <w:r>
        <w:t xml:space="preserve">Assessment of the safety profile suggests that </w:t>
      </w:r>
      <w:r w:rsidRPr="0059640A">
        <w:rPr>
          <w:highlight w:val="magenta"/>
        </w:rPr>
        <w:t xml:space="preserve">increase in (direct) bilirubin, ALP and vomiting are potential human adverse responses. This identifies the liver as a potential target organ for </w:t>
      </w:r>
      <w:r w:rsidR="0059640A" w:rsidRPr="0059640A">
        <w:rPr>
          <w:highlight w:val="magenta"/>
        </w:rPr>
        <w:t>PROJECT O</w:t>
      </w:r>
      <w:r w:rsidRPr="0059640A">
        <w:rPr>
          <w:highlight w:val="magenta"/>
        </w:rPr>
        <w:t>.</w:t>
      </w:r>
      <w:r>
        <w:t xml:space="preserve"> There are no indications for genotoxicity or effects on fertility or embryonic development for</w:t>
      </w:r>
      <w:r>
        <w:rPr>
          <w:spacing w:val="-1"/>
        </w:rPr>
        <w:t xml:space="preserve"> </w:t>
      </w:r>
      <w:r w:rsidR="0059640A">
        <w:t>PROJECT O</w:t>
      </w:r>
      <w:r>
        <w:t>.</w:t>
      </w:r>
    </w:p>
    <w:p w:rsidR="002754CD" w:rsidRPr="0059640A" w:rsidRDefault="00166C67">
      <w:pPr>
        <w:pStyle w:val="3"/>
        <w:numPr>
          <w:ilvl w:val="3"/>
          <w:numId w:val="7"/>
        </w:numPr>
        <w:tabs>
          <w:tab w:val="left" w:pos="1068"/>
        </w:tabs>
        <w:spacing w:before="121"/>
        <w:rPr>
          <w:highlight w:val="magenta"/>
        </w:rPr>
      </w:pPr>
      <w:bookmarkStart w:id="48" w:name="4.4.1.1_Liver"/>
      <w:bookmarkStart w:id="49" w:name="_bookmark57"/>
      <w:bookmarkEnd w:id="48"/>
      <w:bookmarkEnd w:id="49"/>
      <w:r w:rsidRPr="0059640A">
        <w:rPr>
          <w:highlight w:val="magenta"/>
        </w:rPr>
        <w:t>Liver</w:t>
      </w:r>
    </w:p>
    <w:p w:rsidR="002754CD" w:rsidRPr="0059640A" w:rsidRDefault="00166C67">
      <w:pPr>
        <w:pStyle w:val="a3"/>
        <w:spacing w:before="139" w:line="261" w:lineRule="auto"/>
        <w:ind w:right="1580"/>
        <w:rPr>
          <w:highlight w:val="magenta"/>
        </w:rPr>
      </w:pPr>
      <w:r>
        <w:t xml:space="preserve">The liver was identified as the main target organ of toxicity based on observations in the dog. </w:t>
      </w:r>
      <w:r w:rsidRPr="0059640A">
        <w:rPr>
          <w:highlight w:val="magenta"/>
        </w:rPr>
        <w:t>Single and repeated dose toxicity studies in dogs [End-of-Text Tables 3.4 and 3.6.2] showed increases in total and conjugated bilirubin, ALP and TBA. These observations occurred in either or both the single dose study at the dose of at least 150 mg/kg and the 4-week repeated dose study at doses of at least 10 mg/kg. At 10 mg/kg, increased ALP was observed in</w:t>
      </w:r>
    </w:p>
    <w:p w:rsidR="002754CD" w:rsidRDefault="00166C67">
      <w:pPr>
        <w:pStyle w:val="a3"/>
        <w:spacing w:line="261" w:lineRule="auto"/>
        <w:ind w:right="1633"/>
      </w:pPr>
      <w:r w:rsidRPr="0059640A">
        <w:rPr>
          <w:highlight w:val="magenta"/>
        </w:rPr>
        <w:t>1 male; and at 30 mg/kg, T-</w:t>
      </w:r>
      <w:proofErr w:type="spellStart"/>
      <w:r w:rsidRPr="0059640A">
        <w:rPr>
          <w:highlight w:val="magenta"/>
        </w:rPr>
        <w:t>bil</w:t>
      </w:r>
      <w:proofErr w:type="spellEnd"/>
      <w:r w:rsidRPr="0059640A">
        <w:rPr>
          <w:highlight w:val="magenta"/>
        </w:rPr>
        <w:t>, mainly D-</w:t>
      </w:r>
      <w:proofErr w:type="spellStart"/>
      <w:r w:rsidRPr="0059640A">
        <w:rPr>
          <w:highlight w:val="magenta"/>
        </w:rPr>
        <w:t>bil</w:t>
      </w:r>
      <w:proofErr w:type="spellEnd"/>
      <w:r w:rsidRPr="0059640A">
        <w:rPr>
          <w:highlight w:val="magenta"/>
        </w:rPr>
        <w:t>, was increased in 1 male and 1 female. TBA were increased at 30 mg/kg in 2 males. At 100 mg/kg, these parameters reached statistical significance.</w:t>
      </w:r>
      <w:r>
        <w:t xml:space="preserve"> The changes were limited to the hepatobiliary system since there were no changes in hepatocellular injury markers such as alanine aminotransferase, deposition of hemosiderin, accumulation of bile pigment or histopathological changes in the bile duct.</w:t>
      </w:r>
    </w:p>
    <w:p w:rsidR="002754CD" w:rsidRPr="0059640A" w:rsidRDefault="00166C67" w:rsidP="0059640A">
      <w:pPr>
        <w:pStyle w:val="a3"/>
        <w:spacing w:before="112" w:line="261" w:lineRule="auto"/>
        <w:ind w:right="1633"/>
        <w:rPr>
          <w:highlight w:val="magenta"/>
        </w:rPr>
        <w:sectPr w:rsidR="002754CD" w:rsidRPr="0059640A">
          <w:pgSz w:w="12240" w:h="15840"/>
          <w:pgMar w:top="1560" w:right="60" w:bottom="940" w:left="1400" w:header="581" w:footer="748" w:gutter="0"/>
          <w:cols w:space="720"/>
        </w:sectPr>
      </w:pPr>
      <w:r w:rsidRPr="0059640A">
        <w:rPr>
          <w:highlight w:val="magenta"/>
        </w:rPr>
        <w:t>At 10 mg/kg and above, a dose dependent increase in hypertrophy and proliferation of Kupffer cells were observed.</w:t>
      </w:r>
      <w:r>
        <w:t xml:space="preserve"> This change defines the NOAEL at 3 mg/kg. </w:t>
      </w:r>
      <w:r w:rsidRPr="0059640A">
        <w:rPr>
          <w:highlight w:val="magenta"/>
        </w:rPr>
        <w:t>At 30 mg/kg per</w:t>
      </w:r>
      <w:r w:rsidR="0059640A">
        <w:rPr>
          <w:highlight w:val="magenta"/>
        </w:rPr>
        <w:t xml:space="preserve"> </w:t>
      </w:r>
    </w:p>
    <w:p w:rsidR="002754CD" w:rsidRDefault="00166C67">
      <w:pPr>
        <w:pStyle w:val="a3"/>
        <w:spacing w:before="146" w:line="261" w:lineRule="auto"/>
        <w:ind w:right="1734"/>
      </w:pPr>
      <w:r w:rsidRPr="0059640A">
        <w:rPr>
          <w:highlight w:val="magenta"/>
        </w:rPr>
        <w:lastRenderedPageBreak/>
        <w:t>day or more, mononuclear cell infiltration and clear cell change in the centrilobular hepatocytes occurred. Under electron microscopy, the Kupffer cells at 100 mg/kg per day contained enlarged irregularly shaped lysosomes containing amorphous/fibrillary/laminated structures.</w:t>
      </w:r>
      <w:r>
        <w:t xml:space="preserve"> The nature of the substance observed in lysosomes is unclear.</w:t>
      </w:r>
    </w:p>
    <w:p w:rsidR="002754CD" w:rsidRDefault="00166C67">
      <w:pPr>
        <w:pStyle w:val="a3"/>
        <w:spacing w:before="116" w:line="261" w:lineRule="auto"/>
        <w:ind w:right="1558"/>
      </w:pPr>
      <w:r>
        <w:t xml:space="preserve">The changes related to the liver showed the ability to recover after 4 weeks of discontinuation of </w:t>
      </w:r>
      <w:r w:rsidR="0059640A">
        <w:t>PROJECT O</w:t>
      </w:r>
      <w:r>
        <w:t>. The findings in the dog indicate hepatobiliary changes as a potential human risk.</w:t>
      </w:r>
    </w:p>
    <w:p w:rsidR="002754CD" w:rsidRPr="0059640A" w:rsidRDefault="00166C67">
      <w:pPr>
        <w:pStyle w:val="3"/>
        <w:numPr>
          <w:ilvl w:val="3"/>
          <w:numId w:val="7"/>
        </w:numPr>
        <w:tabs>
          <w:tab w:val="left" w:pos="1068"/>
        </w:tabs>
        <w:spacing w:before="123"/>
        <w:rPr>
          <w:highlight w:val="magenta"/>
        </w:rPr>
      </w:pPr>
      <w:bookmarkStart w:id="50" w:name="4.4.1.2_Effects_on_Vomiting"/>
      <w:bookmarkStart w:id="51" w:name="_bookmark58"/>
      <w:bookmarkEnd w:id="50"/>
      <w:bookmarkEnd w:id="51"/>
      <w:r w:rsidRPr="0059640A">
        <w:rPr>
          <w:highlight w:val="magenta"/>
        </w:rPr>
        <w:t>Effects on</w:t>
      </w:r>
      <w:r w:rsidRPr="0059640A">
        <w:rPr>
          <w:spacing w:val="-2"/>
          <w:highlight w:val="magenta"/>
        </w:rPr>
        <w:t xml:space="preserve"> </w:t>
      </w:r>
      <w:r w:rsidRPr="0059640A">
        <w:rPr>
          <w:highlight w:val="magenta"/>
        </w:rPr>
        <w:t>Vomiting</w:t>
      </w:r>
    </w:p>
    <w:p w:rsidR="002754CD" w:rsidRDefault="00166C67">
      <w:pPr>
        <w:pStyle w:val="a3"/>
        <w:spacing w:before="139" w:line="261" w:lineRule="auto"/>
        <w:ind w:right="1705"/>
      </w:pPr>
      <w:r w:rsidRPr="0059640A">
        <w:rPr>
          <w:highlight w:val="magenta"/>
        </w:rPr>
        <w:t>At 30 and 100 mg/kg, vomiting was observed in all dogs, typically 1 hour after dosing, indicating limited palatability of the dosing formulation at these doses.</w:t>
      </w:r>
      <w:r>
        <w:t xml:space="preserve"> However, it cannot be excluded that vomiting may be also a human adverse response.</w:t>
      </w:r>
    </w:p>
    <w:p w:rsidR="002754CD" w:rsidRDefault="00166C67">
      <w:pPr>
        <w:pStyle w:val="3"/>
        <w:numPr>
          <w:ilvl w:val="2"/>
          <w:numId w:val="7"/>
        </w:numPr>
        <w:tabs>
          <w:tab w:val="left" w:pos="1067"/>
          <w:tab w:val="left" w:pos="1068"/>
        </w:tabs>
        <w:spacing w:before="122"/>
      </w:pPr>
      <w:bookmarkStart w:id="52" w:name="4.4.2_Exposure_Assessment"/>
      <w:bookmarkStart w:id="53" w:name="_bookmark59"/>
      <w:bookmarkEnd w:id="52"/>
      <w:bookmarkEnd w:id="53"/>
      <w:r>
        <w:t>Exposure</w:t>
      </w:r>
      <w:r>
        <w:rPr>
          <w:spacing w:val="-1"/>
        </w:rPr>
        <w:t xml:space="preserve"> </w:t>
      </w:r>
      <w:r>
        <w:t>Assessment</w:t>
      </w:r>
    </w:p>
    <w:p w:rsidR="002754CD" w:rsidRDefault="00166C67">
      <w:pPr>
        <w:pStyle w:val="a3"/>
        <w:spacing w:before="140" w:line="261" w:lineRule="auto"/>
        <w:ind w:right="1674"/>
      </w:pPr>
      <w:r>
        <w:t xml:space="preserve">A summary of total plasma concentrations and AUC in the 4-week repeated dose toxicology studies is presented </w:t>
      </w:r>
      <w:hyperlink w:anchor="_bookmark60" w:history="1">
        <w:r>
          <w:t>in Table 2.</w:t>
        </w:r>
      </w:hyperlink>
      <w:r>
        <w:t xml:space="preserve"> Unbound fraction of the drug is very low (unbound fraction:</w:t>
      </w:r>
    </w:p>
    <w:p w:rsidR="002754CD" w:rsidRDefault="00166C67">
      <w:pPr>
        <w:pStyle w:val="a3"/>
        <w:spacing w:line="274" w:lineRule="exact"/>
      </w:pPr>
      <w:r>
        <w:t xml:space="preserve">&lt; 0.0001 for rats and 0.0004 for dogs) (Study </w:t>
      </w:r>
      <w:r w:rsidR="0059640A">
        <w:t>Project O</w:t>
      </w:r>
      <w:r>
        <w:t>-ME-0006).</w:t>
      </w:r>
    </w:p>
    <w:p w:rsidR="002754CD" w:rsidRDefault="00166C67">
      <w:pPr>
        <w:pStyle w:val="3"/>
        <w:tabs>
          <w:tab w:val="left" w:pos="1633"/>
        </w:tabs>
        <w:spacing w:before="122"/>
        <w:ind w:left="215"/>
      </w:pPr>
      <w:bookmarkStart w:id="54" w:name="_bookmark60"/>
      <w:bookmarkEnd w:id="54"/>
      <w:r>
        <w:t>Table 2</w:t>
      </w:r>
      <w:r>
        <w:tab/>
        <w:t xml:space="preserve">Animal Exposure of Total </w:t>
      </w:r>
      <w:r w:rsidR="0059640A">
        <w:t>PROJECT O</w:t>
      </w:r>
      <w:r>
        <w:t xml:space="preserve"> at the Last Day of</w:t>
      </w:r>
      <w:r>
        <w:rPr>
          <w:spacing w:val="-4"/>
        </w:rPr>
        <w:t xml:space="preserve"> </w:t>
      </w:r>
      <w:r>
        <w:t>Treatment</w:t>
      </w:r>
    </w:p>
    <w:p w:rsidR="002754CD" w:rsidRDefault="002754CD">
      <w:pPr>
        <w:pStyle w:val="a3"/>
        <w:spacing w:before="6"/>
        <w:ind w:left="0"/>
        <w:rPr>
          <w:b/>
          <w:sz w:val="5"/>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59"/>
        <w:gridCol w:w="1533"/>
        <w:gridCol w:w="1075"/>
        <w:gridCol w:w="2126"/>
        <w:gridCol w:w="2128"/>
      </w:tblGrid>
      <w:tr w:rsidR="002754CD">
        <w:trPr>
          <w:trHeight w:val="230"/>
        </w:trPr>
        <w:tc>
          <w:tcPr>
            <w:tcW w:w="2359" w:type="dxa"/>
            <w:tcBorders>
              <w:bottom w:val="single" w:sz="2" w:space="0" w:color="000000"/>
              <w:right w:val="single" w:sz="2" w:space="0" w:color="000000"/>
            </w:tcBorders>
          </w:tcPr>
          <w:p w:rsidR="002754CD" w:rsidRDefault="00166C67">
            <w:pPr>
              <w:pStyle w:val="TableParagraph"/>
              <w:ind w:left="107"/>
              <w:jc w:val="left"/>
              <w:rPr>
                <w:b/>
                <w:sz w:val="20"/>
              </w:rPr>
            </w:pPr>
            <w:r>
              <w:rPr>
                <w:b/>
                <w:sz w:val="20"/>
              </w:rPr>
              <w:t>Species/ Study Duration</w:t>
            </w:r>
          </w:p>
        </w:tc>
        <w:tc>
          <w:tcPr>
            <w:tcW w:w="1533" w:type="dxa"/>
            <w:tcBorders>
              <w:left w:val="single" w:sz="2" w:space="0" w:color="000000"/>
              <w:bottom w:val="single" w:sz="2" w:space="0" w:color="000000"/>
              <w:right w:val="single" w:sz="2" w:space="0" w:color="000000"/>
            </w:tcBorders>
          </w:tcPr>
          <w:p w:rsidR="002754CD" w:rsidRDefault="00166C67">
            <w:pPr>
              <w:pStyle w:val="TableParagraph"/>
              <w:ind w:left="547" w:right="528"/>
              <w:rPr>
                <w:b/>
                <w:sz w:val="20"/>
              </w:rPr>
            </w:pPr>
            <w:r>
              <w:rPr>
                <w:b/>
                <w:sz w:val="20"/>
              </w:rPr>
              <w:t>Dose</w:t>
            </w:r>
          </w:p>
        </w:tc>
        <w:tc>
          <w:tcPr>
            <w:tcW w:w="1075" w:type="dxa"/>
            <w:tcBorders>
              <w:left w:val="single" w:sz="2" w:space="0" w:color="000000"/>
              <w:bottom w:val="single" w:sz="2" w:space="0" w:color="000000"/>
              <w:right w:val="single" w:sz="2" w:space="0" w:color="000000"/>
            </w:tcBorders>
          </w:tcPr>
          <w:p w:rsidR="002754CD" w:rsidRDefault="00166C67">
            <w:pPr>
              <w:pStyle w:val="TableParagraph"/>
              <w:ind w:left="99" w:right="81"/>
              <w:rPr>
                <w:b/>
                <w:sz w:val="20"/>
              </w:rPr>
            </w:pPr>
            <w:r>
              <w:rPr>
                <w:b/>
                <w:sz w:val="20"/>
              </w:rPr>
              <w:t>Sex (M/F)</w:t>
            </w:r>
          </w:p>
        </w:tc>
        <w:tc>
          <w:tcPr>
            <w:tcW w:w="2126" w:type="dxa"/>
            <w:tcBorders>
              <w:left w:val="single" w:sz="2" w:space="0" w:color="000000"/>
              <w:bottom w:val="single" w:sz="2" w:space="0" w:color="000000"/>
              <w:right w:val="single" w:sz="2" w:space="0" w:color="000000"/>
            </w:tcBorders>
          </w:tcPr>
          <w:p w:rsidR="002754CD" w:rsidRDefault="00166C67">
            <w:pPr>
              <w:pStyle w:val="TableParagraph"/>
              <w:ind w:left="480" w:right="467"/>
              <w:rPr>
                <w:b/>
                <w:sz w:val="20"/>
              </w:rPr>
            </w:pPr>
            <w:proofErr w:type="spellStart"/>
            <w:r>
              <w:rPr>
                <w:b/>
                <w:sz w:val="20"/>
              </w:rPr>
              <w:t>C</w:t>
            </w:r>
            <w:r>
              <w:rPr>
                <w:b/>
                <w:sz w:val="20"/>
                <w:vertAlign w:val="subscript"/>
              </w:rPr>
              <w:t>max</w:t>
            </w:r>
            <w:proofErr w:type="spellEnd"/>
            <w:r>
              <w:rPr>
                <w:b/>
                <w:sz w:val="20"/>
              </w:rPr>
              <w:t xml:space="preserve"> (ng/mL)</w:t>
            </w:r>
          </w:p>
        </w:tc>
        <w:tc>
          <w:tcPr>
            <w:tcW w:w="2128" w:type="dxa"/>
            <w:tcBorders>
              <w:left w:val="single" w:sz="2" w:space="0" w:color="000000"/>
              <w:bottom w:val="single" w:sz="2" w:space="0" w:color="000000"/>
            </w:tcBorders>
          </w:tcPr>
          <w:p w:rsidR="002754CD" w:rsidRDefault="00166C67">
            <w:pPr>
              <w:pStyle w:val="TableParagraph"/>
              <w:ind w:left="163" w:right="138"/>
              <w:rPr>
                <w:b/>
                <w:sz w:val="20"/>
              </w:rPr>
            </w:pPr>
            <w:r>
              <w:rPr>
                <w:b/>
                <w:sz w:val="20"/>
              </w:rPr>
              <w:t>AUC</w:t>
            </w:r>
            <w:r>
              <w:rPr>
                <w:b/>
                <w:sz w:val="20"/>
                <w:vertAlign w:val="subscript"/>
              </w:rPr>
              <w:t>24.total</w:t>
            </w:r>
            <w:r>
              <w:rPr>
                <w:b/>
                <w:sz w:val="20"/>
              </w:rPr>
              <w:t xml:space="preserve"> (</w:t>
            </w:r>
            <w:proofErr w:type="spellStart"/>
            <w:r>
              <w:rPr>
                <w:b/>
                <w:sz w:val="20"/>
              </w:rPr>
              <w:t>ng·h</w:t>
            </w:r>
            <w:proofErr w:type="spellEnd"/>
            <w:r>
              <w:rPr>
                <w:b/>
                <w:sz w:val="20"/>
              </w:rPr>
              <w:t>/mL)</w:t>
            </w:r>
          </w:p>
        </w:tc>
      </w:tr>
      <w:tr w:rsidR="002754CD">
        <w:trPr>
          <w:trHeight w:val="230"/>
        </w:trPr>
        <w:tc>
          <w:tcPr>
            <w:tcW w:w="2359" w:type="dxa"/>
            <w:vMerge w:val="restart"/>
            <w:tcBorders>
              <w:top w:val="single" w:sz="2" w:space="0" w:color="000000"/>
              <w:bottom w:val="single" w:sz="2" w:space="0" w:color="000000"/>
              <w:right w:val="single" w:sz="2" w:space="0" w:color="000000"/>
            </w:tcBorders>
          </w:tcPr>
          <w:p w:rsidR="002754CD" w:rsidRDefault="00166C67">
            <w:pPr>
              <w:pStyle w:val="TableParagraph"/>
              <w:spacing w:before="110" w:line="240" w:lineRule="auto"/>
              <w:ind w:left="107"/>
              <w:jc w:val="left"/>
              <w:rPr>
                <w:sz w:val="20"/>
              </w:rPr>
            </w:pPr>
            <w:r>
              <w:rPr>
                <w:sz w:val="20"/>
              </w:rPr>
              <w:t>Rat/4-week po</w:t>
            </w:r>
          </w:p>
        </w:tc>
        <w:tc>
          <w:tcPr>
            <w:tcW w:w="1533" w:type="dxa"/>
            <w:vMerge w:val="restart"/>
            <w:tcBorders>
              <w:top w:val="single" w:sz="2" w:space="0" w:color="000000"/>
              <w:left w:val="single" w:sz="2" w:space="0" w:color="000000"/>
              <w:bottom w:val="single" w:sz="2" w:space="0" w:color="000000"/>
              <w:right w:val="single" w:sz="2" w:space="0" w:color="000000"/>
            </w:tcBorders>
          </w:tcPr>
          <w:p w:rsidR="002754CD" w:rsidRDefault="00166C67">
            <w:pPr>
              <w:pStyle w:val="TableParagraph"/>
              <w:spacing w:line="223" w:lineRule="exact"/>
              <w:ind w:left="292"/>
              <w:jc w:val="left"/>
              <w:rPr>
                <w:sz w:val="20"/>
              </w:rPr>
            </w:pPr>
            <w:r>
              <w:rPr>
                <w:sz w:val="20"/>
              </w:rPr>
              <w:t>100 mg/kg†</w:t>
            </w:r>
          </w:p>
          <w:p w:rsidR="002754CD" w:rsidRDefault="00166C67">
            <w:pPr>
              <w:pStyle w:val="TableParagraph"/>
              <w:spacing w:line="222" w:lineRule="exact"/>
              <w:ind w:left="367"/>
              <w:jc w:val="left"/>
              <w:rPr>
                <w:sz w:val="20"/>
              </w:rPr>
            </w:pPr>
            <w:r>
              <w:rPr>
                <w:sz w:val="20"/>
              </w:rPr>
              <w:t>(NOAEL)</w:t>
            </w:r>
          </w:p>
        </w:tc>
        <w:tc>
          <w:tcPr>
            <w:tcW w:w="1075" w:type="dxa"/>
            <w:tcBorders>
              <w:top w:val="single" w:sz="2" w:space="0" w:color="000000"/>
              <w:left w:val="single" w:sz="2" w:space="0" w:color="000000"/>
              <w:bottom w:val="single" w:sz="2" w:space="0" w:color="000000"/>
              <w:right w:val="single" w:sz="2" w:space="0" w:color="000000"/>
            </w:tcBorders>
          </w:tcPr>
          <w:p w:rsidR="002754CD" w:rsidRDefault="00166C67">
            <w:pPr>
              <w:pStyle w:val="TableParagraph"/>
              <w:ind w:left="15"/>
              <w:rPr>
                <w:sz w:val="20"/>
              </w:rPr>
            </w:pPr>
            <w:r>
              <w:rPr>
                <w:w w:val="99"/>
                <w:sz w:val="20"/>
              </w:rPr>
              <w:t>M</w:t>
            </w:r>
          </w:p>
        </w:tc>
        <w:tc>
          <w:tcPr>
            <w:tcW w:w="2126" w:type="dxa"/>
            <w:tcBorders>
              <w:top w:val="single" w:sz="2" w:space="0" w:color="000000"/>
              <w:left w:val="single" w:sz="2" w:space="0" w:color="000000"/>
              <w:bottom w:val="single" w:sz="2" w:space="0" w:color="000000"/>
              <w:right w:val="single" w:sz="2" w:space="0" w:color="000000"/>
            </w:tcBorders>
          </w:tcPr>
          <w:p w:rsidR="002754CD" w:rsidRDefault="00166C67">
            <w:pPr>
              <w:pStyle w:val="TableParagraph"/>
              <w:ind w:left="480" w:right="464"/>
              <w:rPr>
                <w:sz w:val="20"/>
              </w:rPr>
            </w:pPr>
            <w:r>
              <w:rPr>
                <w:sz w:val="20"/>
              </w:rPr>
              <w:t>3390.22</w:t>
            </w:r>
          </w:p>
        </w:tc>
        <w:tc>
          <w:tcPr>
            <w:tcW w:w="2128" w:type="dxa"/>
            <w:tcBorders>
              <w:top w:val="single" w:sz="2" w:space="0" w:color="000000"/>
              <w:left w:val="single" w:sz="2" w:space="0" w:color="000000"/>
              <w:bottom w:val="single" w:sz="2" w:space="0" w:color="000000"/>
            </w:tcBorders>
          </w:tcPr>
          <w:p w:rsidR="002754CD" w:rsidRDefault="00166C67">
            <w:pPr>
              <w:pStyle w:val="TableParagraph"/>
              <w:ind w:left="162" w:right="138"/>
              <w:rPr>
                <w:sz w:val="20"/>
              </w:rPr>
            </w:pPr>
            <w:r>
              <w:rPr>
                <w:sz w:val="20"/>
              </w:rPr>
              <w:t>7022.18</w:t>
            </w:r>
          </w:p>
        </w:tc>
      </w:tr>
      <w:tr w:rsidR="002754CD">
        <w:trPr>
          <w:trHeight w:val="230"/>
        </w:trPr>
        <w:tc>
          <w:tcPr>
            <w:tcW w:w="2359" w:type="dxa"/>
            <w:vMerge/>
            <w:tcBorders>
              <w:top w:val="nil"/>
              <w:bottom w:val="single" w:sz="2" w:space="0" w:color="000000"/>
              <w:right w:val="single" w:sz="2" w:space="0" w:color="000000"/>
            </w:tcBorders>
          </w:tcPr>
          <w:p w:rsidR="002754CD" w:rsidRDefault="002754CD">
            <w:pPr>
              <w:rPr>
                <w:sz w:val="2"/>
                <w:szCs w:val="2"/>
              </w:rPr>
            </w:pPr>
          </w:p>
        </w:tc>
        <w:tc>
          <w:tcPr>
            <w:tcW w:w="1533" w:type="dxa"/>
            <w:vMerge/>
            <w:tcBorders>
              <w:top w:val="nil"/>
              <w:left w:val="single" w:sz="2" w:space="0" w:color="000000"/>
              <w:bottom w:val="single" w:sz="2" w:space="0" w:color="000000"/>
              <w:right w:val="single" w:sz="2" w:space="0" w:color="000000"/>
            </w:tcBorders>
          </w:tcPr>
          <w:p w:rsidR="002754CD" w:rsidRDefault="002754CD">
            <w:pPr>
              <w:rPr>
                <w:sz w:val="2"/>
                <w:szCs w:val="2"/>
              </w:rPr>
            </w:pPr>
          </w:p>
        </w:tc>
        <w:tc>
          <w:tcPr>
            <w:tcW w:w="1075" w:type="dxa"/>
            <w:tcBorders>
              <w:top w:val="single" w:sz="2" w:space="0" w:color="000000"/>
              <w:left w:val="single" w:sz="2" w:space="0" w:color="000000"/>
              <w:bottom w:val="single" w:sz="2" w:space="0" w:color="000000"/>
              <w:right w:val="single" w:sz="2" w:space="0" w:color="000000"/>
            </w:tcBorders>
          </w:tcPr>
          <w:p w:rsidR="002754CD" w:rsidRDefault="00166C67">
            <w:pPr>
              <w:pStyle w:val="TableParagraph"/>
              <w:ind w:left="16"/>
              <w:rPr>
                <w:sz w:val="20"/>
              </w:rPr>
            </w:pPr>
            <w:r>
              <w:rPr>
                <w:w w:val="99"/>
                <w:sz w:val="20"/>
              </w:rPr>
              <w:t>F</w:t>
            </w:r>
          </w:p>
        </w:tc>
        <w:tc>
          <w:tcPr>
            <w:tcW w:w="2126" w:type="dxa"/>
            <w:tcBorders>
              <w:top w:val="single" w:sz="2" w:space="0" w:color="000000"/>
              <w:left w:val="single" w:sz="2" w:space="0" w:color="000000"/>
              <w:bottom w:val="single" w:sz="2" w:space="0" w:color="000000"/>
              <w:right w:val="single" w:sz="2" w:space="0" w:color="000000"/>
            </w:tcBorders>
          </w:tcPr>
          <w:p w:rsidR="002754CD" w:rsidRDefault="00166C67">
            <w:pPr>
              <w:pStyle w:val="TableParagraph"/>
              <w:ind w:left="480" w:right="464"/>
              <w:rPr>
                <w:sz w:val="20"/>
              </w:rPr>
            </w:pPr>
            <w:r>
              <w:rPr>
                <w:sz w:val="20"/>
              </w:rPr>
              <w:t>3146.44</w:t>
            </w:r>
          </w:p>
        </w:tc>
        <w:tc>
          <w:tcPr>
            <w:tcW w:w="2128" w:type="dxa"/>
            <w:tcBorders>
              <w:top w:val="single" w:sz="2" w:space="0" w:color="000000"/>
              <w:left w:val="single" w:sz="2" w:space="0" w:color="000000"/>
              <w:bottom w:val="single" w:sz="2" w:space="0" w:color="000000"/>
            </w:tcBorders>
          </w:tcPr>
          <w:p w:rsidR="002754CD" w:rsidRDefault="00166C67">
            <w:pPr>
              <w:pStyle w:val="TableParagraph"/>
              <w:ind w:left="162" w:right="138"/>
              <w:rPr>
                <w:sz w:val="20"/>
              </w:rPr>
            </w:pPr>
            <w:r>
              <w:rPr>
                <w:sz w:val="20"/>
              </w:rPr>
              <w:t>8646.21</w:t>
            </w:r>
          </w:p>
        </w:tc>
      </w:tr>
      <w:tr w:rsidR="002754CD">
        <w:trPr>
          <w:trHeight w:val="230"/>
        </w:trPr>
        <w:tc>
          <w:tcPr>
            <w:tcW w:w="2359" w:type="dxa"/>
            <w:vMerge w:val="restart"/>
            <w:tcBorders>
              <w:top w:val="single" w:sz="2" w:space="0" w:color="000000"/>
              <w:right w:val="single" w:sz="2" w:space="0" w:color="000000"/>
            </w:tcBorders>
          </w:tcPr>
          <w:p w:rsidR="002754CD" w:rsidRDefault="002754CD">
            <w:pPr>
              <w:pStyle w:val="TableParagraph"/>
              <w:spacing w:before="10" w:line="240" w:lineRule="auto"/>
              <w:jc w:val="left"/>
              <w:rPr>
                <w:b/>
                <w:sz w:val="30"/>
              </w:rPr>
            </w:pPr>
          </w:p>
          <w:p w:rsidR="002754CD" w:rsidRDefault="00166C67">
            <w:pPr>
              <w:pStyle w:val="TableParagraph"/>
              <w:spacing w:line="240" w:lineRule="auto"/>
              <w:ind w:left="107"/>
              <w:jc w:val="left"/>
              <w:rPr>
                <w:sz w:val="20"/>
              </w:rPr>
            </w:pPr>
            <w:r>
              <w:rPr>
                <w:sz w:val="20"/>
              </w:rPr>
              <w:t>Dog/4-week po</w:t>
            </w:r>
          </w:p>
        </w:tc>
        <w:tc>
          <w:tcPr>
            <w:tcW w:w="1533" w:type="dxa"/>
            <w:vMerge w:val="restart"/>
            <w:tcBorders>
              <w:top w:val="single" w:sz="2" w:space="0" w:color="000000"/>
              <w:left w:val="single" w:sz="2" w:space="0" w:color="000000"/>
              <w:bottom w:val="single" w:sz="2" w:space="0" w:color="000000"/>
              <w:right w:val="single" w:sz="2" w:space="0" w:color="000000"/>
            </w:tcBorders>
          </w:tcPr>
          <w:p w:rsidR="002754CD" w:rsidRDefault="00166C67">
            <w:pPr>
              <w:pStyle w:val="TableParagraph"/>
              <w:spacing w:line="223" w:lineRule="exact"/>
              <w:ind w:left="444"/>
              <w:jc w:val="left"/>
              <w:rPr>
                <w:sz w:val="20"/>
              </w:rPr>
            </w:pPr>
            <w:r>
              <w:rPr>
                <w:sz w:val="20"/>
              </w:rPr>
              <w:t>3 mg/kg</w:t>
            </w:r>
          </w:p>
          <w:p w:rsidR="002754CD" w:rsidRDefault="00166C67">
            <w:pPr>
              <w:pStyle w:val="TableParagraph"/>
              <w:spacing w:line="226" w:lineRule="exact"/>
              <w:ind w:left="367"/>
              <w:jc w:val="left"/>
              <w:rPr>
                <w:sz w:val="20"/>
              </w:rPr>
            </w:pPr>
            <w:r>
              <w:rPr>
                <w:sz w:val="20"/>
              </w:rPr>
              <w:t>(NOAEL)</w:t>
            </w:r>
          </w:p>
        </w:tc>
        <w:tc>
          <w:tcPr>
            <w:tcW w:w="1075" w:type="dxa"/>
            <w:tcBorders>
              <w:top w:val="single" w:sz="2" w:space="0" w:color="000000"/>
              <w:left w:val="single" w:sz="2" w:space="0" w:color="000000"/>
              <w:bottom w:val="single" w:sz="2" w:space="0" w:color="000000"/>
              <w:right w:val="single" w:sz="2" w:space="0" w:color="000000"/>
            </w:tcBorders>
          </w:tcPr>
          <w:p w:rsidR="002754CD" w:rsidRDefault="00166C67">
            <w:pPr>
              <w:pStyle w:val="TableParagraph"/>
              <w:ind w:left="15"/>
              <w:rPr>
                <w:sz w:val="20"/>
              </w:rPr>
            </w:pPr>
            <w:r>
              <w:rPr>
                <w:w w:val="99"/>
                <w:sz w:val="20"/>
              </w:rPr>
              <w:t>M</w:t>
            </w:r>
          </w:p>
        </w:tc>
        <w:tc>
          <w:tcPr>
            <w:tcW w:w="2126" w:type="dxa"/>
            <w:tcBorders>
              <w:top w:val="single" w:sz="2" w:space="0" w:color="000000"/>
              <w:left w:val="single" w:sz="2" w:space="0" w:color="000000"/>
              <w:bottom w:val="single" w:sz="2" w:space="0" w:color="000000"/>
              <w:right w:val="single" w:sz="2" w:space="0" w:color="000000"/>
            </w:tcBorders>
          </w:tcPr>
          <w:p w:rsidR="002754CD" w:rsidRDefault="00166C67">
            <w:pPr>
              <w:pStyle w:val="TableParagraph"/>
              <w:ind w:left="480" w:right="464"/>
              <w:rPr>
                <w:sz w:val="20"/>
              </w:rPr>
            </w:pPr>
            <w:r>
              <w:rPr>
                <w:sz w:val="20"/>
              </w:rPr>
              <w:t>293.83</w:t>
            </w:r>
          </w:p>
        </w:tc>
        <w:tc>
          <w:tcPr>
            <w:tcW w:w="2128" w:type="dxa"/>
            <w:tcBorders>
              <w:top w:val="single" w:sz="2" w:space="0" w:color="000000"/>
              <w:left w:val="single" w:sz="2" w:space="0" w:color="000000"/>
              <w:bottom w:val="single" w:sz="2" w:space="0" w:color="000000"/>
            </w:tcBorders>
          </w:tcPr>
          <w:p w:rsidR="002754CD" w:rsidRDefault="00166C67">
            <w:pPr>
              <w:pStyle w:val="TableParagraph"/>
              <w:ind w:left="162" w:right="138"/>
              <w:rPr>
                <w:sz w:val="20"/>
              </w:rPr>
            </w:pPr>
            <w:r>
              <w:rPr>
                <w:sz w:val="20"/>
              </w:rPr>
              <w:t>537.98</w:t>
            </w:r>
          </w:p>
        </w:tc>
      </w:tr>
      <w:tr w:rsidR="002754CD">
        <w:trPr>
          <w:trHeight w:val="225"/>
        </w:trPr>
        <w:tc>
          <w:tcPr>
            <w:tcW w:w="2359" w:type="dxa"/>
            <w:vMerge/>
            <w:tcBorders>
              <w:top w:val="nil"/>
              <w:right w:val="single" w:sz="2" w:space="0" w:color="000000"/>
            </w:tcBorders>
          </w:tcPr>
          <w:p w:rsidR="002754CD" w:rsidRDefault="002754CD">
            <w:pPr>
              <w:rPr>
                <w:sz w:val="2"/>
                <w:szCs w:val="2"/>
              </w:rPr>
            </w:pPr>
          </w:p>
        </w:tc>
        <w:tc>
          <w:tcPr>
            <w:tcW w:w="1533" w:type="dxa"/>
            <w:vMerge/>
            <w:tcBorders>
              <w:top w:val="nil"/>
              <w:left w:val="single" w:sz="2" w:space="0" w:color="000000"/>
              <w:bottom w:val="single" w:sz="2" w:space="0" w:color="000000"/>
              <w:right w:val="single" w:sz="2" w:space="0" w:color="000000"/>
            </w:tcBorders>
          </w:tcPr>
          <w:p w:rsidR="002754CD" w:rsidRDefault="002754CD">
            <w:pPr>
              <w:rPr>
                <w:sz w:val="2"/>
                <w:szCs w:val="2"/>
              </w:rPr>
            </w:pPr>
          </w:p>
        </w:tc>
        <w:tc>
          <w:tcPr>
            <w:tcW w:w="1075" w:type="dxa"/>
            <w:tcBorders>
              <w:top w:val="single" w:sz="2" w:space="0" w:color="000000"/>
              <w:left w:val="single" w:sz="2" w:space="0" w:color="000000"/>
              <w:bottom w:val="single" w:sz="2" w:space="0" w:color="000000"/>
              <w:right w:val="single" w:sz="2" w:space="0" w:color="000000"/>
            </w:tcBorders>
          </w:tcPr>
          <w:p w:rsidR="002754CD" w:rsidRDefault="00166C67">
            <w:pPr>
              <w:pStyle w:val="TableParagraph"/>
              <w:spacing w:line="205" w:lineRule="exact"/>
              <w:ind w:left="16"/>
              <w:rPr>
                <w:sz w:val="20"/>
              </w:rPr>
            </w:pPr>
            <w:r>
              <w:rPr>
                <w:w w:val="99"/>
                <w:sz w:val="20"/>
              </w:rPr>
              <w:t>F</w:t>
            </w:r>
          </w:p>
        </w:tc>
        <w:tc>
          <w:tcPr>
            <w:tcW w:w="2126" w:type="dxa"/>
            <w:tcBorders>
              <w:top w:val="single" w:sz="2" w:space="0" w:color="000000"/>
              <w:left w:val="single" w:sz="2" w:space="0" w:color="000000"/>
              <w:bottom w:val="single" w:sz="2" w:space="0" w:color="000000"/>
              <w:right w:val="single" w:sz="2" w:space="0" w:color="000000"/>
            </w:tcBorders>
          </w:tcPr>
          <w:p w:rsidR="002754CD" w:rsidRDefault="00166C67">
            <w:pPr>
              <w:pStyle w:val="TableParagraph"/>
              <w:spacing w:line="205" w:lineRule="exact"/>
              <w:ind w:left="480" w:right="464"/>
              <w:rPr>
                <w:sz w:val="20"/>
              </w:rPr>
            </w:pPr>
            <w:r>
              <w:rPr>
                <w:sz w:val="20"/>
              </w:rPr>
              <w:t>456.64</w:t>
            </w:r>
          </w:p>
        </w:tc>
        <w:tc>
          <w:tcPr>
            <w:tcW w:w="2128" w:type="dxa"/>
            <w:tcBorders>
              <w:top w:val="single" w:sz="2" w:space="0" w:color="000000"/>
              <w:left w:val="single" w:sz="2" w:space="0" w:color="000000"/>
              <w:bottom w:val="single" w:sz="2" w:space="0" w:color="000000"/>
            </w:tcBorders>
          </w:tcPr>
          <w:p w:rsidR="002754CD" w:rsidRDefault="00166C67">
            <w:pPr>
              <w:pStyle w:val="TableParagraph"/>
              <w:spacing w:line="205" w:lineRule="exact"/>
              <w:ind w:left="162" w:right="138"/>
              <w:rPr>
                <w:sz w:val="20"/>
              </w:rPr>
            </w:pPr>
            <w:r>
              <w:rPr>
                <w:sz w:val="20"/>
              </w:rPr>
              <w:t>870.05</w:t>
            </w:r>
          </w:p>
        </w:tc>
      </w:tr>
      <w:tr w:rsidR="002754CD">
        <w:trPr>
          <w:trHeight w:val="225"/>
        </w:trPr>
        <w:tc>
          <w:tcPr>
            <w:tcW w:w="2359" w:type="dxa"/>
            <w:vMerge/>
            <w:tcBorders>
              <w:top w:val="nil"/>
              <w:right w:val="single" w:sz="2" w:space="0" w:color="000000"/>
            </w:tcBorders>
          </w:tcPr>
          <w:p w:rsidR="002754CD" w:rsidRDefault="002754CD">
            <w:pPr>
              <w:rPr>
                <w:sz w:val="2"/>
                <w:szCs w:val="2"/>
              </w:rPr>
            </w:pPr>
          </w:p>
        </w:tc>
        <w:tc>
          <w:tcPr>
            <w:tcW w:w="1533" w:type="dxa"/>
            <w:vMerge w:val="restart"/>
            <w:tcBorders>
              <w:top w:val="single" w:sz="2" w:space="0" w:color="000000"/>
              <w:left w:val="single" w:sz="2" w:space="0" w:color="000000"/>
              <w:right w:val="single" w:sz="2" w:space="0" w:color="000000"/>
            </w:tcBorders>
          </w:tcPr>
          <w:p w:rsidR="002754CD" w:rsidRDefault="00166C67">
            <w:pPr>
              <w:pStyle w:val="TableParagraph"/>
              <w:spacing w:line="240" w:lineRule="auto"/>
              <w:ind w:left="379" w:right="353" w:firstLine="14"/>
              <w:jc w:val="left"/>
              <w:rPr>
                <w:sz w:val="20"/>
              </w:rPr>
            </w:pPr>
            <w:r>
              <w:rPr>
                <w:sz w:val="20"/>
              </w:rPr>
              <w:t xml:space="preserve">10 mg/kg </w:t>
            </w:r>
            <w:r>
              <w:rPr>
                <w:w w:val="95"/>
                <w:sz w:val="20"/>
              </w:rPr>
              <w:t>(LOAEL)</w:t>
            </w:r>
          </w:p>
        </w:tc>
        <w:tc>
          <w:tcPr>
            <w:tcW w:w="1075" w:type="dxa"/>
            <w:tcBorders>
              <w:top w:val="single" w:sz="2" w:space="0" w:color="000000"/>
              <w:left w:val="single" w:sz="2" w:space="0" w:color="000000"/>
              <w:bottom w:val="single" w:sz="2" w:space="0" w:color="000000"/>
              <w:right w:val="single" w:sz="2" w:space="0" w:color="000000"/>
            </w:tcBorders>
          </w:tcPr>
          <w:p w:rsidR="002754CD" w:rsidRDefault="00166C67">
            <w:pPr>
              <w:pStyle w:val="TableParagraph"/>
              <w:spacing w:line="205" w:lineRule="exact"/>
              <w:ind w:left="15"/>
              <w:rPr>
                <w:sz w:val="20"/>
              </w:rPr>
            </w:pPr>
            <w:r>
              <w:rPr>
                <w:w w:val="99"/>
                <w:sz w:val="20"/>
              </w:rPr>
              <w:t>M</w:t>
            </w:r>
          </w:p>
        </w:tc>
        <w:tc>
          <w:tcPr>
            <w:tcW w:w="2126" w:type="dxa"/>
            <w:tcBorders>
              <w:top w:val="single" w:sz="2" w:space="0" w:color="000000"/>
              <w:left w:val="single" w:sz="2" w:space="0" w:color="000000"/>
              <w:bottom w:val="single" w:sz="2" w:space="0" w:color="000000"/>
              <w:right w:val="single" w:sz="2" w:space="0" w:color="000000"/>
            </w:tcBorders>
          </w:tcPr>
          <w:p w:rsidR="002754CD" w:rsidRDefault="00166C67">
            <w:pPr>
              <w:pStyle w:val="TableParagraph"/>
              <w:spacing w:line="205" w:lineRule="exact"/>
              <w:ind w:left="480" w:right="464"/>
              <w:rPr>
                <w:sz w:val="20"/>
              </w:rPr>
            </w:pPr>
            <w:r>
              <w:rPr>
                <w:sz w:val="20"/>
              </w:rPr>
              <w:t>1276.26</w:t>
            </w:r>
          </w:p>
        </w:tc>
        <w:tc>
          <w:tcPr>
            <w:tcW w:w="2128" w:type="dxa"/>
            <w:tcBorders>
              <w:top w:val="single" w:sz="2" w:space="0" w:color="000000"/>
              <w:left w:val="single" w:sz="2" w:space="0" w:color="000000"/>
              <w:bottom w:val="single" w:sz="2" w:space="0" w:color="000000"/>
            </w:tcBorders>
          </w:tcPr>
          <w:p w:rsidR="002754CD" w:rsidRDefault="00166C67">
            <w:pPr>
              <w:pStyle w:val="TableParagraph"/>
              <w:spacing w:line="205" w:lineRule="exact"/>
              <w:ind w:left="162" w:right="138"/>
              <w:rPr>
                <w:sz w:val="20"/>
              </w:rPr>
            </w:pPr>
            <w:r>
              <w:rPr>
                <w:sz w:val="20"/>
              </w:rPr>
              <w:t>1971.82</w:t>
            </w:r>
          </w:p>
        </w:tc>
      </w:tr>
      <w:tr w:rsidR="002754CD">
        <w:trPr>
          <w:trHeight w:val="229"/>
        </w:trPr>
        <w:tc>
          <w:tcPr>
            <w:tcW w:w="2359" w:type="dxa"/>
            <w:vMerge/>
            <w:tcBorders>
              <w:top w:val="nil"/>
              <w:right w:val="single" w:sz="2" w:space="0" w:color="000000"/>
            </w:tcBorders>
          </w:tcPr>
          <w:p w:rsidR="002754CD" w:rsidRDefault="002754CD">
            <w:pPr>
              <w:rPr>
                <w:sz w:val="2"/>
                <w:szCs w:val="2"/>
              </w:rPr>
            </w:pPr>
          </w:p>
        </w:tc>
        <w:tc>
          <w:tcPr>
            <w:tcW w:w="1533" w:type="dxa"/>
            <w:vMerge/>
            <w:tcBorders>
              <w:top w:val="nil"/>
              <w:left w:val="single" w:sz="2" w:space="0" w:color="000000"/>
              <w:right w:val="single" w:sz="2" w:space="0" w:color="000000"/>
            </w:tcBorders>
          </w:tcPr>
          <w:p w:rsidR="002754CD" w:rsidRDefault="002754CD">
            <w:pPr>
              <w:rPr>
                <w:sz w:val="2"/>
                <w:szCs w:val="2"/>
              </w:rPr>
            </w:pPr>
          </w:p>
        </w:tc>
        <w:tc>
          <w:tcPr>
            <w:tcW w:w="1075" w:type="dxa"/>
            <w:tcBorders>
              <w:top w:val="single" w:sz="2" w:space="0" w:color="000000"/>
              <w:left w:val="single" w:sz="2" w:space="0" w:color="000000"/>
              <w:right w:val="single" w:sz="2" w:space="0" w:color="000000"/>
            </w:tcBorders>
          </w:tcPr>
          <w:p w:rsidR="002754CD" w:rsidRDefault="00166C67">
            <w:pPr>
              <w:pStyle w:val="TableParagraph"/>
              <w:ind w:left="16"/>
              <w:rPr>
                <w:sz w:val="20"/>
              </w:rPr>
            </w:pPr>
            <w:r>
              <w:rPr>
                <w:w w:val="99"/>
                <w:sz w:val="20"/>
              </w:rPr>
              <w:t>F</w:t>
            </w:r>
          </w:p>
        </w:tc>
        <w:tc>
          <w:tcPr>
            <w:tcW w:w="2126" w:type="dxa"/>
            <w:tcBorders>
              <w:top w:val="single" w:sz="2" w:space="0" w:color="000000"/>
              <w:left w:val="single" w:sz="2" w:space="0" w:color="000000"/>
              <w:right w:val="single" w:sz="2" w:space="0" w:color="000000"/>
            </w:tcBorders>
          </w:tcPr>
          <w:p w:rsidR="002754CD" w:rsidRDefault="00166C67">
            <w:pPr>
              <w:pStyle w:val="TableParagraph"/>
              <w:ind w:left="480" w:right="464"/>
              <w:rPr>
                <w:sz w:val="20"/>
              </w:rPr>
            </w:pPr>
            <w:r>
              <w:rPr>
                <w:sz w:val="20"/>
              </w:rPr>
              <w:t>1043.28</w:t>
            </w:r>
          </w:p>
        </w:tc>
        <w:tc>
          <w:tcPr>
            <w:tcW w:w="2128" w:type="dxa"/>
            <w:tcBorders>
              <w:top w:val="single" w:sz="2" w:space="0" w:color="000000"/>
              <w:left w:val="single" w:sz="2" w:space="0" w:color="000000"/>
            </w:tcBorders>
          </w:tcPr>
          <w:p w:rsidR="002754CD" w:rsidRDefault="00166C67">
            <w:pPr>
              <w:pStyle w:val="TableParagraph"/>
              <w:ind w:left="162" w:right="138"/>
              <w:rPr>
                <w:sz w:val="20"/>
              </w:rPr>
            </w:pPr>
            <w:r>
              <w:rPr>
                <w:sz w:val="20"/>
              </w:rPr>
              <w:t>1345.33</w:t>
            </w:r>
          </w:p>
        </w:tc>
      </w:tr>
    </w:tbl>
    <w:p w:rsidR="002754CD" w:rsidRDefault="00166C67">
      <w:pPr>
        <w:spacing w:before="53"/>
        <w:ind w:left="215"/>
        <w:rPr>
          <w:sz w:val="20"/>
        </w:rPr>
      </w:pPr>
      <w:r>
        <w:rPr>
          <w:sz w:val="20"/>
        </w:rPr>
        <w:t>LOAEL: lowest-observed-adverse-effect level; NOAEL: no-observed-adverse-effect level; po: oral</w:t>
      </w:r>
    </w:p>
    <w:p w:rsidR="002754CD" w:rsidRDefault="00166C67">
      <w:pPr>
        <w:spacing w:before="60"/>
        <w:ind w:left="215"/>
        <w:rPr>
          <w:sz w:val="20"/>
        </w:rPr>
      </w:pPr>
      <w:r>
        <w:rPr>
          <w:sz w:val="20"/>
        </w:rPr>
        <w:t>† Highest dose tested.</w:t>
      </w:r>
    </w:p>
    <w:p w:rsidR="002754CD" w:rsidRDefault="00166C67">
      <w:pPr>
        <w:spacing w:before="61"/>
        <w:ind w:left="215"/>
        <w:rPr>
          <w:sz w:val="20"/>
        </w:rPr>
      </w:pPr>
      <w:r>
        <w:rPr>
          <w:sz w:val="20"/>
        </w:rPr>
        <w:t xml:space="preserve">Source: Studies </w:t>
      </w:r>
      <w:r w:rsidR="0059640A">
        <w:rPr>
          <w:sz w:val="20"/>
        </w:rPr>
        <w:t>Project O</w:t>
      </w:r>
      <w:r>
        <w:rPr>
          <w:sz w:val="20"/>
        </w:rPr>
        <w:t xml:space="preserve">-TX-0006 and </w:t>
      </w:r>
      <w:r w:rsidR="0059640A">
        <w:rPr>
          <w:sz w:val="20"/>
        </w:rPr>
        <w:t>Project O</w:t>
      </w:r>
      <w:r>
        <w:rPr>
          <w:sz w:val="20"/>
        </w:rPr>
        <w:t>-TX-0007</w:t>
      </w:r>
    </w:p>
    <w:p w:rsidR="002754CD" w:rsidRDefault="00166C67">
      <w:pPr>
        <w:pStyle w:val="3"/>
        <w:numPr>
          <w:ilvl w:val="2"/>
          <w:numId w:val="7"/>
        </w:numPr>
        <w:tabs>
          <w:tab w:val="left" w:pos="1067"/>
          <w:tab w:val="left" w:pos="1068"/>
        </w:tabs>
        <w:spacing w:before="148"/>
      </w:pPr>
      <w:bookmarkStart w:id="55" w:name="4.4.3_Clinical_Relevancy_and_Biomarkers"/>
      <w:bookmarkStart w:id="56" w:name="_bookmark61"/>
      <w:bookmarkEnd w:id="55"/>
      <w:bookmarkEnd w:id="56"/>
      <w:r>
        <w:t>Clinical Relevancy and</w:t>
      </w:r>
      <w:r>
        <w:rPr>
          <w:spacing w:val="-4"/>
        </w:rPr>
        <w:t xml:space="preserve"> </w:t>
      </w:r>
      <w:r>
        <w:t>Biomarkers</w:t>
      </w:r>
    </w:p>
    <w:p w:rsidR="002754CD" w:rsidRDefault="00166C67">
      <w:pPr>
        <w:pStyle w:val="a3"/>
        <w:spacing w:before="139" w:line="261" w:lineRule="auto"/>
        <w:ind w:right="1648"/>
      </w:pPr>
      <w:r>
        <w:t xml:space="preserve">The nonclinical safety pharmacology and toxicology program of </w:t>
      </w:r>
      <w:r w:rsidR="0059640A">
        <w:t>PROJECT O</w:t>
      </w:r>
      <w:r>
        <w:t xml:space="preserve"> has been conducted to determine and characterize the safety profile of </w:t>
      </w:r>
      <w:r w:rsidR="0059640A">
        <w:t>PROJECT O</w:t>
      </w:r>
      <w:r>
        <w:t>. No toxicological findings of potential concern for human risk assessment were observed except for the effects on liver and vomiting in dogs [</w:t>
      </w:r>
      <w:hyperlink w:anchor="_bookmark62" w:history="1">
        <w:r>
          <w:t>Table 3</w:t>
        </w:r>
      </w:hyperlink>
      <w:r>
        <w:t>]. Both could occur in humans; however, if they do occur, they would only be expected at the top of the dose range. To further characterize possible effects on the liver, serum bile acids will be added to the liver panel in the study.</w:t>
      </w:r>
    </w:p>
    <w:p w:rsidR="002754CD" w:rsidRDefault="00166C67">
      <w:pPr>
        <w:pStyle w:val="3"/>
        <w:tabs>
          <w:tab w:val="left" w:pos="1633"/>
        </w:tabs>
        <w:spacing w:before="93"/>
        <w:ind w:left="215"/>
      </w:pPr>
      <w:bookmarkStart w:id="57" w:name="_bookmark62"/>
      <w:bookmarkEnd w:id="57"/>
      <w:r>
        <w:t>Table 3</w:t>
      </w:r>
      <w:r>
        <w:tab/>
        <w:t>Summary of Potential Safety</w:t>
      </w:r>
      <w:r>
        <w:rPr>
          <w:spacing w:val="-5"/>
        </w:rPr>
        <w:t xml:space="preserve"> </w:t>
      </w:r>
      <w:r>
        <w:t>Concerns</w:t>
      </w:r>
    </w:p>
    <w:p w:rsidR="002754CD" w:rsidRDefault="002754CD">
      <w:pPr>
        <w:pStyle w:val="a3"/>
        <w:spacing w:before="4"/>
        <w:ind w:left="0"/>
        <w:rPr>
          <w:b/>
          <w:sz w:val="5"/>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9"/>
        <w:gridCol w:w="4409"/>
        <w:gridCol w:w="2815"/>
      </w:tblGrid>
      <w:tr w:rsidR="002754CD">
        <w:trPr>
          <w:trHeight w:val="256"/>
        </w:trPr>
        <w:tc>
          <w:tcPr>
            <w:tcW w:w="1999" w:type="dxa"/>
            <w:tcBorders>
              <w:left w:val="single" w:sz="6" w:space="0" w:color="000000"/>
              <w:bottom w:val="single" w:sz="2" w:space="0" w:color="000000"/>
              <w:right w:val="single" w:sz="2" w:space="0" w:color="000000"/>
            </w:tcBorders>
          </w:tcPr>
          <w:p w:rsidR="002754CD" w:rsidRDefault="00166C67">
            <w:pPr>
              <w:pStyle w:val="TableParagraph"/>
              <w:spacing w:before="3" w:line="233" w:lineRule="exact"/>
              <w:ind w:left="107"/>
              <w:jc w:val="left"/>
              <w:rPr>
                <w:b/>
              </w:rPr>
            </w:pPr>
            <w:r>
              <w:rPr>
                <w:b/>
              </w:rPr>
              <w:t>Target Organs</w:t>
            </w:r>
          </w:p>
        </w:tc>
        <w:tc>
          <w:tcPr>
            <w:tcW w:w="4409" w:type="dxa"/>
            <w:tcBorders>
              <w:left w:val="single" w:sz="2" w:space="0" w:color="000000"/>
              <w:bottom w:val="single" w:sz="2" w:space="0" w:color="000000"/>
              <w:right w:val="single" w:sz="2" w:space="0" w:color="000000"/>
            </w:tcBorders>
          </w:tcPr>
          <w:p w:rsidR="002754CD" w:rsidRDefault="00166C67">
            <w:pPr>
              <w:pStyle w:val="TableParagraph"/>
              <w:spacing w:before="3" w:line="233" w:lineRule="exact"/>
              <w:ind w:left="302" w:right="283"/>
              <w:rPr>
                <w:b/>
              </w:rPr>
            </w:pPr>
            <w:r>
              <w:rPr>
                <w:b/>
              </w:rPr>
              <w:t>Potential Risks</w:t>
            </w:r>
          </w:p>
        </w:tc>
        <w:tc>
          <w:tcPr>
            <w:tcW w:w="2815" w:type="dxa"/>
            <w:tcBorders>
              <w:top w:val="single" w:sz="6" w:space="0" w:color="000000"/>
              <w:left w:val="single" w:sz="2" w:space="0" w:color="000000"/>
              <w:bottom w:val="single" w:sz="2" w:space="0" w:color="000000"/>
              <w:right w:val="single" w:sz="6" w:space="0" w:color="000000"/>
            </w:tcBorders>
          </w:tcPr>
          <w:p w:rsidR="002754CD" w:rsidRDefault="00166C67">
            <w:pPr>
              <w:pStyle w:val="TableParagraph"/>
              <w:spacing w:before="3" w:line="233" w:lineRule="exact"/>
              <w:ind w:left="178" w:right="154"/>
              <w:rPr>
                <w:b/>
              </w:rPr>
            </w:pPr>
            <w:r>
              <w:rPr>
                <w:b/>
              </w:rPr>
              <w:t>Risk Minimization Action</w:t>
            </w:r>
          </w:p>
        </w:tc>
      </w:tr>
      <w:tr w:rsidR="002754CD">
        <w:trPr>
          <w:trHeight w:val="230"/>
        </w:trPr>
        <w:tc>
          <w:tcPr>
            <w:tcW w:w="1999" w:type="dxa"/>
            <w:tcBorders>
              <w:top w:val="single" w:sz="2" w:space="0" w:color="000000"/>
              <w:left w:val="single" w:sz="6" w:space="0" w:color="000000"/>
              <w:bottom w:val="single" w:sz="2" w:space="0" w:color="000000"/>
              <w:right w:val="single" w:sz="2" w:space="0" w:color="000000"/>
            </w:tcBorders>
          </w:tcPr>
          <w:p w:rsidR="002754CD" w:rsidRDefault="00166C67">
            <w:pPr>
              <w:pStyle w:val="TableParagraph"/>
              <w:ind w:left="107"/>
              <w:jc w:val="left"/>
              <w:rPr>
                <w:sz w:val="20"/>
              </w:rPr>
            </w:pPr>
            <w:r>
              <w:rPr>
                <w:sz w:val="20"/>
              </w:rPr>
              <w:t>Gastrointestinal Tract</w:t>
            </w:r>
          </w:p>
        </w:tc>
        <w:tc>
          <w:tcPr>
            <w:tcW w:w="4409" w:type="dxa"/>
            <w:tcBorders>
              <w:top w:val="single" w:sz="2" w:space="0" w:color="000000"/>
              <w:left w:val="single" w:sz="2" w:space="0" w:color="000000"/>
              <w:bottom w:val="single" w:sz="2" w:space="0" w:color="000000"/>
              <w:right w:val="single" w:sz="2" w:space="0" w:color="000000"/>
            </w:tcBorders>
          </w:tcPr>
          <w:p w:rsidR="002754CD" w:rsidRDefault="00166C67">
            <w:pPr>
              <w:pStyle w:val="TableParagraph"/>
              <w:ind w:left="302" w:right="289"/>
              <w:rPr>
                <w:sz w:val="20"/>
              </w:rPr>
            </w:pPr>
            <w:r>
              <w:rPr>
                <w:sz w:val="20"/>
              </w:rPr>
              <w:t>Vomiting (based on dogs)</w:t>
            </w:r>
          </w:p>
        </w:tc>
        <w:tc>
          <w:tcPr>
            <w:tcW w:w="2815" w:type="dxa"/>
            <w:tcBorders>
              <w:top w:val="single" w:sz="2" w:space="0" w:color="000000"/>
              <w:left w:val="single" w:sz="2" w:space="0" w:color="000000"/>
              <w:bottom w:val="single" w:sz="2" w:space="0" w:color="000000"/>
              <w:right w:val="single" w:sz="6" w:space="0" w:color="000000"/>
            </w:tcBorders>
          </w:tcPr>
          <w:p w:rsidR="002754CD" w:rsidRDefault="00166C67">
            <w:pPr>
              <w:pStyle w:val="TableParagraph"/>
              <w:ind w:left="176" w:right="154"/>
              <w:rPr>
                <w:sz w:val="20"/>
              </w:rPr>
            </w:pPr>
            <w:r>
              <w:rPr>
                <w:sz w:val="20"/>
              </w:rPr>
              <w:t>Observation</w:t>
            </w:r>
          </w:p>
        </w:tc>
      </w:tr>
      <w:tr w:rsidR="002754CD">
        <w:trPr>
          <w:trHeight w:val="690"/>
        </w:trPr>
        <w:tc>
          <w:tcPr>
            <w:tcW w:w="1999" w:type="dxa"/>
            <w:tcBorders>
              <w:top w:val="single" w:sz="2" w:space="0" w:color="000000"/>
              <w:left w:val="single" w:sz="6" w:space="0" w:color="000000"/>
              <w:bottom w:val="single" w:sz="6" w:space="0" w:color="000000"/>
              <w:right w:val="single" w:sz="2" w:space="0" w:color="000000"/>
            </w:tcBorders>
          </w:tcPr>
          <w:p w:rsidR="002754CD" w:rsidRDefault="00166C67">
            <w:pPr>
              <w:pStyle w:val="TableParagraph"/>
              <w:spacing w:line="223" w:lineRule="exact"/>
              <w:ind w:left="107"/>
              <w:jc w:val="left"/>
              <w:rPr>
                <w:sz w:val="20"/>
              </w:rPr>
            </w:pPr>
            <w:r>
              <w:rPr>
                <w:sz w:val="20"/>
              </w:rPr>
              <w:t>Liver</w:t>
            </w:r>
          </w:p>
        </w:tc>
        <w:tc>
          <w:tcPr>
            <w:tcW w:w="4409" w:type="dxa"/>
            <w:tcBorders>
              <w:top w:val="single" w:sz="2" w:space="0" w:color="000000"/>
              <w:left w:val="single" w:sz="2" w:space="0" w:color="000000"/>
              <w:bottom w:val="single" w:sz="6" w:space="0" w:color="000000"/>
              <w:right w:val="single" w:sz="2" w:space="0" w:color="000000"/>
            </w:tcBorders>
          </w:tcPr>
          <w:p w:rsidR="002754CD" w:rsidRDefault="00166C67">
            <w:pPr>
              <w:pStyle w:val="TableParagraph"/>
              <w:spacing w:line="240" w:lineRule="auto"/>
              <w:ind w:left="120" w:right="101" w:hanging="1"/>
              <w:rPr>
                <w:sz w:val="20"/>
              </w:rPr>
            </w:pPr>
            <w:r>
              <w:rPr>
                <w:sz w:val="20"/>
              </w:rPr>
              <w:t>Increases in total bilirubin and ALP, slight hypertrophy and proliferation of the Kupffer cells in</w:t>
            </w:r>
          </w:p>
          <w:p w:rsidR="002754CD" w:rsidRDefault="00166C67">
            <w:pPr>
              <w:pStyle w:val="TableParagraph"/>
              <w:spacing w:line="217" w:lineRule="exact"/>
              <w:ind w:left="302" w:right="289"/>
              <w:rPr>
                <w:sz w:val="20"/>
              </w:rPr>
            </w:pPr>
            <w:r>
              <w:rPr>
                <w:sz w:val="20"/>
              </w:rPr>
              <w:t>4-week dog study, affinity for CCK-A receptor</w:t>
            </w:r>
          </w:p>
        </w:tc>
        <w:tc>
          <w:tcPr>
            <w:tcW w:w="2815" w:type="dxa"/>
            <w:tcBorders>
              <w:top w:val="single" w:sz="2" w:space="0" w:color="000000"/>
              <w:left w:val="single" w:sz="2" w:space="0" w:color="000000"/>
              <w:bottom w:val="single" w:sz="6" w:space="0" w:color="000000"/>
              <w:right w:val="single" w:sz="6" w:space="0" w:color="000000"/>
            </w:tcBorders>
          </w:tcPr>
          <w:p w:rsidR="002754CD" w:rsidRDefault="00166C67">
            <w:pPr>
              <w:pStyle w:val="TableParagraph"/>
              <w:spacing w:line="240" w:lineRule="auto"/>
              <w:ind w:left="237" w:right="210" w:hanging="4"/>
              <w:rPr>
                <w:sz w:val="20"/>
              </w:rPr>
            </w:pPr>
            <w:r>
              <w:rPr>
                <w:sz w:val="20"/>
              </w:rPr>
              <w:t>Monitoring of liver enzymes, especially bilirubin, ALP and</w:t>
            </w:r>
          </w:p>
          <w:p w:rsidR="002754CD" w:rsidRDefault="00166C67">
            <w:pPr>
              <w:pStyle w:val="TableParagraph"/>
              <w:spacing w:line="217" w:lineRule="exact"/>
              <w:ind w:left="178" w:right="153"/>
              <w:rPr>
                <w:sz w:val="20"/>
              </w:rPr>
            </w:pPr>
            <w:r>
              <w:rPr>
                <w:sz w:val="20"/>
              </w:rPr>
              <w:t>bile acids</w:t>
            </w:r>
          </w:p>
        </w:tc>
      </w:tr>
    </w:tbl>
    <w:p w:rsidR="002754CD" w:rsidRDefault="00166C67">
      <w:pPr>
        <w:spacing w:before="53"/>
        <w:ind w:left="215"/>
        <w:rPr>
          <w:sz w:val="20"/>
        </w:rPr>
      </w:pPr>
      <w:r>
        <w:rPr>
          <w:sz w:val="20"/>
        </w:rPr>
        <w:t>ALP: alkaline phosphatase; CCK-A: cholecystokinin A</w:t>
      </w:r>
    </w:p>
    <w:p w:rsidR="002754CD" w:rsidRDefault="002754CD">
      <w:pPr>
        <w:rPr>
          <w:sz w:val="20"/>
        </w:rPr>
        <w:sectPr w:rsidR="002754CD">
          <w:pgSz w:w="12240" w:h="15840"/>
          <w:pgMar w:top="1560" w:right="60" w:bottom="940" w:left="1400" w:header="581" w:footer="748" w:gutter="0"/>
          <w:cols w:space="720"/>
        </w:sectPr>
      </w:pPr>
    </w:p>
    <w:p w:rsidR="002754CD" w:rsidRDefault="00166C67">
      <w:pPr>
        <w:pStyle w:val="3"/>
        <w:numPr>
          <w:ilvl w:val="2"/>
          <w:numId w:val="7"/>
        </w:numPr>
        <w:tabs>
          <w:tab w:val="left" w:pos="1067"/>
          <w:tab w:val="left" w:pos="1068"/>
        </w:tabs>
        <w:spacing w:before="150"/>
      </w:pPr>
      <w:bookmarkStart w:id="58" w:name="4.4.4_Conclusions"/>
      <w:bookmarkStart w:id="59" w:name="_bookmark63"/>
      <w:bookmarkEnd w:id="58"/>
      <w:bookmarkEnd w:id="59"/>
      <w:r>
        <w:lastRenderedPageBreak/>
        <w:t>Conclusions</w:t>
      </w:r>
    </w:p>
    <w:p w:rsidR="002754CD" w:rsidRDefault="00166C67">
      <w:pPr>
        <w:pStyle w:val="a3"/>
        <w:spacing w:before="140"/>
      </w:pPr>
      <w:r>
        <w:t xml:space="preserve">The current nonclinical safety program supports the phase-1 studies of </w:t>
      </w:r>
      <w:r w:rsidR="0059640A">
        <w:t>PROJECT O</w:t>
      </w:r>
      <w:r>
        <w:t>.</w:t>
      </w:r>
    </w:p>
    <w:p w:rsidR="002754CD" w:rsidRDefault="00166C67">
      <w:pPr>
        <w:pStyle w:val="a3"/>
        <w:spacing w:before="144" w:line="261" w:lineRule="auto"/>
        <w:ind w:right="1607"/>
      </w:pPr>
      <w:r>
        <w:t>No critical toxicological findings of potential concern for human risk assessment were observed in the toxicology package studies except for the effects on the liver and vomiting in dogs. The above findings observed were not so serious, considered to be reversible and monitorable.</w:t>
      </w:r>
    </w:p>
    <w:p w:rsidR="002754CD" w:rsidRDefault="00166C67">
      <w:pPr>
        <w:pStyle w:val="4"/>
        <w:spacing w:before="121"/>
      </w:pPr>
      <w:r>
        <w:t>List of References</w:t>
      </w:r>
    </w:p>
    <w:p w:rsidR="002754CD" w:rsidRDefault="00166C67">
      <w:pPr>
        <w:ind w:left="781" w:right="1857" w:hanging="567"/>
      </w:pPr>
      <w:r>
        <w:t>Gould S, Scott RC. 2-Hydroxypropyl-beta-cyclodextrin (HP-beta-CD): A toxicology review. Food and Chemical Toxicology 2005;43:1451-9.</w:t>
      </w:r>
    </w:p>
    <w:p w:rsidR="002754CD" w:rsidRDefault="002754CD">
      <w:pPr>
        <w:pStyle w:val="a3"/>
        <w:spacing w:before="8"/>
        <w:ind w:left="0"/>
        <w:rPr>
          <w:sz w:val="20"/>
        </w:rPr>
      </w:pPr>
    </w:p>
    <w:p w:rsidR="002754CD" w:rsidRDefault="00166C67">
      <w:pPr>
        <w:ind w:left="215"/>
      </w:pPr>
      <w:proofErr w:type="spellStart"/>
      <w:r>
        <w:t>Racanelli</w:t>
      </w:r>
      <w:proofErr w:type="spellEnd"/>
      <w:r>
        <w:t xml:space="preserve"> V, </w:t>
      </w:r>
      <w:proofErr w:type="spellStart"/>
      <w:r>
        <w:t>Rehermann</w:t>
      </w:r>
      <w:proofErr w:type="spellEnd"/>
      <w:r>
        <w:t xml:space="preserve"> B. The liver as an immunological organ. Hepatology. 2006;43:S54-62.</w:t>
      </w:r>
    </w:p>
    <w:p w:rsidR="002754CD" w:rsidRDefault="002754CD">
      <w:pPr>
        <w:pStyle w:val="a3"/>
        <w:spacing w:before="9"/>
        <w:ind w:left="0"/>
        <w:rPr>
          <w:sz w:val="20"/>
        </w:rPr>
      </w:pPr>
    </w:p>
    <w:p w:rsidR="002754CD" w:rsidRDefault="00166C67">
      <w:pPr>
        <w:ind w:left="781" w:right="1620" w:hanging="567"/>
      </w:pPr>
      <w:proofErr w:type="spellStart"/>
      <w:r>
        <w:t>Terai</w:t>
      </w:r>
      <w:proofErr w:type="spellEnd"/>
      <w:r>
        <w:t xml:space="preserve"> K, Nara H, Takakura K, Mizukami K, </w:t>
      </w:r>
      <w:proofErr w:type="spellStart"/>
      <w:r>
        <w:t>Sanagi</w:t>
      </w:r>
      <w:proofErr w:type="spellEnd"/>
      <w:r>
        <w:t xml:space="preserve"> M, Fukushima S, et al. Vascular calcification and secondary hyperparathyroidism of severe chronic kidney disease and its relation to serum phosphate and calcium levels. Br J </w:t>
      </w:r>
      <w:proofErr w:type="spellStart"/>
      <w:r>
        <w:t>Pharmacol</w:t>
      </w:r>
      <w:proofErr w:type="spellEnd"/>
      <w:r>
        <w:t>. 2009;156:1267-78.</w:t>
      </w:r>
    </w:p>
    <w:p w:rsidR="002754CD" w:rsidRDefault="002754CD">
      <w:pPr>
        <w:pStyle w:val="a3"/>
        <w:spacing w:before="9"/>
        <w:ind w:left="0"/>
        <w:rPr>
          <w:sz w:val="20"/>
        </w:rPr>
      </w:pPr>
    </w:p>
    <w:p w:rsidR="002754CD" w:rsidRDefault="00166C67">
      <w:pPr>
        <w:spacing w:before="1"/>
        <w:ind w:left="781" w:right="1956" w:hanging="567"/>
      </w:pPr>
      <w:proofErr w:type="spellStart"/>
      <w:r>
        <w:t>Terai</w:t>
      </w:r>
      <w:proofErr w:type="spellEnd"/>
      <w:r>
        <w:t xml:space="preserve"> K, Mizukami K, Okada M. Comparison of chronic renal failure rats and modification of the preparation protocol as a </w:t>
      </w:r>
      <w:proofErr w:type="spellStart"/>
      <w:r>
        <w:t>hyperphosphataemia</w:t>
      </w:r>
      <w:proofErr w:type="spellEnd"/>
      <w:r>
        <w:t xml:space="preserve"> model. Nephrology. 2008;13:139-46.</w:t>
      </w:r>
    </w:p>
    <w:p w:rsidR="002754CD" w:rsidRDefault="002754CD">
      <w:pPr>
        <w:pStyle w:val="a3"/>
        <w:spacing w:before="10"/>
        <w:ind w:left="0"/>
        <w:rPr>
          <w:sz w:val="20"/>
        </w:rPr>
      </w:pPr>
    </w:p>
    <w:p w:rsidR="002754CD" w:rsidRDefault="00166C67">
      <w:pPr>
        <w:ind w:left="781" w:right="2047" w:hanging="567"/>
      </w:pPr>
      <w:proofErr w:type="spellStart"/>
      <w:r>
        <w:t>Thackaberry</w:t>
      </w:r>
      <w:proofErr w:type="spellEnd"/>
      <w:r>
        <w:t xml:space="preserve"> EA, </w:t>
      </w:r>
      <w:proofErr w:type="spellStart"/>
      <w:r>
        <w:t>Kopytek</w:t>
      </w:r>
      <w:proofErr w:type="spellEnd"/>
      <w:r>
        <w:t xml:space="preserve"> S, </w:t>
      </w:r>
      <w:proofErr w:type="spellStart"/>
      <w:r>
        <w:t>Sherratt</w:t>
      </w:r>
      <w:proofErr w:type="spellEnd"/>
      <w:r>
        <w:t xml:space="preserve"> P, </w:t>
      </w:r>
      <w:proofErr w:type="spellStart"/>
      <w:r>
        <w:t>Trouba</w:t>
      </w:r>
      <w:proofErr w:type="spellEnd"/>
      <w:r>
        <w:t xml:space="preserve"> K, McIntyre B. Comprehensive investigation of hydroxypropyl methylcellulose, propylene glycol, polysorbate 80, and</w:t>
      </w:r>
    </w:p>
    <w:p w:rsidR="002754CD" w:rsidRDefault="00166C67">
      <w:pPr>
        <w:ind w:left="781" w:right="2712"/>
      </w:pPr>
      <w:r>
        <w:t>hydroxypropyl-</w:t>
      </w:r>
      <w:proofErr w:type="spellStart"/>
      <w:r>
        <w:t>betacyclodextrin</w:t>
      </w:r>
      <w:proofErr w:type="spellEnd"/>
      <w:r>
        <w:t xml:space="preserve"> for use in general toxicology studies. </w:t>
      </w:r>
      <w:proofErr w:type="spellStart"/>
      <w:r>
        <w:t>Toxicol</w:t>
      </w:r>
      <w:proofErr w:type="spellEnd"/>
      <w:r>
        <w:t xml:space="preserve"> Sci. 2010;117:485-92.</w:t>
      </w:r>
    </w:p>
    <w:p w:rsidR="002754CD" w:rsidRDefault="002754CD" w:rsidP="00166C67">
      <w:pPr>
        <w:spacing w:before="92"/>
        <w:ind w:right="1195"/>
        <w:rPr>
          <w:sz w:val="20"/>
        </w:rPr>
      </w:pPr>
      <w:bookmarkStart w:id="60" w:name="5_EFFECTS_IN_HUMANS"/>
      <w:bookmarkStart w:id="61" w:name="_bookmark64"/>
      <w:bookmarkEnd w:id="60"/>
      <w:bookmarkEnd w:id="61"/>
    </w:p>
    <w:sectPr w:rsidR="002754CD">
      <w:headerReference w:type="default" r:id="rId9"/>
      <w:footerReference w:type="default" r:id="rId10"/>
      <w:pgSz w:w="11910" w:h="16840"/>
      <w:pgMar w:top="1120" w:right="122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666" w:rsidRDefault="00554666">
      <w:r>
        <w:separator/>
      </w:r>
    </w:p>
  </w:endnote>
  <w:endnote w:type="continuationSeparator" w:id="0">
    <w:p w:rsidR="00554666" w:rsidRDefault="00554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4CD" w:rsidRDefault="00E967AC">
    <w:pPr>
      <w:pStyle w:val="a3"/>
      <w:spacing w:line="14" w:lineRule="auto"/>
      <w:ind w:left="0"/>
      <w:rPr>
        <w:sz w:val="20"/>
      </w:rPr>
    </w:pPr>
    <w:r>
      <w:pict>
        <v:shapetype id="_x0000_t202" coordsize="21600,21600" o:spt="202" path="m,l,21600r21600,l21600,xe">
          <v:stroke joinstyle="miter"/>
          <v:path gradientshapeok="t" o:connecttype="rect"/>
        </v:shapetype>
        <v:shape id="_x0000_s2086" type="#_x0000_t202" style="position:absolute;margin-left:79.75pt;margin-top:743.6pt;width:41.2pt;height:13.05pt;z-index:-496312;mso-position-horizontal-relative:page;mso-position-vertical-relative:page" filled="f" stroked="f">
          <v:textbox inset="0,0,0,0">
            <w:txbxContent>
              <w:p w:rsidR="002754CD" w:rsidRDefault="00166C67">
                <w:pPr>
                  <w:spacing w:before="10"/>
                  <w:ind w:left="20"/>
                  <w:rPr>
                    <w:sz w:val="20"/>
                  </w:rPr>
                </w:pPr>
                <w:r>
                  <w:rPr>
                    <w:color w:val="323232"/>
                    <w:sz w:val="20"/>
                  </w:rPr>
                  <w:t>Mar 2013</w:t>
                </w:r>
              </w:p>
            </w:txbxContent>
          </v:textbox>
          <w10:wrap anchorx="page" anchory="page"/>
        </v:shape>
      </w:pict>
    </w:r>
    <w:r>
      <w:pict>
        <v:shape id="_x0000_s2085" type="#_x0000_t202" style="position:absolute;margin-left:290.5pt;margin-top:743.6pt;width:34.1pt;height:13.05pt;z-index:-496288;mso-position-horizontal-relative:page;mso-position-vertical-relative:page" filled="f" stroked="f">
          <v:textbox inset="0,0,0,0">
            <w:txbxContent>
              <w:p w:rsidR="002754CD" w:rsidRDefault="00166C67">
                <w:pPr>
                  <w:spacing w:before="10"/>
                  <w:ind w:left="20"/>
                  <w:rPr>
                    <w:sz w:val="20"/>
                  </w:rPr>
                </w:pPr>
                <w:r>
                  <w:rPr>
                    <w:color w:val="323232"/>
                    <w:sz w:val="20"/>
                  </w:rPr>
                  <w:t>Astellas</w:t>
                </w:r>
              </w:p>
            </w:txbxContent>
          </v:textbox>
          <w10:wrap anchorx="page" anchory="page"/>
        </v:shape>
      </w:pict>
    </w:r>
    <w:r>
      <w:pict>
        <v:shape id="_x0000_s2084" type="#_x0000_t202" style="position:absolute;margin-left:478.05pt;margin-top:743.6pt;width:57.45pt;height:13.05pt;z-index:-496264;mso-position-horizontal-relative:page;mso-position-vertical-relative:page" filled="f" stroked="f">
          <v:textbox inset="0,0,0,0">
            <w:txbxContent>
              <w:p w:rsidR="002754CD" w:rsidRDefault="00166C67">
                <w:pPr>
                  <w:spacing w:before="10"/>
                  <w:ind w:left="20"/>
                  <w:rPr>
                    <w:sz w:val="20"/>
                  </w:rPr>
                </w:pPr>
                <w:r>
                  <w:rPr>
                    <w:color w:val="323232"/>
                    <w:sz w:val="20"/>
                  </w:rPr>
                  <w:t xml:space="preserve">Page </w:t>
                </w:r>
                <w:r>
                  <w:fldChar w:fldCharType="begin"/>
                </w:r>
                <w:r>
                  <w:rPr>
                    <w:color w:val="323232"/>
                    <w:sz w:val="20"/>
                  </w:rPr>
                  <w:instrText xml:space="preserve"> PAGE </w:instrText>
                </w:r>
                <w:r>
                  <w:fldChar w:fldCharType="separate"/>
                </w:r>
                <w:r>
                  <w:t>10</w:t>
                </w:r>
                <w:r>
                  <w:fldChar w:fldCharType="end"/>
                </w:r>
                <w:r>
                  <w:rPr>
                    <w:color w:val="323232"/>
                    <w:sz w:val="20"/>
                  </w:rPr>
                  <w:t xml:space="preserve"> of 33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4CD" w:rsidRDefault="002754CD">
    <w:pPr>
      <w:pStyle w:val="a3"/>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666" w:rsidRDefault="00554666">
      <w:r>
        <w:separator/>
      </w:r>
    </w:p>
  </w:footnote>
  <w:footnote w:type="continuationSeparator" w:id="0">
    <w:p w:rsidR="00554666" w:rsidRDefault="00554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4CD" w:rsidRDefault="002754CD">
    <w:pPr>
      <w:pStyle w:val="a3"/>
      <w:spacing w:line="14" w:lineRule="aut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4CD" w:rsidRDefault="002754CD">
    <w:pPr>
      <w:pStyle w:val="a3"/>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0030"/>
    <w:multiLevelType w:val="multilevel"/>
    <w:tmpl w:val="B03EE01C"/>
    <w:lvl w:ilvl="0">
      <w:start w:val="1"/>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numFmt w:val="bullet"/>
      <w:lvlText w:val="•"/>
      <w:lvlJc w:val="left"/>
      <w:pPr>
        <w:ind w:left="3004" w:hanging="852"/>
      </w:pPr>
      <w:rPr>
        <w:rFonts w:hint="default"/>
      </w:rPr>
    </w:lvl>
    <w:lvl w:ilvl="3">
      <w:numFmt w:val="bullet"/>
      <w:lvlText w:val="•"/>
      <w:lvlJc w:val="left"/>
      <w:pPr>
        <w:ind w:left="3976" w:hanging="852"/>
      </w:pPr>
      <w:rPr>
        <w:rFonts w:hint="default"/>
      </w:rPr>
    </w:lvl>
    <w:lvl w:ilvl="4">
      <w:numFmt w:val="bullet"/>
      <w:lvlText w:val="•"/>
      <w:lvlJc w:val="left"/>
      <w:pPr>
        <w:ind w:left="4948" w:hanging="852"/>
      </w:pPr>
      <w:rPr>
        <w:rFonts w:hint="default"/>
      </w:rPr>
    </w:lvl>
    <w:lvl w:ilvl="5">
      <w:numFmt w:val="bullet"/>
      <w:lvlText w:val="•"/>
      <w:lvlJc w:val="left"/>
      <w:pPr>
        <w:ind w:left="5920" w:hanging="852"/>
      </w:pPr>
      <w:rPr>
        <w:rFonts w:hint="default"/>
      </w:rPr>
    </w:lvl>
    <w:lvl w:ilvl="6">
      <w:numFmt w:val="bullet"/>
      <w:lvlText w:val="•"/>
      <w:lvlJc w:val="left"/>
      <w:pPr>
        <w:ind w:left="6892" w:hanging="852"/>
      </w:pPr>
      <w:rPr>
        <w:rFonts w:hint="default"/>
      </w:rPr>
    </w:lvl>
    <w:lvl w:ilvl="7">
      <w:numFmt w:val="bullet"/>
      <w:lvlText w:val="•"/>
      <w:lvlJc w:val="left"/>
      <w:pPr>
        <w:ind w:left="7864" w:hanging="852"/>
      </w:pPr>
      <w:rPr>
        <w:rFonts w:hint="default"/>
      </w:rPr>
    </w:lvl>
    <w:lvl w:ilvl="8">
      <w:numFmt w:val="bullet"/>
      <w:lvlText w:val="•"/>
      <w:lvlJc w:val="left"/>
      <w:pPr>
        <w:ind w:left="8836" w:hanging="852"/>
      </w:pPr>
      <w:rPr>
        <w:rFonts w:hint="default"/>
      </w:rPr>
    </w:lvl>
  </w:abstractNum>
  <w:abstractNum w:abstractNumId="1" w15:restartNumberingAfterBreak="0">
    <w:nsid w:val="089E5441"/>
    <w:multiLevelType w:val="multilevel"/>
    <w:tmpl w:val="1F8ED954"/>
    <w:lvl w:ilvl="0">
      <w:start w:val="3"/>
      <w:numFmt w:val="decimal"/>
      <w:lvlText w:val="%1"/>
      <w:lvlJc w:val="left"/>
      <w:pPr>
        <w:ind w:left="1078" w:hanging="852"/>
        <w:jc w:val="left"/>
      </w:pPr>
      <w:rPr>
        <w:rFonts w:hint="default"/>
      </w:rPr>
    </w:lvl>
    <w:lvl w:ilvl="1">
      <w:start w:val="13"/>
      <w:numFmt w:val="decimal"/>
      <w:lvlText w:val="%1.%2"/>
      <w:lvlJc w:val="left"/>
      <w:pPr>
        <w:ind w:left="1078" w:hanging="852"/>
        <w:jc w:val="left"/>
      </w:pPr>
      <w:rPr>
        <w:rFonts w:ascii="Times New Roman" w:eastAsia="Times New Roman" w:hAnsi="Times New Roman" w:cs="Times New Roman" w:hint="default"/>
        <w:b/>
        <w:bCs/>
        <w:spacing w:val="-1"/>
        <w:w w:val="100"/>
        <w:sz w:val="28"/>
        <w:szCs w:val="28"/>
      </w:rPr>
    </w:lvl>
    <w:lvl w:ilvl="2">
      <w:numFmt w:val="bullet"/>
      <w:lvlText w:val="•"/>
      <w:lvlJc w:val="left"/>
      <w:pPr>
        <w:ind w:left="3904" w:hanging="852"/>
      </w:pPr>
      <w:rPr>
        <w:rFonts w:hint="default"/>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2" w15:restartNumberingAfterBreak="0">
    <w:nsid w:val="0DCA2634"/>
    <w:multiLevelType w:val="multilevel"/>
    <w:tmpl w:val="ED7E99B8"/>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4"/>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35" w:hanging="1133"/>
      </w:pPr>
      <w:rPr>
        <w:rFonts w:hint="default"/>
      </w:rPr>
    </w:lvl>
    <w:lvl w:ilvl="6">
      <w:numFmt w:val="bullet"/>
      <w:lvlText w:val="•"/>
      <w:lvlJc w:val="left"/>
      <w:pPr>
        <w:ind w:left="6584" w:hanging="1133"/>
      </w:pPr>
      <w:rPr>
        <w:rFonts w:hint="default"/>
      </w:rPr>
    </w:lvl>
    <w:lvl w:ilvl="7">
      <w:numFmt w:val="bullet"/>
      <w:lvlText w:val="•"/>
      <w:lvlJc w:val="left"/>
      <w:pPr>
        <w:ind w:left="7633" w:hanging="1133"/>
      </w:pPr>
      <w:rPr>
        <w:rFonts w:hint="default"/>
      </w:rPr>
    </w:lvl>
    <w:lvl w:ilvl="8">
      <w:numFmt w:val="bullet"/>
      <w:lvlText w:val="•"/>
      <w:lvlJc w:val="left"/>
      <w:pPr>
        <w:ind w:left="8682" w:hanging="1133"/>
      </w:pPr>
      <w:rPr>
        <w:rFonts w:hint="default"/>
      </w:rPr>
    </w:lvl>
  </w:abstractNum>
  <w:abstractNum w:abstractNumId="3" w15:restartNumberingAfterBreak="0">
    <w:nsid w:val="125E508F"/>
    <w:multiLevelType w:val="multilevel"/>
    <w:tmpl w:val="BED0E0A0"/>
    <w:lvl w:ilvl="0">
      <w:start w:val="4"/>
      <w:numFmt w:val="decimal"/>
      <w:lvlText w:val="%1"/>
      <w:lvlJc w:val="left"/>
      <w:pPr>
        <w:ind w:left="1067" w:hanging="852"/>
        <w:jc w:val="left"/>
      </w:pPr>
      <w:rPr>
        <w:rFonts w:hint="default"/>
      </w:rPr>
    </w:lvl>
    <w:lvl w:ilvl="1">
      <w:start w:val="4"/>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w w:val="100"/>
        <w:sz w:val="24"/>
        <w:szCs w:val="24"/>
      </w:rPr>
    </w:lvl>
    <w:lvl w:ilvl="4">
      <w:numFmt w:val="bullet"/>
      <w:lvlText w:val="•"/>
      <w:lvlJc w:val="left"/>
      <w:pPr>
        <w:ind w:left="4948" w:hanging="852"/>
      </w:pPr>
      <w:rPr>
        <w:rFonts w:hint="default"/>
      </w:rPr>
    </w:lvl>
    <w:lvl w:ilvl="5">
      <w:numFmt w:val="bullet"/>
      <w:lvlText w:val="•"/>
      <w:lvlJc w:val="left"/>
      <w:pPr>
        <w:ind w:left="5920" w:hanging="852"/>
      </w:pPr>
      <w:rPr>
        <w:rFonts w:hint="default"/>
      </w:rPr>
    </w:lvl>
    <w:lvl w:ilvl="6">
      <w:numFmt w:val="bullet"/>
      <w:lvlText w:val="•"/>
      <w:lvlJc w:val="left"/>
      <w:pPr>
        <w:ind w:left="6892" w:hanging="852"/>
      </w:pPr>
      <w:rPr>
        <w:rFonts w:hint="default"/>
      </w:rPr>
    </w:lvl>
    <w:lvl w:ilvl="7">
      <w:numFmt w:val="bullet"/>
      <w:lvlText w:val="•"/>
      <w:lvlJc w:val="left"/>
      <w:pPr>
        <w:ind w:left="7864" w:hanging="852"/>
      </w:pPr>
      <w:rPr>
        <w:rFonts w:hint="default"/>
      </w:rPr>
    </w:lvl>
    <w:lvl w:ilvl="8">
      <w:numFmt w:val="bullet"/>
      <w:lvlText w:val="•"/>
      <w:lvlJc w:val="left"/>
      <w:pPr>
        <w:ind w:left="8836" w:hanging="852"/>
      </w:pPr>
      <w:rPr>
        <w:rFonts w:hint="default"/>
      </w:rPr>
    </w:lvl>
  </w:abstractNum>
  <w:abstractNum w:abstractNumId="4" w15:restartNumberingAfterBreak="0">
    <w:nsid w:val="16950CD0"/>
    <w:multiLevelType w:val="multilevel"/>
    <w:tmpl w:val="1874A3B2"/>
    <w:lvl w:ilvl="0">
      <w:start w:val="5"/>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hint="default"/>
        <w:b/>
        <w:bCs/>
        <w:spacing w:val="-1"/>
        <w:w w:val="100"/>
      </w:rPr>
    </w:lvl>
    <w:lvl w:ilvl="3">
      <w:numFmt w:val="bullet"/>
      <w:lvlText w:val="•"/>
      <w:lvlJc w:val="left"/>
      <w:pPr>
        <w:ind w:left="3976" w:hanging="852"/>
      </w:pPr>
      <w:rPr>
        <w:rFonts w:hint="default"/>
      </w:rPr>
    </w:lvl>
    <w:lvl w:ilvl="4">
      <w:numFmt w:val="bullet"/>
      <w:lvlText w:val="•"/>
      <w:lvlJc w:val="left"/>
      <w:pPr>
        <w:ind w:left="4948" w:hanging="852"/>
      </w:pPr>
      <w:rPr>
        <w:rFonts w:hint="default"/>
      </w:rPr>
    </w:lvl>
    <w:lvl w:ilvl="5">
      <w:numFmt w:val="bullet"/>
      <w:lvlText w:val="•"/>
      <w:lvlJc w:val="left"/>
      <w:pPr>
        <w:ind w:left="5920" w:hanging="852"/>
      </w:pPr>
      <w:rPr>
        <w:rFonts w:hint="default"/>
      </w:rPr>
    </w:lvl>
    <w:lvl w:ilvl="6">
      <w:numFmt w:val="bullet"/>
      <w:lvlText w:val="•"/>
      <w:lvlJc w:val="left"/>
      <w:pPr>
        <w:ind w:left="6892" w:hanging="852"/>
      </w:pPr>
      <w:rPr>
        <w:rFonts w:hint="default"/>
      </w:rPr>
    </w:lvl>
    <w:lvl w:ilvl="7">
      <w:numFmt w:val="bullet"/>
      <w:lvlText w:val="•"/>
      <w:lvlJc w:val="left"/>
      <w:pPr>
        <w:ind w:left="7864" w:hanging="852"/>
      </w:pPr>
      <w:rPr>
        <w:rFonts w:hint="default"/>
      </w:rPr>
    </w:lvl>
    <w:lvl w:ilvl="8">
      <w:numFmt w:val="bullet"/>
      <w:lvlText w:val="•"/>
      <w:lvlJc w:val="left"/>
      <w:pPr>
        <w:ind w:left="8836" w:hanging="852"/>
      </w:pPr>
      <w:rPr>
        <w:rFonts w:hint="default"/>
      </w:rPr>
    </w:lvl>
  </w:abstractNum>
  <w:abstractNum w:abstractNumId="5" w15:restartNumberingAfterBreak="0">
    <w:nsid w:val="1DED4ED9"/>
    <w:multiLevelType w:val="multilevel"/>
    <w:tmpl w:val="578E5D08"/>
    <w:lvl w:ilvl="0">
      <w:start w:val="1"/>
      <w:numFmt w:val="decimal"/>
      <w:lvlText w:val="%1"/>
      <w:lvlJc w:val="left"/>
      <w:pPr>
        <w:ind w:left="1078"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6" w15:restartNumberingAfterBreak="0">
    <w:nsid w:val="20E24853"/>
    <w:multiLevelType w:val="multilevel"/>
    <w:tmpl w:val="5C76A940"/>
    <w:lvl w:ilvl="0">
      <w:start w:val="4"/>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hint="default"/>
      </w:rPr>
    </w:lvl>
    <w:lvl w:ilvl="3">
      <w:start w:val="2"/>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48" w:hanging="852"/>
      </w:pPr>
      <w:rPr>
        <w:rFonts w:hint="default"/>
      </w:rPr>
    </w:lvl>
    <w:lvl w:ilvl="5">
      <w:numFmt w:val="bullet"/>
      <w:lvlText w:val="•"/>
      <w:lvlJc w:val="left"/>
      <w:pPr>
        <w:ind w:left="5920" w:hanging="852"/>
      </w:pPr>
      <w:rPr>
        <w:rFonts w:hint="default"/>
      </w:rPr>
    </w:lvl>
    <w:lvl w:ilvl="6">
      <w:numFmt w:val="bullet"/>
      <w:lvlText w:val="•"/>
      <w:lvlJc w:val="left"/>
      <w:pPr>
        <w:ind w:left="6892" w:hanging="852"/>
      </w:pPr>
      <w:rPr>
        <w:rFonts w:hint="default"/>
      </w:rPr>
    </w:lvl>
    <w:lvl w:ilvl="7">
      <w:numFmt w:val="bullet"/>
      <w:lvlText w:val="•"/>
      <w:lvlJc w:val="left"/>
      <w:pPr>
        <w:ind w:left="7864" w:hanging="852"/>
      </w:pPr>
      <w:rPr>
        <w:rFonts w:hint="default"/>
      </w:rPr>
    </w:lvl>
    <w:lvl w:ilvl="8">
      <w:numFmt w:val="bullet"/>
      <w:lvlText w:val="•"/>
      <w:lvlJc w:val="left"/>
      <w:pPr>
        <w:ind w:left="8836" w:hanging="852"/>
      </w:pPr>
      <w:rPr>
        <w:rFonts w:hint="default"/>
      </w:rPr>
    </w:lvl>
  </w:abstractNum>
  <w:abstractNum w:abstractNumId="7" w15:restartNumberingAfterBreak="0">
    <w:nsid w:val="25C075BF"/>
    <w:multiLevelType w:val="multilevel"/>
    <w:tmpl w:val="678A95C0"/>
    <w:lvl w:ilvl="0">
      <w:start w:val="6"/>
      <w:numFmt w:val="decimal"/>
      <w:lvlText w:val="%1"/>
      <w:lvlJc w:val="left"/>
      <w:pPr>
        <w:ind w:left="997" w:hanging="994"/>
        <w:jc w:val="left"/>
      </w:pPr>
      <w:rPr>
        <w:rFonts w:hint="default"/>
      </w:rPr>
    </w:lvl>
    <w:lvl w:ilvl="1">
      <w:start w:val="2"/>
      <w:numFmt w:val="decimal"/>
      <w:lvlText w:val="%1.%2"/>
      <w:lvlJc w:val="left"/>
      <w:pPr>
        <w:ind w:left="997" w:hanging="994"/>
        <w:jc w:val="left"/>
      </w:pPr>
      <w:rPr>
        <w:rFonts w:hint="default"/>
      </w:rPr>
    </w:lvl>
    <w:lvl w:ilvl="2">
      <w:start w:val="1"/>
      <w:numFmt w:val="decimal"/>
      <w:lvlText w:val="%1.%2.%3"/>
      <w:lvlJc w:val="left"/>
      <w:pPr>
        <w:ind w:left="997" w:hanging="994"/>
        <w:jc w:val="left"/>
      </w:pPr>
      <w:rPr>
        <w:rFonts w:ascii="Times New Roman" w:eastAsia="Times New Roman" w:hAnsi="Times New Roman" w:cs="Times New Roman" w:hint="default"/>
        <w:w w:val="100"/>
        <w:sz w:val="22"/>
        <w:szCs w:val="22"/>
      </w:rPr>
    </w:lvl>
    <w:lvl w:ilvl="3">
      <w:numFmt w:val="bullet"/>
      <w:lvlText w:val="•"/>
      <w:lvlJc w:val="left"/>
      <w:pPr>
        <w:ind w:left="3165" w:hanging="994"/>
      </w:pPr>
      <w:rPr>
        <w:rFonts w:hint="default"/>
      </w:rPr>
    </w:lvl>
    <w:lvl w:ilvl="4">
      <w:numFmt w:val="bullet"/>
      <w:lvlText w:val="•"/>
      <w:lvlJc w:val="left"/>
      <w:pPr>
        <w:ind w:left="3887" w:hanging="994"/>
      </w:pPr>
      <w:rPr>
        <w:rFonts w:hint="default"/>
      </w:rPr>
    </w:lvl>
    <w:lvl w:ilvl="5">
      <w:numFmt w:val="bullet"/>
      <w:lvlText w:val="•"/>
      <w:lvlJc w:val="left"/>
      <w:pPr>
        <w:ind w:left="4609" w:hanging="994"/>
      </w:pPr>
      <w:rPr>
        <w:rFonts w:hint="default"/>
      </w:rPr>
    </w:lvl>
    <w:lvl w:ilvl="6">
      <w:numFmt w:val="bullet"/>
      <w:lvlText w:val="•"/>
      <w:lvlJc w:val="left"/>
      <w:pPr>
        <w:ind w:left="5330" w:hanging="994"/>
      </w:pPr>
      <w:rPr>
        <w:rFonts w:hint="default"/>
      </w:rPr>
    </w:lvl>
    <w:lvl w:ilvl="7">
      <w:numFmt w:val="bullet"/>
      <w:lvlText w:val="•"/>
      <w:lvlJc w:val="left"/>
      <w:pPr>
        <w:ind w:left="6052" w:hanging="994"/>
      </w:pPr>
      <w:rPr>
        <w:rFonts w:hint="default"/>
      </w:rPr>
    </w:lvl>
    <w:lvl w:ilvl="8">
      <w:numFmt w:val="bullet"/>
      <w:lvlText w:val="•"/>
      <w:lvlJc w:val="left"/>
      <w:pPr>
        <w:ind w:left="6774" w:hanging="994"/>
      </w:pPr>
      <w:rPr>
        <w:rFonts w:hint="default"/>
      </w:rPr>
    </w:lvl>
  </w:abstractNum>
  <w:abstractNum w:abstractNumId="8" w15:restartNumberingAfterBreak="0">
    <w:nsid w:val="34B11B12"/>
    <w:multiLevelType w:val="multilevel"/>
    <w:tmpl w:val="8286F73A"/>
    <w:lvl w:ilvl="0">
      <w:start w:val="4"/>
      <w:numFmt w:val="decimal"/>
      <w:lvlText w:val="%1"/>
      <w:lvlJc w:val="left"/>
      <w:pPr>
        <w:ind w:left="2200" w:hanging="1133"/>
        <w:jc w:val="left"/>
      </w:pPr>
      <w:rPr>
        <w:rFonts w:hint="default"/>
      </w:rPr>
    </w:lvl>
    <w:lvl w:ilvl="1">
      <w:start w:val="1"/>
      <w:numFmt w:val="decimal"/>
      <w:lvlText w:val="%1.%2"/>
      <w:lvlJc w:val="left"/>
      <w:pPr>
        <w:ind w:left="2200" w:hanging="1133"/>
        <w:jc w:val="right"/>
      </w:pPr>
      <w:rPr>
        <w:rFonts w:hint="default"/>
      </w:rPr>
    </w:lvl>
    <w:lvl w:ilvl="2">
      <w:start w:val="1"/>
      <w:numFmt w:val="decimal"/>
      <w:lvlText w:val="%1.%2.%3"/>
      <w:lvlJc w:val="left"/>
      <w:pPr>
        <w:ind w:left="1775" w:hanging="994"/>
        <w:jc w:val="left"/>
      </w:pPr>
      <w:rPr>
        <w:rFonts w:hint="default"/>
        <w:w w:val="100"/>
      </w:rPr>
    </w:lvl>
    <w:lvl w:ilvl="3">
      <w:start w:val="1"/>
      <w:numFmt w:val="decimal"/>
      <w:lvlText w:val="%1.%2.%3.%4"/>
      <w:lvlJc w:val="left"/>
      <w:pPr>
        <w:ind w:left="2200" w:hanging="994"/>
        <w:jc w:val="left"/>
      </w:pPr>
      <w:rPr>
        <w:rFonts w:ascii="Times New Roman" w:eastAsia="Times New Roman" w:hAnsi="Times New Roman" w:cs="Times New Roman" w:hint="default"/>
        <w:w w:val="100"/>
        <w:sz w:val="22"/>
        <w:szCs w:val="22"/>
      </w:rPr>
    </w:lvl>
    <w:lvl w:ilvl="4">
      <w:numFmt w:val="bullet"/>
      <w:lvlText w:val="•"/>
      <w:lvlJc w:val="left"/>
      <w:pPr>
        <w:ind w:left="5060" w:hanging="994"/>
      </w:pPr>
      <w:rPr>
        <w:rFonts w:hint="default"/>
      </w:rPr>
    </w:lvl>
    <w:lvl w:ilvl="5">
      <w:numFmt w:val="bullet"/>
      <w:lvlText w:val="•"/>
      <w:lvlJc w:val="left"/>
      <w:pPr>
        <w:ind w:left="6013" w:hanging="994"/>
      </w:pPr>
      <w:rPr>
        <w:rFonts w:hint="default"/>
      </w:rPr>
    </w:lvl>
    <w:lvl w:ilvl="6">
      <w:numFmt w:val="bullet"/>
      <w:lvlText w:val="•"/>
      <w:lvlJc w:val="left"/>
      <w:pPr>
        <w:ind w:left="6966" w:hanging="994"/>
      </w:pPr>
      <w:rPr>
        <w:rFonts w:hint="default"/>
      </w:rPr>
    </w:lvl>
    <w:lvl w:ilvl="7">
      <w:numFmt w:val="bullet"/>
      <w:lvlText w:val="•"/>
      <w:lvlJc w:val="left"/>
      <w:pPr>
        <w:ind w:left="7920" w:hanging="994"/>
      </w:pPr>
      <w:rPr>
        <w:rFonts w:hint="default"/>
      </w:rPr>
    </w:lvl>
    <w:lvl w:ilvl="8">
      <w:numFmt w:val="bullet"/>
      <w:lvlText w:val="•"/>
      <w:lvlJc w:val="left"/>
      <w:pPr>
        <w:ind w:left="8873" w:hanging="994"/>
      </w:pPr>
      <w:rPr>
        <w:rFonts w:hint="default"/>
      </w:rPr>
    </w:lvl>
  </w:abstractNum>
  <w:abstractNum w:abstractNumId="9" w15:restartNumberingAfterBreak="0">
    <w:nsid w:val="3503748A"/>
    <w:multiLevelType w:val="multilevel"/>
    <w:tmpl w:val="1416E7BC"/>
    <w:lvl w:ilvl="0">
      <w:start w:val="4"/>
      <w:numFmt w:val="decimal"/>
      <w:lvlText w:val="%1"/>
      <w:lvlJc w:val="left"/>
      <w:pPr>
        <w:ind w:left="1067" w:hanging="852"/>
      </w:pPr>
      <w:rPr>
        <w:rFonts w:hint="default"/>
      </w:rPr>
    </w:lvl>
    <w:lvl w:ilvl="1">
      <w:start w:val="3"/>
      <w:numFmt w:val="decimal"/>
      <w:lvlText w:val="%1.%2"/>
      <w:lvlJc w:val="left"/>
      <w:pPr>
        <w:ind w:left="1067" w:hanging="852"/>
      </w:pPr>
      <w:rPr>
        <w:rFonts w:hint="default"/>
      </w:rPr>
    </w:lvl>
    <w:lvl w:ilvl="2">
      <w:start w:val="3"/>
      <w:numFmt w:val="decimal"/>
      <w:lvlText w:val="%1.%2.%3"/>
      <w:lvlJc w:val="left"/>
      <w:pPr>
        <w:ind w:left="1067" w:hanging="852"/>
      </w:pPr>
      <w:rPr>
        <w:rFonts w:ascii="Times New Roman" w:eastAsia="ＭＳ 明朝" w:hAnsi="Times New Roman" w:cs="Times New Roman" w:hint="default"/>
        <w:b/>
        <w:bCs/>
        <w:w w:val="100"/>
        <w:sz w:val="24"/>
        <w:szCs w:val="24"/>
      </w:rPr>
    </w:lvl>
    <w:lvl w:ilvl="3">
      <w:start w:val="1"/>
      <w:numFmt w:val="decimal"/>
      <w:lvlText w:val="%1.%2.%3.%4"/>
      <w:lvlJc w:val="left"/>
      <w:pPr>
        <w:ind w:left="1067" w:hanging="852"/>
      </w:pPr>
      <w:rPr>
        <w:rFonts w:ascii="Times New Roman" w:eastAsia="ＭＳ 明朝" w:hAnsi="Times New Roman" w:cs="Times New Roman" w:hint="default"/>
        <w:b/>
        <w:bCs/>
        <w:w w:val="100"/>
        <w:sz w:val="24"/>
        <w:szCs w:val="24"/>
      </w:rPr>
    </w:lvl>
    <w:lvl w:ilvl="4">
      <w:numFmt w:val="bullet"/>
      <w:lvlText w:val="•"/>
      <w:lvlJc w:val="left"/>
      <w:pPr>
        <w:ind w:left="4948" w:hanging="852"/>
      </w:pPr>
      <w:rPr>
        <w:rFonts w:hint="default"/>
      </w:rPr>
    </w:lvl>
    <w:lvl w:ilvl="5">
      <w:numFmt w:val="bullet"/>
      <w:lvlText w:val="•"/>
      <w:lvlJc w:val="left"/>
      <w:pPr>
        <w:ind w:left="5920" w:hanging="852"/>
      </w:pPr>
      <w:rPr>
        <w:rFonts w:hint="default"/>
      </w:rPr>
    </w:lvl>
    <w:lvl w:ilvl="6">
      <w:numFmt w:val="bullet"/>
      <w:lvlText w:val="•"/>
      <w:lvlJc w:val="left"/>
      <w:pPr>
        <w:ind w:left="6892" w:hanging="852"/>
      </w:pPr>
      <w:rPr>
        <w:rFonts w:hint="default"/>
      </w:rPr>
    </w:lvl>
    <w:lvl w:ilvl="7">
      <w:numFmt w:val="bullet"/>
      <w:lvlText w:val="•"/>
      <w:lvlJc w:val="left"/>
      <w:pPr>
        <w:ind w:left="7864" w:hanging="852"/>
      </w:pPr>
      <w:rPr>
        <w:rFonts w:hint="default"/>
      </w:rPr>
    </w:lvl>
    <w:lvl w:ilvl="8">
      <w:numFmt w:val="bullet"/>
      <w:lvlText w:val="•"/>
      <w:lvlJc w:val="left"/>
      <w:pPr>
        <w:ind w:left="8836" w:hanging="852"/>
      </w:pPr>
      <w:rPr>
        <w:rFonts w:hint="default"/>
      </w:rPr>
    </w:lvl>
  </w:abstractNum>
  <w:abstractNum w:abstractNumId="10" w15:restartNumberingAfterBreak="0">
    <w:nsid w:val="41214526"/>
    <w:multiLevelType w:val="multilevel"/>
    <w:tmpl w:val="741008CC"/>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6"/>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976" w:hanging="852"/>
      </w:pPr>
      <w:rPr>
        <w:rFonts w:hint="default"/>
      </w:rPr>
    </w:lvl>
    <w:lvl w:ilvl="4">
      <w:numFmt w:val="bullet"/>
      <w:lvlText w:val="•"/>
      <w:lvlJc w:val="left"/>
      <w:pPr>
        <w:ind w:left="4948" w:hanging="852"/>
      </w:pPr>
      <w:rPr>
        <w:rFonts w:hint="default"/>
      </w:rPr>
    </w:lvl>
    <w:lvl w:ilvl="5">
      <w:numFmt w:val="bullet"/>
      <w:lvlText w:val="•"/>
      <w:lvlJc w:val="left"/>
      <w:pPr>
        <w:ind w:left="5920" w:hanging="852"/>
      </w:pPr>
      <w:rPr>
        <w:rFonts w:hint="default"/>
      </w:rPr>
    </w:lvl>
    <w:lvl w:ilvl="6">
      <w:numFmt w:val="bullet"/>
      <w:lvlText w:val="•"/>
      <w:lvlJc w:val="left"/>
      <w:pPr>
        <w:ind w:left="6892" w:hanging="852"/>
      </w:pPr>
      <w:rPr>
        <w:rFonts w:hint="default"/>
      </w:rPr>
    </w:lvl>
    <w:lvl w:ilvl="7">
      <w:numFmt w:val="bullet"/>
      <w:lvlText w:val="•"/>
      <w:lvlJc w:val="left"/>
      <w:pPr>
        <w:ind w:left="7864" w:hanging="852"/>
      </w:pPr>
      <w:rPr>
        <w:rFonts w:hint="default"/>
      </w:rPr>
    </w:lvl>
    <w:lvl w:ilvl="8">
      <w:numFmt w:val="bullet"/>
      <w:lvlText w:val="•"/>
      <w:lvlJc w:val="left"/>
      <w:pPr>
        <w:ind w:left="8836" w:hanging="852"/>
      </w:pPr>
      <w:rPr>
        <w:rFonts w:hint="default"/>
      </w:rPr>
    </w:lvl>
  </w:abstractNum>
  <w:abstractNum w:abstractNumId="11" w15:restartNumberingAfterBreak="0">
    <w:nsid w:val="45657715"/>
    <w:multiLevelType w:val="multilevel"/>
    <w:tmpl w:val="C1161F6E"/>
    <w:lvl w:ilvl="0">
      <w:start w:val="4"/>
      <w:numFmt w:val="decimal"/>
      <w:lvlText w:val="%1"/>
      <w:lvlJc w:val="left"/>
      <w:pPr>
        <w:ind w:left="1076" w:hanging="850"/>
        <w:jc w:val="left"/>
      </w:pPr>
      <w:rPr>
        <w:rFonts w:hint="default"/>
      </w:rPr>
    </w:lvl>
    <w:lvl w:ilvl="1">
      <w:start w:val="1"/>
      <w:numFmt w:val="decimal"/>
      <w:lvlText w:val="%1.%2"/>
      <w:lvlJc w:val="left"/>
      <w:pPr>
        <w:ind w:left="1076" w:hanging="850"/>
        <w:jc w:val="left"/>
      </w:pPr>
      <w:rPr>
        <w:rFonts w:ascii="Times New Roman" w:eastAsia="Times New Roman" w:hAnsi="Times New Roman" w:cs="Times New Roman" w:hint="default"/>
        <w:b/>
        <w:bCs/>
        <w:w w:val="100"/>
        <w:sz w:val="28"/>
        <w:szCs w:val="28"/>
      </w:rPr>
    </w:lvl>
    <w:lvl w:ilvl="2">
      <w:numFmt w:val="bullet"/>
      <w:lvlText w:val="•"/>
      <w:lvlJc w:val="left"/>
      <w:pPr>
        <w:ind w:left="3904" w:hanging="850"/>
      </w:pPr>
      <w:rPr>
        <w:rFonts w:hint="default"/>
      </w:rPr>
    </w:lvl>
    <w:lvl w:ilvl="3">
      <w:numFmt w:val="bullet"/>
      <w:lvlText w:val="•"/>
      <w:lvlJc w:val="left"/>
      <w:pPr>
        <w:ind w:left="5316" w:hanging="850"/>
      </w:pPr>
      <w:rPr>
        <w:rFonts w:hint="default"/>
      </w:rPr>
    </w:lvl>
    <w:lvl w:ilvl="4">
      <w:numFmt w:val="bullet"/>
      <w:lvlText w:val="•"/>
      <w:lvlJc w:val="left"/>
      <w:pPr>
        <w:ind w:left="6728" w:hanging="850"/>
      </w:pPr>
      <w:rPr>
        <w:rFonts w:hint="default"/>
      </w:rPr>
    </w:lvl>
    <w:lvl w:ilvl="5">
      <w:numFmt w:val="bullet"/>
      <w:lvlText w:val="•"/>
      <w:lvlJc w:val="left"/>
      <w:pPr>
        <w:ind w:left="8140" w:hanging="850"/>
      </w:pPr>
      <w:rPr>
        <w:rFonts w:hint="default"/>
      </w:rPr>
    </w:lvl>
    <w:lvl w:ilvl="6">
      <w:numFmt w:val="bullet"/>
      <w:lvlText w:val="•"/>
      <w:lvlJc w:val="left"/>
      <w:pPr>
        <w:ind w:left="9552" w:hanging="850"/>
      </w:pPr>
      <w:rPr>
        <w:rFonts w:hint="default"/>
      </w:rPr>
    </w:lvl>
    <w:lvl w:ilvl="7">
      <w:numFmt w:val="bullet"/>
      <w:lvlText w:val="•"/>
      <w:lvlJc w:val="left"/>
      <w:pPr>
        <w:ind w:left="10964" w:hanging="850"/>
      </w:pPr>
      <w:rPr>
        <w:rFonts w:hint="default"/>
      </w:rPr>
    </w:lvl>
    <w:lvl w:ilvl="8">
      <w:numFmt w:val="bullet"/>
      <w:lvlText w:val="•"/>
      <w:lvlJc w:val="left"/>
      <w:pPr>
        <w:ind w:left="12376" w:hanging="850"/>
      </w:pPr>
      <w:rPr>
        <w:rFonts w:hint="default"/>
      </w:rPr>
    </w:lvl>
  </w:abstractNum>
  <w:abstractNum w:abstractNumId="12" w15:restartNumberingAfterBreak="0">
    <w:nsid w:val="4B292801"/>
    <w:multiLevelType w:val="multilevel"/>
    <w:tmpl w:val="17A803E8"/>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35" w:hanging="1133"/>
      </w:pPr>
      <w:rPr>
        <w:rFonts w:hint="default"/>
      </w:rPr>
    </w:lvl>
    <w:lvl w:ilvl="6">
      <w:numFmt w:val="bullet"/>
      <w:lvlText w:val="•"/>
      <w:lvlJc w:val="left"/>
      <w:pPr>
        <w:ind w:left="6584" w:hanging="1133"/>
      </w:pPr>
      <w:rPr>
        <w:rFonts w:hint="default"/>
      </w:rPr>
    </w:lvl>
    <w:lvl w:ilvl="7">
      <w:numFmt w:val="bullet"/>
      <w:lvlText w:val="•"/>
      <w:lvlJc w:val="left"/>
      <w:pPr>
        <w:ind w:left="7633" w:hanging="1133"/>
      </w:pPr>
      <w:rPr>
        <w:rFonts w:hint="default"/>
      </w:rPr>
    </w:lvl>
    <w:lvl w:ilvl="8">
      <w:numFmt w:val="bullet"/>
      <w:lvlText w:val="•"/>
      <w:lvlJc w:val="left"/>
      <w:pPr>
        <w:ind w:left="8682" w:hanging="1133"/>
      </w:pPr>
      <w:rPr>
        <w:rFonts w:hint="default"/>
      </w:rPr>
    </w:lvl>
  </w:abstractNum>
  <w:abstractNum w:abstractNumId="13" w15:restartNumberingAfterBreak="0">
    <w:nsid w:val="4FEF4807"/>
    <w:multiLevelType w:val="multilevel"/>
    <w:tmpl w:val="5B1A6B02"/>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w w:val="100"/>
        <w:sz w:val="24"/>
        <w:szCs w:val="24"/>
      </w:rPr>
    </w:lvl>
    <w:lvl w:ilvl="3">
      <w:numFmt w:val="bullet"/>
      <w:lvlText w:val="•"/>
      <w:lvlJc w:val="left"/>
      <w:pPr>
        <w:ind w:left="3976" w:hanging="852"/>
      </w:pPr>
      <w:rPr>
        <w:rFonts w:hint="default"/>
      </w:rPr>
    </w:lvl>
    <w:lvl w:ilvl="4">
      <w:numFmt w:val="bullet"/>
      <w:lvlText w:val="•"/>
      <w:lvlJc w:val="left"/>
      <w:pPr>
        <w:ind w:left="4948" w:hanging="852"/>
      </w:pPr>
      <w:rPr>
        <w:rFonts w:hint="default"/>
      </w:rPr>
    </w:lvl>
    <w:lvl w:ilvl="5">
      <w:numFmt w:val="bullet"/>
      <w:lvlText w:val="•"/>
      <w:lvlJc w:val="left"/>
      <w:pPr>
        <w:ind w:left="5920" w:hanging="852"/>
      </w:pPr>
      <w:rPr>
        <w:rFonts w:hint="default"/>
      </w:rPr>
    </w:lvl>
    <w:lvl w:ilvl="6">
      <w:numFmt w:val="bullet"/>
      <w:lvlText w:val="•"/>
      <w:lvlJc w:val="left"/>
      <w:pPr>
        <w:ind w:left="6892" w:hanging="852"/>
      </w:pPr>
      <w:rPr>
        <w:rFonts w:hint="default"/>
      </w:rPr>
    </w:lvl>
    <w:lvl w:ilvl="7">
      <w:numFmt w:val="bullet"/>
      <w:lvlText w:val="•"/>
      <w:lvlJc w:val="left"/>
      <w:pPr>
        <w:ind w:left="7864" w:hanging="852"/>
      </w:pPr>
      <w:rPr>
        <w:rFonts w:hint="default"/>
      </w:rPr>
    </w:lvl>
    <w:lvl w:ilvl="8">
      <w:numFmt w:val="bullet"/>
      <w:lvlText w:val="•"/>
      <w:lvlJc w:val="left"/>
      <w:pPr>
        <w:ind w:left="8836" w:hanging="852"/>
      </w:pPr>
      <w:rPr>
        <w:rFonts w:hint="default"/>
      </w:rPr>
    </w:lvl>
  </w:abstractNum>
  <w:abstractNum w:abstractNumId="14" w15:restartNumberingAfterBreak="0">
    <w:nsid w:val="5B70212C"/>
    <w:multiLevelType w:val="multilevel"/>
    <w:tmpl w:val="B210A2C4"/>
    <w:lvl w:ilvl="0">
      <w:start w:val="2"/>
      <w:numFmt w:val="decimal"/>
      <w:lvlText w:val="%1"/>
      <w:lvlJc w:val="left"/>
      <w:pPr>
        <w:ind w:left="1067" w:hanging="852"/>
        <w:jc w:val="left"/>
      </w:pPr>
      <w:rPr>
        <w:rFonts w:hint="default"/>
      </w:rPr>
    </w:lvl>
    <w:lvl w:ilvl="1">
      <w:start w:val="3"/>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numFmt w:val="bullet"/>
      <w:lvlText w:val="•"/>
      <w:lvlJc w:val="left"/>
      <w:pPr>
        <w:ind w:left="3004" w:hanging="852"/>
      </w:pPr>
      <w:rPr>
        <w:rFonts w:hint="default"/>
      </w:rPr>
    </w:lvl>
    <w:lvl w:ilvl="3">
      <w:numFmt w:val="bullet"/>
      <w:lvlText w:val="•"/>
      <w:lvlJc w:val="left"/>
      <w:pPr>
        <w:ind w:left="3976" w:hanging="852"/>
      </w:pPr>
      <w:rPr>
        <w:rFonts w:hint="default"/>
      </w:rPr>
    </w:lvl>
    <w:lvl w:ilvl="4">
      <w:numFmt w:val="bullet"/>
      <w:lvlText w:val="•"/>
      <w:lvlJc w:val="left"/>
      <w:pPr>
        <w:ind w:left="4948" w:hanging="852"/>
      </w:pPr>
      <w:rPr>
        <w:rFonts w:hint="default"/>
      </w:rPr>
    </w:lvl>
    <w:lvl w:ilvl="5">
      <w:numFmt w:val="bullet"/>
      <w:lvlText w:val="•"/>
      <w:lvlJc w:val="left"/>
      <w:pPr>
        <w:ind w:left="5920" w:hanging="852"/>
      </w:pPr>
      <w:rPr>
        <w:rFonts w:hint="default"/>
      </w:rPr>
    </w:lvl>
    <w:lvl w:ilvl="6">
      <w:numFmt w:val="bullet"/>
      <w:lvlText w:val="•"/>
      <w:lvlJc w:val="left"/>
      <w:pPr>
        <w:ind w:left="6892" w:hanging="852"/>
      </w:pPr>
      <w:rPr>
        <w:rFonts w:hint="default"/>
      </w:rPr>
    </w:lvl>
    <w:lvl w:ilvl="7">
      <w:numFmt w:val="bullet"/>
      <w:lvlText w:val="•"/>
      <w:lvlJc w:val="left"/>
      <w:pPr>
        <w:ind w:left="7864" w:hanging="852"/>
      </w:pPr>
      <w:rPr>
        <w:rFonts w:hint="default"/>
      </w:rPr>
    </w:lvl>
    <w:lvl w:ilvl="8">
      <w:numFmt w:val="bullet"/>
      <w:lvlText w:val="•"/>
      <w:lvlJc w:val="left"/>
      <w:pPr>
        <w:ind w:left="8836" w:hanging="852"/>
      </w:pPr>
      <w:rPr>
        <w:rFonts w:hint="default"/>
      </w:rPr>
    </w:lvl>
  </w:abstractNum>
  <w:abstractNum w:abstractNumId="15" w15:restartNumberingAfterBreak="0">
    <w:nsid w:val="61694FE2"/>
    <w:multiLevelType w:val="multilevel"/>
    <w:tmpl w:val="D332BDF2"/>
    <w:lvl w:ilvl="0">
      <w:start w:val="3"/>
      <w:numFmt w:val="decimal"/>
      <w:lvlText w:val="%1"/>
      <w:lvlJc w:val="left"/>
      <w:pPr>
        <w:ind w:left="1359" w:hanging="850"/>
        <w:jc w:val="right"/>
      </w:pPr>
      <w:rPr>
        <w:rFonts w:hint="default"/>
      </w:rPr>
    </w:lvl>
    <w:lvl w:ilvl="1">
      <w:start w:val="5"/>
      <w:numFmt w:val="decimal"/>
      <w:lvlText w:val="%1.%2"/>
      <w:lvlJc w:val="left"/>
      <w:pPr>
        <w:ind w:left="1359"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86" w:hanging="994"/>
        <w:jc w:val="left"/>
      </w:pPr>
      <w:rPr>
        <w:rFonts w:ascii="Times New Roman" w:eastAsia="Times New Roman" w:hAnsi="Times New Roman" w:cs="Times New Roman" w:hint="default"/>
        <w:w w:val="100"/>
        <w:sz w:val="22"/>
        <w:szCs w:val="22"/>
      </w:rPr>
    </w:lvl>
    <w:lvl w:ilvl="3">
      <w:numFmt w:val="bullet"/>
      <w:lvlText w:val="•"/>
      <w:lvlJc w:val="left"/>
      <w:pPr>
        <w:ind w:left="4762" w:hanging="994"/>
      </w:pPr>
      <w:rPr>
        <w:rFonts w:hint="default"/>
      </w:rPr>
    </w:lvl>
    <w:lvl w:ilvl="4">
      <w:numFmt w:val="bullet"/>
      <w:lvlText w:val="•"/>
      <w:lvlJc w:val="left"/>
      <w:pPr>
        <w:ind w:left="6253" w:hanging="994"/>
      </w:pPr>
      <w:rPr>
        <w:rFonts w:hint="default"/>
      </w:rPr>
    </w:lvl>
    <w:lvl w:ilvl="5">
      <w:numFmt w:val="bullet"/>
      <w:lvlText w:val="•"/>
      <w:lvlJc w:val="left"/>
      <w:pPr>
        <w:ind w:left="7744" w:hanging="994"/>
      </w:pPr>
      <w:rPr>
        <w:rFonts w:hint="default"/>
      </w:rPr>
    </w:lvl>
    <w:lvl w:ilvl="6">
      <w:numFmt w:val="bullet"/>
      <w:lvlText w:val="•"/>
      <w:lvlJc w:val="left"/>
      <w:pPr>
        <w:ind w:left="9235" w:hanging="994"/>
      </w:pPr>
      <w:rPr>
        <w:rFonts w:hint="default"/>
      </w:rPr>
    </w:lvl>
    <w:lvl w:ilvl="7">
      <w:numFmt w:val="bullet"/>
      <w:lvlText w:val="•"/>
      <w:lvlJc w:val="left"/>
      <w:pPr>
        <w:ind w:left="10726" w:hanging="994"/>
      </w:pPr>
      <w:rPr>
        <w:rFonts w:hint="default"/>
      </w:rPr>
    </w:lvl>
    <w:lvl w:ilvl="8">
      <w:numFmt w:val="bullet"/>
      <w:lvlText w:val="•"/>
      <w:lvlJc w:val="left"/>
      <w:pPr>
        <w:ind w:left="12217" w:hanging="994"/>
      </w:pPr>
      <w:rPr>
        <w:rFonts w:hint="default"/>
      </w:rPr>
    </w:lvl>
  </w:abstractNum>
  <w:abstractNum w:abstractNumId="16" w15:restartNumberingAfterBreak="0">
    <w:nsid w:val="71FC2EAF"/>
    <w:multiLevelType w:val="multilevel"/>
    <w:tmpl w:val="88083DD6"/>
    <w:lvl w:ilvl="0">
      <w:start w:val="4"/>
      <w:numFmt w:val="decimal"/>
      <w:lvlText w:val="%1"/>
      <w:lvlJc w:val="left"/>
      <w:pPr>
        <w:ind w:left="1359" w:hanging="850"/>
        <w:jc w:val="left"/>
      </w:pPr>
      <w:rPr>
        <w:rFonts w:hint="default"/>
      </w:rPr>
    </w:lvl>
    <w:lvl w:ilvl="1">
      <w:start w:val="1"/>
      <w:numFmt w:val="decimal"/>
      <w:lvlText w:val="%1.%2"/>
      <w:lvlJc w:val="left"/>
      <w:pPr>
        <w:ind w:left="1359" w:hanging="850"/>
        <w:jc w:val="left"/>
      </w:pPr>
      <w:rPr>
        <w:rFonts w:ascii="Times New Roman" w:eastAsia="Times New Roman" w:hAnsi="Times New Roman" w:cs="Times New Roman" w:hint="default"/>
        <w:w w:val="100"/>
        <w:sz w:val="22"/>
        <w:szCs w:val="22"/>
      </w:rPr>
    </w:lvl>
    <w:lvl w:ilvl="2">
      <w:numFmt w:val="bullet"/>
      <w:lvlText w:val="•"/>
      <w:lvlJc w:val="left"/>
      <w:pPr>
        <w:ind w:left="4128" w:hanging="850"/>
      </w:pPr>
      <w:rPr>
        <w:rFonts w:hint="default"/>
      </w:rPr>
    </w:lvl>
    <w:lvl w:ilvl="3">
      <w:numFmt w:val="bullet"/>
      <w:lvlText w:val="•"/>
      <w:lvlJc w:val="left"/>
      <w:pPr>
        <w:ind w:left="5512" w:hanging="850"/>
      </w:pPr>
      <w:rPr>
        <w:rFonts w:hint="default"/>
      </w:rPr>
    </w:lvl>
    <w:lvl w:ilvl="4">
      <w:numFmt w:val="bullet"/>
      <w:lvlText w:val="•"/>
      <w:lvlJc w:val="left"/>
      <w:pPr>
        <w:ind w:left="6896" w:hanging="850"/>
      </w:pPr>
      <w:rPr>
        <w:rFonts w:hint="default"/>
      </w:rPr>
    </w:lvl>
    <w:lvl w:ilvl="5">
      <w:numFmt w:val="bullet"/>
      <w:lvlText w:val="•"/>
      <w:lvlJc w:val="left"/>
      <w:pPr>
        <w:ind w:left="8280" w:hanging="850"/>
      </w:pPr>
      <w:rPr>
        <w:rFonts w:hint="default"/>
      </w:rPr>
    </w:lvl>
    <w:lvl w:ilvl="6">
      <w:numFmt w:val="bullet"/>
      <w:lvlText w:val="•"/>
      <w:lvlJc w:val="left"/>
      <w:pPr>
        <w:ind w:left="9664" w:hanging="850"/>
      </w:pPr>
      <w:rPr>
        <w:rFonts w:hint="default"/>
      </w:rPr>
    </w:lvl>
    <w:lvl w:ilvl="7">
      <w:numFmt w:val="bullet"/>
      <w:lvlText w:val="•"/>
      <w:lvlJc w:val="left"/>
      <w:pPr>
        <w:ind w:left="11048" w:hanging="850"/>
      </w:pPr>
      <w:rPr>
        <w:rFonts w:hint="default"/>
      </w:rPr>
    </w:lvl>
    <w:lvl w:ilvl="8">
      <w:numFmt w:val="bullet"/>
      <w:lvlText w:val="•"/>
      <w:lvlJc w:val="left"/>
      <w:pPr>
        <w:ind w:left="12432" w:hanging="850"/>
      </w:pPr>
      <w:rPr>
        <w:rFonts w:hint="default"/>
      </w:rPr>
    </w:lvl>
  </w:abstractNum>
  <w:abstractNum w:abstractNumId="17" w15:restartNumberingAfterBreak="0">
    <w:nsid w:val="7A0D07BE"/>
    <w:multiLevelType w:val="multilevel"/>
    <w:tmpl w:val="877E6520"/>
    <w:lvl w:ilvl="0">
      <w:start w:val="3"/>
      <w:numFmt w:val="decimal"/>
      <w:lvlText w:val="%1"/>
      <w:lvlJc w:val="left"/>
      <w:pPr>
        <w:ind w:left="215" w:hanging="852"/>
        <w:jc w:val="left"/>
      </w:pPr>
      <w:rPr>
        <w:rFonts w:hint="default"/>
      </w:rPr>
    </w:lvl>
    <w:lvl w:ilvl="1">
      <w:start w:val="1"/>
      <w:numFmt w:val="decimal"/>
      <w:lvlText w:val="%1.%2"/>
      <w:lvlJc w:val="left"/>
      <w:pPr>
        <w:ind w:left="215"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300" w:hanging="852"/>
      </w:pPr>
      <w:rPr>
        <w:rFonts w:hint="default"/>
      </w:rPr>
    </w:lvl>
    <w:lvl w:ilvl="5">
      <w:numFmt w:val="bullet"/>
      <w:lvlText w:val="•"/>
      <w:lvlJc w:val="left"/>
      <w:pPr>
        <w:ind w:left="5380" w:hanging="852"/>
      </w:pPr>
      <w:rPr>
        <w:rFonts w:hint="default"/>
      </w:rPr>
    </w:lvl>
    <w:lvl w:ilvl="6">
      <w:numFmt w:val="bullet"/>
      <w:lvlText w:val="•"/>
      <w:lvlJc w:val="left"/>
      <w:pPr>
        <w:ind w:left="6460" w:hanging="852"/>
      </w:pPr>
      <w:rPr>
        <w:rFonts w:hint="default"/>
      </w:rPr>
    </w:lvl>
    <w:lvl w:ilvl="7">
      <w:numFmt w:val="bullet"/>
      <w:lvlText w:val="•"/>
      <w:lvlJc w:val="left"/>
      <w:pPr>
        <w:ind w:left="7540" w:hanging="852"/>
      </w:pPr>
      <w:rPr>
        <w:rFonts w:hint="default"/>
      </w:rPr>
    </w:lvl>
    <w:lvl w:ilvl="8">
      <w:numFmt w:val="bullet"/>
      <w:lvlText w:val="•"/>
      <w:lvlJc w:val="left"/>
      <w:pPr>
        <w:ind w:left="8620" w:hanging="852"/>
      </w:pPr>
      <w:rPr>
        <w:rFonts w:hint="default"/>
      </w:rPr>
    </w:lvl>
  </w:abstractNum>
  <w:num w:numId="1">
    <w:abstractNumId w:val="11"/>
  </w:num>
  <w:num w:numId="2">
    <w:abstractNumId w:val="1"/>
  </w:num>
  <w:num w:numId="3">
    <w:abstractNumId w:val="5"/>
  </w:num>
  <w:num w:numId="4">
    <w:abstractNumId w:val="16"/>
  </w:num>
  <w:num w:numId="5">
    <w:abstractNumId w:val="15"/>
  </w:num>
  <w:num w:numId="6">
    <w:abstractNumId w:val="4"/>
  </w:num>
  <w:num w:numId="7">
    <w:abstractNumId w:val="3"/>
  </w:num>
  <w:num w:numId="8">
    <w:abstractNumId w:val="10"/>
  </w:num>
  <w:num w:numId="9">
    <w:abstractNumId w:val="2"/>
  </w:num>
  <w:num w:numId="10">
    <w:abstractNumId w:val="12"/>
  </w:num>
  <w:num w:numId="11">
    <w:abstractNumId w:val="9"/>
  </w:num>
  <w:num w:numId="12">
    <w:abstractNumId w:val="13"/>
  </w:num>
  <w:num w:numId="13">
    <w:abstractNumId w:val="6"/>
  </w:num>
  <w:num w:numId="14">
    <w:abstractNumId w:val="17"/>
  </w:num>
  <w:num w:numId="15">
    <w:abstractNumId w:val="14"/>
  </w:num>
  <w:num w:numId="16">
    <w:abstractNumId w:val="0"/>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88">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2754CD"/>
    <w:rsid w:val="00166C67"/>
    <w:rsid w:val="00237C07"/>
    <w:rsid w:val="002754CD"/>
    <w:rsid w:val="00554666"/>
    <w:rsid w:val="0059640A"/>
    <w:rsid w:val="00E96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88">
      <v:textbox inset="5.85pt,.7pt,5.85pt,.7pt"/>
    </o:shapedefaults>
    <o:shapelayout v:ext="edit">
      <o:idmap v:ext="edit" data="1"/>
    </o:shapelayout>
  </w:shapeDefaults>
  <w:decimalSymbol w:val="."/>
  <w:listSeparator w:val=","/>
  <w15:docId w15:val="{E29BC001-9D9F-4614-A4FF-800E1BCC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
      <w:ind w:left="3085"/>
      <w:jc w:val="center"/>
      <w:outlineLvl w:val="0"/>
    </w:pPr>
    <w:rPr>
      <w:b/>
      <w:bCs/>
      <w:sz w:val="32"/>
      <w:szCs w:val="32"/>
    </w:rPr>
  </w:style>
  <w:style w:type="paragraph" w:styleId="2">
    <w:name w:val="heading 2"/>
    <w:basedOn w:val="a"/>
    <w:uiPriority w:val="9"/>
    <w:unhideWhenUsed/>
    <w:qFormat/>
    <w:pPr>
      <w:spacing w:before="89"/>
      <w:ind w:left="1078" w:hanging="852"/>
      <w:outlineLvl w:val="1"/>
    </w:pPr>
    <w:rPr>
      <w:b/>
      <w:bCs/>
      <w:sz w:val="28"/>
      <w:szCs w:val="28"/>
    </w:rPr>
  </w:style>
  <w:style w:type="paragraph" w:styleId="3">
    <w:name w:val="heading 3"/>
    <w:basedOn w:val="a"/>
    <w:uiPriority w:val="9"/>
    <w:unhideWhenUsed/>
    <w:qFormat/>
    <w:pPr>
      <w:spacing w:before="144"/>
      <w:ind w:left="1067"/>
      <w:outlineLvl w:val="2"/>
    </w:pPr>
    <w:rPr>
      <w:b/>
      <w:bCs/>
      <w:sz w:val="24"/>
      <w:szCs w:val="24"/>
    </w:rPr>
  </w:style>
  <w:style w:type="paragraph" w:styleId="4">
    <w:name w:val="heading 4"/>
    <w:basedOn w:val="a"/>
    <w:uiPriority w:val="9"/>
    <w:unhideWhenUsed/>
    <w:qFormat/>
    <w:pPr>
      <w:spacing w:before="118" w:line="273" w:lineRule="exact"/>
      <w:ind w:left="215"/>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trPr>
      <w:hidden/>
    </w:trPr>
  </w:style>
  <w:style w:type="paragraph" w:styleId="10">
    <w:name w:val="toc 1"/>
    <w:basedOn w:val="a"/>
    <w:uiPriority w:val="1"/>
    <w:qFormat/>
    <w:pPr>
      <w:spacing w:before="107"/>
      <w:ind w:left="1348" w:hanging="850"/>
    </w:pPr>
  </w:style>
  <w:style w:type="paragraph" w:styleId="20">
    <w:name w:val="toc 2"/>
    <w:basedOn w:val="a"/>
    <w:uiPriority w:val="1"/>
    <w:qFormat/>
    <w:pPr>
      <w:spacing w:before="107"/>
      <w:ind w:left="1775" w:hanging="994"/>
    </w:pPr>
  </w:style>
  <w:style w:type="paragraph" w:styleId="30">
    <w:name w:val="toc 3"/>
    <w:basedOn w:val="a"/>
    <w:uiPriority w:val="1"/>
    <w:qFormat/>
    <w:pPr>
      <w:spacing w:before="107"/>
      <w:ind w:left="2200" w:hanging="1133"/>
    </w:pPr>
  </w:style>
  <w:style w:type="paragraph" w:styleId="a3">
    <w:name w:val="Body Text"/>
    <w:basedOn w:val="a"/>
    <w:uiPriority w:val="1"/>
    <w:qFormat/>
    <w:pPr>
      <w:ind w:left="215"/>
    </w:pPr>
    <w:rPr>
      <w:sz w:val="24"/>
      <w:szCs w:val="24"/>
    </w:rPr>
  </w:style>
  <w:style w:type="paragraph" w:styleId="a4">
    <w:name w:val="List Paragraph"/>
    <w:basedOn w:val="a"/>
    <w:uiPriority w:val="1"/>
    <w:qFormat/>
    <w:pPr>
      <w:spacing w:before="107"/>
      <w:ind w:left="1067" w:hanging="852"/>
    </w:pPr>
  </w:style>
  <w:style w:type="paragraph" w:customStyle="1" w:styleId="TableParagraph">
    <w:name w:val="Table Paragraph"/>
    <w:basedOn w:val="a"/>
    <w:uiPriority w:val="1"/>
    <w:qFormat/>
    <w:pPr>
      <w:spacing w:line="210" w:lineRule="exact"/>
      <w:jc w:val="center"/>
    </w:pPr>
  </w:style>
  <w:style w:type="paragraph" w:styleId="a5">
    <w:name w:val="header"/>
    <w:basedOn w:val="a"/>
    <w:link w:val="a6"/>
    <w:uiPriority w:val="99"/>
    <w:unhideWhenUsed/>
    <w:rsid w:val="00166C67"/>
    <w:pPr>
      <w:tabs>
        <w:tab w:val="center" w:pos="4252"/>
        <w:tab w:val="right" w:pos="8504"/>
      </w:tabs>
      <w:snapToGrid w:val="0"/>
    </w:pPr>
  </w:style>
  <w:style w:type="character" w:customStyle="1" w:styleId="a6">
    <w:name w:val="ヘッダー (文字)"/>
    <w:basedOn w:val="a0"/>
    <w:link w:val="a5"/>
    <w:uiPriority w:val="99"/>
    <w:rsid w:val="00166C67"/>
    <w:rPr>
      <w:rFonts w:ascii="Times New Roman" w:eastAsia="Times New Roman" w:hAnsi="Times New Roman" w:cs="Times New Roman"/>
    </w:rPr>
  </w:style>
  <w:style w:type="paragraph" w:styleId="a7">
    <w:name w:val="footer"/>
    <w:basedOn w:val="a"/>
    <w:link w:val="a8"/>
    <w:uiPriority w:val="99"/>
    <w:unhideWhenUsed/>
    <w:rsid w:val="00166C67"/>
    <w:pPr>
      <w:tabs>
        <w:tab w:val="center" w:pos="4252"/>
        <w:tab w:val="right" w:pos="8504"/>
      </w:tabs>
      <w:snapToGrid w:val="0"/>
    </w:pPr>
  </w:style>
  <w:style w:type="character" w:customStyle="1" w:styleId="a8">
    <w:name w:val="フッター (文字)"/>
    <w:basedOn w:val="a0"/>
    <w:link w:val="a7"/>
    <w:uiPriority w:val="99"/>
    <w:rsid w:val="00166C6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C7A575-6965-41C2-A7C6-902BBD6A4D27}"/>
</file>

<file path=customXml/itemProps2.xml><?xml version="1.0" encoding="utf-8"?>
<ds:datastoreItem xmlns:ds="http://schemas.openxmlformats.org/officeDocument/2006/customXml" ds:itemID="{E5B48B3B-5AD4-4ACA-B253-F754AB6E9D7F}"/>
</file>

<file path=customXml/itemProps3.xml><?xml version="1.0" encoding="utf-8"?>
<ds:datastoreItem xmlns:ds="http://schemas.openxmlformats.org/officeDocument/2006/customXml" ds:itemID="{EB44649A-5F5B-42FA-B04C-E36445B2126B}"/>
</file>

<file path=docProps/app.xml><?xml version="1.0" encoding="utf-8"?>
<Properties xmlns="http://schemas.openxmlformats.org/officeDocument/2006/extended-properties" xmlns:vt="http://schemas.openxmlformats.org/officeDocument/2006/docPropsVTypes">
  <Template>Normal</Template>
  <TotalTime>9</TotalTime>
  <Pages>12</Pages>
  <Words>4696</Words>
  <Characters>26772</Characters>
  <Application>Microsoft Office Word</Application>
  <DocSecurity>0</DocSecurity>
  <Lines>223</Lines>
  <Paragraphs>62</Paragraphs>
  <ScaleCrop>false</ScaleCrop>
  <Company/>
  <LinksUpToDate>false</LinksUpToDate>
  <CharactersWithSpaces>31406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2021-06-22T01:11:00Z</dcterms:created>
  <dcterms:modified xsi:type="dcterms:W3CDTF">2021-07-08T09:01:00Z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2013-04-03T00:00:00Z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