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13B" w:rsidRDefault="00602CED">
      <w:pPr>
        <w:pStyle w:val="4"/>
        <w:numPr>
          <w:ilvl w:val="2"/>
          <w:numId w:val="12"/>
        </w:numPr>
        <w:tabs>
          <w:tab w:val="left" w:pos="1067"/>
          <w:tab w:val="left" w:pos="1068"/>
        </w:tabs>
        <w:spacing w:before="148"/>
      </w:pPr>
      <w:bookmarkStart w:id="0" w:name="4.1.3_Safety_Pharmacology"/>
      <w:bookmarkStart w:id="1" w:name="_bookmark19"/>
      <w:bookmarkEnd w:id="0"/>
      <w:bookmarkEnd w:id="1"/>
      <w:r>
        <w:t>Safety</w:t>
      </w:r>
      <w:r>
        <w:rPr>
          <w:spacing w:val="-2"/>
        </w:rPr>
        <w:t xml:space="preserve"> </w:t>
      </w:r>
      <w:r>
        <w:t>Pharmacology</w:t>
      </w:r>
    </w:p>
    <w:p w:rsidR="00B4513B" w:rsidRDefault="00602CED">
      <w:pPr>
        <w:pStyle w:val="a3"/>
        <w:spacing w:before="140" w:line="261" w:lineRule="auto"/>
        <w:ind w:left="215" w:right="454"/>
      </w:pPr>
      <w:r>
        <w:t xml:space="preserve">A total of 4 safety pharmacology studies were performed in accordance with Good Laboratory Practice (GLP) and guidelines of the International Conference on Harmonization of Technical Requirements for Registration of Pharmaceuticals for Human Use (ICH). All doses and plasma concentrations are shown as </w:t>
      </w:r>
      <w:r w:rsidR="00FC4CF0">
        <w:t>PROJECT P</w:t>
      </w:r>
      <w:r>
        <w:t xml:space="preserve"> (free base). An overview of safety pharmacological studies of </w:t>
      </w:r>
      <w:r w:rsidR="00FC4CF0">
        <w:t>PROJECT P</w:t>
      </w:r>
      <w:r>
        <w:t xml:space="preserve"> can be found in End-of-Text Table 1.2.</w:t>
      </w:r>
    </w:p>
    <w:p w:rsidR="00B4513B" w:rsidRDefault="00B4513B">
      <w:pPr>
        <w:pStyle w:val="a3"/>
        <w:spacing w:before="10"/>
        <w:rPr>
          <w:sz w:val="17"/>
        </w:rPr>
      </w:pPr>
    </w:p>
    <w:p w:rsidR="00B4513B" w:rsidRDefault="00602CED">
      <w:pPr>
        <w:pStyle w:val="4"/>
        <w:numPr>
          <w:ilvl w:val="3"/>
          <w:numId w:val="12"/>
        </w:numPr>
        <w:tabs>
          <w:tab w:val="left" w:pos="1068"/>
        </w:tabs>
      </w:pPr>
      <w:bookmarkStart w:id="2" w:name="4.1.3.1_In_Vivo_Effects_on_Central_Nervo"/>
      <w:bookmarkStart w:id="3" w:name="_bookmark20"/>
      <w:bookmarkEnd w:id="2"/>
      <w:bookmarkEnd w:id="3"/>
      <w:r>
        <w:t>In Vivo Effects on Central Nervous</w:t>
      </w:r>
      <w:r>
        <w:rPr>
          <w:spacing w:val="-6"/>
        </w:rPr>
        <w:t xml:space="preserve"> </w:t>
      </w:r>
      <w:r>
        <w:t>System</w:t>
      </w:r>
    </w:p>
    <w:p w:rsidR="00B4513B" w:rsidRDefault="00FC4CF0">
      <w:pPr>
        <w:pStyle w:val="a3"/>
        <w:spacing w:before="139" w:line="261" w:lineRule="auto"/>
        <w:ind w:left="215" w:right="1020"/>
      </w:pPr>
      <w:r>
        <w:t>PROJECT P</w:t>
      </w:r>
      <w:r w:rsidR="00602CED">
        <w:t xml:space="preserve">, as a single dose, was administered orally at dose levels of 50, 300, and 2000 mg/kg to male rats (Study </w:t>
      </w:r>
      <w:r>
        <w:t>Project P</w:t>
      </w:r>
      <w:r w:rsidR="00602CED">
        <w:t xml:space="preserve">-PT-0001). </w:t>
      </w:r>
      <w:r>
        <w:t>PROJECT P</w:t>
      </w:r>
      <w:r w:rsidR="00602CED">
        <w:t xml:space="preserve"> had no effect on the</w:t>
      </w:r>
      <w:r w:rsidR="00602CED">
        <w:rPr>
          <w:spacing w:val="-14"/>
        </w:rPr>
        <w:t xml:space="preserve"> </w:t>
      </w:r>
      <w:r w:rsidR="00602CED">
        <w:t>general physical condition or behavior in male</w:t>
      </w:r>
      <w:r w:rsidR="00602CED">
        <w:rPr>
          <w:spacing w:val="-2"/>
        </w:rPr>
        <w:t xml:space="preserve"> </w:t>
      </w:r>
      <w:r w:rsidR="00602CED">
        <w:t>rats.</w:t>
      </w:r>
    </w:p>
    <w:p w:rsidR="00B4513B" w:rsidRDefault="00602CED">
      <w:pPr>
        <w:pStyle w:val="4"/>
        <w:numPr>
          <w:ilvl w:val="3"/>
          <w:numId w:val="12"/>
        </w:numPr>
        <w:tabs>
          <w:tab w:val="left" w:pos="1068"/>
        </w:tabs>
        <w:spacing w:before="122"/>
      </w:pPr>
      <w:bookmarkStart w:id="4" w:name="4.1.3.2_In_Vitro_Effects_on_Human_Ether-"/>
      <w:bookmarkStart w:id="5" w:name="_bookmark21"/>
      <w:bookmarkEnd w:id="4"/>
      <w:bookmarkEnd w:id="5"/>
      <w:r>
        <w:t>In Vitro Effects on Human Ether-à-go-go-related Gene (</w:t>
      </w:r>
      <w:proofErr w:type="spellStart"/>
      <w:r>
        <w:t>hERG</w:t>
      </w:r>
      <w:proofErr w:type="spellEnd"/>
      <w:r>
        <w:t>)</w:t>
      </w:r>
      <w:r>
        <w:rPr>
          <w:spacing w:val="-8"/>
        </w:rPr>
        <w:t xml:space="preserve"> </w:t>
      </w:r>
      <w:r>
        <w:t>Current</w:t>
      </w:r>
    </w:p>
    <w:p w:rsidR="00B4513B" w:rsidRDefault="00602CED">
      <w:pPr>
        <w:pStyle w:val="a3"/>
        <w:spacing w:before="140" w:line="261" w:lineRule="auto"/>
        <w:ind w:left="215" w:right="967"/>
      </w:pPr>
      <w:r>
        <w:t xml:space="preserve">The effects of </w:t>
      </w:r>
      <w:r w:rsidR="00FC4CF0">
        <w:t>PROJECT P</w:t>
      </w:r>
      <w:r>
        <w:t xml:space="preserve"> on the </w:t>
      </w:r>
      <w:proofErr w:type="spellStart"/>
      <w:r>
        <w:t>hERG</w:t>
      </w:r>
      <w:proofErr w:type="spellEnd"/>
      <w:r>
        <w:t xml:space="preserve"> current were studied in </w:t>
      </w:r>
      <w:proofErr w:type="spellStart"/>
      <w:r>
        <w:t>hERG</w:t>
      </w:r>
      <w:proofErr w:type="spellEnd"/>
      <w:r>
        <w:t xml:space="preserve"> transfected human embryonic kidney (HEK293) cells using the whole-cell patch-clamp technique (Study</w:t>
      </w:r>
    </w:p>
    <w:p w:rsidR="00B4513B" w:rsidRDefault="00FC4CF0">
      <w:pPr>
        <w:pStyle w:val="a3"/>
        <w:spacing w:line="261" w:lineRule="auto"/>
        <w:ind w:left="215" w:right="493"/>
      </w:pPr>
      <w:r>
        <w:t>Project P</w:t>
      </w:r>
      <w:r w:rsidR="00602CED">
        <w:t xml:space="preserve">-PT-0002). The compensated suppression rates of </w:t>
      </w:r>
      <w:r>
        <w:t>PROJECT P</w:t>
      </w:r>
      <w:r w:rsidR="00602CED">
        <w:t xml:space="preserve"> at exposure concentrations of 2.3×10</w:t>
      </w:r>
      <w:r w:rsidR="00602CED">
        <w:rPr>
          <w:vertAlign w:val="superscript"/>
        </w:rPr>
        <w:t>−7</w:t>
      </w:r>
      <w:r w:rsidR="00602CED">
        <w:t>, 2.2×10</w:t>
      </w:r>
      <w:r w:rsidR="00602CED">
        <w:rPr>
          <w:vertAlign w:val="superscript"/>
        </w:rPr>
        <w:t>−6</w:t>
      </w:r>
      <w:r w:rsidR="00602CED">
        <w:t>, and 2.5×10</w:t>
      </w:r>
      <w:r w:rsidR="00602CED">
        <w:rPr>
          <w:vertAlign w:val="superscript"/>
        </w:rPr>
        <w:t>−5</w:t>
      </w:r>
      <w:r w:rsidR="00602CED">
        <w:t xml:space="preserve"> mol/L were 6.8%, 4.0%, and 11.8%, respectively; a statistically significant difference was noted at the highest concentration of 2.5×10</w:t>
      </w:r>
      <w:r w:rsidR="00602CED">
        <w:rPr>
          <w:vertAlign w:val="superscript"/>
        </w:rPr>
        <w:t>−5</w:t>
      </w:r>
      <w:r w:rsidR="00602CED">
        <w:t xml:space="preserve"> mol/L when compared to the rate in the control group.</w:t>
      </w:r>
    </w:p>
    <w:p w:rsidR="00B4513B" w:rsidRDefault="00602CED">
      <w:pPr>
        <w:pStyle w:val="4"/>
        <w:numPr>
          <w:ilvl w:val="3"/>
          <w:numId w:val="12"/>
        </w:numPr>
        <w:tabs>
          <w:tab w:val="left" w:pos="1068"/>
        </w:tabs>
        <w:spacing w:before="120"/>
      </w:pPr>
      <w:bookmarkStart w:id="6" w:name="4.1.3.3_In_Vitro_Effects_on_Action_Poten"/>
      <w:bookmarkStart w:id="7" w:name="_bookmark22"/>
      <w:bookmarkEnd w:id="6"/>
      <w:bookmarkEnd w:id="7"/>
      <w:r>
        <w:t>In Vitro Effects on Action Potential</w:t>
      </w:r>
      <w:r>
        <w:rPr>
          <w:spacing w:val="-4"/>
        </w:rPr>
        <w:t xml:space="preserve"> </w:t>
      </w:r>
      <w:r>
        <w:t>Duration</w:t>
      </w:r>
    </w:p>
    <w:p w:rsidR="00B4513B" w:rsidRDefault="00602CED">
      <w:pPr>
        <w:pStyle w:val="a3"/>
        <w:spacing w:before="139" w:line="261" w:lineRule="auto"/>
        <w:ind w:left="215" w:right="680"/>
      </w:pPr>
      <w:r>
        <w:t xml:space="preserve">The effects of </w:t>
      </w:r>
      <w:r w:rsidR="00FC4CF0">
        <w:t>PROJECT P</w:t>
      </w:r>
      <w:r>
        <w:t xml:space="preserve"> on action potentials in isolated guinea-pig papillary muscles were studied using the glass-electrode technique under a surface-</w:t>
      </w:r>
      <w:proofErr w:type="spellStart"/>
      <w:r>
        <w:t>superfusing</w:t>
      </w:r>
      <w:proofErr w:type="spellEnd"/>
      <w:r>
        <w:t xml:space="preserve"> condition</w:t>
      </w:r>
    </w:p>
    <w:p w:rsidR="00B4513B" w:rsidRDefault="00602CED">
      <w:pPr>
        <w:pStyle w:val="a3"/>
        <w:spacing w:line="261" w:lineRule="auto"/>
        <w:ind w:left="215" w:right="492"/>
      </w:pPr>
      <w:r>
        <w:t xml:space="preserve">(Study </w:t>
      </w:r>
      <w:r w:rsidR="00FC4CF0">
        <w:t>Project P</w:t>
      </w:r>
      <w:r>
        <w:t xml:space="preserve">-PT-0003). The test solutions of </w:t>
      </w:r>
      <w:r w:rsidR="00FC4CF0">
        <w:t>PROJECT P</w:t>
      </w:r>
      <w:r>
        <w:t xml:space="preserve"> prepared at concentrations of 3×10</w:t>
      </w:r>
      <w:r>
        <w:rPr>
          <w:vertAlign w:val="superscript"/>
        </w:rPr>
        <w:t>−7</w:t>
      </w:r>
      <w:r>
        <w:t>, 3×10</w:t>
      </w:r>
      <w:r>
        <w:rPr>
          <w:vertAlign w:val="superscript"/>
        </w:rPr>
        <w:t>−6</w:t>
      </w:r>
      <w:r>
        <w:t>, and 3×10</w:t>
      </w:r>
      <w:r>
        <w:rPr>
          <w:vertAlign w:val="superscript"/>
        </w:rPr>
        <w:t>−5</w:t>
      </w:r>
      <w:r>
        <w:t xml:space="preserve"> mol/L were applied for 35 min onto isolated papillary muscles in each experimental group. In the </w:t>
      </w:r>
      <w:r w:rsidR="00FC4CF0">
        <w:t>PROJECT P</w:t>
      </w:r>
      <w:r>
        <w:t xml:space="preserve"> groups, no effects on action potential duration, resting membrane potential, action potential amplitude or the maximum rate of change of volts per second (</w:t>
      </w:r>
      <w:proofErr w:type="spellStart"/>
      <w:r>
        <w:t>dV</w:t>
      </w:r>
      <w:proofErr w:type="spellEnd"/>
      <w:r>
        <w:t>/dt max) were observed at any concentration.</w:t>
      </w:r>
    </w:p>
    <w:p w:rsidR="00B4513B" w:rsidRDefault="00602CED">
      <w:pPr>
        <w:pStyle w:val="4"/>
        <w:numPr>
          <w:ilvl w:val="3"/>
          <w:numId w:val="12"/>
        </w:numPr>
        <w:tabs>
          <w:tab w:val="left" w:pos="1068"/>
        </w:tabs>
        <w:spacing w:before="119"/>
      </w:pPr>
      <w:bookmarkStart w:id="8" w:name="4.1.3.4_In_Vivo_Effects_on_Central_Nervo"/>
      <w:bookmarkStart w:id="9" w:name="_bookmark23"/>
      <w:bookmarkEnd w:id="8"/>
      <w:bookmarkEnd w:id="9"/>
      <w:r>
        <w:t>In Vivo Effects on Central Nervous, Cardiovascular and Respiratory</w:t>
      </w:r>
      <w:r>
        <w:rPr>
          <w:spacing w:val="-17"/>
        </w:rPr>
        <w:t xml:space="preserve"> </w:t>
      </w:r>
      <w:r>
        <w:t>Systems</w:t>
      </w:r>
    </w:p>
    <w:p w:rsidR="00B4513B" w:rsidRDefault="00FC4CF0">
      <w:pPr>
        <w:pStyle w:val="a3"/>
        <w:spacing w:before="139"/>
        <w:ind w:left="215"/>
      </w:pPr>
      <w:r>
        <w:t>PROJECT P</w:t>
      </w:r>
      <w:r w:rsidR="00602CED">
        <w:t>, as a single dose, was administered orally at dose levels of 20, 100, and</w:t>
      </w:r>
    </w:p>
    <w:p w:rsidR="00B4513B" w:rsidRDefault="00602CED">
      <w:pPr>
        <w:pStyle w:val="a3"/>
        <w:spacing w:before="24" w:line="261" w:lineRule="auto"/>
        <w:ind w:left="215" w:right="386"/>
      </w:pPr>
      <w:r>
        <w:t xml:space="preserve">1000 mg/kg to male dogs (Study </w:t>
      </w:r>
      <w:r w:rsidR="00FC4CF0">
        <w:t>Project P</w:t>
      </w:r>
      <w:r>
        <w:t xml:space="preserve">-PT-0004). </w:t>
      </w:r>
      <w:r w:rsidR="00FC4CF0">
        <w:t>PROJECT P</w:t>
      </w:r>
      <w:r>
        <w:t xml:space="preserve"> did not affect the general activity and behavior, body temperature, blood pressure, heart rate, electrocardiogram, respiration rate, blood gases, or blood-electrolyte concentration at the dose of 20 mg/kg. At 100 mg/kg, salivation was noted in 1 animal. At 1000 mg/kg, salivation in 1 animal, vomiting in</w:t>
      </w:r>
    </w:p>
    <w:p w:rsidR="00B4513B" w:rsidRDefault="00602CED">
      <w:pPr>
        <w:pStyle w:val="a3"/>
        <w:spacing w:line="261" w:lineRule="auto"/>
        <w:ind w:left="215" w:right="367"/>
      </w:pPr>
      <w:r>
        <w:t xml:space="preserve">3 animals, grayish stool in 2 animals, compound-colored feces in 2 animals were observed. A statistically significant increase in heart rate (up to 25 beats/min increase from pre-dosing) was noted 2 to 8 h after administration in animals treated with 1000 mg/kg </w:t>
      </w:r>
      <w:r w:rsidR="00FC4CF0">
        <w:t>PROJECT P</w:t>
      </w:r>
      <w:r>
        <w:t>.</w:t>
      </w:r>
    </w:p>
    <w:p w:rsidR="00DD7227" w:rsidRDefault="00DD7227">
      <w:pPr>
        <w:pStyle w:val="a3"/>
        <w:spacing w:line="261" w:lineRule="auto"/>
        <w:ind w:left="215" w:right="367"/>
      </w:pPr>
    </w:p>
    <w:p w:rsidR="00B4513B" w:rsidRDefault="00602CED">
      <w:pPr>
        <w:pStyle w:val="2"/>
        <w:numPr>
          <w:ilvl w:val="1"/>
          <w:numId w:val="8"/>
        </w:numPr>
        <w:tabs>
          <w:tab w:val="left" w:pos="1067"/>
          <w:tab w:val="left" w:pos="1068"/>
        </w:tabs>
        <w:spacing w:before="124"/>
      </w:pPr>
      <w:bookmarkStart w:id="10" w:name="4.1.4_Pharmacodynamic_Drug_Interactions"/>
      <w:bookmarkStart w:id="11" w:name="_bookmark24"/>
      <w:bookmarkStart w:id="12" w:name="4.2_Pharmacokinetics_and_Product_Metabol"/>
      <w:bookmarkStart w:id="13" w:name="_bookmark26"/>
      <w:bookmarkStart w:id="14" w:name="4.3_Toxicology"/>
      <w:bookmarkStart w:id="15" w:name="_bookmark44"/>
      <w:bookmarkEnd w:id="10"/>
      <w:bookmarkEnd w:id="11"/>
      <w:bookmarkEnd w:id="12"/>
      <w:bookmarkEnd w:id="13"/>
      <w:bookmarkEnd w:id="14"/>
      <w:bookmarkEnd w:id="15"/>
      <w:r>
        <w:t>Toxicology</w:t>
      </w:r>
    </w:p>
    <w:p w:rsidR="00B4513B" w:rsidRDefault="00602CED">
      <w:pPr>
        <w:pStyle w:val="a3"/>
        <w:spacing w:before="140" w:line="261" w:lineRule="auto"/>
        <w:ind w:left="215" w:right="533"/>
      </w:pPr>
      <w:r>
        <w:t xml:space="preserve">A total of 12 toxicology studies were conducted in vitro and in rats, dogs and rabbits as part </w:t>
      </w:r>
      <w:r>
        <w:lastRenderedPageBreak/>
        <w:t xml:space="preserve">of the </w:t>
      </w:r>
      <w:r w:rsidR="00FC4CF0">
        <w:t>PROJECT P</w:t>
      </w:r>
      <w:r>
        <w:t xml:space="preserve"> development program. All pivotal studies were performed in accordance</w:t>
      </w:r>
    </w:p>
    <w:p w:rsidR="00B4513B" w:rsidRDefault="00B4513B">
      <w:pPr>
        <w:pStyle w:val="a3"/>
        <w:spacing w:before="5"/>
        <w:rPr>
          <w:sz w:val="17"/>
        </w:rPr>
      </w:pPr>
    </w:p>
    <w:p w:rsidR="00B4513B" w:rsidRDefault="00B10ABA">
      <w:pPr>
        <w:pStyle w:val="a3"/>
        <w:spacing w:before="90" w:line="261" w:lineRule="auto"/>
        <w:ind w:left="215" w:right="572"/>
      </w:pPr>
      <w:r>
        <w:pict>
          <v:rect id="_x0000_s1045" style="position:absolute;left:0;text-align:left;margin-left:127.7pt;margin-top:12.6pt;width:3pt;height:.6pt;z-index:-251658752;mso-position-horizontal-relative:page" fillcolor="black" stroked="f">
            <w10:wrap anchorx="page"/>
          </v:rect>
        </w:pict>
      </w:r>
      <w:r w:rsidR="00602CED">
        <w:t xml:space="preserve">with GLP and ICH guidelines. All doses and plasma concentrations are shown as </w:t>
      </w:r>
      <w:r w:rsidR="00FC4CF0">
        <w:t>PROJECT P</w:t>
      </w:r>
      <w:r w:rsidR="00602CED">
        <w:t xml:space="preserve"> (free base). An overview of toxicology studies of </w:t>
      </w:r>
      <w:r w:rsidR="00FC4CF0">
        <w:t>PROJECT P</w:t>
      </w:r>
      <w:r w:rsidR="00602CED">
        <w:t xml:space="preserve"> can be found in End-of-Text Tables 3.1, 3.2 and 3.3.</w:t>
      </w:r>
    </w:p>
    <w:p w:rsidR="00B4513B" w:rsidRDefault="00602CED">
      <w:pPr>
        <w:pStyle w:val="4"/>
        <w:numPr>
          <w:ilvl w:val="2"/>
          <w:numId w:val="8"/>
        </w:numPr>
        <w:tabs>
          <w:tab w:val="left" w:pos="1067"/>
          <w:tab w:val="left" w:pos="1068"/>
        </w:tabs>
        <w:spacing w:before="122"/>
      </w:pPr>
      <w:bookmarkStart w:id="16" w:name="4.3.1_Single-dose_Toxicity"/>
      <w:bookmarkStart w:id="17" w:name="_bookmark45"/>
      <w:bookmarkEnd w:id="16"/>
      <w:bookmarkEnd w:id="17"/>
      <w:r>
        <w:t>Single-dose</w:t>
      </w:r>
      <w:r>
        <w:rPr>
          <w:spacing w:val="-2"/>
        </w:rPr>
        <w:t xml:space="preserve"> </w:t>
      </w:r>
      <w:r>
        <w:t>Toxicity</w:t>
      </w:r>
    </w:p>
    <w:p w:rsidR="00B4513B" w:rsidRDefault="00602CED">
      <w:pPr>
        <w:pStyle w:val="a3"/>
        <w:spacing w:before="140"/>
        <w:ind w:left="215"/>
      </w:pPr>
      <w:r>
        <w:t>Tabulated results of single-dose toxicity studies can be found in End-of-Text Table 3.4.</w:t>
      </w:r>
    </w:p>
    <w:p w:rsidR="00B4513B" w:rsidRDefault="00602CED">
      <w:pPr>
        <w:pStyle w:val="4"/>
        <w:numPr>
          <w:ilvl w:val="3"/>
          <w:numId w:val="8"/>
        </w:numPr>
        <w:tabs>
          <w:tab w:val="left" w:pos="1068"/>
        </w:tabs>
        <w:spacing w:before="148"/>
      </w:pPr>
      <w:bookmarkStart w:id="18" w:name="4.3.1.1_Single-dose_Oral_Toxicity_in_Rat"/>
      <w:bookmarkStart w:id="19" w:name="_bookmark46"/>
      <w:bookmarkEnd w:id="18"/>
      <w:bookmarkEnd w:id="19"/>
      <w:r>
        <w:t>Single-dose Oral Toxicity in</w:t>
      </w:r>
      <w:r>
        <w:rPr>
          <w:spacing w:val="-5"/>
        </w:rPr>
        <w:t xml:space="preserve"> </w:t>
      </w:r>
      <w:r>
        <w:t>Rats</w:t>
      </w:r>
    </w:p>
    <w:p w:rsidR="00B4513B" w:rsidRDefault="00602CED">
      <w:pPr>
        <w:pStyle w:val="a3"/>
        <w:spacing w:before="140" w:line="261" w:lineRule="auto"/>
        <w:ind w:left="215" w:right="549"/>
        <w:jc w:val="both"/>
      </w:pPr>
      <w:r>
        <w:t xml:space="preserve">F344 rats were given a single oral administration of </w:t>
      </w:r>
      <w:r w:rsidR="00FC4CF0">
        <w:t>PROJECT P</w:t>
      </w:r>
      <w:r>
        <w:t xml:space="preserve"> at 300, 1000 and 2000 mg/kg (Study </w:t>
      </w:r>
      <w:r w:rsidR="00FC4CF0">
        <w:t>Project P</w:t>
      </w:r>
      <w:r>
        <w:t xml:space="preserve">-TX-0001). No deaths occurred. </w:t>
      </w:r>
      <w:proofErr w:type="gramStart"/>
      <w:r>
        <w:t>Thus</w:t>
      </w:r>
      <w:proofErr w:type="gramEnd"/>
      <w:r>
        <w:t xml:space="preserve"> the lethal dose level for male and female rats was higher than 2000 mg/kg. Mucous stool was observed in females in the 1000 mg/kg group. At 2000 mg/kg mucous stool was observed in males and females.</w:t>
      </w:r>
    </w:p>
    <w:p w:rsidR="00B4513B" w:rsidRDefault="00602CED">
      <w:pPr>
        <w:pStyle w:val="4"/>
        <w:numPr>
          <w:ilvl w:val="3"/>
          <w:numId w:val="8"/>
        </w:numPr>
        <w:tabs>
          <w:tab w:val="left" w:pos="1068"/>
        </w:tabs>
        <w:spacing w:before="121"/>
      </w:pPr>
      <w:bookmarkStart w:id="20" w:name="4.3.1.2_Single-dose_Oral_Toxicity_in_Dog"/>
      <w:bookmarkStart w:id="21" w:name="_bookmark47"/>
      <w:bookmarkEnd w:id="20"/>
      <w:bookmarkEnd w:id="21"/>
      <w:r>
        <w:t>Single-dose Oral Toxicity in</w:t>
      </w:r>
      <w:r>
        <w:rPr>
          <w:spacing w:val="-3"/>
        </w:rPr>
        <w:t xml:space="preserve"> </w:t>
      </w:r>
      <w:r>
        <w:t>Dogs</w:t>
      </w:r>
    </w:p>
    <w:p w:rsidR="00B4513B" w:rsidRDefault="00FC4CF0">
      <w:pPr>
        <w:pStyle w:val="a3"/>
        <w:spacing w:before="139"/>
        <w:ind w:left="215"/>
      </w:pPr>
      <w:r>
        <w:t>PROJECT P</w:t>
      </w:r>
      <w:r w:rsidR="00602CED">
        <w:t xml:space="preserve"> was given as a single oral administration to beagle dogs at a dose of 1000 or</w:t>
      </w:r>
    </w:p>
    <w:p w:rsidR="00B4513B" w:rsidRDefault="00602CED">
      <w:pPr>
        <w:pStyle w:val="a3"/>
        <w:spacing w:before="24" w:line="261" w:lineRule="auto"/>
        <w:ind w:left="215" w:right="447"/>
      </w:pPr>
      <w:r>
        <w:t xml:space="preserve">2000 mg/kg (Study </w:t>
      </w:r>
      <w:r w:rsidR="00FC4CF0">
        <w:t>Project P</w:t>
      </w:r>
      <w:r>
        <w:t xml:space="preserve">-TX-0002). No deaths occurred. </w:t>
      </w:r>
      <w:proofErr w:type="gramStart"/>
      <w:r>
        <w:t>Thus</w:t>
      </w:r>
      <w:proofErr w:type="gramEnd"/>
      <w:r>
        <w:t xml:space="preserve"> the lethal dose level for male and female dogs was higher than 2000 mg/kg. Vomitus was observed in males and females treated with 1000 mg/kg or more. In the females treated with 1000 mg/kg or more, abnormal stool color and decreased body weight, accompanied by decreased food consumption was observed on the day after dosing. In the males dosed with 2000 mg/kg, soft stool and abnormal stool color was observed.</w:t>
      </w:r>
    </w:p>
    <w:p w:rsidR="00B4513B" w:rsidRDefault="00602CED">
      <w:pPr>
        <w:pStyle w:val="4"/>
        <w:numPr>
          <w:ilvl w:val="2"/>
          <w:numId w:val="8"/>
        </w:numPr>
        <w:tabs>
          <w:tab w:val="left" w:pos="1067"/>
          <w:tab w:val="left" w:pos="1068"/>
        </w:tabs>
        <w:spacing w:before="120"/>
      </w:pPr>
      <w:bookmarkStart w:id="22" w:name="4.3.2_Repeated-dose_Toxicity"/>
      <w:bookmarkStart w:id="23" w:name="_bookmark48"/>
      <w:bookmarkEnd w:id="22"/>
      <w:bookmarkEnd w:id="23"/>
      <w:r>
        <w:t>Repeated-dose</w:t>
      </w:r>
      <w:r>
        <w:rPr>
          <w:spacing w:val="-2"/>
        </w:rPr>
        <w:t xml:space="preserve"> </w:t>
      </w:r>
      <w:r>
        <w:t>Toxicity</w:t>
      </w:r>
    </w:p>
    <w:p w:rsidR="00B4513B" w:rsidRDefault="00602CED">
      <w:pPr>
        <w:pStyle w:val="a3"/>
        <w:spacing w:before="140" w:line="261" w:lineRule="auto"/>
        <w:ind w:left="215" w:right="361"/>
      </w:pPr>
      <w:r>
        <w:t>Tabulated results of repeated-dose toxicity studies can be found in End-of-Text Table 3.5 and 3.6.</w:t>
      </w:r>
    </w:p>
    <w:p w:rsidR="00B4513B" w:rsidRDefault="00602CED">
      <w:pPr>
        <w:pStyle w:val="4"/>
        <w:numPr>
          <w:ilvl w:val="3"/>
          <w:numId w:val="8"/>
        </w:numPr>
        <w:tabs>
          <w:tab w:val="left" w:pos="1068"/>
        </w:tabs>
        <w:spacing w:before="123"/>
      </w:pPr>
      <w:bookmarkStart w:id="24" w:name="4.3.2.1_Four-week_Repeated-dose_Oral_Tox"/>
      <w:bookmarkStart w:id="25" w:name="_bookmark49"/>
      <w:bookmarkEnd w:id="24"/>
      <w:bookmarkEnd w:id="25"/>
      <w:r>
        <w:t>Four-week Repeated-dose Oral Toxicity in</w:t>
      </w:r>
      <w:r>
        <w:rPr>
          <w:spacing w:val="-3"/>
        </w:rPr>
        <w:t xml:space="preserve"> </w:t>
      </w:r>
      <w:r>
        <w:t>Rats</w:t>
      </w:r>
    </w:p>
    <w:p w:rsidR="00B4513B" w:rsidRDefault="00FC4CF0">
      <w:pPr>
        <w:pStyle w:val="a3"/>
        <w:spacing w:before="139" w:line="261" w:lineRule="auto"/>
        <w:ind w:left="215" w:right="500"/>
      </w:pPr>
      <w:r>
        <w:t>PROJECT P</w:t>
      </w:r>
      <w:r w:rsidR="00602CED">
        <w:t xml:space="preserve"> was administered orally once daily for 4 weeks at dose levels of 30, 100, 300, and 1000 mg/kg to male and female F344 rats (Study </w:t>
      </w:r>
      <w:r>
        <w:t>Project P</w:t>
      </w:r>
      <w:r w:rsidR="00602CED">
        <w:t>-TX-0003). At 1000 mg/kg, low hemoglobin concentration was noted in males, and high platelet count and high liver and adrenal weights were noted in females.</w:t>
      </w:r>
    </w:p>
    <w:p w:rsidR="00B4513B" w:rsidRDefault="00602CED">
      <w:pPr>
        <w:pStyle w:val="a3"/>
        <w:spacing w:before="117" w:line="261" w:lineRule="auto"/>
        <w:ind w:left="215" w:right="389"/>
      </w:pPr>
      <w:r>
        <w:t xml:space="preserve">In toxicokinetics, </w:t>
      </w:r>
      <w:proofErr w:type="spellStart"/>
      <w:r>
        <w:t>C</w:t>
      </w:r>
      <w:r>
        <w:rPr>
          <w:vertAlign w:val="subscript"/>
        </w:rPr>
        <w:t>max</w:t>
      </w:r>
      <w:proofErr w:type="spellEnd"/>
      <w:r>
        <w:t xml:space="preserve"> and AUC</w:t>
      </w:r>
      <w:r>
        <w:rPr>
          <w:vertAlign w:val="subscript"/>
        </w:rPr>
        <w:t>24</w:t>
      </w:r>
      <w:r>
        <w:t xml:space="preserve"> were markedly lower on Day 28 than on Day 1 in males at 300 and 1000 mg/kg and in females at 100, 300 and 1000 mg/kg. However, the overall systemic exposure of </w:t>
      </w:r>
      <w:r w:rsidR="00FC4CF0">
        <w:t>PROJECT P</w:t>
      </w:r>
      <w:r>
        <w:t xml:space="preserve"> increased over the dosing range during the dosing period.</w:t>
      </w:r>
    </w:p>
    <w:p w:rsidR="00B4513B" w:rsidRDefault="00602CED">
      <w:pPr>
        <w:pStyle w:val="a3"/>
        <w:spacing w:line="274" w:lineRule="exact"/>
        <w:ind w:left="215"/>
      </w:pPr>
      <w:proofErr w:type="spellStart"/>
      <w:r>
        <w:t>C</w:t>
      </w:r>
      <w:r>
        <w:rPr>
          <w:vertAlign w:val="subscript"/>
        </w:rPr>
        <w:t>max</w:t>
      </w:r>
      <w:proofErr w:type="spellEnd"/>
      <w:r>
        <w:t xml:space="preserve"> and AUC</w:t>
      </w:r>
      <w:r>
        <w:rPr>
          <w:vertAlign w:val="subscript"/>
        </w:rPr>
        <w:t>24</w:t>
      </w:r>
      <w:r>
        <w:t xml:space="preserve"> were generally greater in females than males.</w:t>
      </w:r>
    </w:p>
    <w:p w:rsidR="00B4513B" w:rsidRDefault="00602CED">
      <w:pPr>
        <w:pStyle w:val="a3"/>
        <w:spacing w:before="144" w:line="261" w:lineRule="auto"/>
        <w:ind w:left="215" w:right="526"/>
      </w:pPr>
      <w:r>
        <w:t xml:space="preserve">From these results it was concluded that the NOAEL of </w:t>
      </w:r>
      <w:r w:rsidR="00FC4CF0">
        <w:t>PROJECT P</w:t>
      </w:r>
      <w:r>
        <w:t xml:space="preserve"> when administered orally to rats for 4 weeks was 300 mg/kg/day for males and females. Changes noted during the dosing period recovered during the 4-week recovery period.</w:t>
      </w:r>
    </w:p>
    <w:p w:rsidR="00B4513B" w:rsidRPr="00FC4CF0" w:rsidRDefault="00602CED">
      <w:pPr>
        <w:pStyle w:val="4"/>
        <w:numPr>
          <w:ilvl w:val="3"/>
          <w:numId w:val="8"/>
        </w:numPr>
        <w:tabs>
          <w:tab w:val="left" w:pos="1068"/>
        </w:tabs>
        <w:spacing w:before="122"/>
        <w:rPr>
          <w:highlight w:val="cyan"/>
        </w:rPr>
      </w:pPr>
      <w:bookmarkStart w:id="26" w:name="4.3.2.2_Four-week_Repeated-dose_Oral_Tox"/>
      <w:bookmarkStart w:id="27" w:name="_bookmark50"/>
      <w:bookmarkEnd w:id="26"/>
      <w:bookmarkEnd w:id="27"/>
      <w:r w:rsidRPr="00FC4CF0">
        <w:rPr>
          <w:highlight w:val="cyan"/>
        </w:rPr>
        <w:t>Four-week Repeated-dose Oral Toxicity in</w:t>
      </w:r>
      <w:r w:rsidRPr="00FC4CF0">
        <w:rPr>
          <w:spacing w:val="-3"/>
          <w:highlight w:val="cyan"/>
        </w:rPr>
        <w:t xml:space="preserve"> </w:t>
      </w:r>
      <w:r w:rsidRPr="00FC4CF0">
        <w:rPr>
          <w:highlight w:val="cyan"/>
        </w:rPr>
        <w:t>Dogs</w:t>
      </w:r>
    </w:p>
    <w:p w:rsidR="00B4513B" w:rsidRPr="00FC4CF0" w:rsidRDefault="00FC4CF0">
      <w:pPr>
        <w:pStyle w:val="a3"/>
        <w:spacing w:before="139" w:line="261" w:lineRule="auto"/>
        <w:ind w:left="215" w:right="980"/>
        <w:rPr>
          <w:highlight w:val="cyan"/>
        </w:rPr>
      </w:pPr>
      <w:r w:rsidRPr="00FC4CF0">
        <w:rPr>
          <w:highlight w:val="cyan"/>
        </w:rPr>
        <w:t>PROJECT P</w:t>
      </w:r>
      <w:r w:rsidR="00602CED" w:rsidRPr="00FC4CF0">
        <w:rPr>
          <w:highlight w:val="cyan"/>
        </w:rPr>
        <w:t xml:space="preserve"> was administered orally once daily for 4 weeks at dose levels of 20, 100, and 1000 mg/kg to male and female beagle dogs (Study </w:t>
      </w:r>
      <w:r w:rsidRPr="00FC4CF0">
        <w:rPr>
          <w:highlight w:val="cyan"/>
        </w:rPr>
        <w:t>Project P</w:t>
      </w:r>
      <w:r w:rsidR="00602CED" w:rsidRPr="00FC4CF0">
        <w:rPr>
          <w:highlight w:val="cyan"/>
        </w:rPr>
        <w:t>-TX-0004).</w:t>
      </w:r>
    </w:p>
    <w:p w:rsidR="00B4513B" w:rsidRPr="00FC4CF0" w:rsidRDefault="00B4513B">
      <w:pPr>
        <w:spacing w:line="261" w:lineRule="auto"/>
        <w:rPr>
          <w:highlight w:val="cyan"/>
        </w:rPr>
        <w:sectPr w:rsidR="00B4513B" w:rsidRPr="00FC4CF0">
          <w:footerReference w:type="default" r:id="rId7"/>
          <w:pgSz w:w="12240" w:h="15840"/>
          <w:pgMar w:top="1420" w:right="1260" w:bottom="940" w:left="1400" w:header="581" w:footer="748" w:gutter="0"/>
          <w:cols w:space="720"/>
        </w:sectPr>
      </w:pPr>
    </w:p>
    <w:p w:rsidR="00B4513B" w:rsidRPr="00FC4CF0" w:rsidRDefault="00B4513B">
      <w:pPr>
        <w:pStyle w:val="a3"/>
        <w:spacing w:before="5"/>
        <w:rPr>
          <w:sz w:val="17"/>
          <w:highlight w:val="cyan"/>
        </w:rPr>
      </w:pPr>
    </w:p>
    <w:p w:rsidR="00B4513B" w:rsidRPr="00FC4CF0" w:rsidRDefault="00602CED">
      <w:pPr>
        <w:pStyle w:val="a3"/>
        <w:spacing w:before="90" w:line="261" w:lineRule="auto"/>
        <w:ind w:left="215" w:right="793"/>
        <w:rPr>
          <w:highlight w:val="cyan"/>
        </w:rPr>
      </w:pPr>
      <w:r w:rsidRPr="00FC4CF0">
        <w:rPr>
          <w:highlight w:val="cyan"/>
        </w:rPr>
        <w:t>In the 100 mg/kg group, vacuolation of the epithelium in the gallbladder was observed in males.</w:t>
      </w:r>
    </w:p>
    <w:p w:rsidR="00B4513B" w:rsidRPr="00FC4CF0" w:rsidRDefault="00602CED">
      <w:pPr>
        <w:pStyle w:val="a3"/>
        <w:spacing w:before="118" w:line="261" w:lineRule="auto"/>
        <w:ind w:left="215" w:right="353"/>
        <w:rPr>
          <w:highlight w:val="cyan"/>
        </w:rPr>
      </w:pPr>
      <w:r w:rsidRPr="00FC4CF0">
        <w:rPr>
          <w:highlight w:val="cyan"/>
        </w:rPr>
        <w:t>In the 1000 mg/kg group, vomiting, salivation and abnormal stool color was observed in all males and females. A high platelet count in both sexes, and high leukocyte count, monocyte count, and neutrophil count and ratio, and a low lymphocyte ratio in 1 male were noted on Day 27 of dosing. High total bilirubin and low total protein, albumin, globulin, and total cholesterol were noted in both sexes on Day 27 of dosing. High blood urea nitrogen, inorganic phosphorus, and sodium, and low calcium in both sexes, and high chloride in males were noted on Day 27 of dosing. In urinalysis, low sodium excretion in males and low chloride excretion in females were noted on Day 26 of dosing. Vacuolation of the epithelium in the gallbladder was observed in both sexes, and vacuolation of the hepatocytes in 1 male, and vacuolation of the epithelium in the duodenum, jejunum, and ileum in 1 female was observed. The vacuoles observed in the hepatocytes and in the epithelium of the gallbladder and small intestine were considered to contain triglyceride as detected by Oil-Red-O stain.</w:t>
      </w:r>
    </w:p>
    <w:p w:rsidR="00B4513B" w:rsidRPr="00FC4CF0" w:rsidRDefault="00602CED">
      <w:pPr>
        <w:pStyle w:val="a3"/>
        <w:spacing w:before="111" w:line="261" w:lineRule="auto"/>
        <w:ind w:left="215" w:right="383"/>
        <w:rPr>
          <w:highlight w:val="cyan"/>
        </w:rPr>
      </w:pPr>
      <w:r w:rsidRPr="00FC4CF0">
        <w:rPr>
          <w:highlight w:val="cyan"/>
        </w:rPr>
        <w:t xml:space="preserve">In toxicokinetics, mean </w:t>
      </w:r>
      <w:proofErr w:type="spellStart"/>
      <w:r w:rsidRPr="00FC4CF0">
        <w:rPr>
          <w:highlight w:val="cyan"/>
        </w:rPr>
        <w:t>C</w:t>
      </w:r>
      <w:r w:rsidRPr="00FC4CF0">
        <w:rPr>
          <w:highlight w:val="cyan"/>
          <w:vertAlign w:val="subscript"/>
        </w:rPr>
        <w:t>max</w:t>
      </w:r>
      <w:proofErr w:type="spellEnd"/>
      <w:r w:rsidRPr="00FC4CF0">
        <w:rPr>
          <w:highlight w:val="cyan"/>
        </w:rPr>
        <w:t xml:space="preserve"> increased dose dependently at 20 and 100 mg/kg, and increased less than the dose ratio at 100 and 1000 mg/kg. Mean AUC</w:t>
      </w:r>
      <w:r w:rsidRPr="00FC4CF0">
        <w:rPr>
          <w:highlight w:val="cyan"/>
          <w:vertAlign w:val="subscript"/>
        </w:rPr>
        <w:t>24</w:t>
      </w:r>
      <w:r w:rsidRPr="00FC4CF0">
        <w:rPr>
          <w:highlight w:val="cyan"/>
        </w:rPr>
        <w:t xml:space="preserve"> increased to a greater extent than the dose ratio at 20 and 100 mg/kg, and increased to a lesser extent than the dose ratio at 100 and 1000 mg/kg. </w:t>
      </w:r>
      <w:proofErr w:type="spellStart"/>
      <w:r w:rsidRPr="00FC4CF0">
        <w:rPr>
          <w:highlight w:val="cyan"/>
        </w:rPr>
        <w:t>C</w:t>
      </w:r>
      <w:r w:rsidRPr="00FC4CF0">
        <w:rPr>
          <w:highlight w:val="cyan"/>
          <w:vertAlign w:val="subscript"/>
        </w:rPr>
        <w:t>max</w:t>
      </w:r>
      <w:proofErr w:type="spellEnd"/>
      <w:r w:rsidRPr="00FC4CF0">
        <w:rPr>
          <w:highlight w:val="cyan"/>
        </w:rPr>
        <w:t xml:space="preserve"> and AUC</w:t>
      </w:r>
      <w:r w:rsidRPr="00FC4CF0">
        <w:rPr>
          <w:highlight w:val="cyan"/>
          <w:vertAlign w:val="subscript"/>
        </w:rPr>
        <w:t>24</w:t>
      </w:r>
      <w:r w:rsidRPr="00FC4CF0">
        <w:rPr>
          <w:highlight w:val="cyan"/>
        </w:rPr>
        <w:t xml:space="preserve"> did not change with repeated dosing at any dose level. Mean </w:t>
      </w:r>
      <w:proofErr w:type="spellStart"/>
      <w:r w:rsidRPr="00FC4CF0">
        <w:rPr>
          <w:highlight w:val="cyan"/>
        </w:rPr>
        <w:t>C</w:t>
      </w:r>
      <w:r w:rsidRPr="00FC4CF0">
        <w:rPr>
          <w:highlight w:val="cyan"/>
          <w:vertAlign w:val="subscript"/>
        </w:rPr>
        <w:t>max</w:t>
      </w:r>
      <w:proofErr w:type="spellEnd"/>
      <w:r w:rsidRPr="00FC4CF0">
        <w:rPr>
          <w:highlight w:val="cyan"/>
        </w:rPr>
        <w:t xml:space="preserve"> and AUC</w:t>
      </w:r>
      <w:r w:rsidRPr="00FC4CF0">
        <w:rPr>
          <w:highlight w:val="cyan"/>
          <w:vertAlign w:val="subscript"/>
        </w:rPr>
        <w:t>24</w:t>
      </w:r>
      <w:r w:rsidRPr="00FC4CF0">
        <w:rPr>
          <w:highlight w:val="cyan"/>
        </w:rPr>
        <w:t xml:space="preserve"> were comparable between males and females in all dose groups and at all sampling days.</w:t>
      </w:r>
    </w:p>
    <w:p w:rsidR="00B4513B" w:rsidRDefault="00602CED">
      <w:pPr>
        <w:pStyle w:val="a3"/>
        <w:spacing w:before="115" w:line="261" w:lineRule="auto"/>
        <w:ind w:left="215" w:right="526"/>
      </w:pPr>
      <w:r w:rsidRPr="00FC4CF0">
        <w:rPr>
          <w:highlight w:val="cyan"/>
        </w:rPr>
        <w:t xml:space="preserve">From these results it was concluded that the NOAEL of </w:t>
      </w:r>
      <w:r w:rsidR="00FC4CF0" w:rsidRPr="00FC4CF0">
        <w:rPr>
          <w:highlight w:val="cyan"/>
        </w:rPr>
        <w:t>PROJECT P</w:t>
      </w:r>
      <w:r w:rsidRPr="00FC4CF0">
        <w:rPr>
          <w:highlight w:val="cyan"/>
        </w:rPr>
        <w:t xml:space="preserve"> when administered orally to dogs for 4 weeks was 20 mg/kg/day for males and 100 mg/kg/day for females. The changes noted during the dosing period recovered during the 4-week recovery period.</w:t>
      </w:r>
    </w:p>
    <w:p w:rsidR="00B4513B" w:rsidRDefault="00602CED">
      <w:pPr>
        <w:pStyle w:val="4"/>
        <w:numPr>
          <w:ilvl w:val="2"/>
          <w:numId w:val="8"/>
        </w:numPr>
        <w:tabs>
          <w:tab w:val="left" w:pos="1067"/>
          <w:tab w:val="left" w:pos="1068"/>
        </w:tabs>
        <w:spacing w:before="122"/>
      </w:pPr>
      <w:bookmarkStart w:id="28" w:name="4.3.3_Genotoxicity"/>
      <w:bookmarkStart w:id="29" w:name="_bookmark51"/>
      <w:bookmarkEnd w:id="28"/>
      <w:bookmarkEnd w:id="29"/>
      <w:r>
        <w:t>Genotoxicity</w:t>
      </w:r>
    </w:p>
    <w:p w:rsidR="00B4513B" w:rsidRDefault="00602CED">
      <w:pPr>
        <w:pStyle w:val="a3"/>
        <w:spacing w:before="139"/>
        <w:ind w:left="215"/>
      </w:pPr>
      <w:r>
        <w:t>Tabulated results of genotoxicity studies can be found in End-of-Text Tables 3.7 and 3.8.</w:t>
      </w:r>
    </w:p>
    <w:p w:rsidR="00B4513B" w:rsidRPr="00FC4CF0" w:rsidRDefault="00602CED">
      <w:pPr>
        <w:pStyle w:val="4"/>
        <w:numPr>
          <w:ilvl w:val="3"/>
          <w:numId w:val="8"/>
        </w:numPr>
        <w:tabs>
          <w:tab w:val="left" w:pos="1068"/>
        </w:tabs>
        <w:spacing w:before="149"/>
        <w:rPr>
          <w:highlight w:val="yellow"/>
        </w:rPr>
      </w:pPr>
      <w:bookmarkStart w:id="30" w:name="4.3.3.1_In_Vitro_Reverse_Mutation"/>
      <w:bookmarkStart w:id="31" w:name="_bookmark52"/>
      <w:bookmarkEnd w:id="30"/>
      <w:bookmarkEnd w:id="31"/>
      <w:r w:rsidRPr="00FC4CF0">
        <w:rPr>
          <w:highlight w:val="yellow"/>
        </w:rPr>
        <w:t>In Vitro Reverse</w:t>
      </w:r>
      <w:r w:rsidRPr="00FC4CF0">
        <w:rPr>
          <w:spacing w:val="-1"/>
          <w:highlight w:val="yellow"/>
        </w:rPr>
        <w:t xml:space="preserve"> </w:t>
      </w:r>
      <w:r w:rsidRPr="00FC4CF0">
        <w:rPr>
          <w:highlight w:val="yellow"/>
        </w:rPr>
        <w:t>Mutation</w:t>
      </w:r>
    </w:p>
    <w:p w:rsidR="00B4513B" w:rsidRPr="00FC4CF0" w:rsidRDefault="00602CED">
      <w:pPr>
        <w:pStyle w:val="a3"/>
        <w:spacing w:before="139" w:line="261" w:lineRule="auto"/>
        <w:ind w:left="215" w:right="650"/>
        <w:jc w:val="both"/>
        <w:rPr>
          <w:highlight w:val="yellow"/>
        </w:rPr>
      </w:pPr>
      <w:r w:rsidRPr="00FC4CF0">
        <w:rPr>
          <w:highlight w:val="yellow"/>
        </w:rPr>
        <w:t xml:space="preserve">The mutagenicity of </w:t>
      </w:r>
      <w:r w:rsidR="00FC4CF0" w:rsidRPr="00FC4CF0">
        <w:rPr>
          <w:highlight w:val="yellow"/>
        </w:rPr>
        <w:t>PROJECT P</w:t>
      </w:r>
      <w:r w:rsidRPr="00FC4CF0">
        <w:rPr>
          <w:highlight w:val="yellow"/>
        </w:rPr>
        <w:t xml:space="preserve"> was examined in the presence and absence of S9 Mix using </w:t>
      </w:r>
      <w:r w:rsidRPr="00FC4CF0">
        <w:rPr>
          <w:i/>
          <w:highlight w:val="yellow"/>
        </w:rPr>
        <w:t xml:space="preserve">Salmonella typhimurium </w:t>
      </w:r>
      <w:r w:rsidRPr="00FC4CF0">
        <w:rPr>
          <w:highlight w:val="yellow"/>
        </w:rPr>
        <w:t xml:space="preserve">TA100, TA98, TA1535, and TA1537, as well as </w:t>
      </w:r>
      <w:r w:rsidRPr="00FC4CF0">
        <w:rPr>
          <w:i/>
          <w:highlight w:val="yellow"/>
        </w:rPr>
        <w:t xml:space="preserve">Escherichia coli </w:t>
      </w:r>
      <w:r w:rsidRPr="00FC4CF0">
        <w:rPr>
          <w:highlight w:val="yellow"/>
        </w:rPr>
        <w:t xml:space="preserve">WP2 </w:t>
      </w:r>
      <w:proofErr w:type="spellStart"/>
      <w:r w:rsidRPr="00FC4CF0">
        <w:rPr>
          <w:highlight w:val="yellow"/>
        </w:rPr>
        <w:t>uvrA</w:t>
      </w:r>
      <w:proofErr w:type="spellEnd"/>
      <w:r w:rsidRPr="00FC4CF0">
        <w:rPr>
          <w:highlight w:val="yellow"/>
        </w:rPr>
        <w:t xml:space="preserve"> (Study </w:t>
      </w:r>
      <w:r w:rsidR="00FC4CF0" w:rsidRPr="00FC4CF0">
        <w:rPr>
          <w:highlight w:val="yellow"/>
        </w:rPr>
        <w:t>Project P</w:t>
      </w:r>
      <w:r w:rsidRPr="00FC4CF0">
        <w:rPr>
          <w:highlight w:val="yellow"/>
        </w:rPr>
        <w:t xml:space="preserve">-TX-0009). </w:t>
      </w:r>
      <w:r w:rsidR="00FC4CF0" w:rsidRPr="00FC4CF0">
        <w:rPr>
          <w:highlight w:val="yellow"/>
        </w:rPr>
        <w:t>PROJECT P</w:t>
      </w:r>
      <w:r w:rsidRPr="00FC4CF0">
        <w:rPr>
          <w:highlight w:val="yellow"/>
        </w:rPr>
        <w:t xml:space="preserve"> inhibited the growth of TA100 at</w:t>
      </w:r>
    </w:p>
    <w:p w:rsidR="00B4513B" w:rsidRDefault="00602CED">
      <w:pPr>
        <w:pStyle w:val="a3"/>
        <w:spacing w:line="261" w:lineRule="auto"/>
        <w:ind w:left="215" w:right="646"/>
      </w:pPr>
      <w:r w:rsidRPr="00FC4CF0">
        <w:rPr>
          <w:highlight w:val="yellow"/>
        </w:rPr>
        <w:t xml:space="preserve">5000 mcg/plate without metabolic activation. No inhibition was noted in other strains with and without metabolic activation. At doses of 156 to 5000 mcg/plate, </w:t>
      </w:r>
      <w:r w:rsidR="00FC4CF0" w:rsidRPr="00FC4CF0">
        <w:rPr>
          <w:highlight w:val="yellow"/>
        </w:rPr>
        <w:t>PROJECT P</w:t>
      </w:r>
      <w:r w:rsidRPr="00FC4CF0">
        <w:rPr>
          <w:highlight w:val="yellow"/>
        </w:rPr>
        <w:t xml:space="preserve"> did not increase the mean number of revertant colonies by 2-fold more than in the vehicle control group for any bacterial strain tested, regardless of the presence or absence of metabolic activation. These results indicate that </w:t>
      </w:r>
      <w:r w:rsidR="00FC4CF0" w:rsidRPr="00FC4CF0">
        <w:rPr>
          <w:highlight w:val="yellow"/>
        </w:rPr>
        <w:t>PROJECT P</w:t>
      </w:r>
      <w:r w:rsidRPr="00FC4CF0">
        <w:rPr>
          <w:highlight w:val="yellow"/>
        </w:rPr>
        <w:t xml:space="preserve"> has no mutagenic potential.</w:t>
      </w:r>
    </w:p>
    <w:p w:rsidR="00B4513B" w:rsidRDefault="00602CED">
      <w:pPr>
        <w:pStyle w:val="4"/>
        <w:numPr>
          <w:ilvl w:val="3"/>
          <w:numId w:val="8"/>
        </w:numPr>
        <w:tabs>
          <w:tab w:val="left" w:pos="1068"/>
        </w:tabs>
        <w:spacing w:before="119"/>
      </w:pPr>
      <w:bookmarkStart w:id="32" w:name="4.3.3.2_In_Vitro_Chromosome_Aberration"/>
      <w:bookmarkStart w:id="33" w:name="_bookmark53"/>
      <w:bookmarkEnd w:id="32"/>
      <w:bookmarkEnd w:id="33"/>
      <w:r>
        <w:t>In Vitro Chromosome</w:t>
      </w:r>
      <w:r>
        <w:rPr>
          <w:spacing w:val="-4"/>
        </w:rPr>
        <w:t xml:space="preserve"> </w:t>
      </w:r>
      <w:r>
        <w:t>Aberration</w:t>
      </w:r>
    </w:p>
    <w:p w:rsidR="00B4513B" w:rsidRDefault="00FC4CF0">
      <w:pPr>
        <w:pStyle w:val="a3"/>
        <w:spacing w:before="139" w:line="261" w:lineRule="auto"/>
        <w:ind w:left="215" w:right="1238"/>
      </w:pPr>
      <w:r>
        <w:t>PROJECT P</w:t>
      </w:r>
      <w:r w:rsidR="00602CED">
        <w:t xml:space="preserve"> was evaluated for the potential to induce chromosomal aberrations under 3 treatment conditions, i.e., 6-h treatment in the presence of S9 Mix plus 6- and</w:t>
      </w:r>
      <w:r w:rsidR="00602CED">
        <w:rPr>
          <w:spacing w:val="-14"/>
        </w:rPr>
        <w:t xml:space="preserve"> </w:t>
      </w:r>
      <w:r w:rsidR="00602CED">
        <w:t>24-h</w:t>
      </w:r>
    </w:p>
    <w:p w:rsidR="00B4513B" w:rsidRDefault="00602CED">
      <w:pPr>
        <w:pStyle w:val="a3"/>
        <w:spacing w:line="261" w:lineRule="auto"/>
        <w:ind w:left="215" w:right="740"/>
      </w:pPr>
      <w:r>
        <w:t xml:space="preserve">treatments in the absence of S9 Mix, using a Chinese hamster lung fibroblast cell line </w:t>
      </w:r>
      <w:r>
        <w:lastRenderedPageBreak/>
        <w:t xml:space="preserve">(Study </w:t>
      </w:r>
      <w:r w:rsidR="00FC4CF0">
        <w:t>Project P</w:t>
      </w:r>
      <w:r>
        <w:t>-TX-0010). In the 6- and 24-h treatment groups without metabolic activation,</w:t>
      </w:r>
    </w:p>
    <w:p w:rsidR="00B4513B" w:rsidRDefault="00B4513B">
      <w:pPr>
        <w:spacing w:line="261" w:lineRule="auto"/>
        <w:sectPr w:rsidR="00B4513B">
          <w:pgSz w:w="12240" w:h="15840"/>
          <w:pgMar w:top="1420" w:right="1260" w:bottom="940" w:left="1400" w:header="581" w:footer="748" w:gutter="0"/>
          <w:cols w:space="720"/>
        </w:sectPr>
      </w:pPr>
    </w:p>
    <w:p w:rsidR="00B4513B" w:rsidRDefault="00B4513B">
      <w:pPr>
        <w:pStyle w:val="a3"/>
        <w:spacing w:before="5"/>
        <w:rPr>
          <w:sz w:val="17"/>
        </w:rPr>
      </w:pPr>
    </w:p>
    <w:p w:rsidR="00B4513B" w:rsidRDefault="00602CED">
      <w:pPr>
        <w:pStyle w:val="a3"/>
        <w:spacing w:before="90" w:line="261" w:lineRule="auto"/>
        <w:ind w:left="215" w:right="380"/>
      </w:pPr>
      <w:r>
        <w:t xml:space="preserve">chromosomal aberrations were analyzed over a concentration range of 150 to 300 mcg/mL and 80 to 120 mcg/mL, respectively. In the 6-h treatment group with metabolic activation, chromosomal aberrations were analyzed over a concentration range of 150 to 250 mcg/mL. </w:t>
      </w:r>
      <w:r w:rsidR="00FC4CF0">
        <w:t>PROJECT P</w:t>
      </w:r>
      <w:r>
        <w:t xml:space="preserve"> did not increase significantly the number of chromosomally aberrant cells when compared to the vehicle control. The results indicate that </w:t>
      </w:r>
      <w:r w:rsidR="00FC4CF0">
        <w:t>PROJECT P</w:t>
      </w:r>
      <w:r>
        <w:t xml:space="preserve"> has no potential to induce chromosomal aberrations.</w:t>
      </w:r>
    </w:p>
    <w:p w:rsidR="00B4513B" w:rsidRDefault="00602CED">
      <w:pPr>
        <w:pStyle w:val="4"/>
        <w:numPr>
          <w:ilvl w:val="2"/>
          <w:numId w:val="8"/>
        </w:numPr>
        <w:tabs>
          <w:tab w:val="left" w:pos="1067"/>
          <w:tab w:val="left" w:pos="1068"/>
        </w:tabs>
        <w:spacing w:before="120"/>
      </w:pPr>
      <w:bookmarkStart w:id="34" w:name="4.3.4_Carcinogenicity"/>
      <w:bookmarkStart w:id="35" w:name="_bookmark54"/>
      <w:bookmarkEnd w:id="34"/>
      <w:bookmarkEnd w:id="35"/>
      <w:r>
        <w:t>Carcinogenicity</w:t>
      </w:r>
    </w:p>
    <w:p w:rsidR="00B4513B" w:rsidRDefault="00602CED">
      <w:pPr>
        <w:pStyle w:val="a3"/>
        <w:spacing w:before="139"/>
        <w:ind w:left="215"/>
      </w:pPr>
      <w:r>
        <w:t xml:space="preserve">No data for </w:t>
      </w:r>
      <w:r w:rsidR="00FC4CF0">
        <w:t>PROJECT P</w:t>
      </w:r>
      <w:r>
        <w:t xml:space="preserve"> are available.</w:t>
      </w:r>
    </w:p>
    <w:p w:rsidR="00B4513B" w:rsidRDefault="00602CED">
      <w:pPr>
        <w:pStyle w:val="4"/>
        <w:numPr>
          <w:ilvl w:val="2"/>
          <w:numId w:val="8"/>
        </w:numPr>
        <w:tabs>
          <w:tab w:val="left" w:pos="1067"/>
          <w:tab w:val="left" w:pos="1068"/>
        </w:tabs>
        <w:spacing w:before="149"/>
      </w:pPr>
      <w:bookmarkStart w:id="36" w:name="4.3.5_Reproductive_and_Developmental_Tox"/>
      <w:bookmarkStart w:id="37" w:name="_bookmark55"/>
      <w:bookmarkEnd w:id="36"/>
      <w:bookmarkEnd w:id="37"/>
      <w:r>
        <w:t>Reproductive and Developmental</w:t>
      </w:r>
      <w:r>
        <w:rPr>
          <w:spacing w:val="-5"/>
        </w:rPr>
        <w:t xml:space="preserve"> </w:t>
      </w:r>
      <w:r>
        <w:t>Toxicity</w:t>
      </w:r>
    </w:p>
    <w:p w:rsidR="00B4513B" w:rsidRDefault="00602CED">
      <w:pPr>
        <w:pStyle w:val="a3"/>
        <w:spacing w:before="139" w:line="261" w:lineRule="auto"/>
        <w:ind w:left="215" w:right="767"/>
      </w:pPr>
      <w:r>
        <w:t>Tabulated results of reproductive and developmental studies can be found in End-of-Text Tables 3.10 and 3.12.</w:t>
      </w:r>
    </w:p>
    <w:p w:rsidR="00B4513B" w:rsidRDefault="00602CED">
      <w:pPr>
        <w:pStyle w:val="4"/>
        <w:numPr>
          <w:ilvl w:val="3"/>
          <w:numId w:val="8"/>
        </w:numPr>
        <w:tabs>
          <w:tab w:val="left" w:pos="1068"/>
        </w:tabs>
        <w:spacing w:before="123"/>
      </w:pPr>
      <w:bookmarkStart w:id="38" w:name="4.3.5.1_Effects_on_Embryo-fetal_Developm"/>
      <w:bookmarkStart w:id="39" w:name="_bookmark56"/>
      <w:bookmarkEnd w:id="38"/>
      <w:bookmarkEnd w:id="39"/>
      <w:r>
        <w:t>Effects on Embryo-fetal Development in</w:t>
      </w:r>
      <w:r>
        <w:rPr>
          <w:spacing w:val="-5"/>
        </w:rPr>
        <w:t xml:space="preserve"> </w:t>
      </w:r>
      <w:r>
        <w:t>Rats</w:t>
      </w:r>
    </w:p>
    <w:p w:rsidR="00B4513B" w:rsidRDefault="00FC4CF0">
      <w:pPr>
        <w:pStyle w:val="a3"/>
        <w:spacing w:before="140" w:line="261" w:lineRule="auto"/>
        <w:ind w:left="215" w:right="827"/>
        <w:jc w:val="both"/>
      </w:pPr>
      <w:r>
        <w:t>PROJECT P</w:t>
      </w:r>
      <w:r w:rsidR="00602CED">
        <w:t xml:space="preserve"> was administered orally to pregnant SD rats at dose levels of 200 (100×2),</w:t>
      </w:r>
      <w:r w:rsidR="00602CED">
        <w:rPr>
          <w:spacing w:val="-34"/>
        </w:rPr>
        <w:t xml:space="preserve"> </w:t>
      </w:r>
      <w:r w:rsidR="00602CED">
        <w:t>600 (300×2) and 2000 (1000×2) mg/kg/day twice a day (time interval between the 1</w:t>
      </w:r>
      <w:r w:rsidR="00602CED">
        <w:rPr>
          <w:vertAlign w:val="superscript"/>
        </w:rPr>
        <w:t>st</w:t>
      </w:r>
      <w:r w:rsidR="00602CED">
        <w:t xml:space="preserve"> and 2</w:t>
      </w:r>
      <w:r w:rsidR="00602CED">
        <w:rPr>
          <w:vertAlign w:val="superscript"/>
        </w:rPr>
        <w:t>nd</w:t>
      </w:r>
      <w:r w:rsidR="00602CED">
        <w:t xml:space="preserve"> doses: approximately 6 hours) from Day 7 to 17 of gestation (Study</w:t>
      </w:r>
      <w:r w:rsidR="00602CED">
        <w:rPr>
          <w:spacing w:val="-21"/>
        </w:rPr>
        <w:t xml:space="preserve"> </w:t>
      </w:r>
      <w:r>
        <w:t>Project P</w:t>
      </w:r>
      <w:r w:rsidR="00602CED">
        <w:t>-TX-0007).</w:t>
      </w:r>
    </w:p>
    <w:p w:rsidR="00B4513B" w:rsidRDefault="00602CED">
      <w:pPr>
        <w:pStyle w:val="a3"/>
        <w:spacing w:before="117" w:line="261" w:lineRule="auto"/>
        <w:ind w:left="215" w:right="387"/>
      </w:pPr>
      <w:r>
        <w:t xml:space="preserve">In the 600 mg/kg or above groups, a temporary decrease in food consumption was observed in dams. In the live fetuses, a tendency towards an increase in the incidence of visceral variation (thymic remnant in the neck) and high incidence of skeletal variation (bipartite ossification of thoracic centrum) were noted in all dosage groups. In addition, the numbers of the ossified metatarsi were decreased in the 600 mg/kg or more groups and the number of ossified </w:t>
      </w:r>
      <w:proofErr w:type="spellStart"/>
      <w:r>
        <w:t>sternebrae</w:t>
      </w:r>
      <w:proofErr w:type="spellEnd"/>
      <w:r>
        <w:t xml:space="preserve"> were decreased in the 2000 mg/kg group. No test article related effects on the numbers of corpora lutea, implantations or live fetuses, index of embryo-fetal deaths, sex ratio of live fetuses, fetal body weight or placental weight were noted in any dosage group and there were no abnormalities in the placenta or external appearance of live fetuses in any group.</w:t>
      </w:r>
    </w:p>
    <w:p w:rsidR="00B4513B" w:rsidRDefault="00602CED">
      <w:pPr>
        <w:pStyle w:val="a3"/>
        <w:spacing w:before="112" w:line="261" w:lineRule="auto"/>
        <w:ind w:left="215" w:right="372"/>
      </w:pPr>
      <w:r>
        <w:t xml:space="preserve">The NOAEL of </w:t>
      </w:r>
      <w:r w:rsidR="00FC4CF0">
        <w:t>PROJECT P</w:t>
      </w:r>
      <w:r>
        <w:t xml:space="preserve"> is estimated to be 200 mg/kg/day for toxicity in dams and less than 200 mg/kg/day for embryo-fetal development.</w:t>
      </w:r>
    </w:p>
    <w:p w:rsidR="00B4513B" w:rsidRDefault="00602CED">
      <w:pPr>
        <w:pStyle w:val="4"/>
        <w:numPr>
          <w:ilvl w:val="3"/>
          <w:numId w:val="8"/>
        </w:numPr>
        <w:tabs>
          <w:tab w:val="left" w:pos="1068"/>
        </w:tabs>
        <w:spacing w:before="123"/>
      </w:pPr>
      <w:bookmarkStart w:id="40" w:name="4.3.5.2_Effects_on_Embryo-fetal_Developm"/>
      <w:bookmarkStart w:id="41" w:name="_bookmark57"/>
      <w:bookmarkEnd w:id="40"/>
      <w:bookmarkEnd w:id="41"/>
      <w:r>
        <w:t>Effects on Embryo-fetal Development in</w:t>
      </w:r>
      <w:r>
        <w:rPr>
          <w:spacing w:val="-4"/>
        </w:rPr>
        <w:t xml:space="preserve"> </w:t>
      </w:r>
      <w:r>
        <w:t>Rabbits</w:t>
      </w:r>
    </w:p>
    <w:p w:rsidR="00B4513B" w:rsidRDefault="00FC4CF0">
      <w:pPr>
        <w:pStyle w:val="a3"/>
        <w:spacing w:before="139"/>
        <w:ind w:left="215"/>
      </w:pPr>
      <w:r>
        <w:t>PROJECT P</w:t>
      </w:r>
      <w:r w:rsidR="00602CED">
        <w:t xml:space="preserve"> was administered orally to pregnant rabbits at dose levels of 30, 100 or</w:t>
      </w:r>
    </w:p>
    <w:p w:rsidR="00B4513B" w:rsidRDefault="00602CED">
      <w:pPr>
        <w:pStyle w:val="a3"/>
        <w:spacing w:before="24" w:line="261" w:lineRule="auto"/>
        <w:ind w:left="215" w:right="341"/>
      </w:pPr>
      <w:r>
        <w:t xml:space="preserve">300 mg/kg/day for 13 days from Day 6 to 18 of gestation (Study </w:t>
      </w:r>
      <w:r w:rsidR="00FC4CF0">
        <w:t>Project P</w:t>
      </w:r>
      <w:r>
        <w:t>-TX-0008). Decreases in fecal output, body weight and food consumption were observed at 300 mg/kg/day as well as abortions in about half of the dams, although no treatment-related findings were observed in gross pathological examination except retention of fur ball in the stomach of the aborting dams. No treatment-related effects such as embryo-fetal death or change in fetal body weight, placental weight or sex ratio including external-gross abnormalities in the fetuses and placentae were observed under these conditions at any dose employed, except for fetal lethality observed at 300 mg/kg/day together with maternal mortality and abortions. In addition, no significant increases were seen in visceral abnormalities or variations, or skeletal abnormalities or variations.</w:t>
      </w:r>
    </w:p>
    <w:p w:rsidR="00B4513B" w:rsidRDefault="00B4513B">
      <w:pPr>
        <w:spacing w:line="261" w:lineRule="auto"/>
        <w:sectPr w:rsidR="00B4513B">
          <w:pgSz w:w="12240" w:h="15840"/>
          <w:pgMar w:top="1420" w:right="1260" w:bottom="940" w:left="1400" w:header="581" w:footer="748" w:gutter="0"/>
          <w:cols w:space="720"/>
        </w:sectPr>
      </w:pPr>
    </w:p>
    <w:p w:rsidR="00B4513B" w:rsidRDefault="00B4513B">
      <w:pPr>
        <w:pStyle w:val="a3"/>
        <w:spacing w:before="5"/>
        <w:rPr>
          <w:sz w:val="17"/>
        </w:rPr>
      </w:pPr>
    </w:p>
    <w:p w:rsidR="00B4513B" w:rsidRDefault="00602CED">
      <w:pPr>
        <w:pStyle w:val="a3"/>
        <w:spacing w:before="90" w:line="261" w:lineRule="auto"/>
        <w:ind w:left="215"/>
      </w:pPr>
      <w:r>
        <w:t xml:space="preserve">The NOAEL of </w:t>
      </w:r>
      <w:r w:rsidR="00FC4CF0">
        <w:t>PROJECT P</w:t>
      </w:r>
      <w:r>
        <w:t xml:space="preserve"> was judged to be 100 mg/kg/day for general toxicological effect</w:t>
      </w:r>
      <w:r>
        <w:rPr>
          <w:spacing w:val="-21"/>
        </w:rPr>
        <w:t xml:space="preserve"> </w:t>
      </w:r>
      <w:r>
        <w:t>in dams and embryo-fetal</w:t>
      </w:r>
      <w:r>
        <w:rPr>
          <w:spacing w:val="-2"/>
        </w:rPr>
        <w:t xml:space="preserve"> </w:t>
      </w:r>
      <w:r>
        <w:t>development.</w:t>
      </w:r>
    </w:p>
    <w:p w:rsidR="00B4513B" w:rsidRDefault="00602CED">
      <w:pPr>
        <w:pStyle w:val="4"/>
        <w:numPr>
          <w:ilvl w:val="2"/>
          <w:numId w:val="8"/>
        </w:numPr>
        <w:tabs>
          <w:tab w:val="left" w:pos="1067"/>
          <w:tab w:val="left" w:pos="1068"/>
        </w:tabs>
        <w:spacing w:before="123"/>
      </w:pPr>
      <w:bookmarkStart w:id="42" w:name="4.3.6_Local_Tolerance"/>
      <w:bookmarkStart w:id="43" w:name="_bookmark58"/>
      <w:bookmarkEnd w:id="42"/>
      <w:bookmarkEnd w:id="43"/>
      <w:r>
        <w:t>Local</w:t>
      </w:r>
      <w:r>
        <w:rPr>
          <w:spacing w:val="-14"/>
        </w:rPr>
        <w:t xml:space="preserve"> </w:t>
      </w:r>
      <w:r>
        <w:t>Tolerance</w:t>
      </w:r>
    </w:p>
    <w:p w:rsidR="00B4513B" w:rsidRDefault="00602CED">
      <w:pPr>
        <w:pStyle w:val="a3"/>
        <w:spacing w:before="139"/>
        <w:ind w:left="215"/>
      </w:pPr>
      <w:r>
        <w:t xml:space="preserve">No data for </w:t>
      </w:r>
      <w:r w:rsidR="00FC4CF0">
        <w:t>PROJECT P</w:t>
      </w:r>
      <w:r>
        <w:t xml:space="preserve"> are available.</w:t>
      </w:r>
    </w:p>
    <w:p w:rsidR="00B4513B" w:rsidRDefault="00602CED">
      <w:pPr>
        <w:pStyle w:val="4"/>
        <w:numPr>
          <w:ilvl w:val="2"/>
          <w:numId w:val="8"/>
        </w:numPr>
        <w:tabs>
          <w:tab w:val="left" w:pos="1067"/>
          <w:tab w:val="left" w:pos="1068"/>
        </w:tabs>
        <w:spacing w:before="149"/>
      </w:pPr>
      <w:bookmarkStart w:id="44" w:name="4.3.7_Other_Toxicity_Studies"/>
      <w:bookmarkStart w:id="45" w:name="_bookmark59"/>
      <w:bookmarkEnd w:id="44"/>
      <w:bookmarkEnd w:id="45"/>
      <w:r>
        <w:t>Other Toxicity</w:t>
      </w:r>
      <w:r>
        <w:rPr>
          <w:spacing w:val="-1"/>
        </w:rPr>
        <w:t xml:space="preserve"> </w:t>
      </w:r>
      <w:r>
        <w:t>Studies</w:t>
      </w:r>
    </w:p>
    <w:p w:rsidR="00B4513B" w:rsidRDefault="00602CED">
      <w:pPr>
        <w:pStyle w:val="a3"/>
        <w:spacing w:before="139"/>
        <w:ind w:left="215"/>
      </w:pPr>
      <w:r>
        <w:t xml:space="preserve">No other toxicity data are available for </w:t>
      </w:r>
      <w:r w:rsidR="00FC4CF0">
        <w:t>PROJECT P</w:t>
      </w:r>
      <w:r>
        <w:t>.</w:t>
      </w:r>
    </w:p>
    <w:p w:rsidR="00B4513B" w:rsidRDefault="00602CED">
      <w:pPr>
        <w:pStyle w:val="2"/>
        <w:tabs>
          <w:tab w:val="left" w:pos="1067"/>
        </w:tabs>
        <w:spacing w:before="124"/>
        <w:ind w:left="1067" w:right="433"/>
      </w:pPr>
      <w:bookmarkStart w:id="46" w:name="4.4_Integrated_Nonclinical_Overview_and_"/>
      <w:bookmarkStart w:id="47" w:name="_bookmark60"/>
      <w:bookmarkEnd w:id="46"/>
      <w:bookmarkEnd w:id="47"/>
      <w:r>
        <w:t>4.4</w:t>
      </w:r>
      <w:r>
        <w:tab/>
        <w:t>Integrated Nonclinical Overview and Conclusion: Potential Clinical Relevance</w:t>
      </w:r>
    </w:p>
    <w:p w:rsidR="00B4513B" w:rsidRDefault="00602CED">
      <w:pPr>
        <w:pStyle w:val="a3"/>
        <w:spacing w:before="140" w:line="261" w:lineRule="auto"/>
        <w:ind w:left="215" w:right="487"/>
      </w:pPr>
      <w:r>
        <w:t xml:space="preserve">It is suggested that activation of LPA signaling in the lower urinary tract can induce urethral obstruction, bladder overactivity, and proliferation of prostate stroma; all of which are closely related to the 3 major elements contributing to the pathology of LUTS/BPH: obstruction, clinical symptoms, and hyperplasia. The effects of the novel low molecular weight molecule </w:t>
      </w:r>
      <w:r w:rsidR="00FC4CF0">
        <w:t>PROJECT P</w:t>
      </w:r>
      <w:r>
        <w:t>, a potent and specific LPA</w:t>
      </w:r>
      <w:r>
        <w:rPr>
          <w:vertAlign w:val="subscript"/>
        </w:rPr>
        <w:t>1</w:t>
      </w:r>
      <w:r>
        <w:t xml:space="preserve">R antagonist, were investigated in animal models related to the mentioned pathological functions. The data for </w:t>
      </w:r>
      <w:r w:rsidR="00FC4CF0">
        <w:t>PROJECT P</w:t>
      </w:r>
      <w:r>
        <w:t xml:space="preserve"> demonstrate its selectivity as an antagonist for LPA1 receptors with nanomolar activity in vitro and a selectivity ratio of ≥1000-fold over other LPA receptors. </w:t>
      </w:r>
      <w:r w:rsidR="00FC4CF0">
        <w:t>PROJECT P</w:t>
      </w:r>
      <w:r>
        <w:t xml:space="preserve"> showed an inhibitory effect on the human NK</w:t>
      </w:r>
      <w:r>
        <w:rPr>
          <w:vertAlign w:val="subscript"/>
        </w:rPr>
        <w:t>1</w:t>
      </w:r>
      <w:r>
        <w:t xml:space="preserve"> receptor. The Ki value of </w:t>
      </w:r>
      <w:proofErr w:type="spellStart"/>
      <w:r>
        <w:t>AP</w:t>
      </w:r>
      <w:r w:rsidR="00FC4CF0">
        <w:t>Project</w:t>
      </w:r>
      <w:proofErr w:type="spellEnd"/>
      <w:r w:rsidR="00FC4CF0">
        <w:t xml:space="preserve"> P</w:t>
      </w:r>
      <w:r>
        <w:t xml:space="preserve"> for this receptor was</w:t>
      </w:r>
    </w:p>
    <w:p w:rsidR="00B4513B" w:rsidRDefault="00602CED">
      <w:pPr>
        <w:pStyle w:val="a3"/>
        <w:spacing w:line="261" w:lineRule="auto"/>
        <w:ind w:left="215" w:right="334"/>
      </w:pPr>
      <w:r>
        <w:t xml:space="preserve">1.4 </w:t>
      </w:r>
      <w:proofErr w:type="spellStart"/>
      <w:r>
        <w:t>mcmol</w:t>
      </w:r>
      <w:proofErr w:type="spellEnd"/>
      <w:r>
        <w:t>/L. The principle of NK</w:t>
      </w:r>
      <w:r>
        <w:rPr>
          <w:vertAlign w:val="subscript"/>
        </w:rPr>
        <w:t>1</w:t>
      </w:r>
      <w:r>
        <w:t xml:space="preserve"> antagonism is being explored in several clinical development programs (e.g., </w:t>
      </w:r>
      <w:proofErr w:type="spellStart"/>
      <w:r>
        <w:t>aprepitant</w:t>
      </w:r>
      <w:proofErr w:type="spellEnd"/>
      <w:r>
        <w:t xml:space="preserve"> and </w:t>
      </w:r>
      <w:proofErr w:type="spellStart"/>
      <w:r>
        <w:t>befetupitant</w:t>
      </w:r>
      <w:proofErr w:type="spellEnd"/>
      <w:r>
        <w:t xml:space="preserve">). In the safety pharmacology studies, </w:t>
      </w:r>
      <w:r w:rsidR="00FC4CF0">
        <w:t>PROJECT P</w:t>
      </w:r>
      <w:r>
        <w:t xml:space="preserve"> revealed no effects on the CNS. No affinity was observed for 54 types of receptors, ion-channels, transporters and enzymes.</w:t>
      </w:r>
    </w:p>
    <w:p w:rsidR="00B4513B" w:rsidRDefault="00602CED">
      <w:pPr>
        <w:pStyle w:val="a3"/>
        <w:spacing w:before="109" w:line="261" w:lineRule="auto"/>
        <w:ind w:left="215" w:right="374"/>
      </w:pPr>
      <w:r>
        <w:t xml:space="preserve">The in vivo data after iv dosing of </w:t>
      </w:r>
      <w:r w:rsidR="00FC4CF0">
        <w:t>PROJECT P</w:t>
      </w:r>
      <w:r>
        <w:t xml:space="preserve"> at 0.3 mg/kg (minimal effective iv dose) and higher in rats, indicate that basal urethral pressure reduction in anesthetized rats for </w:t>
      </w:r>
      <w:r w:rsidR="00FC4CF0">
        <w:t>PROJECT P</w:t>
      </w:r>
      <w:r>
        <w:t xml:space="preserve"> is higher than that for tamsulosin and point at a more potent urethral relaxation for </w:t>
      </w:r>
      <w:r w:rsidR="00FC4CF0">
        <w:t>PROJECT P</w:t>
      </w:r>
      <w:r>
        <w:t xml:space="preserve">. Furthermore, it was shown that in in vivo experiments where LPA was found to induce an increase in urethral pressure (Study </w:t>
      </w:r>
      <w:r w:rsidR="00FC4CF0">
        <w:t>Project P</w:t>
      </w:r>
      <w:r>
        <w:t xml:space="preserve">-PH-0005), or a shortening of the bladder filling cycle (Study </w:t>
      </w:r>
      <w:r w:rsidR="00FC4CF0">
        <w:t>Project P</w:t>
      </w:r>
      <w:r>
        <w:t xml:space="preserve">-PH-0009), these effects were reversed by </w:t>
      </w:r>
      <w:r w:rsidR="00FC4CF0">
        <w:t>PROJECT P</w:t>
      </w:r>
      <w:r>
        <w:t xml:space="preserve"> at doses of 0.3 mg/kg, iv and higher. </w:t>
      </w:r>
      <w:r w:rsidR="00FC4CF0">
        <w:t>PROJECT P</w:t>
      </w:r>
      <w:r>
        <w:t xml:space="preserve"> (0.1 to 3 mg/kg iv) did not affect the EMG of the external urethral sphincter. In vitro studies with human prostate stromal cells showed inhibition of</w:t>
      </w:r>
    </w:p>
    <w:p w:rsidR="00B4513B" w:rsidRDefault="00602CED">
      <w:pPr>
        <w:pStyle w:val="a3"/>
        <w:spacing w:line="261" w:lineRule="auto"/>
        <w:ind w:left="215" w:right="386"/>
      </w:pPr>
      <w:r>
        <w:t xml:space="preserve">LPA-induced prostate cell growth. This profile of activities suggests that this drug is an interesting candidate for development in LUTS/BPH. For estimation of the human effective dose (HED) the efficacy parameter of choice was the decrease of resting UPP in anaesthetized rats (Study </w:t>
      </w:r>
      <w:r w:rsidR="00FC4CF0">
        <w:t>Project P</w:t>
      </w:r>
      <w:r>
        <w:t xml:space="preserve">-PH-0006) (without infusion of tonus-increasing agents), since the comparator drug tamsulosin showed efficacy to reduce resting UPP in this model at a dose level that is comparable to the HED. The plasma concentration of </w:t>
      </w:r>
      <w:r w:rsidR="00FC4CF0">
        <w:t>PROJECT P</w:t>
      </w:r>
      <w:r>
        <w:t xml:space="preserve"> to reach a similar efficacy as in the mentioned study was determined by iv infusion of </w:t>
      </w:r>
      <w:r w:rsidR="00FC4CF0">
        <w:t>PROJECT P</w:t>
      </w:r>
      <w:r>
        <w:t xml:space="preserve"> under concomitant registration of UPP (Study </w:t>
      </w:r>
      <w:r w:rsidR="00FC4CF0">
        <w:t>Project P</w:t>
      </w:r>
      <w:r>
        <w:t>-PH-0008) and was 563 ng/mL.</w:t>
      </w:r>
    </w:p>
    <w:p w:rsidR="00B4513B" w:rsidRDefault="00602CED">
      <w:pPr>
        <w:pStyle w:val="a3"/>
        <w:spacing w:before="107"/>
        <w:ind w:left="215"/>
      </w:pPr>
      <w:r>
        <w:lastRenderedPageBreak/>
        <w:t xml:space="preserve">The ADME data indicate that the bioavailability of </w:t>
      </w:r>
      <w:r w:rsidR="00FC4CF0">
        <w:t>PROJECT P</w:t>
      </w:r>
      <w:r>
        <w:t xml:space="preserve"> in rats is approximately 55%.</w:t>
      </w:r>
    </w:p>
    <w:p w:rsidR="00B4513B" w:rsidRDefault="00B4513B">
      <w:pPr>
        <w:sectPr w:rsidR="00B4513B">
          <w:pgSz w:w="12240" w:h="15840"/>
          <w:pgMar w:top="1420" w:right="1260" w:bottom="940" w:left="1400" w:header="581" w:footer="748" w:gutter="0"/>
          <w:cols w:space="720"/>
        </w:sectPr>
      </w:pPr>
    </w:p>
    <w:p w:rsidR="00B4513B" w:rsidRDefault="00B4513B">
      <w:pPr>
        <w:pStyle w:val="a3"/>
        <w:spacing w:before="5"/>
        <w:rPr>
          <w:sz w:val="17"/>
        </w:rPr>
      </w:pPr>
    </w:p>
    <w:p w:rsidR="00B4513B" w:rsidRDefault="00602CED">
      <w:pPr>
        <w:pStyle w:val="a3"/>
        <w:spacing w:before="90" w:line="261" w:lineRule="auto"/>
        <w:ind w:left="215" w:right="745"/>
      </w:pPr>
      <w:r>
        <w:t xml:space="preserve">In the safety pharmacology studies, </w:t>
      </w:r>
      <w:r w:rsidR="00FC4CF0">
        <w:t>PROJECT P</w:t>
      </w:r>
      <w:r>
        <w:t xml:space="preserve"> revealed no effects on the CNS, action potential duration or the respiratory system. </w:t>
      </w:r>
      <w:r w:rsidR="00FC4CF0">
        <w:t>PROJECT P</w:t>
      </w:r>
      <w:r>
        <w:t xml:space="preserve"> did inhibit the </w:t>
      </w:r>
      <w:proofErr w:type="spellStart"/>
      <w:r>
        <w:t>hERG</w:t>
      </w:r>
      <w:proofErr w:type="spellEnd"/>
      <w:r>
        <w:t xml:space="preserve"> potassium current in HEK293 cells at 2.5×10</w:t>
      </w:r>
      <w:r>
        <w:rPr>
          <w:vertAlign w:val="superscript"/>
        </w:rPr>
        <w:t>−5</w:t>
      </w:r>
      <w:r>
        <w:t xml:space="preserve"> mol/L and induced salivation at 100 mg/kg or higher and vomiting and an increase in heart rate at 1000 mg/kg in dogs.</w:t>
      </w:r>
    </w:p>
    <w:p w:rsidR="00B4513B" w:rsidRDefault="00602CED">
      <w:pPr>
        <w:pStyle w:val="a3"/>
        <w:spacing w:before="117" w:line="261" w:lineRule="auto"/>
        <w:ind w:left="215" w:right="566"/>
      </w:pPr>
      <w:r>
        <w:t xml:space="preserve">The nonclinical toxicity package consisting of single and repeated-dose studies in rats and dogs, reproductive studies in rats and rabbits, and in vitro genotoxicity studies, supports further development of </w:t>
      </w:r>
      <w:r w:rsidR="00FC4CF0">
        <w:t>PROJECT P</w:t>
      </w:r>
      <w:r>
        <w:t xml:space="preserve"> in males. </w:t>
      </w:r>
      <w:r w:rsidRPr="00FC4CF0">
        <w:rPr>
          <w:highlight w:val="magenta"/>
        </w:rPr>
        <w:t xml:space="preserve">The main toxicological targets for </w:t>
      </w:r>
      <w:r w:rsidR="00FC4CF0" w:rsidRPr="00FC4CF0">
        <w:rPr>
          <w:highlight w:val="magenta"/>
        </w:rPr>
        <w:t>PROJECT P</w:t>
      </w:r>
      <w:r w:rsidRPr="00FC4CF0">
        <w:rPr>
          <w:highlight w:val="magenta"/>
        </w:rPr>
        <w:t xml:space="preserve"> are the kidney, liver, gastrointestinal (GI) tract and hematopoietic system</w:t>
      </w:r>
      <w:r>
        <w:t>.</w:t>
      </w:r>
    </w:p>
    <w:p w:rsidR="00B4513B" w:rsidRDefault="00602CED">
      <w:pPr>
        <w:pStyle w:val="a3"/>
        <w:spacing w:before="117" w:line="261" w:lineRule="auto"/>
        <w:ind w:left="215" w:right="481"/>
      </w:pPr>
      <w:r w:rsidRPr="00FC4CF0">
        <w:rPr>
          <w:highlight w:val="magenta"/>
        </w:rPr>
        <w:t>In the repeated-dose toxicity studies increases in blood urea nitrogen, inorganic phosphorus, sodium and chloride, and decreases in calcium and urinary excretion of sodium and chloride were noted in dogs at 1000 mg/kg.</w:t>
      </w:r>
      <w:r>
        <w:t xml:space="preserve"> No abnormal findings were observed in the histopathology of the kidneys, suggesting a functional change.</w:t>
      </w:r>
    </w:p>
    <w:p w:rsidR="00B4513B" w:rsidRPr="00FC4CF0" w:rsidRDefault="00602CED">
      <w:pPr>
        <w:pStyle w:val="a3"/>
        <w:spacing w:before="116"/>
        <w:ind w:left="215"/>
        <w:rPr>
          <w:highlight w:val="magenta"/>
        </w:rPr>
      </w:pPr>
      <w:r w:rsidRPr="00FC4CF0">
        <w:rPr>
          <w:highlight w:val="magenta"/>
        </w:rPr>
        <w:t>Increased liver weight in rats and triglyceride containing vacuoles in the hepatocytes in</w:t>
      </w:r>
    </w:p>
    <w:p w:rsidR="00B4513B" w:rsidRDefault="00602CED">
      <w:pPr>
        <w:pStyle w:val="a3"/>
        <w:spacing w:before="24" w:line="261" w:lineRule="auto"/>
        <w:ind w:left="215" w:right="367"/>
      </w:pPr>
      <w:r w:rsidRPr="00FC4CF0">
        <w:rPr>
          <w:highlight w:val="magenta"/>
        </w:rPr>
        <w:t>1 male dog was observed at the highest dose tested. Although an increase in total bilirubin, decreases in total protein, albumin, globulin and total cholesterol were noted, no adverse histopathological changes were observed in the liver.</w:t>
      </w:r>
      <w:r>
        <w:t xml:space="preserve"> The findings on the GI tract are related to vomiting and salivation and epithelial vacuolation in gallbladder and duodenum, jejunum and ileum in dogs. The content of vacuoles was, as well as those in the hepatocytes, considered to be triglycerides based on the results of the Oil-Red-O stain. The mechanism for the formation of the vacuoles is unknown, but because of the reduction of cholesterol it could be related to an altered lipid metabolism.</w:t>
      </w:r>
    </w:p>
    <w:p w:rsidR="00B4513B" w:rsidRDefault="00602CED">
      <w:pPr>
        <w:pStyle w:val="a3"/>
        <w:spacing w:before="114" w:line="261" w:lineRule="auto"/>
        <w:ind w:left="215" w:right="446"/>
        <w:jc w:val="both"/>
      </w:pPr>
      <w:r w:rsidRPr="00FC4CF0">
        <w:rPr>
          <w:highlight w:val="magenta"/>
        </w:rPr>
        <w:t>The hematopoietic findings in rats and dogs, i.e., decreased hemoglobin concentration in rats and an increase in platelet count in rats and dogs were not accompanied by histopathological changes in bone marrow, spleen or thymus.</w:t>
      </w:r>
      <w:bookmarkStart w:id="48" w:name="_GoBack"/>
      <w:bookmarkEnd w:id="48"/>
    </w:p>
    <w:p w:rsidR="00B4513B" w:rsidRDefault="00602CED">
      <w:pPr>
        <w:pStyle w:val="a3"/>
        <w:spacing w:before="117" w:line="261" w:lineRule="auto"/>
        <w:ind w:left="215" w:right="593"/>
      </w:pPr>
      <w:r>
        <w:t>This dataset supports the conduct of a first-in-human (FIH) study in male subjects for up to 4 weeks treatment.</w:t>
      </w:r>
    </w:p>
    <w:p w:rsidR="00B4513B" w:rsidRDefault="00602CED">
      <w:pPr>
        <w:pStyle w:val="a3"/>
        <w:spacing w:before="119" w:line="261" w:lineRule="auto"/>
        <w:ind w:left="215" w:right="407"/>
      </w:pPr>
      <w:r>
        <w:t xml:space="preserve">An overview of systemic exposure data of </w:t>
      </w:r>
      <w:r w:rsidR="00FC4CF0">
        <w:t>PROJECT P</w:t>
      </w:r>
      <w:r>
        <w:t xml:space="preserve"> at NOAEL and LOAEL can be found in [</w:t>
      </w:r>
      <w:hyperlink w:anchor="_bookmark61" w:history="1">
        <w:r>
          <w:t>Table 2</w:t>
        </w:r>
      </w:hyperlink>
      <w:r>
        <w:t>].</w:t>
      </w:r>
    </w:p>
    <w:p w:rsidR="00B4513B" w:rsidRDefault="00B4513B">
      <w:pPr>
        <w:spacing w:line="261" w:lineRule="auto"/>
        <w:sectPr w:rsidR="00B4513B">
          <w:pgSz w:w="12240" w:h="15840"/>
          <w:pgMar w:top="1420" w:right="1260" w:bottom="940" w:left="1400" w:header="581" w:footer="748" w:gutter="0"/>
          <w:cols w:space="720"/>
        </w:sectPr>
      </w:pPr>
    </w:p>
    <w:p w:rsidR="00B4513B" w:rsidRDefault="00B4513B">
      <w:pPr>
        <w:pStyle w:val="a3"/>
        <w:spacing w:before="6"/>
        <w:rPr>
          <w:sz w:val="15"/>
        </w:rPr>
      </w:pPr>
    </w:p>
    <w:p w:rsidR="00B4513B" w:rsidRDefault="00602CED">
      <w:pPr>
        <w:pStyle w:val="4"/>
        <w:tabs>
          <w:tab w:val="left" w:pos="1633"/>
        </w:tabs>
        <w:ind w:left="1633" w:right="977" w:hanging="1419"/>
      </w:pPr>
      <w:bookmarkStart w:id="49" w:name="_bookmark61"/>
      <w:bookmarkEnd w:id="49"/>
      <w:r>
        <w:t>Table</w:t>
      </w:r>
      <w:r>
        <w:rPr>
          <w:spacing w:val="-2"/>
        </w:rPr>
        <w:t xml:space="preserve"> </w:t>
      </w:r>
      <w:r>
        <w:t>2</w:t>
      </w:r>
      <w:r>
        <w:tab/>
        <w:t xml:space="preserve">Compilation of Systemic Exposure Data of </w:t>
      </w:r>
      <w:r w:rsidR="00FC4CF0">
        <w:t>PROJECT P</w:t>
      </w:r>
      <w:r>
        <w:t xml:space="preserve"> at NOAEL and LOAEL</w:t>
      </w:r>
    </w:p>
    <w:p w:rsidR="00B4513B" w:rsidRDefault="00B4513B">
      <w:pPr>
        <w:pStyle w:val="a3"/>
        <w:spacing w:before="6"/>
        <w:rPr>
          <w:b/>
          <w:sz w:val="5"/>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14"/>
        <w:gridCol w:w="1548"/>
        <w:gridCol w:w="487"/>
        <w:gridCol w:w="1363"/>
        <w:gridCol w:w="756"/>
        <w:gridCol w:w="845"/>
        <w:gridCol w:w="847"/>
        <w:gridCol w:w="1862"/>
      </w:tblGrid>
      <w:tr w:rsidR="00B4513B">
        <w:trPr>
          <w:trHeight w:val="225"/>
        </w:trPr>
        <w:tc>
          <w:tcPr>
            <w:tcW w:w="1514" w:type="dxa"/>
            <w:vMerge w:val="restart"/>
            <w:tcBorders>
              <w:bottom w:val="single" w:sz="2" w:space="0" w:color="000000"/>
              <w:right w:val="single" w:sz="2" w:space="0" w:color="000000"/>
            </w:tcBorders>
          </w:tcPr>
          <w:p w:rsidR="00B4513B" w:rsidRDefault="00602CED">
            <w:pPr>
              <w:pStyle w:val="TableParagraph"/>
              <w:spacing w:line="240" w:lineRule="auto"/>
              <w:ind w:left="107"/>
              <w:jc w:val="left"/>
              <w:rPr>
                <w:b/>
                <w:sz w:val="18"/>
              </w:rPr>
            </w:pPr>
            <w:r>
              <w:rPr>
                <w:b/>
                <w:sz w:val="18"/>
              </w:rPr>
              <w:t>Study No. / Species, Study Duration</w:t>
            </w:r>
          </w:p>
        </w:tc>
        <w:tc>
          <w:tcPr>
            <w:tcW w:w="1548" w:type="dxa"/>
            <w:vMerge w:val="restart"/>
            <w:tcBorders>
              <w:left w:val="single" w:sz="2" w:space="0" w:color="000000"/>
              <w:bottom w:val="single" w:sz="2" w:space="0" w:color="000000"/>
              <w:right w:val="single" w:sz="2" w:space="0" w:color="000000"/>
            </w:tcBorders>
          </w:tcPr>
          <w:p w:rsidR="00B4513B" w:rsidRDefault="00602CED">
            <w:pPr>
              <w:pStyle w:val="TableParagraph"/>
              <w:spacing w:line="207" w:lineRule="exact"/>
              <w:ind w:left="273"/>
              <w:jc w:val="left"/>
              <w:rPr>
                <w:b/>
                <w:sz w:val="18"/>
              </w:rPr>
            </w:pPr>
            <w:r>
              <w:rPr>
                <w:b/>
                <w:sz w:val="18"/>
              </w:rPr>
              <w:t>Dose (mg/kg)</w:t>
            </w:r>
          </w:p>
        </w:tc>
        <w:tc>
          <w:tcPr>
            <w:tcW w:w="487" w:type="dxa"/>
            <w:vMerge w:val="restart"/>
            <w:tcBorders>
              <w:left w:val="single" w:sz="2" w:space="0" w:color="000000"/>
              <w:bottom w:val="single" w:sz="2" w:space="0" w:color="000000"/>
              <w:right w:val="single" w:sz="2" w:space="0" w:color="000000"/>
            </w:tcBorders>
          </w:tcPr>
          <w:p w:rsidR="00B4513B" w:rsidRDefault="00602CED">
            <w:pPr>
              <w:pStyle w:val="TableParagraph"/>
              <w:spacing w:line="207" w:lineRule="exact"/>
              <w:ind w:left="115"/>
              <w:jc w:val="left"/>
              <w:rPr>
                <w:b/>
                <w:sz w:val="18"/>
              </w:rPr>
            </w:pPr>
            <w:r>
              <w:rPr>
                <w:b/>
                <w:sz w:val="18"/>
              </w:rPr>
              <w:t>Sex</w:t>
            </w:r>
          </w:p>
        </w:tc>
        <w:tc>
          <w:tcPr>
            <w:tcW w:w="2119" w:type="dxa"/>
            <w:gridSpan w:val="2"/>
            <w:tcBorders>
              <w:left w:val="single" w:sz="2" w:space="0" w:color="000000"/>
              <w:bottom w:val="single" w:sz="4" w:space="0" w:color="000000"/>
              <w:right w:val="single" w:sz="2" w:space="0" w:color="000000"/>
            </w:tcBorders>
          </w:tcPr>
          <w:p w:rsidR="00B4513B" w:rsidRDefault="00602CED">
            <w:pPr>
              <w:pStyle w:val="TableParagraph"/>
              <w:spacing w:line="205" w:lineRule="exact"/>
              <w:ind w:left="552"/>
              <w:jc w:val="left"/>
              <w:rPr>
                <w:b/>
                <w:sz w:val="18"/>
              </w:rPr>
            </w:pPr>
            <w:proofErr w:type="spellStart"/>
            <w:r>
              <w:rPr>
                <w:b/>
                <w:sz w:val="18"/>
              </w:rPr>
              <w:t>C</w:t>
            </w:r>
            <w:r>
              <w:rPr>
                <w:b/>
                <w:sz w:val="18"/>
                <w:vertAlign w:val="subscript"/>
              </w:rPr>
              <w:t>max</w:t>
            </w:r>
            <w:proofErr w:type="spellEnd"/>
            <w:r>
              <w:rPr>
                <w:b/>
                <w:sz w:val="18"/>
              </w:rPr>
              <w:t xml:space="preserve"> (ng/mL)</w:t>
            </w:r>
          </w:p>
        </w:tc>
        <w:tc>
          <w:tcPr>
            <w:tcW w:w="1692" w:type="dxa"/>
            <w:gridSpan w:val="2"/>
            <w:tcBorders>
              <w:left w:val="single" w:sz="2" w:space="0" w:color="000000"/>
              <w:bottom w:val="single" w:sz="4" w:space="0" w:color="000000"/>
              <w:right w:val="single" w:sz="4" w:space="0" w:color="000000"/>
            </w:tcBorders>
          </w:tcPr>
          <w:p w:rsidR="00B4513B" w:rsidRDefault="00602CED">
            <w:pPr>
              <w:pStyle w:val="TableParagraph"/>
              <w:spacing w:line="205" w:lineRule="exact"/>
              <w:ind w:left="185"/>
              <w:jc w:val="left"/>
              <w:rPr>
                <w:b/>
                <w:sz w:val="18"/>
              </w:rPr>
            </w:pPr>
            <w:r>
              <w:rPr>
                <w:b/>
                <w:sz w:val="18"/>
              </w:rPr>
              <w:t>AUC</w:t>
            </w:r>
            <w:r>
              <w:rPr>
                <w:b/>
                <w:sz w:val="18"/>
                <w:vertAlign w:val="subscript"/>
              </w:rPr>
              <w:t>24</w:t>
            </w:r>
            <w:r>
              <w:rPr>
                <w:b/>
                <w:sz w:val="18"/>
              </w:rPr>
              <w:t xml:space="preserve"> (</w:t>
            </w:r>
            <w:proofErr w:type="spellStart"/>
            <w:r>
              <w:rPr>
                <w:b/>
                <w:sz w:val="18"/>
              </w:rPr>
              <w:t>ng·h</w:t>
            </w:r>
            <w:proofErr w:type="spellEnd"/>
            <w:r>
              <w:rPr>
                <w:b/>
                <w:sz w:val="18"/>
              </w:rPr>
              <w:t>/mL)</w:t>
            </w:r>
          </w:p>
        </w:tc>
        <w:tc>
          <w:tcPr>
            <w:tcW w:w="1862" w:type="dxa"/>
            <w:vMerge w:val="restart"/>
            <w:tcBorders>
              <w:left w:val="single" w:sz="4" w:space="0" w:color="000000"/>
              <w:bottom w:val="single" w:sz="2" w:space="0" w:color="000000"/>
            </w:tcBorders>
          </w:tcPr>
          <w:p w:rsidR="00B4513B" w:rsidRDefault="00602CED">
            <w:pPr>
              <w:pStyle w:val="TableParagraph"/>
              <w:spacing w:line="207" w:lineRule="exact"/>
              <w:ind w:left="583"/>
              <w:jc w:val="left"/>
              <w:rPr>
                <w:b/>
                <w:sz w:val="18"/>
              </w:rPr>
            </w:pPr>
            <w:r>
              <w:rPr>
                <w:b/>
                <w:sz w:val="18"/>
              </w:rPr>
              <w:t>Remarks</w:t>
            </w:r>
          </w:p>
        </w:tc>
      </w:tr>
      <w:tr w:rsidR="00B4513B">
        <w:trPr>
          <w:trHeight w:val="414"/>
        </w:trPr>
        <w:tc>
          <w:tcPr>
            <w:tcW w:w="1514" w:type="dxa"/>
            <w:vMerge/>
            <w:tcBorders>
              <w:top w:val="nil"/>
              <w:bottom w:val="single" w:sz="2" w:space="0" w:color="000000"/>
              <w:right w:val="single" w:sz="2" w:space="0" w:color="000000"/>
            </w:tcBorders>
          </w:tcPr>
          <w:p w:rsidR="00B4513B" w:rsidRDefault="00B4513B">
            <w:pPr>
              <w:rPr>
                <w:sz w:val="2"/>
                <w:szCs w:val="2"/>
              </w:rPr>
            </w:pPr>
          </w:p>
        </w:tc>
        <w:tc>
          <w:tcPr>
            <w:tcW w:w="1548" w:type="dxa"/>
            <w:vMerge/>
            <w:tcBorders>
              <w:top w:val="nil"/>
              <w:left w:val="single" w:sz="2" w:space="0" w:color="000000"/>
              <w:bottom w:val="single" w:sz="2" w:space="0" w:color="000000"/>
              <w:right w:val="single" w:sz="2" w:space="0" w:color="000000"/>
            </w:tcBorders>
          </w:tcPr>
          <w:p w:rsidR="00B4513B" w:rsidRDefault="00B4513B">
            <w:pPr>
              <w:rPr>
                <w:sz w:val="2"/>
                <w:szCs w:val="2"/>
              </w:rPr>
            </w:pPr>
          </w:p>
        </w:tc>
        <w:tc>
          <w:tcPr>
            <w:tcW w:w="487" w:type="dxa"/>
            <w:vMerge/>
            <w:tcBorders>
              <w:top w:val="nil"/>
              <w:left w:val="single" w:sz="2" w:space="0" w:color="000000"/>
              <w:bottom w:val="single" w:sz="2" w:space="0" w:color="000000"/>
              <w:right w:val="single" w:sz="2" w:space="0" w:color="000000"/>
            </w:tcBorders>
          </w:tcPr>
          <w:p w:rsidR="00B4513B" w:rsidRDefault="00B4513B">
            <w:pPr>
              <w:rPr>
                <w:sz w:val="2"/>
                <w:szCs w:val="2"/>
              </w:rPr>
            </w:pPr>
          </w:p>
        </w:tc>
        <w:tc>
          <w:tcPr>
            <w:tcW w:w="1363" w:type="dxa"/>
            <w:tcBorders>
              <w:top w:val="single" w:sz="4" w:space="0" w:color="000000"/>
              <w:left w:val="single" w:sz="2" w:space="0" w:color="000000"/>
              <w:bottom w:val="single" w:sz="2" w:space="0" w:color="000000"/>
              <w:right w:val="single" w:sz="4" w:space="0" w:color="000000"/>
            </w:tcBorders>
          </w:tcPr>
          <w:p w:rsidR="00B4513B" w:rsidRDefault="00602CED">
            <w:pPr>
              <w:pStyle w:val="TableParagraph"/>
              <w:spacing w:line="207" w:lineRule="exact"/>
              <w:ind w:left="272" w:right="258"/>
              <w:rPr>
                <w:b/>
                <w:sz w:val="18"/>
              </w:rPr>
            </w:pPr>
            <w:r>
              <w:rPr>
                <w:b/>
                <w:sz w:val="18"/>
              </w:rPr>
              <w:t>First Dose</w:t>
            </w:r>
          </w:p>
        </w:tc>
        <w:tc>
          <w:tcPr>
            <w:tcW w:w="756" w:type="dxa"/>
            <w:tcBorders>
              <w:top w:val="single" w:sz="4" w:space="0" w:color="000000"/>
              <w:left w:val="single" w:sz="4" w:space="0" w:color="000000"/>
              <w:bottom w:val="single" w:sz="2" w:space="0" w:color="000000"/>
              <w:right w:val="single" w:sz="2" w:space="0" w:color="000000"/>
            </w:tcBorders>
          </w:tcPr>
          <w:p w:rsidR="00B4513B" w:rsidRDefault="00602CED">
            <w:pPr>
              <w:pStyle w:val="TableParagraph"/>
              <w:spacing w:before="1" w:line="208" w:lineRule="exact"/>
              <w:ind w:left="195" w:firstLine="16"/>
              <w:jc w:val="left"/>
              <w:rPr>
                <w:b/>
                <w:sz w:val="18"/>
              </w:rPr>
            </w:pPr>
            <w:r>
              <w:rPr>
                <w:b/>
                <w:sz w:val="18"/>
              </w:rPr>
              <w:t>Last Dose</w:t>
            </w:r>
          </w:p>
        </w:tc>
        <w:tc>
          <w:tcPr>
            <w:tcW w:w="845" w:type="dxa"/>
            <w:tcBorders>
              <w:top w:val="single" w:sz="4" w:space="0" w:color="000000"/>
              <w:left w:val="single" w:sz="2" w:space="0" w:color="000000"/>
              <w:bottom w:val="single" w:sz="2" w:space="0" w:color="000000"/>
              <w:right w:val="single" w:sz="2" w:space="0" w:color="000000"/>
            </w:tcBorders>
          </w:tcPr>
          <w:p w:rsidR="00B4513B" w:rsidRDefault="00602CED">
            <w:pPr>
              <w:pStyle w:val="TableParagraph"/>
              <w:spacing w:before="1" w:line="208" w:lineRule="exact"/>
              <w:ind w:left="243" w:right="207"/>
              <w:jc w:val="left"/>
              <w:rPr>
                <w:b/>
                <w:sz w:val="18"/>
              </w:rPr>
            </w:pPr>
            <w:r>
              <w:rPr>
                <w:b/>
                <w:sz w:val="18"/>
              </w:rPr>
              <w:t>First Dose</w:t>
            </w:r>
          </w:p>
        </w:tc>
        <w:tc>
          <w:tcPr>
            <w:tcW w:w="847" w:type="dxa"/>
            <w:tcBorders>
              <w:top w:val="single" w:sz="4" w:space="0" w:color="000000"/>
              <w:left w:val="single" w:sz="2" w:space="0" w:color="000000"/>
              <w:bottom w:val="single" w:sz="2" w:space="0" w:color="000000"/>
              <w:right w:val="single" w:sz="4" w:space="0" w:color="000000"/>
            </w:tcBorders>
          </w:tcPr>
          <w:p w:rsidR="00B4513B" w:rsidRDefault="00602CED">
            <w:pPr>
              <w:pStyle w:val="TableParagraph"/>
              <w:spacing w:before="1" w:line="208" w:lineRule="exact"/>
              <w:ind w:left="245" w:firstLine="16"/>
              <w:jc w:val="left"/>
              <w:rPr>
                <w:b/>
                <w:sz w:val="18"/>
              </w:rPr>
            </w:pPr>
            <w:r>
              <w:rPr>
                <w:b/>
                <w:sz w:val="18"/>
              </w:rPr>
              <w:t>Last Dose</w:t>
            </w:r>
          </w:p>
        </w:tc>
        <w:tc>
          <w:tcPr>
            <w:tcW w:w="1862" w:type="dxa"/>
            <w:vMerge/>
            <w:tcBorders>
              <w:top w:val="nil"/>
              <w:left w:val="single" w:sz="4" w:space="0" w:color="000000"/>
              <w:bottom w:val="single" w:sz="2" w:space="0" w:color="000000"/>
            </w:tcBorders>
          </w:tcPr>
          <w:p w:rsidR="00B4513B" w:rsidRDefault="00B4513B">
            <w:pPr>
              <w:rPr>
                <w:sz w:val="2"/>
                <w:szCs w:val="2"/>
              </w:rPr>
            </w:pPr>
          </w:p>
        </w:tc>
      </w:tr>
      <w:tr w:rsidR="00B4513B">
        <w:trPr>
          <w:trHeight w:val="619"/>
        </w:trPr>
        <w:tc>
          <w:tcPr>
            <w:tcW w:w="1514" w:type="dxa"/>
            <w:tcBorders>
              <w:top w:val="single" w:sz="2" w:space="0" w:color="000000"/>
              <w:bottom w:val="single" w:sz="2" w:space="0" w:color="000000"/>
              <w:right w:val="single" w:sz="2" w:space="0" w:color="000000"/>
            </w:tcBorders>
          </w:tcPr>
          <w:p w:rsidR="00B4513B" w:rsidRDefault="00FC4CF0">
            <w:pPr>
              <w:pStyle w:val="TableParagraph"/>
              <w:spacing w:line="204" w:lineRule="exact"/>
              <w:ind w:left="107"/>
              <w:jc w:val="left"/>
              <w:rPr>
                <w:b/>
                <w:sz w:val="18"/>
              </w:rPr>
            </w:pPr>
            <w:r>
              <w:rPr>
                <w:b/>
                <w:sz w:val="18"/>
              </w:rPr>
              <w:t>Project P</w:t>
            </w:r>
            <w:r w:rsidR="00602CED">
              <w:rPr>
                <w:b/>
                <w:sz w:val="18"/>
              </w:rPr>
              <w:t>-PH-0008</w:t>
            </w:r>
          </w:p>
          <w:p w:rsidR="00B4513B" w:rsidRDefault="00602CED">
            <w:pPr>
              <w:pStyle w:val="TableParagraph"/>
              <w:spacing w:line="207" w:lineRule="exact"/>
              <w:ind w:left="107"/>
              <w:jc w:val="left"/>
              <w:rPr>
                <w:b/>
                <w:sz w:val="18"/>
              </w:rPr>
            </w:pPr>
            <w:r>
              <w:rPr>
                <w:b/>
                <w:sz w:val="18"/>
              </w:rPr>
              <w:t>Rat, single, iv</w:t>
            </w:r>
          </w:p>
        </w:tc>
        <w:tc>
          <w:tcPr>
            <w:tcW w:w="1548" w:type="dxa"/>
            <w:tcBorders>
              <w:top w:val="single" w:sz="2" w:space="0" w:color="000000"/>
              <w:left w:val="single" w:sz="2" w:space="0" w:color="000000"/>
              <w:bottom w:val="single" w:sz="2" w:space="0" w:color="000000"/>
              <w:right w:val="single" w:sz="2" w:space="0" w:color="000000"/>
            </w:tcBorders>
          </w:tcPr>
          <w:p w:rsidR="00B4513B" w:rsidRDefault="00B4513B">
            <w:pPr>
              <w:pStyle w:val="TableParagraph"/>
              <w:spacing w:before="3" w:line="240" w:lineRule="auto"/>
              <w:jc w:val="left"/>
              <w:rPr>
                <w:b/>
                <w:sz w:val="17"/>
              </w:rPr>
            </w:pPr>
          </w:p>
          <w:p w:rsidR="00B4513B" w:rsidRDefault="00602CED">
            <w:pPr>
              <w:pStyle w:val="TableParagraph"/>
              <w:spacing w:before="1" w:line="240" w:lineRule="auto"/>
              <w:ind w:left="152" w:right="136"/>
              <w:rPr>
                <w:sz w:val="18"/>
              </w:rPr>
            </w:pPr>
            <w:r>
              <w:rPr>
                <w:sz w:val="18"/>
              </w:rPr>
              <w:t>1.2mg/3mL/kg/h</w:t>
            </w:r>
          </w:p>
        </w:tc>
        <w:tc>
          <w:tcPr>
            <w:tcW w:w="487" w:type="dxa"/>
            <w:tcBorders>
              <w:top w:val="single" w:sz="2" w:space="0" w:color="000000"/>
              <w:left w:val="single" w:sz="2" w:space="0" w:color="000000"/>
              <w:bottom w:val="single" w:sz="2" w:space="0" w:color="000000"/>
              <w:right w:val="single" w:sz="2" w:space="0" w:color="000000"/>
            </w:tcBorders>
          </w:tcPr>
          <w:p w:rsidR="00B4513B" w:rsidRDefault="00B4513B">
            <w:pPr>
              <w:pStyle w:val="TableParagraph"/>
              <w:spacing w:before="3" w:line="240" w:lineRule="auto"/>
              <w:jc w:val="left"/>
              <w:rPr>
                <w:b/>
                <w:sz w:val="17"/>
              </w:rPr>
            </w:pPr>
          </w:p>
          <w:p w:rsidR="00B4513B" w:rsidRDefault="00602CED">
            <w:pPr>
              <w:pStyle w:val="TableParagraph"/>
              <w:spacing w:before="1" w:line="240" w:lineRule="auto"/>
              <w:ind w:left="17"/>
              <w:rPr>
                <w:sz w:val="18"/>
              </w:rPr>
            </w:pPr>
            <w:r>
              <w:rPr>
                <w:sz w:val="18"/>
              </w:rPr>
              <w:t>F</w:t>
            </w:r>
          </w:p>
        </w:tc>
        <w:tc>
          <w:tcPr>
            <w:tcW w:w="1363" w:type="dxa"/>
            <w:tcBorders>
              <w:top w:val="single" w:sz="2" w:space="0" w:color="000000"/>
              <w:left w:val="single" w:sz="2" w:space="0" w:color="000000"/>
              <w:bottom w:val="single" w:sz="2" w:space="0" w:color="000000"/>
              <w:right w:val="single" w:sz="4" w:space="0" w:color="000000"/>
            </w:tcBorders>
          </w:tcPr>
          <w:p w:rsidR="00B4513B" w:rsidRDefault="00602CED">
            <w:pPr>
              <w:pStyle w:val="TableParagraph"/>
              <w:spacing w:before="12" w:line="216" w:lineRule="auto"/>
              <w:ind w:left="221" w:right="202" w:firstLine="1"/>
              <w:rPr>
                <w:sz w:val="18"/>
              </w:rPr>
            </w:pPr>
            <w:r>
              <w:rPr>
                <w:position w:val="3"/>
                <w:sz w:val="18"/>
              </w:rPr>
              <w:t>Mean C</w:t>
            </w:r>
            <w:r>
              <w:rPr>
                <w:sz w:val="12"/>
              </w:rPr>
              <w:t xml:space="preserve">plasma </w:t>
            </w:r>
            <w:r>
              <w:rPr>
                <w:sz w:val="18"/>
              </w:rPr>
              <w:t>after 19 min:</w:t>
            </w:r>
          </w:p>
          <w:p w:rsidR="00B4513B" w:rsidRDefault="00602CED">
            <w:pPr>
              <w:pStyle w:val="TableParagraph"/>
              <w:spacing w:before="4" w:line="194" w:lineRule="exact"/>
              <w:ind w:left="272" w:right="254"/>
              <w:rPr>
                <w:sz w:val="18"/>
              </w:rPr>
            </w:pPr>
            <w:r>
              <w:rPr>
                <w:sz w:val="18"/>
              </w:rPr>
              <w:t>563</w:t>
            </w:r>
          </w:p>
        </w:tc>
        <w:tc>
          <w:tcPr>
            <w:tcW w:w="756" w:type="dxa"/>
            <w:tcBorders>
              <w:top w:val="single" w:sz="2" w:space="0" w:color="000000"/>
              <w:left w:val="single" w:sz="4" w:space="0" w:color="000000"/>
              <w:bottom w:val="single" w:sz="2" w:space="0" w:color="000000"/>
              <w:right w:val="single" w:sz="2" w:space="0" w:color="000000"/>
            </w:tcBorders>
          </w:tcPr>
          <w:p w:rsidR="00B4513B" w:rsidRDefault="00B4513B">
            <w:pPr>
              <w:pStyle w:val="TableParagraph"/>
              <w:spacing w:before="3" w:line="240" w:lineRule="auto"/>
              <w:jc w:val="left"/>
              <w:rPr>
                <w:b/>
                <w:sz w:val="17"/>
              </w:rPr>
            </w:pPr>
          </w:p>
          <w:p w:rsidR="00B4513B" w:rsidRDefault="00602CED">
            <w:pPr>
              <w:pStyle w:val="TableParagraph"/>
              <w:spacing w:before="1" w:line="240" w:lineRule="auto"/>
              <w:ind w:left="88" w:right="77"/>
              <w:rPr>
                <w:sz w:val="18"/>
              </w:rPr>
            </w:pPr>
            <w:r>
              <w:rPr>
                <w:sz w:val="18"/>
              </w:rPr>
              <w:t>NA</w:t>
            </w:r>
          </w:p>
        </w:tc>
        <w:tc>
          <w:tcPr>
            <w:tcW w:w="845" w:type="dxa"/>
            <w:tcBorders>
              <w:top w:val="single" w:sz="2" w:space="0" w:color="000000"/>
              <w:left w:val="single" w:sz="2" w:space="0" w:color="000000"/>
              <w:bottom w:val="single" w:sz="2" w:space="0" w:color="000000"/>
              <w:right w:val="single" w:sz="2" w:space="0" w:color="000000"/>
            </w:tcBorders>
          </w:tcPr>
          <w:p w:rsidR="00B4513B" w:rsidRDefault="00B4513B">
            <w:pPr>
              <w:pStyle w:val="TableParagraph"/>
              <w:spacing w:before="3" w:line="240" w:lineRule="auto"/>
              <w:jc w:val="left"/>
              <w:rPr>
                <w:b/>
                <w:sz w:val="17"/>
              </w:rPr>
            </w:pPr>
          </w:p>
          <w:p w:rsidR="00B4513B" w:rsidRDefault="00602CED">
            <w:pPr>
              <w:pStyle w:val="TableParagraph"/>
              <w:spacing w:before="1" w:line="240" w:lineRule="auto"/>
              <w:ind w:left="277" w:right="262"/>
              <w:rPr>
                <w:sz w:val="18"/>
              </w:rPr>
            </w:pPr>
            <w:r>
              <w:rPr>
                <w:sz w:val="18"/>
              </w:rPr>
              <w:t>NA</w:t>
            </w:r>
          </w:p>
        </w:tc>
        <w:tc>
          <w:tcPr>
            <w:tcW w:w="847" w:type="dxa"/>
            <w:tcBorders>
              <w:top w:val="single" w:sz="2" w:space="0" w:color="000000"/>
              <w:left w:val="single" w:sz="2" w:space="0" w:color="000000"/>
              <w:bottom w:val="single" w:sz="2" w:space="0" w:color="000000"/>
              <w:right w:val="single" w:sz="4" w:space="0" w:color="000000"/>
            </w:tcBorders>
          </w:tcPr>
          <w:p w:rsidR="00B4513B" w:rsidRDefault="00B4513B">
            <w:pPr>
              <w:pStyle w:val="TableParagraph"/>
              <w:spacing w:before="3" w:line="240" w:lineRule="auto"/>
              <w:jc w:val="left"/>
              <w:rPr>
                <w:b/>
                <w:sz w:val="17"/>
              </w:rPr>
            </w:pPr>
          </w:p>
          <w:p w:rsidR="00B4513B" w:rsidRDefault="00602CED">
            <w:pPr>
              <w:pStyle w:val="TableParagraph"/>
              <w:spacing w:before="1" w:line="240" w:lineRule="auto"/>
              <w:ind w:left="279" w:right="259"/>
              <w:rPr>
                <w:sz w:val="18"/>
              </w:rPr>
            </w:pPr>
            <w:r>
              <w:rPr>
                <w:sz w:val="18"/>
              </w:rPr>
              <w:t>NA</w:t>
            </w:r>
          </w:p>
        </w:tc>
        <w:tc>
          <w:tcPr>
            <w:tcW w:w="1862" w:type="dxa"/>
            <w:tcBorders>
              <w:top w:val="single" w:sz="2" w:space="0" w:color="000000"/>
              <w:left w:val="single" w:sz="4" w:space="0" w:color="000000"/>
              <w:bottom w:val="single" w:sz="2" w:space="0" w:color="000000"/>
            </w:tcBorders>
          </w:tcPr>
          <w:p w:rsidR="00B4513B" w:rsidRDefault="00602CED">
            <w:pPr>
              <w:pStyle w:val="TableParagraph"/>
              <w:spacing w:line="240" w:lineRule="auto"/>
              <w:ind w:left="110" w:right="386"/>
              <w:jc w:val="left"/>
              <w:rPr>
                <w:sz w:val="18"/>
              </w:rPr>
            </w:pPr>
            <w:r>
              <w:rPr>
                <w:spacing w:val="-1"/>
                <w:sz w:val="18"/>
              </w:rPr>
              <w:t xml:space="preserve">Pharmacologically </w:t>
            </w:r>
            <w:r>
              <w:rPr>
                <w:sz w:val="18"/>
              </w:rPr>
              <w:t>active</w:t>
            </w:r>
            <w:r>
              <w:rPr>
                <w:spacing w:val="-3"/>
                <w:sz w:val="18"/>
              </w:rPr>
              <w:t xml:space="preserve"> </w:t>
            </w:r>
            <w:r>
              <w:rPr>
                <w:sz w:val="18"/>
              </w:rPr>
              <w:t>plasma</w:t>
            </w:r>
          </w:p>
          <w:p w:rsidR="00B4513B" w:rsidRDefault="00602CED">
            <w:pPr>
              <w:pStyle w:val="TableParagraph"/>
              <w:spacing w:line="192" w:lineRule="exact"/>
              <w:ind w:left="110"/>
              <w:jc w:val="left"/>
              <w:rPr>
                <w:sz w:val="18"/>
              </w:rPr>
            </w:pPr>
            <w:r>
              <w:rPr>
                <w:sz w:val="18"/>
              </w:rPr>
              <w:t>concentration</w:t>
            </w:r>
          </w:p>
        </w:tc>
      </w:tr>
      <w:tr w:rsidR="00B4513B">
        <w:trPr>
          <w:trHeight w:val="282"/>
        </w:trPr>
        <w:tc>
          <w:tcPr>
            <w:tcW w:w="1514" w:type="dxa"/>
            <w:vMerge w:val="restart"/>
            <w:tcBorders>
              <w:top w:val="single" w:sz="2" w:space="0" w:color="000000"/>
              <w:bottom w:val="single" w:sz="2" w:space="0" w:color="000000"/>
              <w:right w:val="single" w:sz="2" w:space="0" w:color="000000"/>
            </w:tcBorders>
          </w:tcPr>
          <w:p w:rsidR="00B4513B" w:rsidRDefault="00FC4CF0">
            <w:pPr>
              <w:pStyle w:val="TableParagraph"/>
              <w:spacing w:line="207" w:lineRule="exact"/>
              <w:ind w:left="107"/>
              <w:jc w:val="left"/>
              <w:rPr>
                <w:b/>
                <w:sz w:val="18"/>
              </w:rPr>
            </w:pPr>
            <w:r>
              <w:rPr>
                <w:b/>
                <w:sz w:val="18"/>
              </w:rPr>
              <w:t>Project P</w:t>
            </w:r>
            <w:r w:rsidR="00602CED">
              <w:rPr>
                <w:b/>
                <w:sz w:val="18"/>
              </w:rPr>
              <w:t>-PT-0004</w:t>
            </w:r>
          </w:p>
          <w:p w:rsidR="00B4513B" w:rsidRDefault="00602CED">
            <w:pPr>
              <w:pStyle w:val="TableParagraph"/>
              <w:spacing w:line="207" w:lineRule="exact"/>
              <w:ind w:left="107"/>
              <w:jc w:val="left"/>
              <w:rPr>
                <w:b/>
                <w:sz w:val="18"/>
              </w:rPr>
            </w:pPr>
            <w:r>
              <w:rPr>
                <w:b/>
                <w:sz w:val="18"/>
              </w:rPr>
              <w:t>Dog, single, po</w:t>
            </w:r>
          </w:p>
        </w:tc>
        <w:tc>
          <w:tcPr>
            <w:tcW w:w="1548"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before="33" w:line="240" w:lineRule="auto"/>
              <w:ind w:left="152" w:right="135"/>
              <w:rPr>
                <w:sz w:val="18"/>
              </w:rPr>
            </w:pPr>
            <w:r>
              <w:rPr>
                <w:sz w:val="18"/>
              </w:rPr>
              <w:t>100 (NOAEL)</w:t>
            </w:r>
          </w:p>
        </w:tc>
        <w:tc>
          <w:tcPr>
            <w:tcW w:w="487"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before="33" w:line="240" w:lineRule="auto"/>
              <w:ind w:left="19"/>
              <w:rPr>
                <w:sz w:val="18"/>
              </w:rPr>
            </w:pPr>
            <w:r>
              <w:rPr>
                <w:sz w:val="18"/>
              </w:rPr>
              <w:t>M</w:t>
            </w:r>
          </w:p>
        </w:tc>
        <w:tc>
          <w:tcPr>
            <w:tcW w:w="1363" w:type="dxa"/>
            <w:tcBorders>
              <w:top w:val="single" w:sz="2" w:space="0" w:color="000000"/>
              <w:left w:val="single" w:sz="2" w:space="0" w:color="000000"/>
              <w:bottom w:val="single" w:sz="2" w:space="0" w:color="000000"/>
              <w:right w:val="single" w:sz="4" w:space="0" w:color="000000"/>
            </w:tcBorders>
          </w:tcPr>
          <w:p w:rsidR="00B4513B" w:rsidRDefault="00602CED">
            <w:pPr>
              <w:pStyle w:val="TableParagraph"/>
              <w:spacing w:before="33" w:line="240" w:lineRule="auto"/>
              <w:ind w:left="272" w:right="255"/>
              <w:rPr>
                <w:sz w:val="18"/>
              </w:rPr>
            </w:pPr>
            <w:r>
              <w:rPr>
                <w:sz w:val="18"/>
              </w:rPr>
              <w:t>116000</w:t>
            </w:r>
          </w:p>
        </w:tc>
        <w:tc>
          <w:tcPr>
            <w:tcW w:w="756" w:type="dxa"/>
            <w:tcBorders>
              <w:top w:val="single" w:sz="2" w:space="0" w:color="000000"/>
              <w:left w:val="single" w:sz="4" w:space="0" w:color="000000"/>
              <w:bottom w:val="single" w:sz="2" w:space="0" w:color="000000"/>
              <w:right w:val="single" w:sz="2" w:space="0" w:color="000000"/>
            </w:tcBorders>
          </w:tcPr>
          <w:p w:rsidR="00B4513B" w:rsidRDefault="00602CED">
            <w:pPr>
              <w:pStyle w:val="TableParagraph"/>
              <w:spacing w:before="33" w:line="240" w:lineRule="auto"/>
              <w:ind w:left="88" w:right="77"/>
              <w:rPr>
                <w:sz w:val="18"/>
              </w:rPr>
            </w:pPr>
            <w:r>
              <w:rPr>
                <w:sz w:val="18"/>
              </w:rPr>
              <w:t>NA</w:t>
            </w:r>
          </w:p>
        </w:tc>
        <w:tc>
          <w:tcPr>
            <w:tcW w:w="845"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before="33" w:line="240" w:lineRule="auto"/>
              <w:ind w:right="137"/>
              <w:jc w:val="right"/>
              <w:rPr>
                <w:sz w:val="18"/>
              </w:rPr>
            </w:pPr>
            <w:r>
              <w:rPr>
                <w:sz w:val="18"/>
              </w:rPr>
              <w:t>798000</w:t>
            </w:r>
          </w:p>
        </w:tc>
        <w:tc>
          <w:tcPr>
            <w:tcW w:w="847" w:type="dxa"/>
            <w:tcBorders>
              <w:top w:val="single" w:sz="2" w:space="0" w:color="000000"/>
              <w:left w:val="single" w:sz="2" w:space="0" w:color="000000"/>
              <w:bottom w:val="single" w:sz="2" w:space="0" w:color="000000"/>
              <w:right w:val="single" w:sz="4" w:space="0" w:color="000000"/>
            </w:tcBorders>
          </w:tcPr>
          <w:p w:rsidR="00B4513B" w:rsidRDefault="00602CED">
            <w:pPr>
              <w:pStyle w:val="TableParagraph"/>
              <w:spacing w:before="33" w:line="240" w:lineRule="auto"/>
              <w:ind w:left="279" w:right="259"/>
              <w:rPr>
                <w:sz w:val="18"/>
              </w:rPr>
            </w:pPr>
            <w:r>
              <w:rPr>
                <w:sz w:val="18"/>
              </w:rPr>
              <w:t>NA</w:t>
            </w:r>
          </w:p>
        </w:tc>
        <w:tc>
          <w:tcPr>
            <w:tcW w:w="1862" w:type="dxa"/>
            <w:vMerge w:val="restart"/>
            <w:tcBorders>
              <w:top w:val="single" w:sz="2" w:space="0" w:color="000000"/>
              <w:left w:val="single" w:sz="4" w:space="0" w:color="000000"/>
              <w:bottom w:val="single" w:sz="2" w:space="0" w:color="000000"/>
            </w:tcBorders>
          </w:tcPr>
          <w:p w:rsidR="00B4513B" w:rsidRDefault="00602CED">
            <w:pPr>
              <w:pStyle w:val="TableParagraph"/>
              <w:spacing w:before="76" w:line="240" w:lineRule="auto"/>
              <w:ind w:left="110" w:right="320"/>
              <w:jc w:val="left"/>
              <w:rPr>
                <w:sz w:val="18"/>
              </w:rPr>
            </w:pPr>
            <w:r>
              <w:rPr>
                <w:sz w:val="18"/>
              </w:rPr>
              <w:t>NOAEL based on increased heart rate</w:t>
            </w:r>
          </w:p>
        </w:tc>
      </w:tr>
      <w:tr w:rsidR="00B4513B">
        <w:trPr>
          <w:trHeight w:val="290"/>
        </w:trPr>
        <w:tc>
          <w:tcPr>
            <w:tcW w:w="1514" w:type="dxa"/>
            <w:vMerge/>
            <w:tcBorders>
              <w:top w:val="nil"/>
              <w:bottom w:val="single" w:sz="2" w:space="0" w:color="000000"/>
              <w:right w:val="single" w:sz="2" w:space="0" w:color="000000"/>
            </w:tcBorders>
          </w:tcPr>
          <w:p w:rsidR="00B4513B" w:rsidRDefault="00B4513B">
            <w:pPr>
              <w:rPr>
                <w:sz w:val="2"/>
                <w:szCs w:val="2"/>
              </w:rPr>
            </w:pPr>
          </w:p>
        </w:tc>
        <w:tc>
          <w:tcPr>
            <w:tcW w:w="1548"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before="36" w:line="240" w:lineRule="auto"/>
              <w:ind w:left="152" w:right="135"/>
              <w:rPr>
                <w:sz w:val="18"/>
              </w:rPr>
            </w:pPr>
            <w:r>
              <w:rPr>
                <w:sz w:val="18"/>
              </w:rPr>
              <w:t>1000 (LOAEL)</w:t>
            </w:r>
          </w:p>
        </w:tc>
        <w:tc>
          <w:tcPr>
            <w:tcW w:w="487"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before="36" w:line="240" w:lineRule="auto"/>
              <w:ind w:left="19"/>
              <w:rPr>
                <w:sz w:val="18"/>
              </w:rPr>
            </w:pPr>
            <w:r>
              <w:rPr>
                <w:sz w:val="18"/>
              </w:rPr>
              <w:t>M</w:t>
            </w:r>
          </w:p>
        </w:tc>
        <w:tc>
          <w:tcPr>
            <w:tcW w:w="1363" w:type="dxa"/>
            <w:tcBorders>
              <w:top w:val="single" w:sz="2" w:space="0" w:color="000000"/>
              <w:left w:val="single" w:sz="2" w:space="0" w:color="000000"/>
              <w:bottom w:val="single" w:sz="2" w:space="0" w:color="000000"/>
              <w:right w:val="single" w:sz="4" w:space="0" w:color="000000"/>
            </w:tcBorders>
          </w:tcPr>
          <w:p w:rsidR="00B4513B" w:rsidRDefault="00602CED">
            <w:pPr>
              <w:pStyle w:val="TableParagraph"/>
              <w:spacing w:before="36" w:line="240" w:lineRule="auto"/>
              <w:ind w:left="272" w:right="255"/>
              <w:rPr>
                <w:sz w:val="18"/>
              </w:rPr>
            </w:pPr>
            <w:r>
              <w:rPr>
                <w:sz w:val="18"/>
              </w:rPr>
              <w:t>300000</w:t>
            </w:r>
          </w:p>
        </w:tc>
        <w:tc>
          <w:tcPr>
            <w:tcW w:w="756" w:type="dxa"/>
            <w:tcBorders>
              <w:top w:val="single" w:sz="2" w:space="0" w:color="000000"/>
              <w:left w:val="single" w:sz="4" w:space="0" w:color="000000"/>
              <w:bottom w:val="single" w:sz="2" w:space="0" w:color="000000"/>
              <w:right w:val="single" w:sz="2" w:space="0" w:color="000000"/>
            </w:tcBorders>
          </w:tcPr>
          <w:p w:rsidR="00B4513B" w:rsidRDefault="00602CED">
            <w:pPr>
              <w:pStyle w:val="TableParagraph"/>
              <w:spacing w:before="36" w:line="240" w:lineRule="auto"/>
              <w:ind w:left="88" w:right="77"/>
              <w:rPr>
                <w:sz w:val="18"/>
              </w:rPr>
            </w:pPr>
            <w:r>
              <w:rPr>
                <w:sz w:val="18"/>
              </w:rPr>
              <w:t>NA</w:t>
            </w:r>
          </w:p>
        </w:tc>
        <w:tc>
          <w:tcPr>
            <w:tcW w:w="845"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before="36" w:line="240" w:lineRule="auto"/>
              <w:ind w:right="91"/>
              <w:jc w:val="right"/>
              <w:rPr>
                <w:sz w:val="18"/>
              </w:rPr>
            </w:pPr>
            <w:r>
              <w:rPr>
                <w:sz w:val="18"/>
              </w:rPr>
              <w:t>2920000</w:t>
            </w:r>
          </w:p>
        </w:tc>
        <w:tc>
          <w:tcPr>
            <w:tcW w:w="847" w:type="dxa"/>
            <w:tcBorders>
              <w:top w:val="single" w:sz="2" w:space="0" w:color="000000"/>
              <w:left w:val="single" w:sz="2" w:space="0" w:color="000000"/>
              <w:bottom w:val="single" w:sz="2" w:space="0" w:color="000000"/>
              <w:right w:val="single" w:sz="4" w:space="0" w:color="000000"/>
            </w:tcBorders>
          </w:tcPr>
          <w:p w:rsidR="00B4513B" w:rsidRDefault="00602CED">
            <w:pPr>
              <w:pStyle w:val="TableParagraph"/>
              <w:spacing w:before="36" w:line="240" w:lineRule="auto"/>
              <w:ind w:left="279" w:right="259"/>
              <w:rPr>
                <w:sz w:val="18"/>
              </w:rPr>
            </w:pPr>
            <w:r>
              <w:rPr>
                <w:sz w:val="18"/>
              </w:rPr>
              <w:t>NA</w:t>
            </w:r>
          </w:p>
        </w:tc>
        <w:tc>
          <w:tcPr>
            <w:tcW w:w="1862" w:type="dxa"/>
            <w:vMerge/>
            <w:tcBorders>
              <w:top w:val="nil"/>
              <w:left w:val="single" w:sz="4" w:space="0" w:color="000000"/>
              <w:bottom w:val="single" w:sz="2" w:space="0" w:color="000000"/>
            </w:tcBorders>
          </w:tcPr>
          <w:p w:rsidR="00B4513B" w:rsidRDefault="00B4513B">
            <w:pPr>
              <w:rPr>
                <w:sz w:val="2"/>
                <w:szCs w:val="2"/>
              </w:rPr>
            </w:pPr>
          </w:p>
        </w:tc>
      </w:tr>
      <w:tr w:rsidR="00B4513B">
        <w:trPr>
          <w:trHeight w:val="232"/>
        </w:trPr>
        <w:tc>
          <w:tcPr>
            <w:tcW w:w="1514" w:type="dxa"/>
            <w:vMerge w:val="restart"/>
            <w:tcBorders>
              <w:top w:val="single" w:sz="2" w:space="0" w:color="000000"/>
              <w:bottom w:val="single" w:sz="2" w:space="0" w:color="000000"/>
              <w:right w:val="single" w:sz="2" w:space="0" w:color="000000"/>
            </w:tcBorders>
          </w:tcPr>
          <w:p w:rsidR="00B4513B" w:rsidRDefault="00FC4CF0">
            <w:pPr>
              <w:pStyle w:val="TableParagraph"/>
              <w:spacing w:line="207" w:lineRule="exact"/>
              <w:ind w:left="107"/>
              <w:jc w:val="left"/>
              <w:rPr>
                <w:b/>
                <w:sz w:val="18"/>
              </w:rPr>
            </w:pPr>
            <w:r>
              <w:rPr>
                <w:b/>
                <w:sz w:val="18"/>
              </w:rPr>
              <w:t>Project P</w:t>
            </w:r>
            <w:r w:rsidR="00602CED">
              <w:rPr>
                <w:b/>
                <w:sz w:val="18"/>
              </w:rPr>
              <w:t>-TX-0003</w:t>
            </w:r>
          </w:p>
          <w:p w:rsidR="00B4513B" w:rsidRDefault="00602CED">
            <w:pPr>
              <w:pStyle w:val="TableParagraph"/>
              <w:spacing w:line="207" w:lineRule="exact"/>
              <w:ind w:left="107"/>
              <w:jc w:val="left"/>
              <w:rPr>
                <w:b/>
                <w:sz w:val="18"/>
              </w:rPr>
            </w:pPr>
            <w:r>
              <w:rPr>
                <w:b/>
                <w:sz w:val="18"/>
              </w:rPr>
              <w:t>Rat,4-week, po</w:t>
            </w:r>
          </w:p>
        </w:tc>
        <w:tc>
          <w:tcPr>
            <w:tcW w:w="1548" w:type="dxa"/>
            <w:vMerge w:val="restart"/>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line="202" w:lineRule="exact"/>
              <w:ind w:left="259"/>
              <w:jc w:val="left"/>
              <w:rPr>
                <w:sz w:val="18"/>
              </w:rPr>
            </w:pPr>
            <w:r>
              <w:rPr>
                <w:sz w:val="18"/>
              </w:rPr>
              <w:t>300 (NOAEL)</w:t>
            </w:r>
          </w:p>
        </w:tc>
        <w:tc>
          <w:tcPr>
            <w:tcW w:w="487"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before="7" w:line="206" w:lineRule="exact"/>
              <w:ind w:left="19"/>
              <w:rPr>
                <w:sz w:val="18"/>
              </w:rPr>
            </w:pPr>
            <w:r>
              <w:rPr>
                <w:sz w:val="18"/>
              </w:rPr>
              <w:t>M</w:t>
            </w:r>
          </w:p>
        </w:tc>
        <w:tc>
          <w:tcPr>
            <w:tcW w:w="1363" w:type="dxa"/>
            <w:tcBorders>
              <w:top w:val="single" w:sz="2" w:space="0" w:color="000000"/>
              <w:left w:val="single" w:sz="2" w:space="0" w:color="000000"/>
              <w:bottom w:val="single" w:sz="2" w:space="0" w:color="000000"/>
              <w:right w:val="single" w:sz="4" w:space="0" w:color="000000"/>
            </w:tcBorders>
          </w:tcPr>
          <w:p w:rsidR="00B4513B" w:rsidRDefault="00602CED">
            <w:pPr>
              <w:pStyle w:val="TableParagraph"/>
              <w:spacing w:before="7" w:line="206" w:lineRule="exact"/>
              <w:ind w:left="272" w:right="252"/>
              <w:rPr>
                <w:sz w:val="18"/>
              </w:rPr>
            </w:pPr>
            <w:r>
              <w:rPr>
                <w:sz w:val="18"/>
              </w:rPr>
              <w:t>54900</w:t>
            </w:r>
          </w:p>
        </w:tc>
        <w:tc>
          <w:tcPr>
            <w:tcW w:w="756" w:type="dxa"/>
            <w:tcBorders>
              <w:top w:val="single" w:sz="2" w:space="0" w:color="000000"/>
              <w:left w:val="single" w:sz="4" w:space="0" w:color="000000"/>
              <w:bottom w:val="single" w:sz="2" w:space="0" w:color="000000"/>
              <w:right w:val="single" w:sz="2" w:space="0" w:color="000000"/>
            </w:tcBorders>
          </w:tcPr>
          <w:p w:rsidR="00B4513B" w:rsidRDefault="00602CED">
            <w:pPr>
              <w:pStyle w:val="TableParagraph"/>
              <w:spacing w:before="7" w:line="206" w:lineRule="exact"/>
              <w:ind w:left="89" w:right="77"/>
              <w:rPr>
                <w:sz w:val="18"/>
              </w:rPr>
            </w:pPr>
            <w:r>
              <w:rPr>
                <w:sz w:val="18"/>
              </w:rPr>
              <w:t>15200</w:t>
            </w:r>
          </w:p>
        </w:tc>
        <w:tc>
          <w:tcPr>
            <w:tcW w:w="845"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before="7" w:line="206" w:lineRule="exact"/>
              <w:ind w:right="137"/>
              <w:jc w:val="right"/>
              <w:rPr>
                <w:sz w:val="18"/>
              </w:rPr>
            </w:pPr>
            <w:r>
              <w:rPr>
                <w:sz w:val="18"/>
              </w:rPr>
              <w:t>306000</w:t>
            </w:r>
          </w:p>
        </w:tc>
        <w:tc>
          <w:tcPr>
            <w:tcW w:w="847" w:type="dxa"/>
            <w:tcBorders>
              <w:top w:val="single" w:sz="2" w:space="0" w:color="000000"/>
              <w:left w:val="single" w:sz="2" w:space="0" w:color="000000"/>
              <w:bottom w:val="single" w:sz="2" w:space="0" w:color="000000"/>
              <w:right w:val="single" w:sz="4" w:space="0" w:color="000000"/>
            </w:tcBorders>
          </w:tcPr>
          <w:p w:rsidR="00B4513B" w:rsidRDefault="00602CED">
            <w:pPr>
              <w:pStyle w:val="TableParagraph"/>
              <w:spacing w:before="7" w:line="206" w:lineRule="exact"/>
              <w:ind w:left="204"/>
              <w:jc w:val="left"/>
              <w:rPr>
                <w:sz w:val="18"/>
              </w:rPr>
            </w:pPr>
            <w:r>
              <w:rPr>
                <w:sz w:val="18"/>
              </w:rPr>
              <w:t>41100</w:t>
            </w:r>
          </w:p>
        </w:tc>
        <w:tc>
          <w:tcPr>
            <w:tcW w:w="1862" w:type="dxa"/>
            <w:vMerge w:val="restart"/>
            <w:tcBorders>
              <w:top w:val="single" w:sz="2" w:space="0" w:color="000000"/>
              <w:left w:val="single" w:sz="4" w:space="0" w:color="000000"/>
              <w:bottom w:val="single" w:sz="2" w:space="0" w:color="000000"/>
            </w:tcBorders>
          </w:tcPr>
          <w:p w:rsidR="00B4513B" w:rsidRDefault="00602CED">
            <w:pPr>
              <w:pStyle w:val="TableParagraph"/>
              <w:spacing w:before="28" w:line="240" w:lineRule="auto"/>
              <w:ind w:left="110" w:right="89"/>
              <w:jc w:val="left"/>
              <w:rPr>
                <w:sz w:val="18"/>
              </w:rPr>
            </w:pPr>
            <w:r>
              <w:rPr>
                <w:sz w:val="18"/>
              </w:rPr>
              <w:t xml:space="preserve">NOAEL based on decreased Hb, and high platelet count </w:t>
            </w:r>
            <w:r>
              <w:rPr>
                <w:spacing w:val="-5"/>
                <w:sz w:val="18"/>
              </w:rPr>
              <w:t xml:space="preserve">and </w:t>
            </w:r>
            <w:r>
              <w:rPr>
                <w:sz w:val="18"/>
              </w:rPr>
              <w:t>increased liver</w:t>
            </w:r>
            <w:r>
              <w:rPr>
                <w:spacing w:val="-6"/>
                <w:sz w:val="18"/>
              </w:rPr>
              <w:t xml:space="preserve"> </w:t>
            </w:r>
            <w:r>
              <w:rPr>
                <w:sz w:val="18"/>
              </w:rPr>
              <w:t>weight</w:t>
            </w:r>
          </w:p>
        </w:tc>
      </w:tr>
      <w:tr w:rsidR="00B4513B">
        <w:trPr>
          <w:trHeight w:val="206"/>
        </w:trPr>
        <w:tc>
          <w:tcPr>
            <w:tcW w:w="1514" w:type="dxa"/>
            <w:vMerge/>
            <w:tcBorders>
              <w:top w:val="nil"/>
              <w:bottom w:val="single" w:sz="2" w:space="0" w:color="000000"/>
              <w:right w:val="single" w:sz="2" w:space="0" w:color="000000"/>
            </w:tcBorders>
          </w:tcPr>
          <w:p w:rsidR="00B4513B" w:rsidRDefault="00B4513B">
            <w:pPr>
              <w:rPr>
                <w:sz w:val="2"/>
                <w:szCs w:val="2"/>
              </w:rPr>
            </w:pPr>
          </w:p>
        </w:tc>
        <w:tc>
          <w:tcPr>
            <w:tcW w:w="1548" w:type="dxa"/>
            <w:vMerge/>
            <w:tcBorders>
              <w:top w:val="nil"/>
              <w:left w:val="single" w:sz="2" w:space="0" w:color="000000"/>
              <w:bottom w:val="single" w:sz="2" w:space="0" w:color="000000"/>
              <w:right w:val="single" w:sz="2" w:space="0" w:color="000000"/>
            </w:tcBorders>
          </w:tcPr>
          <w:p w:rsidR="00B4513B" w:rsidRDefault="00B4513B">
            <w:pPr>
              <w:rPr>
                <w:sz w:val="2"/>
                <w:szCs w:val="2"/>
              </w:rPr>
            </w:pPr>
          </w:p>
        </w:tc>
        <w:tc>
          <w:tcPr>
            <w:tcW w:w="487"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line="186" w:lineRule="exact"/>
              <w:ind w:left="17"/>
              <w:rPr>
                <w:sz w:val="18"/>
              </w:rPr>
            </w:pPr>
            <w:r>
              <w:rPr>
                <w:sz w:val="18"/>
              </w:rPr>
              <w:t>F</w:t>
            </w:r>
          </w:p>
        </w:tc>
        <w:tc>
          <w:tcPr>
            <w:tcW w:w="1363" w:type="dxa"/>
            <w:tcBorders>
              <w:top w:val="single" w:sz="2" w:space="0" w:color="000000"/>
              <w:left w:val="single" w:sz="2" w:space="0" w:color="000000"/>
              <w:bottom w:val="single" w:sz="2" w:space="0" w:color="000000"/>
              <w:right w:val="single" w:sz="4" w:space="0" w:color="000000"/>
            </w:tcBorders>
          </w:tcPr>
          <w:p w:rsidR="00B4513B" w:rsidRDefault="00602CED">
            <w:pPr>
              <w:pStyle w:val="TableParagraph"/>
              <w:spacing w:line="186" w:lineRule="exact"/>
              <w:ind w:left="272" w:right="252"/>
              <w:rPr>
                <w:sz w:val="18"/>
              </w:rPr>
            </w:pPr>
            <w:r>
              <w:rPr>
                <w:sz w:val="18"/>
              </w:rPr>
              <w:t>67700</w:t>
            </w:r>
          </w:p>
        </w:tc>
        <w:tc>
          <w:tcPr>
            <w:tcW w:w="756" w:type="dxa"/>
            <w:tcBorders>
              <w:top w:val="single" w:sz="2" w:space="0" w:color="000000"/>
              <w:left w:val="single" w:sz="4" w:space="0" w:color="000000"/>
              <w:bottom w:val="single" w:sz="2" w:space="0" w:color="000000"/>
              <w:right w:val="single" w:sz="2" w:space="0" w:color="000000"/>
            </w:tcBorders>
          </w:tcPr>
          <w:p w:rsidR="00B4513B" w:rsidRDefault="00602CED">
            <w:pPr>
              <w:pStyle w:val="TableParagraph"/>
              <w:spacing w:line="186" w:lineRule="exact"/>
              <w:ind w:left="89" w:right="77"/>
              <w:rPr>
                <w:sz w:val="18"/>
              </w:rPr>
            </w:pPr>
            <w:r>
              <w:rPr>
                <w:sz w:val="18"/>
              </w:rPr>
              <w:t>45700</w:t>
            </w:r>
          </w:p>
        </w:tc>
        <w:tc>
          <w:tcPr>
            <w:tcW w:w="845"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line="186" w:lineRule="exact"/>
              <w:ind w:right="137"/>
              <w:jc w:val="right"/>
              <w:rPr>
                <w:sz w:val="18"/>
              </w:rPr>
            </w:pPr>
            <w:r>
              <w:rPr>
                <w:sz w:val="18"/>
              </w:rPr>
              <w:t>393000</w:t>
            </w:r>
          </w:p>
        </w:tc>
        <w:tc>
          <w:tcPr>
            <w:tcW w:w="847" w:type="dxa"/>
            <w:tcBorders>
              <w:top w:val="single" w:sz="2" w:space="0" w:color="000000"/>
              <w:left w:val="single" w:sz="2" w:space="0" w:color="000000"/>
              <w:bottom w:val="single" w:sz="2" w:space="0" w:color="000000"/>
              <w:right w:val="single" w:sz="4" w:space="0" w:color="000000"/>
            </w:tcBorders>
          </w:tcPr>
          <w:p w:rsidR="00B4513B" w:rsidRDefault="00602CED">
            <w:pPr>
              <w:pStyle w:val="TableParagraph"/>
              <w:spacing w:line="186" w:lineRule="exact"/>
              <w:ind w:left="161"/>
              <w:jc w:val="left"/>
              <w:rPr>
                <w:sz w:val="18"/>
              </w:rPr>
            </w:pPr>
            <w:r>
              <w:rPr>
                <w:sz w:val="18"/>
              </w:rPr>
              <w:t>102000</w:t>
            </w:r>
          </w:p>
        </w:tc>
        <w:tc>
          <w:tcPr>
            <w:tcW w:w="1862" w:type="dxa"/>
            <w:vMerge/>
            <w:tcBorders>
              <w:top w:val="nil"/>
              <w:left w:val="single" w:sz="4" w:space="0" w:color="000000"/>
              <w:bottom w:val="single" w:sz="2" w:space="0" w:color="000000"/>
            </w:tcBorders>
          </w:tcPr>
          <w:p w:rsidR="00B4513B" w:rsidRDefault="00B4513B">
            <w:pPr>
              <w:rPr>
                <w:sz w:val="2"/>
                <w:szCs w:val="2"/>
              </w:rPr>
            </w:pPr>
          </w:p>
        </w:tc>
      </w:tr>
      <w:tr w:rsidR="00B4513B">
        <w:trPr>
          <w:trHeight w:val="235"/>
        </w:trPr>
        <w:tc>
          <w:tcPr>
            <w:tcW w:w="1514" w:type="dxa"/>
            <w:vMerge/>
            <w:tcBorders>
              <w:top w:val="nil"/>
              <w:bottom w:val="single" w:sz="2" w:space="0" w:color="000000"/>
              <w:right w:val="single" w:sz="2" w:space="0" w:color="000000"/>
            </w:tcBorders>
          </w:tcPr>
          <w:p w:rsidR="00B4513B" w:rsidRDefault="00B4513B">
            <w:pPr>
              <w:rPr>
                <w:sz w:val="2"/>
                <w:szCs w:val="2"/>
              </w:rPr>
            </w:pPr>
          </w:p>
        </w:tc>
        <w:tc>
          <w:tcPr>
            <w:tcW w:w="1548" w:type="dxa"/>
            <w:vMerge w:val="restart"/>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line="202" w:lineRule="exact"/>
              <w:ind w:left="223"/>
              <w:jc w:val="left"/>
              <w:rPr>
                <w:sz w:val="18"/>
              </w:rPr>
            </w:pPr>
            <w:r>
              <w:rPr>
                <w:sz w:val="18"/>
              </w:rPr>
              <w:t>1000 (LOAEL)</w:t>
            </w:r>
          </w:p>
        </w:tc>
        <w:tc>
          <w:tcPr>
            <w:tcW w:w="487"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before="9" w:line="206" w:lineRule="exact"/>
              <w:ind w:left="19"/>
              <w:rPr>
                <w:sz w:val="18"/>
              </w:rPr>
            </w:pPr>
            <w:r>
              <w:rPr>
                <w:sz w:val="18"/>
              </w:rPr>
              <w:t>M</w:t>
            </w:r>
          </w:p>
        </w:tc>
        <w:tc>
          <w:tcPr>
            <w:tcW w:w="1363" w:type="dxa"/>
            <w:tcBorders>
              <w:top w:val="single" w:sz="2" w:space="0" w:color="000000"/>
              <w:left w:val="single" w:sz="2" w:space="0" w:color="000000"/>
              <w:bottom w:val="single" w:sz="2" w:space="0" w:color="000000"/>
              <w:right w:val="single" w:sz="4" w:space="0" w:color="000000"/>
            </w:tcBorders>
          </w:tcPr>
          <w:p w:rsidR="00B4513B" w:rsidRDefault="00602CED">
            <w:pPr>
              <w:pStyle w:val="TableParagraph"/>
              <w:spacing w:before="9" w:line="206" w:lineRule="exact"/>
              <w:ind w:left="272" w:right="255"/>
              <w:rPr>
                <w:sz w:val="18"/>
              </w:rPr>
            </w:pPr>
            <w:r>
              <w:rPr>
                <w:sz w:val="18"/>
              </w:rPr>
              <w:t>171000</w:t>
            </w:r>
          </w:p>
        </w:tc>
        <w:tc>
          <w:tcPr>
            <w:tcW w:w="756" w:type="dxa"/>
            <w:tcBorders>
              <w:top w:val="single" w:sz="2" w:space="0" w:color="000000"/>
              <w:left w:val="single" w:sz="4" w:space="0" w:color="000000"/>
              <w:bottom w:val="single" w:sz="2" w:space="0" w:color="000000"/>
              <w:right w:val="single" w:sz="2" w:space="0" w:color="000000"/>
            </w:tcBorders>
          </w:tcPr>
          <w:p w:rsidR="00B4513B" w:rsidRDefault="00602CED">
            <w:pPr>
              <w:pStyle w:val="TableParagraph"/>
              <w:spacing w:before="9" w:line="206" w:lineRule="exact"/>
              <w:ind w:left="89" w:right="77"/>
              <w:rPr>
                <w:sz w:val="18"/>
              </w:rPr>
            </w:pPr>
            <w:r>
              <w:rPr>
                <w:sz w:val="18"/>
              </w:rPr>
              <w:t>36800</w:t>
            </w:r>
          </w:p>
        </w:tc>
        <w:tc>
          <w:tcPr>
            <w:tcW w:w="845"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before="9" w:line="206" w:lineRule="exact"/>
              <w:ind w:right="91"/>
              <w:jc w:val="right"/>
              <w:rPr>
                <w:sz w:val="18"/>
              </w:rPr>
            </w:pPr>
            <w:r>
              <w:rPr>
                <w:sz w:val="18"/>
              </w:rPr>
              <w:t>1870000</w:t>
            </w:r>
          </w:p>
        </w:tc>
        <w:tc>
          <w:tcPr>
            <w:tcW w:w="847" w:type="dxa"/>
            <w:tcBorders>
              <w:top w:val="single" w:sz="2" w:space="0" w:color="000000"/>
              <w:left w:val="single" w:sz="2" w:space="0" w:color="000000"/>
              <w:bottom w:val="single" w:sz="2" w:space="0" w:color="000000"/>
              <w:right w:val="single" w:sz="4" w:space="0" w:color="000000"/>
            </w:tcBorders>
          </w:tcPr>
          <w:p w:rsidR="00B4513B" w:rsidRDefault="00602CED">
            <w:pPr>
              <w:pStyle w:val="TableParagraph"/>
              <w:spacing w:before="9" w:line="206" w:lineRule="exact"/>
              <w:ind w:left="161"/>
              <w:jc w:val="left"/>
              <w:rPr>
                <w:sz w:val="18"/>
              </w:rPr>
            </w:pPr>
            <w:r>
              <w:rPr>
                <w:sz w:val="18"/>
              </w:rPr>
              <w:t>272000</w:t>
            </w:r>
          </w:p>
        </w:tc>
        <w:tc>
          <w:tcPr>
            <w:tcW w:w="1862" w:type="dxa"/>
            <w:vMerge/>
            <w:tcBorders>
              <w:top w:val="nil"/>
              <w:left w:val="single" w:sz="4" w:space="0" w:color="000000"/>
              <w:bottom w:val="single" w:sz="2" w:space="0" w:color="000000"/>
            </w:tcBorders>
          </w:tcPr>
          <w:p w:rsidR="00B4513B" w:rsidRDefault="00B4513B">
            <w:pPr>
              <w:rPr>
                <w:sz w:val="2"/>
                <w:szCs w:val="2"/>
              </w:rPr>
            </w:pPr>
          </w:p>
        </w:tc>
      </w:tr>
      <w:tr w:rsidR="00B4513B">
        <w:trPr>
          <w:trHeight w:val="206"/>
        </w:trPr>
        <w:tc>
          <w:tcPr>
            <w:tcW w:w="1514" w:type="dxa"/>
            <w:vMerge/>
            <w:tcBorders>
              <w:top w:val="nil"/>
              <w:bottom w:val="single" w:sz="2" w:space="0" w:color="000000"/>
              <w:right w:val="single" w:sz="2" w:space="0" w:color="000000"/>
            </w:tcBorders>
          </w:tcPr>
          <w:p w:rsidR="00B4513B" w:rsidRDefault="00B4513B">
            <w:pPr>
              <w:rPr>
                <w:sz w:val="2"/>
                <w:szCs w:val="2"/>
              </w:rPr>
            </w:pPr>
          </w:p>
        </w:tc>
        <w:tc>
          <w:tcPr>
            <w:tcW w:w="1548" w:type="dxa"/>
            <w:vMerge/>
            <w:tcBorders>
              <w:top w:val="nil"/>
              <w:left w:val="single" w:sz="2" w:space="0" w:color="000000"/>
              <w:bottom w:val="single" w:sz="2" w:space="0" w:color="000000"/>
              <w:right w:val="single" w:sz="2" w:space="0" w:color="000000"/>
            </w:tcBorders>
          </w:tcPr>
          <w:p w:rsidR="00B4513B" w:rsidRDefault="00B4513B">
            <w:pPr>
              <w:rPr>
                <w:sz w:val="2"/>
                <w:szCs w:val="2"/>
              </w:rPr>
            </w:pPr>
          </w:p>
        </w:tc>
        <w:tc>
          <w:tcPr>
            <w:tcW w:w="487"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line="186" w:lineRule="exact"/>
              <w:ind w:left="17"/>
              <w:rPr>
                <w:sz w:val="18"/>
              </w:rPr>
            </w:pPr>
            <w:r>
              <w:rPr>
                <w:sz w:val="18"/>
              </w:rPr>
              <w:t>F</w:t>
            </w:r>
          </w:p>
        </w:tc>
        <w:tc>
          <w:tcPr>
            <w:tcW w:w="1363" w:type="dxa"/>
            <w:tcBorders>
              <w:top w:val="single" w:sz="2" w:space="0" w:color="000000"/>
              <w:left w:val="single" w:sz="2" w:space="0" w:color="000000"/>
              <w:bottom w:val="single" w:sz="2" w:space="0" w:color="000000"/>
              <w:right w:val="single" w:sz="4" w:space="0" w:color="000000"/>
            </w:tcBorders>
          </w:tcPr>
          <w:p w:rsidR="00B4513B" w:rsidRDefault="00602CED">
            <w:pPr>
              <w:pStyle w:val="TableParagraph"/>
              <w:spacing w:line="186" w:lineRule="exact"/>
              <w:ind w:left="272" w:right="255"/>
              <w:rPr>
                <w:sz w:val="18"/>
              </w:rPr>
            </w:pPr>
            <w:r>
              <w:rPr>
                <w:sz w:val="18"/>
              </w:rPr>
              <w:t>143000</w:t>
            </w:r>
          </w:p>
        </w:tc>
        <w:tc>
          <w:tcPr>
            <w:tcW w:w="756" w:type="dxa"/>
            <w:tcBorders>
              <w:top w:val="single" w:sz="2" w:space="0" w:color="000000"/>
              <w:left w:val="single" w:sz="4" w:space="0" w:color="000000"/>
              <w:bottom w:val="single" w:sz="2" w:space="0" w:color="000000"/>
              <w:right w:val="single" w:sz="2" w:space="0" w:color="000000"/>
            </w:tcBorders>
          </w:tcPr>
          <w:p w:rsidR="00B4513B" w:rsidRDefault="00602CED">
            <w:pPr>
              <w:pStyle w:val="TableParagraph"/>
              <w:spacing w:line="186" w:lineRule="exact"/>
              <w:ind w:left="89" w:right="77"/>
              <w:rPr>
                <w:sz w:val="18"/>
              </w:rPr>
            </w:pPr>
            <w:r>
              <w:rPr>
                <w:sz w:val="18"/>
              </w:rPr>
              <w:t>61300</w:t>
            </w:r>
          </w:p>
        </w:tc>
        <w:tc>
          <w:tcPr>
            <w:tcW w:w="845"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line="186" w:lineRule="exact"/>
              <w:ind w:right="91"/>
              <w:jc w:val="right"/>
              <w:rPr>
                <w:sz w:val="18"/>
              </w:rPr>
            </w:pPr>
            <w:r>
              <w:rPr>
                <w:sz w:val="18"/>
              </w:rPr>
              <w:t>1190000</w:t>
            </w:r>
          </w:p>
        </w:tc>
        <w:tc>
          <w:tcPr>
            <w:tcW w:w="847" w:type="dxa"/>
            <w:tcBorders>
              <w:top w:val="single" w:sz="2" w:space="0" w:color="000000"/>
              <w:left w:val="single" w:sz="2" w:space="0" w:color="000000"/>
              <w:bottom w:val="single" w:sz="2" w:space="0" w:color="000000"/>
              <w:right w:val="single" w:sz="4" w:space="0" w:color="000000"/>
            </w:tcBorders>
          </w:tcPr>
          <w:p w:rsidR="00B4513B" w:rsidRDefault="00602CED">
            <w:pPr>
              <w:pStyle w:val="TableParagraph"/>
              <w:spacing w:line="186" w:lineRule="exact"/>
              <w:ind w:left="161"/>
              <w:jc w:val="left"/>
              <w:rPr>
                <w:sz w:val="18"/>
              </w:rPr>
            </w:pPr>
            <w:r>
              <w:rPr>
                <w:sz w:val="18"/>
              </w:rPr>
              <w:t>224000</w:t>
            </w:r>
          </w:p>
        </w:tc>
        <w:tc>
          <w:tcPr>
            <w:tcW w:w="1862" w:type="dxa"/>
            <w:vMerge/>
            <w:tcBorders>
              <w:top w:val="nil"/>
              <w:left w:val="single" w:sz="4" w:space="0" w:color="000000"/>
              <w:bottom w:val="single" w:sz="2" w:space="0" w:color="000000"/>
            </w:tcBorders>
          </w:tcPr>
          <w:p w:rsidR="00B4513B" w:rsidRDefault="00B4513B">
            <w:pPr>
              <w:rPr>
                <w:sz w:val="2"/>
                <w:szCs w:val="2"/>
              </w:rPr>
            </w:pPr>
          </w:p>
        </w:tc>
      </w:tr>
      <w:tr w:rsidR="00B4513B">
        <w:trPr>
          <w:trHeight w:val="230"/>
        </w:trPr>
        <w:tc>
          <w:tcPr>
            <w:tcW w:w="1514" w:type="dxa"/>
            <w:vMerge w:val="restart"/>
            <w:tcBorders>
              <w:top w:val="single" w:sz="2" w:space="0" w:color="000000"/>
              <w:right w:val="single" w:sz="2" w:space="0" w:color="000000"/>
            </w:tcBorders>
          </w:tcPr>
          <w:p w:rsidR="00B4513B" w:rsidRDefault="00FC4CF0">
            <w:pPr>
              <w:pStyle w:val="TableParagraph"/>
              <w:spacing w:line="240" w:lineRule="auto"/>
              <w:ind w:left="107"/>
              <w:jc w:val="left"/>
              <w:rPr>
                <w:b/>
                <w:sz w:val="18"/>
              </w:rPr>
            </w:pPr>
            <w:r>
              <w:rPr>
                <w:b/>
                <w:sz w:val="18"/>
              </w:rPr>
              <w:t>Project P</w:t>
            </w:r>
            <w:r w:rsidR="00602CED">
              <w:rPr>
                <w:b/>
                <w:sz w:val="18"/>
              </w:rPr>
              <w:t>-TX-0004</w:t>
            </w:r>
          </w:p>
          <w:p w:rsidR="00B4513B" w:rsidRDefault="00602CED">
            <w:pPr>
              <w:pStyle w:val="TableParagraph"/>
              <w:spacing w:before="1" w:line="240" w:lineRule="auto"/>
              <w:ind w:left="107"/>
              <w:jc w:val="left"/>
              <w:rPr>
                <w:b/>
                <w:sz w:val="18"/>
              </w:rPr>
            </w:pPr>
            <w:r>
              <w:rPr>
                <w:b/>
                <w:sz w:val="18"/>
              </w:rPr>
              <w:t>Dog, 4-week, po</w:t>
            </w:r>
          </w:p>
        </w:tc>
        <w:tc>
          <w:tcPr>
            <w:tcW w:w="1548"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line="202" w:lineRule="exact"/>
              <w:ind w:left="150" w:right="136"/>
              <w:rPr>
                <w:sz w:val="18"/>
              </w:rPr>
            </w:pPr>
            <w:r>
              <w:rPr>
                <w:sz w:val="18"/>
              </w:rPr>
              <w:t>20 (NOAEL)</w:t>
            </w:r>
          </w:p>
        </w:tc>
        <w:tc>
          <w:tcPr>
            <w:tcW w:w="487"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before="9" w:line="201" w:lineRule="exact"/>
              <w:ind w:left="19"/>
              <w:rPr>
                <w:sz w:val="18"/>
              </w:rPr>
            </w:pPr>
            <w:r>
              <w:rPr>
                <w:sz w:val="18"/>
              </w:rPr>
              <w:t>M</w:t>
            </w:r>
          </w:p>
        </w:tc>
        <w:tc>
          <w:tcPr>
            <w:tcW w:w="1363" w:type="dxa"/>
            <w:tcBorders>
              <w:top w:val="single" w:sz="2" w:space="0" w:color="000000"/>
              <w:left w:val="single" w:sz="2" w:space="0" w:color="000000"/>
              <w:bottom w:val="single" w:sz="2" w:space="0" w:color="000000"/>
              <w:right w:val="single" w:sz="4" w:space="0" w:color="000000"/>
            </w:tcBorders>
          </w:tcPr>
          <w:p w:rsidR="00B4513B" w:rsidRDefault="00602CED">
            <w:pPr>
              <w:pStyle w:val="TableParagraph"/>
              <w:spacing w:before="9" w:line="201" w:lineRule="exact"/>
              <w:ind w:left="272" w:right="252"/>
              <w:rPr>
                <w:sz w:val="18"/>
              </w:rPr>
            </w:pPr>
            <w:r>
              <w:rPr>
                <w:sz w:val="18"/>
              </w:rPr>
              <w:t>41600</w:t>
            </w:r>
          </w:p>
        </w:tc>
        <w:tc>
          <w:tcPr>
            <w:tcW w:w="756" w:type="dxa"/>
            <w:tcBorders>
              <w:top w:val="single" w:sz="2" w:space="0" w:color="000000"/>
              <w:left w:val="single" w:sz="4" w:space="0" w:color="000000"/>
              <w:bottom w:val="single" w:sz="2" w:space="0" w:color="000000"/>
              <w:right w:val="single" w:sz="2" w:space="0" w:color="000000"/>
            </w:tcBorders>
          </w:tcPr>
          <w:p w:rsidR="00B4513B" w:rsidRDefault="00602CED">
            <w:pPr>
              <w:pStyle w:val="TableParagraph"/>
              <w:spacing w:before="9" w:line="201" w:lineRule="exact"/>
              <w:ind w:left="89" w:right="77"/>
              <w:rPr>
                <w:sz w:val="18"/>
              </w:rPr>
            </w:pPr>
            <w:r>
              <w:rPr>
                <w:sz w:val="18"/>
              </w:rPr>
              <w:t>42900</w:t>
            </w:r>
          </w:p>
        </w:tc>
        <w:tc>
          <w:tcPr>
            <w:tcW w:w="845"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before="9" w:line="201" w:lineRule="exact"/>
              <w:ind w:right="182"/>
              <w:jc w:val="right"/>
              <w:rPr>
                <w:sz w:val="18"/>
              </w:rPr>
            </w:pPr>
            <w:r>
              <w:rPr>
                <w:sz w:val="18"/>
              </w:rPr>
              <w:t>99800</w:t>
            </w:r>
          </w:p>
        </w:tc>
        <w:tc>
          <w:tcPr>
            <w:tcW w:w="847" w:type="dxa"/>
            <w:tcBorders>
              <w:top w:val="single" w:sz="2" w:space="0" w:color="000000"/>
              <w:left w:val="single" w:sz="2" w:space="0" w:color="000000"/>
              <w:bottom w:val="single" w:sz="2" w:space="0" w:color="000000"/>
              <w:right w:val="single" w:sz="4" w:space="0" w:color="000000"/>
            </w:tcBorders>
          </w:tcPr>
          <w:p w:rsidR="00B4513B" w:rsidRDefault="00602CED">
            <w:pPr>
              <w:pStyle w:val="TableParagraph"/>
              <w:spacing w:before="9" w:line="201" w:lineRule="exact"/>
              <w:ind w:left="204"/>
              <w:jc w:val="left"/>
              <w:rPr>
                <w:sz w:val="18"/>
              </w:rPr>
            </w:pPr>
            <w:r>
              <w:rPr>
                <w:sz w:val="18"/>
              </w:rPr>
              <w:t>97100</w:t>
            </w:r>
          </w:p>
        </w:tc>
        <w:tc>
          <w:tcPr>
            <w:tcW w:w="1862" w:type="dxa"/>
            <w:vMerge w:val="restart"/>
            <w:tcBorders>
              <w:top w:val="single" w:sz="2" w:space="0" w:color="000000"/>
              <w:left w:val="single" w:sz="4" w:space="0" w:color="000000"/>
            </w:tcBorders>
          </w:tcPr>
          <w:p w:rsidR="00B4513B" w:rsidRDefault="00602CED">
            <w:pPr>
              <w:pStyle w:val="TableParagraph"/>
              <w:spacing w:line="240" w:lineRule="auto"/>
              <w:ind w:left="110" w:right="165"/>
              <w:jc w:val="left"/>
              <w:rPr>
                <w:sz w:val="18"/>
              </w:rPr>
            </w:pPr>
            <w:r>
              <w:rPr>
                <w:sz w:val="18"/>
              </w:rPr>
              <w:t>NOAEL based on epithelial vacuolation in gall bladder (M) and vomiting, high platelet count and epithelial vacuolation in gall bladder,</w:t>
            </w:r>
          </w:p>
          <w:p w:rsidR="00B4513B" w:rsidRDefault="00602CED">
            <w:pPr>
              <w:pStyle w:val="TableParagraph"/>
              <w:spacing w:line="206" w:lineRule="exact"/>
              <w:ind w:left="110" w:right="279"/>
              <w:jc w:val="left"/>
              <w:rPr>
                <w:sz w:val="18"/>
              </w:rPr>
            </w:pPr>
            <w:r>
              <w:rPr>
                <w:sz w:val="18"/>
              </w:rPr>
              <w:t>duodenum, jejunum and ileum (F)</w:t>
            </w:r>
          </w:p>
        </w:tc>
      </w:tr>
      <w:tr w:rsidR="00B4513B">
        <w:trPr>
          <w:trHeight w:val="225"/>
        </w:trPr>
        <w:tc>
          <w:tcPr>
            <w:tcW w:w="1514" w:type="dxa"/>
            <w:vMerge/>
            <w:tcBorders>
              <w:top w:val="nil"/>
              <w:right w:val="single" w:sz="2" w:space="0" w:color="000000"/>
            </w:tcBorders>
          </w:tcPr>
          <w:p w:rsidR="00B4513B" w:rsidRDefault="00B4513B">
            <w:pPr>
              <w:rPr>
                <w:sz w:val="2"/>
                <w:szCs w:val="2"/>
              </w:rPr>
            </w:pPr>
          </w:p>
        </w:tc>
        <w:tc>
          <w:tcPr>
            <w:tcW w:w="1548"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line="197" w:lineRule="exact"/>
              <w:ind w:left="152" w:right="135"/>
              <w:rPr>
                <w:sz w:val="18"/>
              </w:rPr>
            </w:pPr>
            <w:r>
              <w:rPr>
                <w:sz w:val="18"/>
              </w:rPr>
              <w:t>100 (NOAEL)</w:t>
            </w:r>
          </w:p>
        </w:tc>
        <w:tc>
          <w:tcPr>
            <w:tcW w:w="487"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before="4" w:line="201" w:lineRule="exact"/>
              <w:ind w:left="17"/>
              <w:rPr>
                <w:sz w:val="18"/>
              </w:rPr>
            </w:pPr>
            <w:r>
              <w:rPr>
                <w:sz w:val="18"/>
              </w:rPr>
              <w:t>F</w:t>
            </w:r>
          </w:p>
        </w:tc>
        <w:tc>
          <w:tcPr>
            <w:tcW w:w="1363" w:type="dxa"/>
            <w:tcBorders>
              <w:top w:val="single" w:sz="2" w:space="0" w:color="000000"/>
              <w:left w:val="single" w:sz="2" w:space="0" w:color="000000"/>
              <w:bottom w:val="single" w:sz="2" w:space="0" w:color="000000"/>
              <w:right w:val="single" w:sz="4" w:space="0" w:color="000000"/>
            </w:tcBorders>
          </w:tcPr>
          <w:p w:rsidR="00B4513B" w:rsidRDefault="00602CED">
            <w:pPr>
              <w:pStyle w:val="TableParagraph"/>
              <w:spacing w:before="4" w:line="201" w:lineRule="exact"/>
              <w:ind w:left="272" w:right="256"/>
              <w:rPr>
                <w:sz w:val="18"/>
              </w:rPr>
            </w:pPr>
            <w:r>
              <w:rPr>
                <w:sz w:val="18"/>
              </w:rPr>
              <w:t>154000</w:t>
            </w:r>
          </w:p>
        </w:tc>
        <w:tc>
          <w:tcPr>
            <w:tcW w:w="756" w:type="dxa"/>
            <w:tcBorders>
              <w:top w:val="single" w:sz="2" w:space="0" w:color="000000"/>
              <w:left w:val="single" w:sz="4" w:space="0" w:color="000000"/>
              <w:bottom w:val="single" w:sz="2" w:space="0" w:color="000000"/>
              <w:right w:val="single" w:sz="2" w:space="0" w:color="000000"/>
            </w:tcBorders>
          </w:tcPr>
          <w:p w:rsidR="00B4513B" w:rsidRDefault="00602CED">
            <w:pPr>
              <w:pStyle w:val="TableParagraph"/>
              <w:spacing w:before="4" w:line="201" w:lineRule="exact"/>
              <w:ind w:left="91" w:right="77"/>
              <w:rPr>
                <w:sz w:val="18"/>
              </w:rPr>
            </w:pPr>
            <w:r>
              <w:rPr>
                <w:sz w:val="18"/>
              </w:rPr>
              <w:t>136000</w:t>
            </w:r>
          </w:p>
        </w:tc>
        <w:tc>
          <w:tcPr>
            <w:tcW w:w="845"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before="4" w:line="201" w:lineRule="exact"/>
              <w:ind w:right="137"/>
              <w:jc w:val="right"/>
              <w:rPr>
                <w:sz w:val="18"/>
              </w:rPr>
            </w:pPr>
            <w:r>
              <w:rPr>
                <w:sz w:val="18"/>
              </w:rPr>
              <w:t>963000</w:t>
            </w:r>
          </w:p>
        </w:tc>
        <w:tc>
          <w:tcPr>
            <w:tcW w:w="847" w:type="dxa"/>
            <w:tcBorders>
              <w:top w:val="single" w:sz="2" w:space="0" w:color="000000"/>
              <w:left w:val="single" w:sz="2" w:space="0" w:color="000000"/>
              <w:bottom w:val="single" w:sz="2" w:space="0" w:color="000000"/>
              <w:right w:val="single" w:sz="4" w:space="0" w:color="000000"/>
            </w:tcBorders>
          </w:tcPr>
          <w:p w:rsidR="00B4513B" w:rsidRDefault="00602CED">
            <w:pPr>
              <w:pStyle w:val="TableParagraph"/>
              <w:spacing w:before="4" w:line="201" w:lineRule="exact"/>
              <w:ind w:left="161"/>
              <w:jc w:val="left"/>
              <w:rPr>
                <w:sz w:val="18"/>
              </w:rPr>
            </w:pPr>
            <w:r>
              <w:rPr>
                <w:sz w:val="18"/>
              </w:rPr>
              <w:t>740000</w:t>
            </w:r>
          </w:p>
        </w:tc>
        <w:tc>
          <w:tcPr>
            <w:tcW w:w="1862" w:type="dxa"/>
            <w:vMerge/>
            <w:tcBorders>
              <w:top w:val="nil"/>
              <w:left w:val="single" w:sz="4" w:space="0" w:color="000000"/>
            </w:tcBorders>
          </w:tcPr>
          <w:p w:rsidR="00B4513B" w:rsidRDefault="00B4513B">
            <w:pPr>
              <w:rPr>
                <w:sz w:val="2"/>
                <w:szCs w:val="2"/>
              </w:rPr>
            </w:pPr>
          </w:p>
        </w:tc>
      </w:tr>
      <w:tr w:rsidR="00B4513B">
        <w:trPr>
          <w:trHeight w:val="225"/>
        </w:trPr>
        <w:tc>
          <w:tcPr>
            <w:tcW w:w="1514" w:type="dxa"/>
            <w:vMerge/>
            <w:tcBorders>
              <w:top w:val="nil"/>
              <w:right w:val="single" w:sz="2" w:space="0" w:color="000000"/>
            </w:tcBorders>
          </w:tcPr>
          <w:p w:rsidR="00B4513B" w:rsidRDefault="00B4513B">
            <w:pPr>
              <w:rPr>
                <w:sz w:val="2"/>
                <w:szCs w:val="2"/>
              </w:rPr>
            </w:pPr>
          </w:p>
        </w:tc>
        <w:tc>
          <w:tcPr>
            <w:tcW w:w="1548"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line="197" w:lineRule="exact"/>
              <w:ind w:left="152" w:right="135"/>
              <w:rPr>
                <w:sz w:val="18"/>
              </w:rPr>
            </w:pPr>
            <w:r>
              <w:rPr>
                <w:sz w:val="18"/>
              </w:rPr>
              <w:t>100 (LOAEL)</w:t>
            </w:r>
          </w:p>
        </w:tc>
        <w:tc>
          <w:tcPr>
            <w:tcW w:w="487"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before="2" w:line="203" w:lineRule="exact"/>
              <w:ind w:left="19"/>
              <w:rPr>
                <w:sz w:val="18"/>
              </w:rPr>
            </w:pPr>
            <w:r>
              <w:rPr>
                <w:sz w:val="18"/>
              </w:rPr>
              <w:t>M</w:t>
            </w:r>
          </w:p>
        </w:tc>
        <w:tc>
          <w:tcPr>
            <w:tcW w:w="1363" w:type="dxa"/>
            <w:tcBorders>
              <w:top w:val="single" w:sz="2" w:space="0" w:color="000000"/>
              <w:left w:val="single" w:sz="2" w:space="0" w:color="000000"/>
              <w:bottom w:val="single" w:sz="2" w:space="0" w:color="000000"/>
              <w:right w:val="single" w:sz="4" w:space="0" w:color="000000"/>
            </w:tcBorders>
          </w:tcPr>
          <w:p w:rsidR="00B4513B" w:rsidRDefault="00602CED">
            <w:pPr>
              <w:pStyle w:val="TableParagraph"/>
              <w:spacing w:before="2" w:line="203" w:lineRule="exact"/>
              <w:ind w:left="272" w:right="255"/>
              <w:rPr>
                <w:sz w:val="18"/>
              </w:rPr>
            </w:pPr>
            <w:r>
              <w:rPr>
                <w:sz w:val="18"/>
              </w:rPr>
              <w:t>178000</w:t>
            </w:r>
          </w:p>
        </w:tc>
        <w:tc>
          <w:tcPr>
            <w:tcW w:w="756" w:type="dxa"/>
            <w:tcBorders>
              <w:top w:val="single" w:sz="2" w:space="0" w:color="000000"/>
              <w:left w:val="single" w:sz="4" w:space="0" w:color="000000"/>
              <w:bottom w:val="single" w:sz="2" w:space="0" w:color="000000"/>
              <w:right w:val="single" w:sz="2" w:space="0" w:color="000000"/>
            </w:tcBorders>
          </w:tcPr>
          <w:p w:rsidR="00B4513B" w:rsidRDefault="00602CED">
            <w:pPr>
              <w:pStyle w:val="TableParagraph"/>
              <w:spacing w:before="2" w:line="203" w:lineRule="exact"/>
              <w:ind w:left="91" w:right="77"/>
              <w:rPr>
                <w:sz w:val="18"/>
              </w:rPr>
            </w:pPr>
            <w:r>
              <w:rPr>
                <w:sz w:val="18"/>
              </w:rPr>
              <w:t>155000</w:t>
            </w:r>
          </w:p>
        </w:tc>
        <w:tc>
          <w:tcPr>
            <w:tcW w:w="845" w:type="dxa"/>
            <w:tcBorders>
              <w:top w:val="single" w:sz="2" w:space="0" w:color="000000"/>
              <w:left w:val="single" w:sz="2" w:space="0" w:color="000000"/>
              <w:bottom w:val="single" w:sz="2" w:space="0" w:color="000000"/>
              <w:right w:val="single" w:sz="2" w:space="0" w:color="000000"/>
            </w:tcBorders>
          </w:tcPr>
          <w:p w:rsidR="00B4513B" w:rsidRDefault="00602CED">
            <w:pPr>
              <w:pStyle w:val="TableParagraph"/>
              <w:spacing w:before="2" w:line="203" w:lineRule="exact"/>
              <w:ind w:right="137"/>
              <w:jc w:val="right"/>
              <w:rPr>
                <w:sz w:val="18"/>
              </w:rPr>
            </w:pPr>
            <w:r>
              <w:rPr>
                <w:sz w:val="18"/>
              </w:rPr>
              <w:t>910000</w:t>
            </w:r>
          </w:p>
        </w:tc>
        <w:tc>
          <w:tcPr>
            <w:tcW w:w="847" w:type="dxa"/>
            <w:tcBorders>
              <w:top w:val="single" w:sz="2" w:space="0" w:color="000000"/>
              <w:left w:val="single" w:sz="2" w:space="0" w:color="000000"/>
              <w:bottom w:val="single" w:sz="2" w:space="0" w:color="000000"/>
              <w:right w:val="single" w:sz="4" w:space="0" w:color="000000"/>
            </w:tcBorders>
          </w:tcPr>
          <w:p w:rsidR="00B4513B" w:rsidRDefault="00602CED">
            <w:pPr>
              <w:pStyle w:val="TableParagraph"/>
              <w:spacing w:before="2" w:line="203" w:lineRule="exact"/>
              <w:ind w:left="161"/>
              <w:jc w:val="left"/>
              <w:rPr>
                <w:sz w:val="18"/>
              </w:rPr>
            </w:pPr>
            <w:r>
              <w:rPr>
                <w:sz w:val="18"/>
              </w:rPr>
              <w:t>956000</w:t>
            </w:r>
          </w:p>
        </w:tc>
        <w:tc>
          <w:tcPr>
            <w:tcW w:w="1862" w:type="dxa"/>
            <w:vMerge/>
            <w:tcBorders>
              <w:top w:val="nil"/>
              <w:left w:val="single" w:sz="4" w:space="0" w:color="000000"/>
            </w:tcBorders>
          </w:tcPr>
          <w:p w:rsidR="00B4513B" w:rsidRDefault="00B4513B">
            <w:pPr>
              <w:rPr>
                <w:sz w:val="2"/>
                <w:szCs w:val="2"/>
              </w:rPr>
            </w:pPr>
          </w:p>
        </w:tc>
      </w:tr>
      <w:tr w:rsidR="00B4513B">
        <w:trPr>
          <w:trHeight w:val="1139"/>
        </w:trPr>
        <w:tc>
          <w:tcPr>
            <w:tcW w:w="1514" w:type="dxa"/>
            <w:vMerge/>
            <w:tcBorders>
              <w:top w:val="nil"/>
              <w:right w:val="single" w:sz="2" w:space="0" w:color="000000"/>
            </w:tcBorders>
          </w:tcPr>
          <w:p w:rsidR="00B4513B" w:rsidRDefault="00B4513B">
            <w:pPr>
              <w:rPr>
                <w:sz w:val="2"/>
                <w:szCs w:val="2"/>
              </w:rPr>
            </w:pPr>
          </w:p>
        </w:tc>
        <w:tc>
          <w:tcPr>
            <w:tcW w:w="1548" w:type="dxa"/>
            <w:tcBorders>
              <w:top w:val="single" w:sz="2" w:space="0" w:color="000000"/>
              <w:left w:val="single" w:sz="2" w:space="0" w:color="000000"/>
              <w:right w:val="single" w:sz="2" w:space="0" w:color="000000"/>
            </w:tcBorders>
          </w:tcPr>
          <w:p w:rsidR="00B4513B" w:rsidRDefault="00602CED">
            <w:pPr>
              <w:pStyle w:val="TableParagraph"/>
              <w:spacing w:line="197" w:lineRule="exact"/>
              <w:ind w:left="152" w:right="135"/>
              <w:rPr>
                <w:sz w:val="18"/>
              </w:rPr>
            </w:pPr>
            <w:r>
              <w:rPr>
                <w:sz w:val="18"/>
              </w:rPr>
              <w:t>1000 (LOAEL)</w:t>
            </w:r>
          </w:p>
        </w:tc>
        <w:tc>
          <w:tcPr>
            <w:tcW w:w="487" w:type="dxa"/>
            <w:tcBorders>
              <w:top w:val="single" w:sz="2" w:space="0" w:color="000000"/>
              <w:left w:val="single" w:sz="2" w:space="0" w:color="000000"/>
              <w:right w:val="single" w:sz="2" w:space="0" w:color="000000"/>
            </w:tcBorders>
          </w:tcPr>
          <w:p w:rsidR="00B4513B" w:rsidRDefault="00B4513B">
            <w:pPr>
              <w:pStyle w:val="TableParagraph"/>
              <w:spacing w:line="240" w:lineRule="auto"/>
              <w:jc w:val="left"/>
              <w:rPr>
                <w:b/>
                <w:sz w:val="20"/>
              </w:rPr>
            </w:pPr>
          </w:p>
          <w:p w:rsidR="00B4513B" w:rsidRDefault="00B4513B">
            <w:pPr>
              <w:pStyle w:val="TableParagraph"/>
              <w:spacing w:before="9" w:line="240" w:lineRule="auto"/>
              <w:jc w:val="left"/>
              <w:rPr>
                <w:b/>
                <w:sz w:val="19"/>
              </w:rPr>
            </w:pPr>
          </w:p>
          <w:p w:rsidR="00B4513B" w:rsidRDefault="00602CED">
            <w:pPr>
              <w:pStyle w:val="TableParagraph"/>
              <w:spacing w:line="240" w:lineRule="auto"/>
              <w:ind w:left="17"/>
              <w:rPr>
                <w:sz w:val="18"/>
              </w:rPr>
            </w:pPr>
            <w:r>
              <w:rPr>
                <w:sz w:val="18"/>
              </w:rPr>
              <w:t>F</w:t>
            </w:r>
          </w:p>
        </w:tc>
        <w:tc>
          <w:tcPr>
            <w:tcW w:w="1363" w:type="dxa"/>
            <w:tcBorders>
              <w:top w:val="single" w:sz="2" w:space="0" w:color="000000"/>
              <w:left w:val="single" w:sz="2" w:space="0" w:color="000000"/>
              <w:right w:val="single" w:sz="4" w:space="0" w:color="000000"/>
            </w:tcBorders>
          </w:tcPr>
          <w:p w:rsidR="00B4513B" w:rsidRDefault="00B4513B">
            <w:pPr>
              <w:pStyle w:val="TableParagraph"/>
              <w:spacing w:line="240" w:lineRule="auto"/>
              <w:jc w:val="left"/>
              <w:rPr>
                <w:b/>
                <w:sz w:val="20"/>
              </w:rPr>
            </w:pPr>
          </w:p>
          <w:p w:rsidR="00B4513B" w:rsidRDefault="00B4513B">
            <w:pPr>
              <w:pStyle w:val="TableParagraph"/>
              <w:spacing w:before="9" w:line="240" w:lineRule="auto"/>
              <w:jc w:val="left"/>
              <w:rPr>
                <w:b/>
                <w:sz w:val="19"/>
              </w:rPr>
            </w:pPr>
          </w:p>
          <w:p w:rsidR="00B4513B" w:rsidRDefault="00602CED">
            <w:pPr>
              <w:pStyle w:val="TableParagraph"/>
              <w:spacing w:line="240" w:lineRule="auto"/>
              <w:ind w:left="272" w:right="255"/>
              <w:rPr>
                <w:sz w:val="18"/>
              </w:rPr>
            </w:pPr>
            <w:r>
              <w:rPr>
                <w:sz w:val="18"/>
              </w:rPr>
              <w:t>285000</w:t>
            </w:r>
          </w:p>
        </w:tc>
        <w:tc>
          <w:tcPr>
            <w:tcW w:w="756" w:type="dxa"/>
            <w:tcBorders>
              <w:top w:val="single" w:sz="2" w:space="0" w:color="000000"/>
              <w:left w:val="single" w:sz="4" w:space="0" w:color="000000"/>
              <w:right w:val="single" w:sz="2" w:space="0" w:color="000000"/>
            </w:tcBorders>
          </w:tcPr>
          <w:p w:rsidR="00B4513B" w:rsidRDefault="00B4513B">
            <w:pPr>
              <w:pStyle w:val="TableParagraph"/>
              <w:spacing w:line="240" w:lineRule="auto"/>
              <w:jc w:val="left"/>
              <w:rPr>
                <w:b/>
                <w:sz w:val="20"/>
              </w:rPr>
            </w:pPr>
          </w:p>
          <w:p w:rsidR="00B4513B" w:rsidRDefault="00B4513B">
            <w:pPr>
              <w:pStyle w:val="TableParagraph"/>
              <w:spacing w:before="9" w:line="240" w:lineRule="auto"/>
              <w:jc w:val="left"/>
              <w:rPr>
                <w:b/>
                <w:sz w:val="19"/>
              </w:rPr>
            </w:pPr>
          </w:p>
          <w:p w:rsidR="00B4513B" w:rsidRDefault="00602CED">
            <w:pPr>
              <w:pStyle w:val="TableParagraph"/>
              <w:spacing w:line="240" w:lineRule="auto"/>
              <w:ind w:left="91" w:right="77"/>
              <w:rPr>
                <w:sz w:val="18"/>
              </w:rPr>
            </w:pPr>
            <w:r>
              <w:rPr>
                <w:sz w:val="18"/>
              </w:rPr>
              <w:t>272000</w:t>
            </w:r>
          </w:p>
        </w:tc>
        <w:tc>
          <w:tcPr>
            <w:tcW w:w="845" w:type="dxa"/>
            <w:tcBorders>
              <w:top w:val="single" w:sz="2" w:space="0" w:color="000000"/>
              <w:left w:val="single" w:sz="2" w:space="0" w:color="000000"/>
              <w:right w:val="single" w:sz="2" w:space="0" w:color="000000"/>
            </w:tcBorders>
          </w:tcPr>
          <w:p w:rsidR="00B4513B" w:rsidRDefault="00B4513B">
            <w:pPr>
              <w:pStyle w:val="TableParagraph"/>
              <w:spacing w:line="240" w:lineRule="auto"/>
              <w:jc w:val="left"/>
              <w:rPr>
                <w:b/>
                <w:sz w:val="20"/>
              </w:rPr>
            </w:pPr>
          </w:p>
          <w:p w:rsidR="00B4513B" w:rsidRDefault="00B4513B">
            <w:pPr>
              <w:pStyle w:val="TableParagraph"/>
              <w:spacing w:before="9" w:line="240" w:lineRule="auto"/>
              <w:jc w:val="left"/>
              <w:rPr>
                <w:b/>
                <w:sz w:val="19"/>
              </w:rPr>
            </w:pPr>
          </w:p>
          <w:p w:rsidR="00B4513B" w:rsidRDefault="00602CED">
            <w:pPr>
              <w:pStyle w:val="TableParagraph"/>
              <w:spacing w:line="240" w:lineRule="auto"/>
              <w:ind w:right="91"/>
              <w:jc w:val="right"/>
              <w:rPr>
                <w:sz w:val="18"/>
              </w:rPr>
            </w:pPr>
            <w:r>
              <w:rPr>
                <w:sz w:val="18"/>
              </w:rPr>
              <w:t>2290000</w:t>
            </w:r>
          </w:p>
        </w:tc>
        <w:tc>
          <w:tcPr>
            <w:tcW w:w="847" w:type="dxa"/>
            <w:tcBorders>
              <w:top w:val="single" w:sz="2" w:space="0" w:color="000000"/>
              <w:left w:val="single" w:sz="2" w:space="0" w:color="000000"/>
              <w:right w:val="single" w:sz="4" w:space="0" w:color="000000"/>
            </w:tcBorders>
          </w:tcPr>
          <w:p w:rsidR="00B4513B" w:rsidRDefault="00B4513B">
            <w:pPr>
              <w:pStyle w:val="TableParagraph"/>
              <w:spacing w:line="240" w:lineRule="auto"/>
              <w:jc w:val="left"/>
              <w:rPr>
                <w:b/>
                <w:sz w:val="20"/>
              </w:rPr>
            </w:pPr>
          </w:p>
          <w:p w:rsidR="00B4513B" w:rsidRDefault="00B4513B">
            <w:pPr>
              <w:pStyle w:val="TableParagraph"/>
              <w:spacing w:before="9" w:line="240" w:lineRule="auto"/>
              <w:jc w:val="left"/>
              <w:rPr>
                <w:b/>
                <w:sz w:val="19"/>
              </w:rPr>
            </w:pPr>
          </w:p>
          <w:p w:rsidR="00B4513B" w:rsidRDefault="00602CED">
            <w:pPr>
              <w:pStyle w:val="TableParagraph"/>
              <w:spacing w:line="240" w:lineRule="auto"/>
              <w:ind w:left="115"/>
              <w:jc w:val="left"/>
              <w:rPr>
                <w:sz w:val="18"/>
              </w:rPr>
            </w:pPr>
            <w:r>
              <w:rPr>
                <w:sz w:val="18"/>
              </w:rPr>
              <w:t>2400000</w:t>
            </w:r>
          </w:p>
        </w:tc>
        <w:tc>
          <w:tcPr>
            <w:tcW w:w="1862" w:type="dxa"/>
            <w:vMerge/>
            <w:tcBorders>
              <w:top w:val="nil"/>
              <w:left w:val="single" w:sz="4" w:space="0" w:color="000000"/>
            </w:tcBorders>
          </w:tcPr>
          <w:p w:rsidR="00B4513B" w:rsidRDefault="00B4513B">
            <w:pPr>
              <w:rPr>
                <w:sz w:val="2"/>
                <w:szCs w:val="2"/>
              </w:rPr>
            </w:pPr>
          </w:p>
        </w:tc>
      </w:tr>
    </w:tbl>
    <w:p w:rsidR="00B4513B" w:rsidRDefault="00602CED" w:rsidP="00DD7227">
      <w:pPr>
        <w:spacing w:before="54"/>
        <w:ind w:left="215" w:right="579"/>
        <w:rPr>
          <w:sz w:val="20"/>
        </w:rPr>
      </w:pPr>
      <w:r>
        <w:rPr>
          <w:sz w:val="20"/>
        </w:rPr>
        <w:t xml:space="preserve">M: Male; F: Female; NA: Not applicable; iv: Intravenous; po: Per </w:t>
      </w:r>
      <w:proofErr w:type="spellStart"/>
      <w:r>
        <w:rPr>
          <w:sz w:val="20"/>
        </w:rPr>
        <w:t>os</w:t>
      </w:r>
      <w:proofErr w:type="spellEnd"/>
      <w:r>
        <w:rPr>
          <w:sz w:val="20"/>
        </w:rPr>
        <w:t>; NOAEL: No observed adverse effect level; LOAEL: Lowest observed adverse effect level; Hb: Hemoglobin.</w:t>
      </w:r>
    </w:p>
    <w:sectPr w:rsidR="00B4513B" w:rsidSect="00DD7227">
      <w:pgSz w:w="12240" w:h="15840"/>
      <w:pgMar w:top="1420" w:right="1260" w:bottom="940" w:left="1400" w:header="581"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ABA" w:rsidRDefault="00B10ABA">
      <w:r>
        <w:separator/>
      </w:r>
    </w:p>
  </w:endnote>
  <w:endnote w:type="continuationSeparator" w:id="0">
    <w:p w:rsidR="00B10ABA" w:rsidRDefault="00B10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13B" w:rsidRDefault="00B10ABA">
    <w:pPr>
      <w:pStyle w:val="a3"/>
      <w:spacing w:line="14" w:lineRule="auto"/>
      <w:rPr>
        <w:sz w:val="20"/>
      </w:rPr>
    </w:pPr>
    <w:r>
      <w:pict>
        <v:shapetype id="_x0000_t202" coordsize="21600,21600" o:spt="202" path="m,l,21600r21600,l21600,xe">
          <v:stroke joinstyle="miter"/>
          <v:path gradientshapeok="t" o:connecttype="rect"/>
        </v:shapetype>
        <v:shape id="_x0000_s2088" type="#_x0000_t202" style="position:absolute;margin-left:79.75pt;margin-top:743.6pt;width:40.15pt;height:13.05pt;z-index:-439552;mso-position-horizontal-relative:page;mso-position-vertical-relative:page" filled="f" stroked="f">
          <v:textbox inset="0,0,0,0">
            <w:txbxContent>
              <w:p w:rsidR="00B4513B" w:rsidRDefault="00602CED">
                <w:pPr>
                  <w:spacing w:before="10"/>
                  <w:ind w:left="20"/>
                  <w:rPr>
                    <w:sz w:val="20"/>
                  </w:rPr>
                </w:pPr>
                <w:r>
                  <w:rPr>
                    <w:sz w:val="20"/>
                  </w:rPr>
                  <w:t>Apr 2012</w:t>
                </w:r>
              </w:p>
            </w:txbxContent>
          </v:textbox>
          <w10:wrap anchorx="page" anchory="page"/>
        </v:shape>
      </w:pict>
    </w:r>
    <w:r>
      <w:pict>
        <v:shape id="_x0000_s2087" type="#_x0000_t202" style="position:absolute;margin-left:290.5pt;margin-top:743.6pt;width:34.1pt;height:13.05pt;z-index:-439528;mso-position-horizontal-relative:page;mso-position-vertical-relative:page" filled="f" stroked="f">
          <v:textbox inset="0,0,0,0">
            <w:txbxContent>
              <w:p w:rsidR="00B4513B" w:rsidRDefault="00602CED">
                <w:pPr>
                  <w:spacing w:before="10"/>
                  <w:ind w:left="20"/>
                  <w:rPr>
                    <w:sz w:val="20"/>
                  </w:rPr>
                </w:pPr>
                <w:r>
                  <w:rPr>
                    <w:color w:val="323232"/>
                    <w:sz w:val="20"/>
                  </w:rPr>
                  <w:t>Astellas</w:t>
                </w:r>
              </w:p>
            </w:txbxContent>
          </v:textbox>
          <w10:wrap anchorx="page" anchory="page"/>
        </v:shape>
      </w:pict>
    </w:r>
    <w:r>
      <w:pict>
        <v:shape id="_x0000_s2086" type="#_x0000_t202" style="position:absolute;margin-left:478.05pt;margin-top:743.6pt;width:57.45pt;height:13.05pt;z-index:-439504;mso-position-horizontal-relative:page;mso-position-vertical-relative:page" filled="f" stroked="f">
          <v:textbox inset="0,0,0,0">
            <w:txbxContent>
              <w:p w:rsidR="00B4513B" w:rsidRDefault="00602CED">
                <w:pPr>
                  <w:spacing w:before="10"/>
                  <w:ind w:left="20"/>
                  <w:rPr>
                    <w:sz w:val="20"/>
                  </w:rPr>
                </w:pPr>
                <w:r>
                  <w:rPr>
                    <w:color w:val="323232"/>
                    <w:sz w:val="20"/>
                  </w:rPr>
                  <w:t xml:space="preserve">Page </w:t>
                </w:r>
                <w:r>
                  <w:fldChar w:fldCharType="begin"/>
                </w:r>
                <w:r>
                  <w:rPr>
                    <w:color w:val="323232"/>
                    <w:sz w:val="20"/>
                  </w:rPr>
                  <w:instrText xml:space="preserve"> PAGE </w:instrText>
                </w:r>
                <w:r>
                  <w:fldChar w:fldCharType="separate"/>
                </w:r>
                <w:r>
                  <w:t>10</w:t>
                </w:r>
                <w:r>
                  <w:fldChar w:fldCharType="end"/>
                </w:r>
                <w:r>
                  <w:rPr>
                    <w:color w:val="323232"/>
                    <w:sz w:val="20"/>
                  </w:rPr>
                  <w:t xml:space="preserve"> of 36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ABA" w:rsidRDefault="00B10ABA">
      <w:r>
        <w:separator/>
      </w:r>
    </w:p>
  </w:footnote>
  <w:footnote w:type="continuationSeparator" w:id="0">
    <w:p w:rsidR="00B10ABA" w:rsidRDefault="00B10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A6C7B"/>
    <w:multiLevelType w:val="multilevel"/>
    <w:tmpl w:val="C99C1AF2"/>
    <w:lvl w:ilvl="0">
      <w:start w:val="3"/>
      <w:numFmt w:val="decimal"/>
      <w:lvlText w:val="%1"/>
      <w:lvlJc w:val="left"/>
      <w:pPr>
        <w:ind w:left="1359" w:hanging="850"/>
        <w:jc w:val="right"/>
      </w:pPr>
      <w:rPr>
        <w:rFonts w:hint="default"/>
      </w:rPr>
    </w:lvl>
    <w:lvl w:ilvl="1">
      <w:start w:val="1"/>
      <w:numFmt w:val="decimal"/>
      <w:lvlText w:val="%1.%2"/>
      <w:lvlJc w:val="left"/>
      <w:pPr>
        <w:ind w:left="1359"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86" w:hanging="994"/>
        <w:jc w:val="left"/>
      </w:pPr>
      <w:rPr>
        <w:rFonts w:ascii="Times New Roman" w:eastAsia="Times New Roman" w:hAnsi="Times New Roman" w:cs="Times New Roman" w:hint="default"/>
        <w:w w:val="100"/>
        <w:sz w:val="22"/>
        <w:szCs w:val="22"/>
      </w:rPr>
    </w:lvl>
    <w:lvl w:ilvl="3">
      <w:numFmt w:val="bullet"/>
      <w:lvlText w:val="•"/>
      <w:lvlJc w:val="left"/>
      <w:pPr>
        <w:ind w:left="4762" w:hanging="994"/>
      </w:pPr>
      <w:rPr>
        <w:rFonts w:hint="default"/>
      </w:rPr>
    </w:lvl>
    <w:lvl w:ilvl="4">
      <w:numFmt w:val="bullet"/>
      <w:lvlText w:val="•"/>
      <w:lvlJc w:val="left"/>
      <w:pPr>
        <w:ind w:left="6253" w:hanging="994"/>
      </w:pPr>
      <w:rPr>
        <w:rFonts w:hint="default"/>
      </w:rPr>
    </w:lvl>
    <w:lvl w:ilvl="5">
      <w:numFmt w:val="bullet"/>
      <w:lvlText w:val="•"/>
      <w:lvlJc w:val="left"/>
      <w:pPr>
        <w:ind w:left="7744" w:hanging="994"/>
      </w:pPr>
      <w:rPr>
        <w:rFonts w:hint="default"/>
      </w:rPr>
    </w:lvl>
    <w:lvl w:ilvl="6">
      <w:numFmt w:val="bullet"/>
      <w:lvlText w:val="•"/>
      <w:lvlJc w:val="left"/>
      <w:pPr>
        <w:ind w:left="9235" w:hanging="994"/>
      </w:pPr>
      <w:rPr>
        <w:rFonts w:hint="default"/>
      </w:rPr>
    </w:lvl>
    <w:lvl w:ilvl="7">
      <w:numFmt w:val="bullet"/>
      <w:lvlText w:val="•"/>
      <w:lvlJc w:val="left"/>
      <w:pPr>
        <w:ind w:left="10726" w:hanging="994"/>
      </w:pPr>
      <w:rPr>
        <w:rFonts w:hint="default"/>
      </w:rPr>
    </w:lvl>
    <w:lvl w:ilvl="8">
      <w:numFmt w:val="bullet"/>
      <w:lvlText w:val="•"/>
      <w:lvlJc w:val="left"/>
      <w:pPr>
        <w:ind w:left="12217" w:hanging="994"/>
      </w:pPr>
      <w:rPr>
        <w:rFonts w:hint="default"/>
      </w:rPr>
    </w:lvl>
  </w:abstractNum>
  <w:abstractNum w:abstractNumId="1" w15:restartNumberingAfterBreak="0">
    <w:nsid w:val="12B01779"/>
    <w:multiLevelType w:val="multilevel"/>
    <w:tmpl w:val="32BCAAB6"/>
    <w:lvl w:ilvl="0">
      <w:start w:val="2"/>
      <w:numFmt w:val="decimal"/>
      <w:lvlText w:val="%1"/>
      <w:lvlJc w:val="left"/>
      <w:pPr>
        <w:ind w:left="1359" w:hanging="850"/>
        <w:jc w:val="right"/>
      </w:pPr>
      <w:rPr>
        <w:rFonts w:hint="default"/>
      </w:rPr>
    </w:lvl>
    <w:lvl w:ilvl="1">
      <w:start w:val="10"/>
      <w:numFmt w:val="decimal"/>
      <w:lvlText w:val="%1.%2"/>
      <w:lvlJc w:val="left"/>
      <w:pPr>
        <w:ind w:left="1359" w:hanging="850"/>
        <w:jc w:val="left"/>
      </w:pPr>
      <w:rPr>
        <w:rFonts w:ascii="Times New Roman" w:eastAsia="Times New Roman" w:hAnsi="Times New Roman" w:cs="Times New Roman" w:hint="default"/>
        <w:w w:val="100"/>
        <w:sz w:val="22"/>
        <w:szCs w:val="22"/>
      </w:rPr>
    </w:lvl>
    <w:lvl w:ilvl="2">
      <w:numFmt w:val="bullet"/>
      <w:lvlText w:val="•"/>
      <w:lvlJc w:val="left"/>
      <w:pPr>
        <w:ind w:left="4128" w:hanging="850"/>
      </w:pPr>
      <w:rPr>
        <w:rFonts w:hint="default"/>
      </w:rPr>
    </w:lvl>
    <w:lvl w:ilvl="3">
      <w:numFmt w:val="bullet"/>
      <w:lvlText w:val="•"/>
      <w:lvlJc w:val="left"/>
      <w:pPr>
        <w:ind w:left="5512" w:hanging="850"/>
      </w:pPr>
      <w:rPr>
        <w:rFonts w:hint="default"/>
      </w:rPr>
    </w:lvl>
    <w:lvl w:ilvl="4">
      <w:numFmt w:val="bullet"/>
      <w:lvlText w:val="•"/>
      <w:lvlJc w:val="left"/>
      <w:pPr>
        <w:ind w:left="6896" w:hanging="850"/>
      </w:pPr>
      <w:rPr>
        <w:rFonts w:hint="default"/>
      </w:rPr>
    </w:lvl>
    <w:lvl w:ilvl="5">
      <w:numFmt w:val="bullet"/>
      <w:lvlText w:val="•"/>
      <w:lvlJc w:val="left"/>
      <w:pPr>
        <w:ind w:left="8280" w:hanging="850"/>
      </w:pPr>
      <w:rPr>
        <w:rFonts w:hint="default"/>
      </w:rPr>
    </w:lvl>
    <w:lvl w:ilvl="6">
      <w:numFmt w:val="bullet"/>
      <w:lvlText w:val="•"/>
      <w:lvlJc w:val="left"/>
      <w:pPr>
        <w:ind w:left="9664" w:hanging="850"/>
      </w:pPr>
      <w:rPr>
        <w:rFonts w:hint="default"/>
      </w:rPr>
    </w:lvl>
    <w:lvl w:ilvl="7">
      <w:numFmt w:val="bullet"/>
      <w:lvlText w:val="•"/>
      <w:lvlJc w:val="left"/>
      <w:pPr>
        <w:ind w:left="11048" w:hanging="850"/>
      </w:pPr>
      <w:rPr>
        <w:rFonts w:hint="default"/>
      </w:rPr>
    </w:lvl>
    <w:lvl w:ilvl="8">
      <w:numFmt w:val="bullet"/>
      <w:lvlText w:val="•"/>
      <w:lvlJc w:val="left"/>
      <w:pPr>
        <w:ind w:left="12432" w:hanging="850"/>
      </w:pPr>
      <w:rPr>
        <w:rFonts w:hint="default"/>
      </w:rPr>
    </w:lvl>
  </w:abstractNum>
  <w:abstractNum w:abstractNumId="2" w15:restartNumberingAfterBreak="0">
    <w:nsid w:val="14681853"/>
    <w:multiLevelType w:val="multilevel"/>
    <w:tmpl w:val="AF16687A"/>
    <w:lvl w:ilvl="0">
      <w:start w:val="1"/>
      <w:numFmt w:val="decimal"/>
      <w:lvlText w:val="%1"/>
      <w:lvlJc w:val="left"/>
      <w:pPr>
        <w:ind w:left="1078"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78"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78"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abstractNum w:abstractNumId="3" w15:restartNumberingAfterBreak="0">
    <w:nsid w:val="1C941623"/>
    <w:multiLevelType w:val="multilevel"/>
    <w:tmpl w:val="A8D227A4"/>
    <w:lvl w:ilvl="0">
      <w:start w:val="2"/>
      <w:numFmt w:val="decimal"/>
      <w:lvlText w:val="%1"/>
      <w:lvlJc w:val="left"/>
      <w:pPr>
        <w:ind w:left="106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215"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jc w:val="left"/>
      </w:pPr>
      <w:rPr>
        <w:rFonts w:ascii="Times New Roman" w:eastAsia="Times New Roman" w:hAnsi="Times New Roman" w:cs="Times New Roman" w:hint="default"/>
        <w:b/>
        <w:bCs/>
        <w:spacing w:val="-3"/>
        <w:w w:val="97"/>
        <w:sz w:val="24"/>
        <w:szCs w:val="24"/>
      </w:rPr>
    </w:lvl>
    <w:lvl w:ilvl="5">
      <w:numFmt w:val="bullet"/>
      <w:lvlText w:val="•"/>
      <w:lvlJc w:val="left"/>
      <w:pPr>
        <w:ind w:left="4430" w:hanging="1133"/>
      </w:pPr>
      <w:rPr>
        <w:rFonts w:hint="default"/>
      </w:rPr>
    </w:lvl>
    <w:lvl w:ilvl="6">
      <w:numFmt w:val="bullet"/>
      <w:lvlText w:val="•"/>
      <w:lvlJc w:val="left"/>
      <w:pPr>
        <w:ind w:left="5460" w:hanging="1133"/>
      </w:pPr>
      <w:rPr>
        <w:rFonts w:hint="default"/>
      </w:rPr>
    </w:lvl>
    <w:lvl w:ilvl="7">
      <w:numFmt w:val="bullet"/>
      <w:lvlText w:val="•"/>
      <w:lvlJc w:val="left"/>
      <w:pPr>
        <w:ind w:left="6490" w:hanging="1133"/>
      </w:pPr>
      <w:rPr>
        <w:rFonts w:hint="default"/>
      </w:rPr>
    </w:lvl>
    <w:lvl w:ilvl="8">
      <w:numFmt w:val="bullet"/>
      <w:lvlText w:val="•"/>
      <w:lvlJc w:val="left"/>
      <w:pPr>
        <w:ind w:left="7520" w:hanging="1133"/>
      </w:pPr>
      <w:rPr>
        <w:rFonts w:hint="default"/>
      </w:rPr>
    </w:lvl>
  </w:abstractNum>
  <w:abstractNum w:abstractNumId="4" w15:restartNumberingAfterBreak="0">
    <w:nsid w:val="243D7B6D"/>
    <w:multiLevelType w:val="multilevel"/>
    <w:tmpl w:val="3A0C3318"/>
    <w:lvl w:ilvl="0">
      <w:start w:val="3"/>
      <w:numFmt w:val="decimal"/>
      <w:lvlText w:val="%1"/>
      <w:lvlJc w:val="left"/>
      <w:pPr>
        <w:ind w:left="1078" w:hanging="852"/>
        <w:jc w:val="left"/>
      </w:pPr>
      <w:rPr>
        <w:rFonts w:hint="default"/>
      </w:rPr>
    </w:lvl>
    <w:lvl w:ilvl="1">
      <w:start w:val="8"/>
      <w:numFmt w:val="decimal"/>
      <w:lvlText w:val="%1.%2"/>
      <w:lvlJc w:val="left"/>
      <w:pPr>
        <w:ind w:left="1078"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78"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abstractNum w:abstractNumId="5" w15:restartNumberingAfterBreak="0">
    <w:nsid w:val="244076C8"/>
    <w:multiLevelType w:val="hybridMultilevel"/>
    <w:tmpl w:val="46CC7386"/>
    <w:lvl w:ilvl="0" w:tplc="6F885558">
      <w:start w:val="5"/>
      <w:numFmt w:val="decimal"/>
      <w:lvlText w:val="%1"/>
      <w:lvlJc w:val="left"/>
      <w:pPr>
        <w:ind w:left="1067" w:hanging="852"/>
        <w:jc w:val="left"/>
      </w:pPr>
      <w:rPr>
        <w:rFonts w:ascii="Times New Roman" w:eastAsia="Times New Roman" w:hAnsi="Times New Roman" w:cs="Times New Roman" w:hint="default"/>
        <w:b/>
        <w:bCs/>
        <w:w w:val="100"/>
        <w:sz w:val="28"/>
        <w:szCs w:val="28"/>
      </w:rPr>
    </w:lvl>
    <w:lvl w:ilvl="1" w:tplc="650AC2FE">
      <w:numFmt w:val="bullet"/>
      <w:lvlText w:val="•"/>
      <w:lvlJc w:val="left"/>
      <w:pPr>
        <w:ind w:left="1912" w:hanging="852"/>
      </w:pPr>
      <w:rPr>
        <w:rFonts w:hint="default"/>
      </w:rPr>
    </w:lvl>
    <w:lvl w:ilvl="2" w:tplc="3304907E">
      <w:numFmt w:val="bullet"/>
      <w:lvlText w:val="•"/>
      <w:lvlJc w:val="left"/>
      <w:pPr>
        <w:ind w:left="2764" w:hanging="852"/>
      </w:pPr>
      <w:rPr>
        <w:rFonts w:hint="default"/>
      </w:rPr>
    </w:lvl>
    <w:lvl w:ilvl="3" w:tplc="9BFA58B4">
      <w:numFmt w:val="bullet"/>
      <w:lvlText w:val="•"/>
      <w:lvlJc w:val="left"/>
      <w:pPr>
        <w:ind w:left="3616" w:hanging="852"/>
      </w:pPr>
      <w:rPr>
        <w:rFonts w:hint="default"/>
      </w:rPr>
    </w:lvl>
    <w:lvl w:ilvl="4" w:tplc="86749744">
      <w:numFmt w:val="bullet"/>
      <w:lvlText w:val="•"/>
      <w:lvlJc w:val="left"/>
      <w:pPr>
        <w:ind w:left="4468" w:hanging="852"/>
      </w:pPr>
      <w:rPr>
        <w:rFonts w:hint="default"/>
      </w:rPr>
    </w:lvl>
    <w:lvl w:ilvl="5" w:tplc="B06EF4AA">
      <w:numFmt w:val="bullet"/>
      <w:lvlText w:val="•"/>
      <w:lvlJc w:val="left"/>
      <w:pPr>
        <w:ind w:left="5320" w:hanging="852"/>
      </w:pPr>
      <w:rPr>
        <w:rFonts w:hint="default"/>
      </w:rPr>
    </w:lvl>
    <w:lvl w:ilvl="6" w:tplc="C9B0E8CE">
      <w:numFmt w:val="bullet"/>
      <w:lvlText w:val="•"/>
      <w:lvlJc w:val="left"/>
      <w:pPr>
        <w:ind w:left="6172" w:hanging="852"/>
      </w:pPr>
      <w:rPr>
        <w:rFonts w:hint="default"/>
      </w:rPr>
    </w:lvl>
    <w:lvl w:ilvl="7" w:tplc="ABC63D06">
      <w:numFmt w:val="bullet"/>
      <w:lvlText w:val="•"/>
      <w:lvlJc w:val="left"/>
      <w:pPr>
        <w:ind w:left="7024" w:hanging="852"/>
      </w:pPr>
      <w:rPr>
        <w:rFonts w:hint="default"/>
      </w:rPr>
    </w:lvl>
    <w:lvl w:ilvl="8" w:tplc="61AC8A9A">
      <w:numFmt w:val="bullet"/>
      <w:lvlText w:val="•"/>
      <w:lvlJc w:val="left"/>
      <w:pPr>
        <w:ind w:left="7876" w:hanging="852"/>
      </w:pPr>
      <w:rPr>
        <w:rFonts w:hint="default"/>
      </w:rPr>
    </w:lvl>
  </w:abstractNum>
  <w:abstractNum w:abstractNumId="6" w15:restartNumberingAfterBreak="0">
    <w:nsid w:val="2B674E60"/>
    <w:multiLevelType w:val="multilevel"/>
    <w:tmpl w:val="6DB4F470"/>
    <w:lvl w:ilvl="0">
      <w:start w:val="1"/>
      <w:numFmt w:val="decimal"/>
      <w:lvlText w:val="%1"/>
      <w:lvlJc w:val="left"/>
      <w:pPr>
        <w:ind w:left="632" w:hanging="418"/>
        <w:jc w:val="left"/>
      </w:pPr>
      <w:rPr>
        <w:rFonts w:ascii="Times New Roman" w:eastAsia="Times New Roman" w:hAnsi="Times New Roman" w:cs="Times New Roman" w:hint="default"/>
        <w:spacing w:val="-1"/>
        <w:w w:val="100"/>
        <w:sz w:val="24"/>
        <w:szCs w:val="24"/>
      </w:rPr>
    </w:lvl>
    <w:lvl w:ilvl="1">
      <w:start w:val="1"/>
      <w:numFmt w:val="decimal"/>
      <w:lvlText w:val="%1.%2"/>
      <w:lvlJc w:val="left"/>
      <w:pPr>
        <w:ind w:left="1268" w:hanging="636"/>
        <w:jc w:val="left"/>
      </w:pPr>
      <w:rPr>
        <w:rFonts w:ascii="Times New Roman" w:eastAsia="Times New Roman" w:hAnsi="Times New Roman" w:cs="Times New Roman" w:hint="default"/>
        <w:spacing w:val="-5"/>
        <w:w w:val="100"/>
        <w:sz w:val="24"/>
        <w:szCs w:val="24"/>
      </w:rPr>
    </w:lvl>
    <w:lvl w:ilvl="2">
      <w:start w:val="1"/>
      <w:numFmt w:val="decimal"/>
      <w:lvlText w:val="%1.%2.%3"/>
      <w:lvlJc w:val="left"/>
      <w:pPr>
        <w:ind w:left="2152" w:hanging="884"/>
        <w:jc w:val="left"/>
      </w:pPr>
      <w:rPr>
        <w:rFonts w:ascii="Times New Roman" w:eastAsia="Times New Roman" w:hAnsi="Times New Roman" w:cs="Times New Roman" w:hint="default"/>
        <w:spacing w:val="-8"/>
        <w:w w:val="100"/>
        <w:sz w:val="24"/>
        <w:szCs w:val="24"/>
      </w:rPr>
    </w:lvl>
    <w:lvl w:ilvl="3">
      <w:numFmt w:val="bullet"/>
      <w:lvlText w:val="•"/>
      <w:lvlJc w:val="left"/>
      <w:pPr>
        <w:ind w:left="3087" w:hanging="884"/>
      </w:pPr>
      <w:rPr>
        <w:rFonts w:hint="default"/>
      </w:rPr>
    </w:lvl>
    <w:lvl w:ilvl="4">
      <w:numFmt w:val="bullet"/>
      <w:lvlText w:val="•"/>
      <w:lvlJc w:val="left"/>
      <w:pPr>
        <w:ind w:left="4015" w:hanging="884"/>
      </w:pPr>
      <w:rPr>
        <w:rFonts w:hint="default"/>
      </w:rPr>
    </w:lvl>
    <w:lvl w:ilvl="5">
      <w:numFmt w:val="bullet"/>
      <w:lvlText w:val="•"/>
      <w:lvlJc w:val="left"/>
      <w:pPr>
        <w:ind w:left="4942" w:hanging="884"/>
      </w:pPr>
      <w:rPr>
        <w:rFonts w:hint="default"/>
      </w:rPr>
    </w:lvl>
    <w:lvl w:ilvl="6">
      <w:numFmt w:val="bullet"/>
      <w:lvlText w:val="•"/>
      <w:lvlJc w:val="left"/>
      <w:pPr>
        <w:ind w:left="5870" w:hanging="884"/>
      </w:pPr>
      <w:rPr>
        <w:rFonts w:hint="default"/>
      </w:rPr>
    </w:lvl>
    <w:lvl w:ilvl="7">
      <w:numFmt w:val="bullet"/>
      <w:lvlText w:val="•"/>
      <w:lvlJc w:val="left"/>
      <w:pPr>
        <w:ind w:left="6797" w:hanging="884"/>
      </w:pPr>
      <w:rPr>
        <w:rFonts w:hint="default"/>
      </w:rPr>
    </w:lvl>
    <w:lvl w:ilvl="8">
      <w:numFmt w:val="bullet"/>
      <w:lvlText w:val="•"/>
      <w:lvlJc w:val="left"/>
      <w:pPr>
        <w:ind w:left="7725" w:hanging="884"/>
      </w:pPr>
      <w:rPr>
        <w:rFonts w:hint="default"/>
      </w:rPr>
    </w:lvl>
  </w:abstractNum>
  <w:abstractNum w:abstractNumId="7" w15:restartNumberingAfterBreak="0">
    <w:nsid w:val="384F64E9"/>
    <w:multiLevelType w:val="multilevel"/>
    <w:tmpl w:val="165E56D8"/>
    <w:lvl w:ilvl="0">
      <w:start w:val="4"/>
      <w:numFmt w:val="decimal"/>
      <w:lvlText w:val="%1"/>
      <w:lvlJc w:val="left"/>
      <w:pPr>
        <w:ind w:left="1067" w:hanging="852"/>
        <w:jc w:val="left"/>
      </w:pPr>
      <w:rPr>
        <w:rFonts w:hint="default"/>
      </w:rPr>
    </w:lvl>
    <w:lvl w:ilvl="1">
      <w:start w:val="1"/>
      <w:numFmt w:val="decimal"/>
      <w:lvlText w:val="%1.%2"/>
      <w:lvlJc w:val="left"/>
      <w:pPr>
        <w:ind w:left="1067" w:hanging="852"/>
        <w:jc w:val="left"/>
      </w:pPr>
      <w:rPr>
        <w:rFonts w:hint="default"/>
      </w:rPr>
    </w:lvl>
    <w:lvl w:ilvl="2">
      <w:start w:val="2"/>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468" w:hanging="852"/>
      </w:pPr>
      <w:rPr>
        <w:rFonts w:hint="default"/>
      </w:rPr>
    </w:lvl>
    <w:lvl w:ilvl="5">
      <w:numFmt w:val="bullet"/>
      <w:lvlText w:val="•"/>
      <w:lvlJc w:val="left"/>
      <w:pPr>
        <w:ind w:left="5320" w:hanging="852"/>
      </w:pPr>
      <w:rPr>
        <w:rFonts w:hint="default"/>
      </w:rPr>
    </w:lvl>
    <w:lvl w:ilvl="6">
      <w:numFmt w:val="bullet"/>
      <w:lvlText w:val="•"/>
      <w:lvlJc w:val="left"/>
      <w:pPr>
        <w:ind w:left="6172" w:hanging="852"/>
      </w:pPr>
      <w:rPr>
        <w:rFonts w:hint="default"/>
      </w:rPr>
    </w:lvl>
    <w:lvl w:ilvl="7">
      <w:numFmt w:val="bullet"/>
      <w:lvlText w:val="•"/>
      <w:lvlJc w:val="left"/>
      <w:pPr>
        <w:ind w:left="7024" w:hanging="852"/>
      </w:pPr>
      <w:rPr>
        <w:rFonts w:hint="default"/>
      </w:rPr>
    </w:lvl>
    <w:lvl w:ilvl="8">
      <w:numFmt w:val="bullet"/>
      <w:lvlText w:val="•"/>
      <w:lvlJc w:val="left"/>
      <w:pPr>
        <w:ind w:left="7876" w:hanging="852"/>
      </w:pPr>
      <w:rPr>
        <w:rFonts w:hint="default"/>
      </w:rPr>
    </w:lvl>
  </w:abstractNum>
  <w:abstractNum w:abstractNumId="8" w15:restartNumberingAfterBreak="0">
    <w:nsid w:val="4E706677"/>
    <w:multiLevelType w:val="multilevel"/>
    <w:tmpl w:val="1BD86FD8"/>
    <w:lvl w:ilvl="0">
      <w:start w:val="4"/>
      <w:numFmt w:val="decimal"/>
      <w:lvlText w:val="%1"/>
      <w:lvlJc w:val="left"/>
      <w:pPr>
        <w:ind w:left="1067" w:hanging="852"/>
        <w:jc w:val="left"/>
      </w:pPr>
      <w:rPr>
        <w:rFonts w:hint="default"/>
      </w:rPr>
    </w:lvl>
    <w:lvl w:ilvl="1">
      <w:start w:val="2"/>
      <w:numFmt w:val="decimal"/>
      <w:lvlText w:val="%1.%2"/>
      <w:lvlJc w:val="left"/>
      <w:pPr>
        <w:ind w:left="1067" w:hanging="852"/>
        <w:jc w:val="left"/>
      </w:pPr>
      <w:rPr>
        <w:rFonts w:hint="default"/>
      </w:rPr>
    </w:lvl>
    <w:lvl w:ilvl="2">
      <w:start w:val="3"/>
      <w:numFmt w:val="decimal"/>
      <w:lvlText w:val="%1.%2.%3"/>
      <w:lvlJc w:val="left"/>
      <w:pPr>
        <w:ind w:left="1067" w:hanging="852"/>
        <w:jc w:val="left"/>
      </w:pPr>
      <w:rPr>
        <w:rFonts w:hint="default"/>
      </w:rPr>
    </w:lvl>
    <w:lvl w:ilvl="3">
      <w:start w:val="1"/>
      <w:numFmt w:val="decimal"/>
      <w:lvlText w:val="%1.%2.%3.%4"/>
      <w:lvlJc w:val="left"/>
      <w:pPr>
        <w:ind w:left="1067" w:hanging="852"/>
        <w:jc w:val="left"/>
      </w:pPr>
      <w:rPr>
        <w:rFonts w:ascii="Times New Roman" w:eastAsia="Times New Roman" w:hAnsi="Times New Roman" w:cs="Times New Roman" w:hint="default"/>
        <w:b/>
        <w:bCs/>
        <w:spacing w:val="-2"/>
        <w:w w:val="97"/>
        <w:sz w:val="24"/>
        <w:szCs w:val="24"/>
      </w:rPr>
    </w:lvl>
    <w:lvl w:ilvl="4">
      <w:numFmt w:val="bullet"/>
      <w:lvlText w:val="•"/>
      <w:lvlJc w:val="left"/>
      <w:pPr>
        <w:ind w:left="4468" w:hanging="852"/>
      </w:pPr>
      <w:rPr>
        <w:rFonts w:hint="default"/>
      </w:rPr>
    </w:lvl>
    <w:lvl w:ilvl="5">
      <w:numFmt w:val="bullet"/>
      <w:lvlText w:val="•"/>
      <w:lvlJc w:val="left"/>
      <w:pPr>
        <w:ind w:left="5320" w:hanging="852"/>
      </w:pPr>
      <w:rPr>
        <w:rFonts w:hint="default"/>
      </w:rPr>
    </w:lvl>
    <w:lvl w:ilvl="6">
      <w:numFmt w:val="bullet"/>
      <w:lvlText w:val="•"/>
      <w:lvlJc w:val="left"/>
      <w:pPr>
        <w:ind w:left="6172" w:hanging="852"/>
      </w:pPr>
      <w:rPr>
        <w:rFonts w:hint="default"/>
      </w:rPr>
    </w:lvl>
    <w:lvl w:ilvl="7">
      <w:numFmt w:val="bullet"/>
      <w:lvlText w:val="•"/>
      <w:lvlJc w:val="left"/>
      <w:pPr>
        <w:ind w:left="7024" w:hanging="852"/>
      </w:pPr>
      <w:rPr>
        <w:rFonts w:hint="default"/>
      </w:rPr>
    </w:lvl>
    <w:lvl w:ilvl="8">
      <w:numFmt w:val="bullet"/>
      <w:lvlText w:val="•"/>
      <w:lvlJc w:val="left"/>
      <w:pPr>
        <w:ind w:left="7876" w:hanging="852"/>
      </w:pPr>
      <w:rPr>
        <w:rFonts w:hint="default"/>
      </w:rPr>
    </w:lvl>
  </w:abstractNum>
  <w:abstractNum w:abstractNumId="9" w15:restartNumberingAfterBreak="0">
    <w:nsid w:val="53AB1523"/>
    <w:multiLevelType w:val="multilevel"/>
    <w:tmpl w:val="4F421928"/>
    <w:lvl w:ilvl="0">
      <w:start w:val="4"/>
      <w:numFmt w:val="decimal"/>
      <w:lvlText w:val="%1"/>
      <w:lvlJc w:val="left"/>
      <w:pPr>
        <w:ind w:left="1067" w:hanging="852"/>
        <w:jc w:val="left"/>
      </w:pPr>
      <w:rPr>
        <w:rFonts w:hint="default"/>
      </w:rPr>
    </w:lvl>
    <w:lvl w:ilvl="1">
      <w:start w:val="2"/>
      <w:numFmt w:val="decimal"/>
      <w:lvlText w:val="%1.%2"/>
      <w:lvlJc w:val="left"/>
      <w:pPr>
        <w:ind w:left="1067" w:hanging="852"/>
        <w:jc w:val="left"/>
      </w:pPr>
      <w:rPr>
        <w:rFonts w:hint="default"/>
      </w:rPr>
    </w:lvl>
    <w:lvl w:ilvl="2">
      <w:start w:val="1"/>
      <w:numFmt w:val="decimal"/>
      <w:lvlText w:val="%1.%2.%3"/>
      <w:lvlJc w:val="left"/>
      <w:pPr>
        <w:ind w:left="1067" w:hanging="852"/>
        <w:jc w:val="left"/>
      </w:pPr>
      <w:rPr>
        <w:rFonts w:ascii="Times New Roman" w:eastAsia="Times New Roman" w:hAnsi="Times New Roman" w:cs="Times New Roman" w:hint="default"/>
        <w:b/>
        <w:bCs/>
        <w:w w:val="100"/>
        <w:sz w:val="24"/>
        <w:szCs w:val="24"/>
      </w:rPr>
    </w:lvl>
    <w:lvl w:ilvl="3">
      <w:numFmt w:val="bullet"/>
      <w:lvlText w:val="•"/>
      <w:lvlJc w:val="left"/>
      <w:pPr>
        <w:ind w:left="3616" w:hanging="852"/>
      </w:pPr>
      <w:rPr>
        <w:rFonts w:hint="default"/>
      </w:rPr>
    </w:lvl>
    <w:lvl w:ilvl="4">
      <w:numFmt w:val="bullet"/>
      <w:lvlText w:val="•"/>
      <w:lvlJc w:val="left"/>
      <w:pPr>
        <w:ind w:left="4468" w:hanging="852"/>
      </w:pPr>
      <w:rPr>
        <w:rFonts w:hint="default"/>
      </w:rPr>
    </w:lvl>
    <w:lvl w:ilvl="5">
      <w:numFmt w:val="bullet"/>
      <w:lvlText w:val="•"/>
      <w:lvlJc w:val="left"/>
      <w:pPr>
        <w:ind w:left="5320" w:hanging="852"/>
      </w:pPr>
      <w:rPr>
        <w:rFonts w:hint="default"/>
      </w:rPr>
    </w:lvl>
    <w:lvl w:ilvl="6">
      <w:numFmt w:val="bullet"/>
      <w:lvlText w:val="•"/>
      <w:lvlJc w:val="left"/>
      <w:pPr>
        <w:ind w:left="6172" w:hanging="852"/>
      </w:pPr>
      <w:rPr>
        <w:rFonts w:hint="default"/>
      </w:rPr>
    </w:lvl>
    <w:lvl w:ilvl="7">
      <w:numFmt w:val="bullet"/>
      <w:lvlText w:val="•"/>
      <w:lvlJc w:val="left"/>
      <w:pPr>
        <w:ind w:left="7024" w:hanging="852"/>
      </w:pPr>
      <w:rPr>
        <w:rFonts w:hint="default"/>
      </w:rPr>
    </w:lvl>
    <w:lvl w:ilvl="8">
      <w:numFmt w:val="bullet"/>
      <w:lvlText w:val="•"/>
      <w:lvlJc w:val="left"/>
      <w:pPr>
        <w:ind w:left="7876" w:hanging="852"/>
      </w:pPr>
      <w:rPr>
        <w:rFonts w:hint="default"/>
      </w:rPr>
    </w:lvl>
  </w:abstractNum>
  <w:abstractNum w:abstractNumId="10" w15:restartNumberingAfterBreak="0">
    <w:nsid w:val="5F6038CC"/>
    <w:multiLevelType w:val="multilevel"/>
    <w:tmpl w:val="65C00BD2"/>
    <w:lvl w:ilvl="0">
      <w:start w:val="4"/>
      <w:numFmt w:val="decimal"/>
      <w:lvlText w:val="%1"/>
      <w:lvlJc w:val="left"/>
      <w:pPr>
        <w:ind w:left="1067" w:hanging="852"/>
        <w:jc w:val="left"/>
      </w:pPr>
      <w:rPr>
        <w:rFonts w:hint="default"/>
      </w:rPr>
    </w:lvl>
    <w:lvl w:ilvl="1">
      <w:start w:val="2"/>
      <w:numFmt w:val="decimal"/>
      <w:lvlText w:val="%1.%2"/>
      <w:lvlJc w:val="left"/>
      <w:pPr>
        <w:ind w:left="1067" w:hanging="852"/>
        <w:jc w:val="left"/>
      </w:pPr>
      <w:rPr>
        <w:rFonts w:hint="default"/>
      </w:rPr>
    </w:lvl>
    <w:lvl w:ilvl="2">
      <w:start w:val="2"/>
      <w:numFmt w:val="decimal"/>
      <w:lvlText w:val="%1.%2.%3"/>
      <w:lvlJc w:val="left"/>
      <w:pPr>
        <w:ind w:left="1067" w:hanging="852"/>
        <w:jc w:val="left"/>
      </w:pPr>
      <w:rPr>
        <w:rFonts w:hint="default"/>
      </w:rPr>
    </w:lvl>
    <w:lvl w:ilvl="3">
      <w:start w:val="2"/>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468" w:hanging="852"/>
      </w:pPr>
      <w:rPr>
        <w:rFonts w:hint="default"/>
      </w:rPr>
    </w:lvl>
    <w:lvl w:ilvl="5">
      <w:numFmt w:val="bullet"/>
      <w:lvlText w:val="•"/>
      <w:lvlJc w:val="left"/>
      <w:pPr>
        <w:ind w:left="5320" w:hanging="852"/>
      </w:pPr>
      <w:rPr>
        <w:rFonts w:hint="default"/>
      </w:rPr>
    </w:lvl>
    <w:lvl w:ilvl="6">
      <w:numFmt w:val="bullet"/>
      <w:lvlText w:val="•"/>
      <w:lvlJc w:val="left"/>
      <w:pPr>
        <w:ind w:left="6172" w:hanging="852"/>
      </w:pPr>
      <w:rPr>
        <w:rFonts w:hint="default"/>
      </w:rPr>
    </w:lvl>
    <w:lvl w:ilvl="7">
      <w:numFmt w:val="bullet"/>
      <w:lvlText w:val="•"/>
      <w:lvlJc w:val="left"/>
      <w:pPr>
        <w:ind w:left="7024" w:hanging="852"/>
      </w:pPr>
      <w:rPr>
        <w:rFonts w:hint="default"/>
      </w:rPr>
    </w:lvl>
    <w:lvl w:ilvl="8">
      <w:numFmt w:val="bullet"/>
      <w:lvlText w:val="•"/>
      <w:lvlJc w:val="left"/>
      <w:pPr>
        <w:ind w:left="7876" w:hanging="852"/>
      </w:pPr>
      <w:rPr>
        <w:rFonts w:hint="default"/>
      </w:rPr>
    </w:lvl>
  </w:abstractNum>
  <w:abstractNum w:abstractNumId="11" w15:restartNumberingAfterBreak="0">
    <w:nsid w:val="621206A6"/>
    <w:multiLevelType w:val="multilevel"/>
    <w:tmpl w:val="C0204762"/>
    <w:lvl w:ilvl="0">
      <w:start w:val="4"/>
      <w:numFmt w:val="decimal"/>
      <w:lvlText w:val="%1"/>
      <w:lvlJc w:val="left"/>
      <w:pPr>
        <w:ind w:left="1067" w:hanging="852"/>
        <w:jc w:val="left"/>
      </w:pPr>
      <w:rPr>
        <w:rFonts w:hint="default"/>
      </w:rPr>
    </w:lvl>
    <w:lvl w:ilvl="1">
      <w:start w:val="3"/>
      <w:numFmt w:val="decimal"/>
      <w:lvlText w:val="%1.%2"/>
      <w:lvlJc w:val="left"/>
      <w:pPr>
        <w:ind w:left="106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468" w:hanging="852"/>
      </w:pPr>
      <w:rPr>
        <w:rFonts w:hint="default"/>
      </w:rPr>
    </w:lvl>
    <w:lvl w:ilvl="5">
      <w:numFmt w:val="bullet"/>
      <w:lvlText w:val="•"/>
      <w:lvlJc w:val="left"/>
      <w:pPr>
        <w:ind w:left="5320" w:hanging="852"/>
      </w:pPr>
      <w:rPr>
        <w:rFonts w:hint="default"/>
      </w:rPr>
    </w:lvl>
    <w:lvl w:ilvl="6">
      <w:numFmt w:val="bullet"/>
      <w:lvlText w:val="•"/>
      <w:lvlJc w:val="left"/>
      <w:pPr>
        <w:ind w:left="6172" w:hanging="852"/>
      </w:pPr>
      <w:rPr>
        <w:rFonts w:hint="default"/>
      </w:rPr>
    </w:lvl>
    <w:lvl w:ilvl="7">
      <w:numFmt w:val="bullet"/>
      <w:lvlText w:val="•"/>
      <w:lvlJc w:val="left"/>
      <w:pPr>
        <w:ind w:left="7024" w:hanging="852"/>
      </w:pPr>
      <w:rPr>
        <w:rFonts w:hint="default"/>
      </w:rPr>
    </w:lvl>
    <w:lvl w:ilvl="8">
      <w:numFmt w:val="bullet"/>
      <w:lvlText w:val="•"/>
      <w:lvlJc w:val="left"/>
      <w:pPr>
        <w:ind w:left="7876" w:hanging="852"/>
      </w:pPr>
      <w:rPr>
        <w:rFonts w:hint="default"/>
      </w:rPr>
    </w:lvl>
  </w:abstractNum>
  <w:abstractNum w:abstractNumId="12" w15:restartNumberingAfterBreak="0">
    <w:nsid w:val="64253969"/>
    <w:multiLevelType w:val="multilevel"/>
    <w:tmpl w:val="00D2F9C4"/>
    <w:lvl w:ilvl="0">
      <w:start w:val="4"/>
      <w:numFmt w:val="decimal"/>
      <w:lvlText w:val="%1"/>
      <w:lvlJc w:val="left"/>
      <w:pPr>
        <w:ind w:left="1348" w:hanging="1133"/>
        <w:jc w:val="left"/>
      </w:pPr>
      <w:rPr>
        <w:rFonts w:hint="default"/>
      </w:rPr>
    </w:lvl>
    <w:lvl w:ilvl="1">
      <w:start w:val="1"/>
      <w:numFmt w:val="decimal"/>
      <w:lvlText w:val="%1.%2"/>
      <w:lvlJc w:val="left"/>
      <w:pPr>
        <w:ind w:left="1348" w:hanging="1133"/>
        <w:jc w:val="left"/>
      </w:pPr>
      <w:rPr>
        <w:rFonts w:hint="default"/>
      </w:rPr>
    </w:lvl>
    <w:lvl w:ilvl="2">
      <w:start w:val="1"/>
      <w:numFmt w:val="decimal"/>
      <w:lvlText w:val="%1.%2.%3"/>
      <w:lvlJc w:val="left"/>
      <w:pPr>
        <w:ind w:left="1348" w:hanging="1133"/>
        <w:jc w:val="left"/>
      </w:pPr>
      <w:rPr>
        <w:rFonts w:hint="default"/>
      </w:rPr>
    </w:lvl>
    <w:lvl w:ilvl="3">
      <w:start w:val="2"/>
      <w:numFmt w:val="decimal"/>
      <w:lvlText w:val="%1.%2.%3.%4"/>
      <w:lvlJc w:val="left"/>
      <w:pPr>
        <w:ind w:left="1348" w:hanging="1133"/>
        <w:jc w:val="left"/>
      </w:pPr>
      <w:rPr>
        <w:rFonts w:hint="default"/>
      </w:rPr>
    </w:lvl>
    <w:lvl w:ilvl="4">
      <w:start w:val="2"/>
      <w:numFmt w:val="decimal"/>
      <w:lvlText w:val="%1.%2.%3.%4.%5"/>
      <w:lvlJc w:val="left"/>
      <w:pPr>
        <w:ind w:left="1348" w:hanging="1133"/>
        <w:jc w:val="left"/>
      </w:pPr>
      <w:rPr>
        <w:rFonts w:ascii="Times New Roman" w:eastAsia="Times New Roman" w:hAnsi="Times New Roman" w:cs="Times New Roman" w:hint="default"/>
        <w:b/>
        <w:bCs/>
        <w:spacing w:val="-3"/>
        <w:w w:val="100"/>
        <w:sz w:val="24"/>
        <w:szCs w:val="24"/>
      </w:rPr>
    </w:lvl>
    <w:lvl w:ilvl="5">
      <w:start w:val="1"/>
      <w:numFmt w:val="upperLetter"/>
      <w:lvlText w:val="%6."/>
      <w:lvlJc w:val="left"/>
      <w:pPr>
        <w:ind w:left="4535" w:hanging="358"/>
        <w:jc w:val="right"/>
      </w:pPr>
      <w:rPr>
        <w:rFonts w:ascii="Times New Roman" w:eastAsia="Times New Roman" w:hAnsi="Times New Roman" w:cs="Times New Roman" w:hint="default"/>
        <w:spacing w:val="-1"/>
        <w:w w:val="97"/>
        <w:sz w:val="24"/>
        <w:szCs w:val="24"/>
      </w:rPr>
    </w:lvl>
    <w:lvl w:ilvl="6">
      <w:numFmt w:val="bullet"/>
      <w:lvlText w:val="•"/>
      <w:lvlJc w:val="left"/>
      <w:pPr>
        <w:ind w:left="7340" w:hanging="358"/>
      </w:pPr>
      <w:rPr>
        <w:rFonts w:hint="default"/>
      </w:rPr>
    </w:lvl>
    <w:lvl w:ilvl="7">
      <w:numFmt w:val="bullet"/>
      <w:lvlText w:val="•"/>
      <w:lvlJc w:val="left"/>
      <w:pPr>
        <w:ind w:left="7900" w:hanging="358"/>
      </w:pPr>
      <w:rPr>
        <w:rFonts w:hint="default"/>
      </w:rPr>
    </w:lvl>
    <w:lvl w:ilvl="8">
      <w:numFmt w:val="bullet"/>
      <w:lvlText w:val="•"/>
      <w:lvlJc w:val="left"/>
      <w:pPr>
        <w:ind w:left="8460" w:hanging="358"/>
      </w:pPr>
      <w:rPr>
        <w:rFonts w:hint="default"/>
      </w:rPr>
    </w:lvl>
  </w:abstractNum>
  <w:abstractNum w:abstractNumId="13" w15:restartNumberingAfterBreak="0">
    <w:nsid w:val="697A4302"/>
    <w:multiLevelType w:val="multilevel"/>
    <w:tmpl w:val="A0AEBBF2"/>
    <w:lvl w:ilvl="0">
      <w:start w:val="4"/>
      <w:numFmt w:val="decimal"/>
      <w:lvlText w:val="%1"/>
      <w:lvlJc w:val="left"/>
      <w:pPr>
        <w:ind w:left="2200" w:hanging="1133"/>
        <w:jc w:val="left"/>
      </w:pPr>
      <w:rPr>
        <w:rFonts w:hint="default"/>
      </w:rPr>
    </w:lvl>
    <w:lvl w:ilvl="1">
      <w:start w:val="1"/>
      <w:numFmt w:val="decimal"/>
      <w:lvlText w:val="%1.%2"/>
      <w:lvlJc w:val="left"/>
      <w:pPr>
        <w:ind w:left="2200" w:hanging="1133"/>
        <w:jc w:val="right"/>
      </w:pPr>
      <w:rPr>
        <w:rFonts w:hint="default"/>
      </w:rPr>
    </w:lvl>
    <w:lvl w:ilvl="2">
      <w:start w:val="1"/>
      <w:numFmt w:val="decimal"/>
      <w:lvlText w:val="%1.%2.%3"/>
      <w:lvlJc w:val="left"/>
      <w:pPr>
        <w:ind w:left="1775" w:hanging="994"/>
        <w:jc w:val="left"/>
      </w:pPr>
      <w:rPr>
        <w:rFonts w:hint="default"/>
        <w:w w:val="100"/>
      </w:rPr>
    </w:lvl>
    <w:lvl w:ilvl="3">
      <w:start w:val="1"/>
      <w:numFmt w:val="decimal"/>
      <w:lvlText w:val="%1.%2.%3.%4"/>
      <w:lvlJc w:val="left"/>
      <w:pPr>
        <w:ind w:left="2200" w:hanging="994"/>
        <w:jc w:val="left"/>
      </w:pPr>
      <w:rPr>
        <w:rFonts w:ascii="Times New Roman" w:eastAsia="Times New Roman" w:hAnsi="Times New Roman" w:cs="Times New Roman" w:hint="default"/>
        <w:w w:val="100"/>
        <w:sz w:val="22"/>
        <w:szCs w:val="22"/>
      </w:rPr>
    </w:lvl>
    <w:lvl w:ilvl="4">
      <w:numFmt w:val="bullet"/>
      <w:lvlText w:val="•"/>
      <w:lvlJc w:val="left"/>
      <w:pPr>
        <w:ind w:left="4660" w:hanging="994"/>
      </w:pPr>
      <w:rPr>
        <w:rFonts w:hint="default"/>
      </w:rPr>
    </w:lvl>
    <w:lvl w:ilvl="5">
      <w:numFmt w:val="bullet"/>
      <w:lvlText w:val="•"/>
      <w:lvlJc w:val="left"/>
      <w:pPr>
        <w:ind w:left="5480" w:hanging="994"/>
      </w:pPr>
      <w:rPr>
        <w:rFonts w:hint="default"/>
      </w:rPr>
    </w:lvl>
    <w:lvl w:ilvl="6">
      <w:numFmt w:val="bullet"/>
      <w:lvlText w:val="•"/>
      <w:lvlJc w:val="left"/>
      <w:pPr>
        <w:ind w:left="6300" w:hanging="994"/>
      </w:pPr>
      <w:rPr>
        <w:rFonts w:hint="default"/>
      </w:rPr>
    </w:lvl>
    <w:lvl w:ilvl="7">
      <w:numFmt w:val="bullet"/>
      <w:lvlText w:val="•"/>
      <w:lvlJc w:val="left"/>
      <w:pPr>
        <w:ind w:left="7120" w:hanging="994"/>
      </w:pPr>
      <w:rPr>
        <w:rFonts w:hint="default"/>
      </w:rPr>
    </w:lvl>
    <w:lvl w:ilvl="8">
      <w:numFmt w:val="bullet"/>
      <w:lvlText w:val="•"/>
      <w:lvlJc w:val="left"/>
      <w:pPr>
        <w:ind w:left="7940" w:hanging="994"/>
      </w:pPr>
      <w:rPr>
        <w:rFonts w:hint="default"/>
      </w:rPr>
    </w:lvl>
  </w:abstractNum>
  <w:abstractNum w:abstractNumId="14" w15:restartNumberingAfterBreak="0">
    <w:nsid w:val="75D01003"/>
    <w:multiLevelType w:val="multilevel"/>
    <w:tmpl w:val="ED849F94"/>
    <w:lvl w:ilvl="0">
      <w:start w:val="3"/>
      <w:numFmt w:val="decimal"/>
      <w:lvlText w:val="%1"/>
      <w:lvlJc w:val="left"/>
      <w:pPr>
        <w:ind w:left="1078" w:hanging="852"/>
        <w:jc w:val="left"/>
      </w:pPr>
      <w:rPr>
        <w:rFonts w:hint="default"/>
      </w:rPr>
    </w:lvl>
    <w:lvl w:ilvl="1">
      <w:start w:val="13"/>
      <w:numFmt w:val="decimal"/>
      <w:lvlText w:val="%1.%2"/>
      <w:lvlJc w:val="left"/>
      <w:pPr>
        <w:ind w:left="1078" w:hanging="852"/>
        <w:jc w:val="left"/>
      </w:pPr>
      <w:rPr>
        <w:rFonts w:ascii="Times New Roman" w:eastAsia="Times New Roman" w:hAnsi="Times New Roman" w:cs="Times New Roman" w:hint="default"/>
        <w:b/>
        <w:bCs/>
        <w:spacing w:val="-1"/>
        <w:w w:val="100"/>
        <w:sz w:val="28"/>
        <w:szCs w:val="28"/>
      </w:rPr>
    </w:lvl>
    <w:lvl w:ilvl="2">
      <w:numFmt w:val="bullet"/>
      <w:lvlText w:val="•"/>
      <w:lvlJc w:val="left"/>
      <w:pPr>
        <w:ind w:left="3904" w:hanging="852"/>
      </w:pPr>
      <w:rPr>
        <w:rFonts w:hint="default"/>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abstractNum w:abstractNumId="15" w15:restartNumberingAfterBreak="0">
    <w:nsid w:val="7DAD1815"/>
    <w:multiLevelType w:val="multilevel"/>
    <w:tmpl w:val="89867950"/>
    <w:lvl w:ilvl="0">
      <w:start w:val="3"/>
      <w:numFmt w:val="decimal"/>
      <w:lvlText w:val="%1"/>
      <w:lvlJc w:val="left"/>
      <w:pPr>
        <w:ind w:left="1078" w:hanging="852"/>
        <w:jc w:val="left"/>
      </w:pPr>
      <w:rPr>
        <w:rFonts w:hint="default"/>
      </w:rPr>
    </w:lvl>
    <w:lvl w:ilvl="1">
      <w:start w:val="6"/>
      <w:numFmt w:val="decimal"/>
      <w:lvlText w:val="%1.%2"/>
      <w:lvlJc w:val="left"/>
      <w:pPr>
        <w:ind w:left="1078" w:hanging="852"/>
        <w:jc w:val="left"/>
      </w:pPr>
      <w:rPr>
        <w:rFonts w:hint="default"/>
      </w:rPr>
    </w:lvl>
    <w:lvl w:ilvl="2">
      <w:start w:val="1"/>
      <w:numFmt w:val="decimal"/>
      <w:lvlText w:val="%1.%2.%3"/>
      <w:lvlJc w:val="left"/>
      <w:pPr>
        <w:ind w:left="1078"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num w:numId="1">
    <w:abstractNumId w:val="14"/>
  </w:num>
  <w:num w:numId="2">
    <w:abstractNumId w:val="4"/>
  </w:num>
  <w:num w:numId="3">
    <w:abstractNumId w:val="15"/>
  </w:num>
  <w:num w:numId="4">
    <w:abstractNumId w:val="2"/>
  </w:num>
  <w:num w:numId="5">
    <w:abstractNumId w:val="0"/>
  </w:num>
  <w:num w:numId="6">
    <w:abstractNumId w:val="1"/>
  </w:num>
  <w:num w:numId="7">
    <w:abstractNumId w:val="5"/>
  </w:num>
  <w:num w:numId="8">
    <w:abstractNumId w:val="11"/>
  </w:num>
  <w:num w:numId="9">
    <w:abstractNumId w:val="8"/>
  </w:num>
  <w:num w:numId="10">
    <w:abstractNumId w:val="10"/>
  </w:num>
  <w:num w:numId="11">
    <w:abstractNumId w:val="9"/>
  </w:num>
  <w:num w:numId="12">
    <w:abstractNumId w:val="7"/>
  </w:num>
  <w:num w:numId="13">
    <w:abstractNumId w:val="12"/>
  </w:num>
  <w:num w:numId="14">
    <w:abstractNumId w:val="3"/>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89">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4513B"/>
    <w:rsid w:val="00165519"/>
    <w:rsid w:val="00602CED"/>
    <w:rsid w:val="00B10ABA"/>
    <w:rsid w:val="00B4513B"/>
    <w:rsid w:val="00DD7227"/>
    <w:rsid w:val="00FC4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89">
      <v:textbox inset="5.85pt,.7pt,5.85pt,.7pt"/>
    </o:shapedefaults>
    <o:shapelayout v:ext="edit">
      <o:idmap v:ext="edit" data="1"/>
    </o:shapelayout>
  </w:shapeDefaults>
  <w:decimalSymbol w:val="."/>
  <w:listSeparator w:val=","/>
  <w15:docId w15:val="{FCCE4B16-FB71-44A4-9E1F-967DDBA8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3085"/>
      <w:jc w:val="center"/>
      <w:outlineLvl w:val="0"/>
    </w:pPr>
    <w:rPr>
      <w:b/>
      <w:bCs/>
      <w:sz w:val="32"/>
      <w:szCs w:val="32"/>
    </w:rPr>
  </w:style>
  <w:style w:type="paragraph" w:styleId="2">
    <w:name w:val="heading 2"/>
    <w:basedOn w:val="a"/>
    <w:uiPriority w:val="9"/>
    <w:unhideWhenUsed/>
    <w:qFormat/>
    <w:pPr>
      <w:spacing w:before="89"/>
      <w:ind w:left="1078" w:hanging="852"/>
      <w:outlineLvl w:val="1"/>
    </w:pPr>
    <w:rPr>
      <w:b/>
      <w:bCs/>
      <w:sz w:val="28"/>
      <w:szCs w:val="28"/>
    </w:rPr>
  </w:style>
  <w:style w:type="paragraph" w:styleId="3">
    <w:name w:val="heading 3"/>
    <w:basedOn w:val="a"/>
    <w:uiPriority w:val="9"/>
    <w:unhideWhenUsed/>
    <w:qFormat/>
    <w:pPr>
      <w:spacing w:before="214"/>
      <w:jc w:val="right"/>
      <w:outlineLvl w:val="2"/>
    </w:pPr>
    <w:rPr>
      <w:sz w:val="25"/>
      <w:szCs w:val="25"/>
    </w:rPr>
  </w:style>
  <w:style w:type="paragraph" w:styleId="4">
    <w:name w:val="heading 4"/>
    <w:basedOn w:val="a"/>
    <w:uiPriority w:val="9"/>
    <w:unhideWhenUsed/>
    <w:qFormat/>
    <w:pPr>
      <w:spacing w:before="90"/>
      <w:ind w:left="1067"/>
      <w:outlineLvl w:val="3"/>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8"/>
      <w:ind w:left="1348" w:hanging="850"/>
    </w:pPr>
  </w:style>
  <w:style w:type="paragraph" w:styleId="20">
    <w:name w:val="toc 2"/>
    <w:basedOn w:val="a"/>
    <w:uiPriority w:val="1"/>
    <w:qFormat/>
    <w:pPr>
      <w:spacing w:before="107"/>
      <w:ind w:left="1775" w:hanging="994"/>
    </w:pPr>
  </w:style>
  <w:style w:type="paragraph" w:styleId="30">
    <w:name w:val="toc 3"/>
    <w:basedOn w:val="a"/>
    <w:uiPriority w:val="1"/>
    <w:qFormat/>
    <w:pPr>
      <w:spacing w:before="107"/>
      <w:ind w:left="2200" w:hanging="1133"/>
    </w:pPr>
  </w:style>
  <w:style w:type="paragraph" w:styleId="40">
    <w:name w:val="toc 4"/>
    <w:basedOn w:val="a"/>
    <w:uiPriority w:val="1"/>
    <w:qFormat/>
    <w:pPr>
      <w:spacing w:before="47"/>
      <w:ind w:left="2200"/>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67" w:hanging="852"/>
    </w:pPr>
  </w:style>
  <w:style w:type="paragraph" w:customStyle="1" w:styleId="TableParagraph">
    <w:name w:val="Table Paragraph"/>
    <w:basedOn w:val="a"/>
    <w:uiPriority w:val="1"/>
    <w:qFormat/>
    <w:pPr>
      <w:spacing w:line="210" w:lineRule="exact"/>
      <w:jc w:val="center"/>
    </w:pPr>
  </w:style>
  <w:style w:type="paragraph" w:styleId="a5">
    <w:name w:val="header"/>
    <w:basedOn w:val="a"/>
    <w:link w:val="a6"/>
    <w:uiPriority w:val="99"/>
    <w:unhideWhenUsed/>
    <w:rsid w:val="00602CED"/>
    <w:pPr>
      <w:tabs>
        <w:tab w:val="center" w:pos="4252"/>
        <w:tab w:val="right" w:pos="8504"/>
      </w:tabs>
      <w:snapToGrid w:val="0"/>
    </w:pPr>
  </w:style>
  <w:style w:type="character" w:customStyle="1" w:styleId="a6">
    <w:name w:val="ヘッダー (文字)"/>
    <w:basedOn w:val="a0"/>
    <w:link w:val="a5"/>
    <w:uiPriority w:val="99"/>
    <w:rsid w:val="00602CED"/>
    <w:rPr>
      <w:rFonts w:ascii="Times New Roman" w:eastAsia="Times New Roman" w:hAnsi="Times New Roman" w:cs="Times New Roman"/>
    </w:rPr>
  </w:style>
  <w:style w:type="paragraph" w:styleId="a7">
    <w:name w:val="footer"/>
    <w:basedOn w:val="a"/>
    <w:link w:val="a8"/>
    <w:uiPriority w:val="99"/>
    <w:unhideWhenUsed/>
    <w:rsid w:val="00602CED"/>
    <w:pPr>
      <w:tabs>
        <w:tab w:val="center" w:pos="4252"/>
        <w:tab w:val="right" w:pos="8504"/>
      </w:tabs>
      <w:snapToGrid w:val="0"/>
    </w:pPr>
  </w:style>
  <w:style w:type="character" w:customStyle="1" w:styleId="a8">
    <w:name w:val="フッター (文字)"/>
    <w:basedOn w:val="a0"/>
    <w:link w:val="a7"/>
    <w:uiPriority w:val="99"/>
    <w:rsid w:val="00602CE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0A2F8B-AB08-4D91-A1FA-D2BA86A40751}"/>
</file>

<file path=customXml/itemProps2.xml><?xml version="1.0" encoding="utf-8"?>
<ds:datastoreItem xmlns:ds="http://schemas.openxmlformats.org/officeDocument/2006/customXml" ds:itemID="{DA622CB9-96ED-41E0-9CB9-DBC349D819D1}"/>
</file>

<file path=customXml/itemProps3.xml><?xml version="1.0" encoding="utf-8"?>
<ds:datastoreItem xmlns:ds="http://schemas.openxmlformats.org/officeDocument/2006/customXml" ds:itemID="{FDF30B83-3F96-41E5-895C-D59902C80180}"/>
</file>

<file path=docProps/app.xml><?xml version="1.0" encoding="utf-8"?>
<Properties xmlns="http://schemas.openxmlformats.org/officeDocument/2006/extended-properties" xmlns:vt="http://schemas.openxmlformats.org/officeDocument/2006/docPropsVTypes">
  <Template>Normal</Template>
  <TotalTime>5</TotalTime>
  <Pages>9</Pages>
  <Words>2690</Words>
  <Characters>15335</Characters>
  <Application>Microsoft Office Word</Application>
  <DocSecurity>0</DocSecurity>
  <Lines>127</Lines>
  <Paragraphs>35</Paragraphs>
  <ScaleCrop>false</ScaleCrop>
  <Company/>
  <LinksUpToDate>false</LinksUpToDate>
  <CharactersWithSpaces>17990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4</cp:revision>
  <dcterms:created xsi:type="dcterms:W3CDTF">2021-06-28T00:54:00Z</dcterms:created>
  <dcterms:modified xsi:type="dcterms:W3CDTF">2021-06-30T12:50:00Z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2012-04-22T00:00:00Z</vt:filetime>
  </property>
  <property fmtid="{D5CDD505-2E9C-101B-9397-08002B2CF9AE}" pid="3" name="LastSaved">
    <vt:filetime>2021-06-28T00:00:00Z</vt:filetime>
  </property>
  <property fmtid="{D5CDD505-2E9C-101B-9397-08002B2CF9AE}" pid="4" name="ContentTypeId">
    <vt:lpwstr>0x0101007EA8C9399C6F4249AB6A1823D3F13C35</vt:lpwstr>
  </property>
</Properties>
</file>