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267" w:rsidRDefault="00B45ABC">
      <w:pPr>
        <w:pStyle w:val="3"/>
        <w:tabs>
          <w:tab w:val="left" w:pos="1084"/>
        </w:tabs>
        <w:ind w:left="232"/>
      </w:pPr>
      <w:bookmarkStart w:id="0" w:name="4.1.3_Safety_Pharmacology"/>
      <w:bookmarkStart w:id="1" w:name="_bookmark24"/>
      <w:bookmarkEnd w:id="0"/>
      <w:bookmarkEnd w:id="1"/>
      <w:r>
        <w:t>4.1.3</w:t>
      </w:r>
      <w:r>
        <w:tab/>
        <w:t>Safety</w:t>
      </w:r>
      <w:r>
        <w:rPr>
          <w:spacing w:val="-2"/>
        </w:rPr>
        <w:t xml:space="preserve"> </w:t>
      </w:r>
      <w:r>
        <w:t>Pharmacology</w:t>
      </w:r>
    </w:p>
    <w:p w:rsidR="00275267" w:rsidRDefault="00B45ABC">
      <w:pPr>
        <w:pStyle w:val="a3"/>
        <w:spacing w:before="139" w:line="261" w:lineRule="auto"/>
        <w:ind w:left="232" w:right="1641"/>
      </w:pPr>
      <w:r>
        <w:t xml:space="preserve">The results of safety pharmacology studies are presented in End-of-Text Table 1.2. </w:t>
      </w:r>
      <w:r w:rsidR="002B4CFB">
        <w:t>Project R</w:t>
      </w:r>
      <w:r>
        <w:t xml:space="preserve"> dissolved in DMSO or suspended in 0.5% MC were used. The dose levels and concentrations are expressed as the free form.</w:t>
      </w:r>
    </w:p>
    <w:p w:rsidR="00275267" w:rsidRDefault="00B45ABC">
      <w:pPr>
        <w:pStyle w:val="3"/>
        <w:spacing w:before="122"/>
        <w:ind w:left="232"/>
      </w:pPr>
      <w:bookmarkStart w:id="2" w:name="4.1.3.1_Effects_of_ASP9603_on_hERG_Curre"/>
      <w:bookmarkStart w:id="3" w:name="_bookmark25"/>
      <w:bookmarkEnd w:id="2"/>
      <w:bookmarkEnd w:id="3"/>
      <w:r>
        <w:t xml:space="preserve">4.1.3.1   Effects of </w:t>
      </w:r>
      <w:r w:rsidR="002B4CFB">
        <w:t>PROJECT R</w:t>
      </w:r>
      <w:r>
        <w:t xml:space="preserve"> on </w:t>
      </w:r>
      <w:proofErr w:type="spellStart"/>
      <w:r>
        <w:t>hERG</w:t>
      </w:r>
      <w:proofErr w:type="spellEnd"/>
      <w:r>
        <w:t xml:space="preserve"> Current in </w:t>
      </w:r>
      <w:proofErr w:type="spellStart"/>
      <w:r>
        <w:t>hERG</w:t>
      </w:r>
      <w:proofErr w:type="spellEnd"/>
      <w:r>
        <w:t>-transfected HEK293</w:t>
      </w:r>
      <w:r>
        <w:rPr>
          <w:spacing w:val="-20"/>
        </w:rPr>
        <w:t xml:space="preserve"> </w:t>
      </w:r>
      <w:r>
        <w:t>Cells</w:t>
      </w:r>
    </w:p>
    <w:p w:rsidR="00275267" w:rsidRDefault="002B4CFB">
      <w:pPr>
        <w:pStyle w:val="a3"/>
        <w:spacing w:before="140" w:line="261" w:lineRule="auto"/>
        <w:ind w:left="232" w:right="1719"/>
      </w:pPr>
      <w:r>
        <w:t>PROJECT R</w:t>
      </w:r>
      <w:r w:rsidR="00B45ABC">
        <w:t xml:space="preserve"> at a concentration of up to 10 </w:t>
      </w:r>
      <w:proofErr w:type="spellStart"/>
      <w:r w:rsidR="00B45ABC">
        <w:t>mcM</w:t>
      </w:r>
      <w:proofErr w:type="spellEnd"/>
      <w:r w:rsidR="00B45ABC">
        <w:t xml:space="preserve"> concentration-dependently inhibited the</w:t>
      </w:r>
      <w:r w:rsidR="00B45ABC">
        <w:rPr>
          <w:spacing w:val="-16"/>
        </w:rPr>
        <w:t xml:space="preserve"> </w:t>
      </w:r>
      <w:proofErr w:type="spellStart"/>
      <w:r w:rsidR="00B45ABC">
        <w:t>hERG</w:t>
      </w:r>
      <w:proofErr w:type="spellEnd"/>
      <w:r w:rsidR="00B45ABC">
        <w:t xml:space="preserve"> current in </w:t>
      </w:r>
      <w:proofErr w:type="spellStart"/>
      <w:r w:rsidR="00B45ABC">
        <w:t>hERG</w:t>
      </w:r>
      <w:proofErr w:type="spellEnd"/>
      <w:r w:rsidR="00B45ABC">
        <w:t>-transfected human embryonic kidney (HEK293) cells using the whole cell clamp method (</w:t>
      </w:r>
      <w:r>
        <w:t>Project R</w:t>
      </w:r>
      <w:r w:rsidR="00B45ABC">
        <w:t xml:space="preserve">-PT-0001). </w:t>
      </w:r>
      <w:r>
        <w:t>PROJECT R</w:t>
      </w:r>
      <w:r w:rsidR="00B45ABC">
        <w:t xml:space="preserve"> suppressed the </w:t>
      </w:r>
      <w:proofErr w:type="spellStart"/>
      <w:r w:rsidR="00B45ABC">
        <w:t>hERG</w:t>
      </w:r>
      <w:proofErr w:type="spellEnd"/>
      <w:r w:rsidR="00B45ABC">
        <w:t xml:space="preserve"> current with an IC</w:t>
      </w:r>
      <w:r w:rsidR="00B45ABC">
        <w:rPr>
          <w:vertAlign w:val="subscript"/>
        </w:rPr>
        <w:t>50</w:t>
      </w:r>
      <w:r w:rsidR="00B45ABC">
        <w:rPr>
          <w:spacing w:val="-21"/>
        </w:rPr>
        <w:t xml:space="preserve"> </w:t>
      </w:r>
      <w:r w:rsidR="00B45ABC">
        <w:t>of</w:t>
      </w:r>
    </w:p>
    <w:p w:rsidR="00275267" w:rsidRDefault="00B45ABC">
      <w:pPr>
        <w:pStyle w:val="a3"/>
        <w:spacing w:line="274" w:lineRule="exact"/>
        <w:ind w:left="232"/>
      </w:pPr>
      <w:r>
        <w:t xml:space="preserve">2.8 </w:t>
      </w:r>
      <w:proofErr w:type="spellStart"/>
      <w:r>
        <w:t>mcM</w:t>
      </w:r>
      <w:proofErr w:type="spellEnd"/>
      <w:r>
        <w:t>.</w:t>
      </w:r>
    </w:p>
    <w:p w:rsidR="00275267" w:rsidRDefault="00B45ABC">
      <w:pPr>
        <w:pStyle w:val="3"/>
        <w:numPr>
          <w:ilvl w:val="3"/>
          <w:numId w:val="12"/>
        </w:numPr>
        <w:tabs>
          <w:tab w:val="left" w:pos="1085"/>
        </w:tabs>
        <w:spacing w:before="148" w:line="261" w:lineRule="auto"/>
        <w:ind w:right="2361"/>
      </w:pPr>
      <w:bookmarkStart w:id="4" w:name="4.1.3.2_Effects_of_ASP9603_on_Action_Pot"/>
      <w:bookmarkStart w:id="5" w:name="_bookmark26"/>
      <w:bookmarkEnd w:id="4"/>
      <w:bookmarkEnd w:id="5"/>
      <w:r>
        <w:t xml:space="preserve">Effects of </w:t>
      </w:r>
      <w:r w:rsidR="002B4CFB">
        <w:t>PROJECT R</w:t>
      </w:r>
      <w:r>
        <w:t xml:space="preserve"> on Action Potential Durations in Isolated Guinea</w:t>
      </w:r>
      <w:r>
        <w:rPr>
          <w:spacing w:val="-22"/>
        </w:rPr>
        <w:t xml:space="preserve"> </w:t>
      </w:r>
      <w:r>
        <w:t>Pig Papillary</w:t>
      </w:r>
      <w:r>
        <w:rPr>
          <w:spacing w:val="-2"/>
        </w:rPr>
        <w:t xml:space="preserve"> </w:t>
      </w:r>
      <w:r>
        <w:t>Muscles</w:t>
      </w:r>
    </w:p>
    <w:p w:rsidR="00275267" w:rsidRDefault="002B4CFB" w:rsidP="00B45ABC">
      <w:pPr>
        <w:pStyle w:val="a3"/>
        <w:spacing w:before="114" w:line="261" w:lineRule="auto"/>
        <w:ind w:left="232" w:right="1622"/>
        <w:rPr>
          <w:sz w:val="20"/>
        </w:rPr>
      </w:pPr>
      <w:r>
        <w:t xml:space="preserve">PROJECT </w:t>
      </w:r>
      <w:proofErr w:type="spellStart"/>
      <w:r>
        <w:t>R</w:t>
      </w:r>
      <w:r w:rsidR="00B45ABC">
        <w:t xml:space="preserve"> at</w:t>
      </w:r>
      <w:proofErr w:type="spellEnd"/>
      <w:r w:rsidR="00B45ABC">
        <w:t xml:space="preserve"> concentrations of up to 1 </w:t>
      </w:r>
      <w:proofErr w:type="spellStart"/>
      <w:r w:rsidR="00B45ABC">
        <w:t>mcM</w:t>
      </w:r>
      <w:proofErr w:type="spellEnd"/>
      <w:r w:rsidR="00B45ABC">
        <w:t xml:space="preserve"> did not affect action potential durations at APD</w:t>
      </w:r>
      <w:r w:rsidR="00B45ABC">
        <w:rPr>
          <w:vertAlign w:val="subscript"/>
        </w:rPr>
        <w:t>30</w:t>
      </w:r>
      <w:r w:rsidR="00B45ABC">
        <w:t>, APD</w:t>
      </w:r>
      <w:r w:rsidR="00B45ABC">
        <w:rPr>
          <w:vertAlign w:val="subscript"/>
        </w:rPr>
        <w:t>90</w:t>
      </w:r>
      <w:r w:rsidR="00B45ABC">
        <w:t xml:space="preserve"> or the difference between APD</w:t>
      </w:r>
      <w:r w:rsidR="00B45ABC">
        <w:rPr>
          <w:vertAlign w:val="subscript"/>
        </w:rPr>
        <w:t>30</w:t>
      </w:r>
      <w:r w:rsidR="00B45ABC">
        <w:t xml:space="preserve"> and APD</w:t>
      </w:r>
      <w:r w:rsidR="00B45ABC">
        <w:rPr>
          <w:vertAlign w:val="subscript"/>
        </w:rPr>
        <w:t>90</w:t>
      </w:r>
      <w:r w:rsidR="00B45ABC">
        <w:t xml:space="preserve"> (APD</w:t>
      </w:r>
      <w:r w:rsidR="00B45ABC">
        <w:rPr>
          <w:vertAlign w:val="subscript"/>
        </w:rPr>
        <w:t>30-90</w:t>
      </w:r>
      <w:r w:rsidR="00B45ABC">
        <w:t>) in guinea pig papillary muscles in a study using the glass microelectrode technique (</w:t>
      </w:r>
      <w:r>
        <w:t>Project R</w:t>
      </w:r>
      <w:r w:rsidR="00B45ABC">
        <w:t xml:space="preserve">-PT-0002). </w:t>
      </w:r>
      <w:r>
        <w:t>PROJECT R</w:t>
      </w:r>
      <w:r w:rsidR="00B45ABC">
        <w:t xml:space="preserve"> at a concentration of 3 </w:t>
      </w:r>
      <w:proofErr w:type="spellStart"/>
      <w:r w:rsidR="00B45ABC">
        <w:t>mcM</w:t>
      </w:r>
      <w:proofErr w:type="spellEnd"/>
      <w:r w:rsidR="00B45ABC">
        <w:t xml:space="preserve"> caused prolongation of APD</w:t>
      </w:r>
      <w:r w:rsidR="00B45ABC">
        <w:rPr>
          <w:vertAlign w:val="subscript"/>
        </w:rPr>
        <w:t>30</w:t>
      </w:r>
      <w:r w:rsidR="00B45ABC">
        <w:t xml:space="preserve"> and APD</w:t>
      </w:r>
      <w:r w:rsidR="00B45ABC">
        <w:rPr>
          <w:vertAlign w:val="subscript"/>
        </w:rPr>
        <w:t>90,</w:t>
      </w:r>
      <w:r w:rsidR="00B45ABC">
        <w:t xml:space="preserve"> without APD</w:t>
      </w:r>
      <w:r w:rsidR="00B45ABC">
        <w:rPr>
          <w:vertAlign w:val="subscript"/>
        </w:rPr>
        <w:t>30-90</w:t>
      </w:r>
      <w:r w:rsidR="00B45ABC">
        <w:t xml:space="preserve"> prolongation. No effect on resting membrane potential, action potential amplitude or (</w:t>
      </w:r>
      <w:proofErr w:type="spellStart"/>
      <w:r w:rsidR="00B45ABC">
        <w:t>dV</w:t>
      </w:r>
      <w:proofErr w:type="spellEnd"/>
      <w:r w:rsidR="00B45ABC">
        <w:t>/dt)</w:t>
      </w:r>
      <w:r w:rsidR="00B45ABC">
        <w:rPr>
          <w:vertAlign w:val="subscript"/>
        </w:rPr>
        <w:t>max</w:t>
      </w:r>
      <w:r w:rsidR="00B45ABC">
        <w:t xml:space="preserve"> was noted at any concentration</w:t>
      </w:r>
      <w:r w:rsidR="00B45ABC">
        <w:rPr>
          <w:spacing w:val="-8"/>
        </w:rPr>
        <w:t xml:space="preserve"> </w:t>
      </w:r>
      <w:r w:rsidR="00B45ABC">
        <w:t>tested.</w:t>
      </w:r>
    </w:p>
    <w:p w:rsidR="00275267" w:rsidRDefault="00B45ABC">
      <w:pPr>
        <w:pStyle w:val="3"/>
        <w:numPr>
          <w:ilvl w:val="3"/>
          <w:numId w:val="12"/>
        </w:numPr>
        <w:tabs>
          <w:tab w:val="left" w:pos="1085"/>
        </w:tabs>
        <w:spacing w:before="232"/>
      </w:pPr>
      <w:bookmarkStart w:id="6" w:name="4.1.3.3_Effects_of_ASP9603_on_Central_Ne"/>
      <w:bookmarkStart w:id="7" w:name="_bookmark27"/>
      <w:bookmarkEnd w:id="6"/>
      <w:bookmarkEnd w:id="7"/>
      <w:r>
        <w:t xml:space="preserve">Effects of </w:t>
      </w:r>
      <w:r w:rsidR="002B4CFB">
        <w:t>PROJECT R</w:t>
      </w:r>
      <w:r>
        <w:t xml:space="preserve"> on Central Nervous System in</w:t>
      </w:r>
      <w:r>
        <w:rPr>
          <w:spacing w:val="-8"/>
        </w:rPr>
        <w:t xml:space="preserve"> </w:t>
      </w:r>
      <w:r>
        <w:t>Rats</w:t>
      </w:r>
    </w:p>
    <w:p w:rsidR="00275267" w:rsidRDefault="00B45ABC">
      <w:pPr>
        <w:pStyle w:val="a3"/>
        <w:spacing w:before="139" w:line="261" w:lineRule="auto"/>
        <w:ind w:left="232" w:right="1617"/>
      </w:pPr>
      <w:r>
        <w:t xml:space="preserve">The effects of a single oral dose of </w:t>
      </w:r>
      <w:r w:rsidR="002B4CFB">
        <w:t>PROJECT R</w:t>
      </w:r>
      <w:r>
        <w:t xml:space="preserve"> on the general activity and behavior in rats were determined using the modified Irwin’s method (</w:t>
      </w:r>
      <w:r w:rsidR="002B4CFB">
        <w:t>Project R</w:t>
      </w:r>
      <w:r>
        <w:t xml:space="preserve">-PT-0004). </w:t>
      </w:r>
      <w:r w:rsidR="002B4CFB">
        <w:t>PROJECT R</w:t>
      </w:r>
      <w:r>
        <w:t xml:space="preserve"> (0, 100, 300 and 1000 mg/kg) did not affect the general activity or behavior in any of the rats up to 24 hours after administration. Decreased stool volume was observed at 1000 mg/kg.</w:t>
      </w:r>
    </w:p>
    <w:p w:rsidR="00275267" w:rsidRDefault="00B45ABC">
      <w:pPr>
        <w:pStyle w:val="3"/>
        <w:numPr>
          <w:ilvl w:val="3"/>
          <w:numId w:val="12"/>
        </w:numPr>
        <w:tabs>
          <w:tab w:val="left" w:pos="1085"/>
        </w:tabs>
        <w:spacing w:before="122" w:line="261" w:lineRule="auto"/>
        <w:ind w:right="2407"/>
      </w:pPr>
      <w:bookmarkStart w:id="8" w:name="4.1.3.4_Effects_on_Central_Nervous,_Card"/>
      <w:bookmarkStart w:id="9" w:name="_bookmark28"/>
      <w:bookmarkEnd w:id="8"/>
      <w:bookmarkEnd w:id="9"/>
      <w:r>
        <w:t>Effects on Central Nervous, Cardiovascular and Respiratory Systems in Cynomolgus</w:t>
      </w:r>
      <w:r>
        <w:rPr>
          <w:spacing w:val="-1"/>
        </w:rPr>
        <w:t xml:space="preserve"> </w:t>
      </w:r>
      <w:r>
        <w:t>Monkeys</w:t>
      </w:r>
    </w:p>
    <w:p w:rsidR="00275267" w:rsidRDefault="00B45ABC">
      <w:pPr>
        <w:pStyle w:val="a3"/>
        <w:spacing w:before="114" w:line="261" w:lineRule="auto"/>
        <w:ind w:left="232" w:right="2011"/>
      </w:pPr>
      <w:r>
        <w:t xml:space="preserve">A single oral dose of </w:t>
      </w:r>
      <w:r w:rsidR="002B4CFB">
        <w:t>PROJECT R</w:t>
      </w:r>
      <w:r>
        <w:t xml:space="preserve"> (0, 100, 300 and 2000 mg/kg) did not affect the general activity, behavior, body temperature, blood pressure, heart rate, electrocardiogram (ECG) parameters, respiration rates, blood gas parameters or blood electrolyte concentrations in monkeys (</w:t>
      </w:r>
      <w:r w:rsidR="002B4CFB">
        <w:t>Project R</w:t>
      </w:r>
      <w:r>
        <w:t>-PT-0003). Yellowish-white stool color was observed at 2000 mg/kg.</w:t>
      </w:r>
    </w:p>
    <w:p w:rsidR="00275267" w:rsidRDefault="00275267">
      <w:pPr>
        <w:pStyle w:val="a3"/>
        <w:spacing w:line="256" w:lineRule="auto"/>
        <w:ind w:left="232" w:right="1617"/>
      </w:pPr>
      <w:bookmarkStart w:id="10" w:name="4.1.4_Pharmacodynamic_Drug_Interactions"/>
      <w:bookmarkStart w:id="11" w:name="_bookmark29"/>
      <w:bookmarkEnd w:id="10"/>
      <w:bookmarkEnd w:id="11"/>
    </w:p>
    <w:p w:rsidR="00275267" w:rsidRDefault="00B45ABC" w:rsidP="00EF66BB">
      <w:pPr>
        <w:pStyle w:val="2"/>
        <w:numPr>
          <w:ilvl w:val="1"/>
          <w:numId w:val="9"/>
        </w:numPr>
        <w:tabs>
          <w:tab w:val="left" w:pos="1132"/>
          <w:tab w:val="left" w:pos="1133"/>
        </w:tabs>
        <w:spacing w:before="106"/>
      </w:pPr>
      <w:bookmarkStart w:id="12" w:name="4.3_Toxicology"/>
      <w:bookmarkStart w:id="13" w:name="_bookmark47"/>
      <w:bookmarkStart w:id="14" w:name="_GoBack"/>
      <w:bookmarkEnd w:id="12"/>
      <w:bookmarkEnd w:id="13"/>
      <w:bookmarkEnd w:id="14"/>
      <w:r>
        <w:t>Toxicology</w:t>
      </w:r>
    </w:p>
    <w:p w:rsidR="00275267" w:rsidRDefault="00B45ABC">
      <w:pPr>
        <w:pStyle w:val="a3"/>
        <w:spacing w:before="140" w:line="261" w:lineRule="auto"/>
        <w:ind w:left="232" w:right="1743"/>
      </w:pPr>
      <w:r>
        <w:t xml:space="preserve">An overview of toxicity studies is shown End-of-Text Table 3.1. The current toxicological data package for </w:t>
      </w:r>
      <w:r w:rsidR="002B4CFB">
        <w:t>PROJECT R</w:t>
      </w:r>
      <w:r>
        <w:t xml:space="preserve"> includes 2 single oral dose toxicity studies, 2 exploratory 4-week oral dose toxicity studies, two 13-week oral dose toxicity studies with recovery assessment, 4 genotoxicity studies and 1 study of effects on male fertility. All pivotal toxicology studies were performed in accordance with Good Laboratory Practice (GLP). The nonclinical toxicity studies for </w:t>
      </w:r>
      <w:r w:rsidR="002B4CFB">
        <w:t>PROJECT R</w:t>
      </w:r>
      <w:r>
        <w:t xml:space="preserve"> were conducted using </w:t>
      </w:r>
      <w:r w:rsidR="002B4CFB">
        <w:t>Project R</w:t>
      </w:r>
      <w:r>
        <w:t xml:space="preserve"> as suspension in</w:t>
      </w:r>
    </w:p>
    <w:p w:rsidR="00275267" w:rsidRDefault="00B45ABC">
      <w:pPr>
        <w:pStyle w:val="a3"/>
        <w:spacing w:line="261" w:lineRule="auto"/>
        <w:ind w:left="232" w:right="1714"/>
      </w:pPr>
      <w:r>
        <w:t xml:space="preserve">0.5 % methylcellulose solution. All dose levels and plasma drug concentrations of </w:t>
      </w:r>
      <w:r w:rsidR="002B4CFB">
        <w:lastRenderedPageBreak/>
        <w:t xml:space="preserve">PROJECT </w:t>
      </w:r>
      <w:proofErr w:type="spellStart"/>
      <w:r w:rsidR="002B4CFB">
        <w:t>R</w:t>
      </w:r>
      <w:r>
        <w:t xml:space="preserve"> are</w:t>
      </w:r>
      <w:proofErr w:type="spellEnd"/>
      <w:r>
        <w:t xml:space="preserve"> expressed as the free form, unless otherwise specified.</w:t>
      </w:r>
    </w:p>
    <w:p w:rsidR="00275267" w:rsidRDefault="00B45ABC">
      <w:pPr>
        <w:pStyle w:val="3"/>
        <w:numPr>
          <w:ilvl w:val="2"/>
          <w:numId w:val="8"/>
        </w:numPr>
        <w:tabs>
          <w:tab w:val="left" w:pos="1084"/>
          <w:tab w:val="left" w:pos="1085"/>
        </w:tabs>
        <w:spacing w:before="118"/>
      </w:pPr>
      <w:bookmarkStart w:id="15" w:name="4.3.1_Single_dose_Toxicity"/>
      <w:bookmarkStart w:id="16" w:name="_bookmark48"/>
      <w:bookmarkEnd w:id="15"/>
      <w:bookmarkEnd w:id="16"/>
      <w:r>
        <w:t>Single-dose</w:t>
      </w:r>
      <w:r>
        <w:rPr>
          <w:spacing w:val="-2"/>
        </w:rPr>
        <w:t xml:space="preserve"> </w:t>
      </w:r>
      <w:r>
        <w:t>Toxicity</w:t>
      </w:r>
    </w:p>
    <w:p w:rsidR="00275267" w:rsidRDefault="00B45ABC">
      <w:pPr>
        <w:pStyle w:val="a3"/>
        <w:spacing w:before="140" w:line="261" w:lineRule="auto"/>
        <w:ind w:left="232" w:right="2322"/>
      </w:pPr>
      <w:r>
        <w:t xml:space="preserve">Single oral dose toxicity studies of </w:t>
      </w:r>
      <w:r w:rsidR="002B4CFB">
        <w:t>PROJECT R</w:t>
      </w:r>
      <w:r>
        <w:t xml:space="preserve"> were conducted in rats and monkeys [End-of-Text Table 3.4]. In rats, single oral doses of </w:t>
      </w:r>
      <w:r w:rsidR="002B4CFB">
        <w:t>PROJECT R</w:t>
      </w:r>
      <w:r>
        <w:t xml:space="preserve"> at 1000 or 2000 mg/kg</w:t>
      </w:r>
    </w:p>
    <w:p w:rsidR="00275267" w:rsidRDefault="00B45ABC" w:rsidP="00B45ABC">
      <w:pPr>
        <w:pStyle w:val="a3"/>
        <w:spacing w:line="261" w:lineRule="auto"/>
        <w:ind w:left="232" w:right="1770"/>
        <w:rPr>
          <w:sz w:val="20"/>
        </w:rPr>
      </w:pPr>
      <w:r>
        <w:t>induced soft stool and decreased stool volume, and a tendency toward suppression of body weight gain; no gross pathological changes were observed (</w:t>
      </w:r>
      <w:r w:rsidR="002B4CFB">
        <w:t>Project R</w:t>
      </w:r>
      <w:r>
        <w:t xml:space="preserve">-TX-0005). In monkeys, single oral doses of </w:t>
      </w:r>
      <w:r w:rsidR="002B4CFB">
        <w:t>PROJECT R</w:t>
      </w:r>
      <w:r>
        <w:t xml:space="preserve"> at 1000 or 2000 mg/kg induced soft stool, increased indirect, direct and total bilirubin as well as decreased neutrophil counts (</w:t>
      </w:r>
      <w:r w:rsidR="002B4CFB">
        <w:t>Project R</w:t>
      </w:r>
      <w:r>
        <w:t xml:space="preserve">-TX-0006). No mortality was observed in rats or monkeys. Based on these results, the approximate lethal dose of </w:t>
      </w:r>
      <w:r w:rsidR="002B4CFB">
        <w:t>PROJECT R</w:t>
      </w:r>
      <w:r>
        <w:t xml:space="preserve"> when orally administered to rats and monkeys was estimated to be greater than 2000 mg/kg.</w:t>
      </w:r>
    </w:p>
    <w:p w:rsidR="00275267" w:rsidRDefault="00B45ABC">
      <w:pPr>
        <w:pStyle w:val="3"/>
        <w:numPr>
          <w:ilvl w:val="2"/>
          <w:numId w:val="8"/>
        </w:numPr>
        <w:tabs>
          <w:tab w:val="left" w:pos="1084"/>
          <w:tab w:val="left" w:pos="1085"/>
        </w:tabs>
        <w:spacing w:before="232"/>
      </w:pPr>
      <w:bookmarkStart w:id="17" w:name="4.3.2_Repeat_dose_Toxicity"/>
      <w:bookmarkStart w:id="18" w:name="_bookmark49"/>
      <w:bookmarkEnd w:id="17"/>
      <w:bookmarkEnd w:id="18"/>
      <w:r>
        <w:t>Repeat-dose</w:t>
      </w:r>
      <w:r>
        <w:rPr>
          <w:spacing w:val="-2"/>
        </w:rPr>
        <w:t xml:space="preserve"> </w:t>
      </w:r>
      <w:r>
        <w:t>Toxicity</w:t>
      </w:r>
    </w:p>
    <w:p w:rsidR="00275267" w:rsidRDefault="00B45ABC">
      <w:pPr>
        <w:pStyle w:val="a3"/>
        <w:spacing w:before="139" w:line="261" w:lineRule="auto"/>
        <w:ind w:left="232" w:right="1788"/>
        <w:jc w:val="both"/>
      </w:pPr>
      <w:r>
        <w:t>A total of two 4-week repeated-dose studies were performed in rats and monkeys to provide guidance for the selection of doses used in the definitive (GLP) studies (</w:t>
      </w:r>
      <w:r w:rsidR="002B4CFB">
        <w:t>Project R</w:t>
      </w:r>
      <w:r>
        <w:t xml:space="preserve">-TX-0007 and </w:t>
      </w:r>
      <w:r w:rsidR="002B4CFB">
        <w:t>Project R</w:t>
      </w:r>
      <w:r>
        <w:t>-TX-0008) [End-of-Text Table 3.5].</w:t>
      </w:r>
    </w:p>
    <w:p w:rsidR="00275267" w:rsidRDefault="00B45ABC">
      <w:pPr>
        <w:pStyle w:val="a3"/>
        <w:spacing w:before="118" w:line="261" w:lineRule="auto"/>
        <w:ind w:left="232" w:right="1684"/>
      </w:pPr>
      <w:r>
        <w:t>The definitive 13-week repeated-dose studies (</w:t>
      </w:r>
      <w:r w:rsidR="002B4CFB">
        <w:t>Project R</w:t>
      </w:r>
      <w:r>
        <w:t xml:space="preserve">-TX-0009 and </w:t>
      </w:r>
      <w:r w:rsidR="002B4CFB">
        <w:t>Project R</w:t>
      </w:r>
      <w:r>
        <w:t>-TX-0010) indicated the NOAEL was 3 mg/kg/day for rats and 1 mg/kg/day in monkeys. In the 13-week study in rats, findings at the lowest-observed-adverse-effect level (LOAEL), 10 mg/kg/day, were increased lymphocyte count, total cholesterol, indirect bilirubin, BUN and creatinine, as well as histopathological changes in the spleen, adrenals, thymus and Harderian gland. In the</w:t>
      </w:r>
    </w:p>
    <w:p w:rsidR="00275267" w:rsidRDefault="00B45ABC">
      <w:pPr>
        <w:pStyle w:val="a3"/>
        <w:spacing w:line="261" w:lineRule="auto"/>
        <w:ind w:left="232" w:right="1641"/>
      </w:pPr>
      <w:r>
        <w:t>13-week toxicity study in monkeys, the main finding at the LOAEL, 3 mg/kg, was dilatation of the bile canaliculus. The minimum dose level with significant reduction of prostate weight was 3 mg/kg/day.</w:t>
      </w:r>
    </w:p>
    <w:p w:rsidR="00275267" w:rsidRDefault="00B45ABC">
      <w:pPr>
        <w:pStyle w:val="a3"/>
        <w:spacing w:before="113" w:line="261" w:lineRule="auto"/>
        <w:ind w:left="232" w:right="1630"/>
      </w:pPr>
      <w:r>
        <w:t>Target organs of toxicity were the erythrocytic and leukocytic system, liver, adrenals, thymus and pituitary.</w:t>
      </w:r>
    </w:p>
    <w:p w:rsidR="00275267" w:rsidRDefault="00B45ABC">
      <w:pPr>
        <w:pStyle w:val="3"/>
        <w:numPr>
          <w:ilvl w:val="3"/>
          <w:numId w:val="7"/>
        </w:numPr>
        <w:tabs>
          <w:tab w:val="left" w:pos="1085"/>
        </w:tabs>
        <w:spacing w:before="124"/>
      </w:pPr>
      <w:bookmarkStart w:id="19" w:name="4.3.2.1_13_week_Oral_Dose_Toxicity_Study"/>
      <w:bookmarkStart w:id="20" w:name="_bookmark50"/>
      <w:bookmarkEnd w:id="19"/>
      <w:bookmarkEnd w:id="20"/>
      <w:r>
        <w:t>13-week Oral Dose Toxicity Study in Rats with a 8-week Recovery</w:t>
      </w:r>
      <w:r>
        <w:rPr>
          <w:spacing w:val="-10"/>
        </w:rPr>
        <w:t xml:space="preserve"> </w:t>
      </w:r>
      <w:r>
        <w:t>Period</w:t>
      </w:r>
    </w:p>
    <w:p w:rsidR="00275267" w:rsidRDefault="002B4CFB">
      <w:pPr>
        <w:pStyle w:val="a3"/>
        <w:spacing w:before="139"/>
        <w:ind w:left="232"/>
      </w:pPr>
      <w:r>
        <w:t>PROJECT R</w:t>
      </w:r>
      <w:r w:rsidR="00B45ABC">
        <w:t xml:space="preserve"> (0 [vehicle], 1, 3, 10 and 100 mg/kg) was administered orally once daily for</w:t>
      </w:r>
    </w:p>
    <w:p w:rsidR="00275267" w:rsidRDefault="00B45ABC">
      <w:pPr>
        <w:pStyle w:val="a3"/>
        <w:spacing w:before="24" w:line="261" w:lineRule="auto"/>
        <w:ind w:left="232" w:right="2049"/>
      </w:pPr>
      <w:r>
        <w:t xml:space="preserve">13 weeks to Crl:CD(SD) rats (10/sex/group) in Study </w:t>
      </w:r>
      <w:r w:rsidR="002B4CFB">
        <w:t>Project R</w:t>
      </w:r>
      <w:r>
        <w:t>-TX-0009 [End-of-Text Table 3.6.1]. No test-article-related death or moribundity was observed in any group. No</w:t>
      </w:r>
    </w:p>
    <w:p w:rsidR="00275267" w:rsidRDefault="00B45ABC">
      <w:pPr>
        <w:pStyle w:val="a3"/>
        <w:spacing w:line="261" w:lineRule="auto"/>
        <w:ind w:left="232" w:right="3331"/>
      </w:pPr>
      <w:r>
        <w:t>test-article-related, toxicologically relevant changes were noted in the 1 and 3 mg/kg/day groups.</w:t>
      </w:r>
    </w:p>
    <w:p w:rsidR="00275267" w:rsidRDefault="00B45ABC">
      <w:pPr>
        <w:pStyle w:val="a3"/>
        <w:spacing w:before="117" w:line="261" w:lineRule="auto"/>
        <w:ind w:left="232" w:right="1611"/>
      </w:pPr>
      <w:r>
        <w:t xml:space="preserve">In the 10 mg/kg/day group and above, increased leukocyte count, basophil count and/or ratio, lymphocyte count and/or ratio, large unstained cell count, platelet count and reticulocyte ratio were noted as well as decreased neutrophil ratio and erythrocyte count. Increased total cholesterol, indirect bilirubin, blood urea nitrogen, creatinine and decreased sodium were noted. Increased thymus and adrenal weights were noted. Increased mitosis in the cortex in the thymus and vacuolation/hypertrophy of the cortical cell in the adrenal were observed as well as congestion in the red pulp of the spleen and hyperplasia of the lymphocyte in the white pulp of the spleen. An increased incidence and/or frequency of regeneration of the </w:t>
      </w:r>
      <w:r>
        <w:lastRenderedPageBreak/>
        <w:t>glandular epithelium in the Harderian gland and foamy cells in the alveolus in the lung were noted.</w:t>
      </w:r>
    </w:p>
    <w:p w:rsidR="00275267" w:rsidRDefault="00B45ABC" w:rsidP="00B45ABC">
      <w:pPr>
        <w:pStyle w:val="a3"/>
        <w:spacing w:before="111" w:line="261" w:lineRule="auto"/>
        <w:ind w:left="232" w:right="1641"/>
      </w:pPr>
      <w:r>
        <w:t>In the 100 mg/kg group, decreased spontaneous activity, nasal bleeding, blanching or pale skin, emaciation and decreased stool volume were observed in a few animals. Body weight and body weight gain and food consumption were decreased. Low total excretion of sodium, potassium and chloride were noted.  High monocyte counts and prolongation of PT and APTT were noted. Increased ALT, gamma-globulin ratio, total bilirubin, alpha2-globulin ratio and beta-globulin ratio were observed as well as decreased triglyceride, calcium chloride, albumin, albumin ratio and albumin/globulin ratio. Enlargement of the adrenals and the spleen, and high absolute and/or relative spleen weights were noted. Cellular infiltration, degeneration/necrosis of the zona fasciculata/reticularis cells, depletion of the zona fasciculata cells and depletion of the zona reticularis cells were observed in the adrenal.</w:t>
      </w:r>
      <w:r>
        <w:rPr>
          <w:spacing w:val="34"/>
        </w:rPr>
        <w:t xml:space="preserve"> </w:t>
      </w:r>
      <w:r>
        <w:t>An</w:t>
      </w:r>
      <w:r>
        <w:rPr>
          <w:rFonts w:ascii="ＭＳ 明朝" w:eastAsia="ＭＳ 明朝" w:hAnsi="ＭＳ 明朝" w:cs="ＭＳ 明朝" w:hint="eastAsia"/>
          <w:lang w:eastAsia="ja-JP"/>
        </w:rPr>
        <w:t xml:space="preserve">　</w:t>
      </w:r>
      <w:r>
        <w:t xml:space="preserve">increased incidence and/or frequency of yellowish-brown pigment in the lumen in the Harderian glands and foamy cell/cholesterol-like crystal in </w:t>
      </w:r>
      <w:proofErr w:type="spellStart"/>
      <w:r>
        <w:t>Rathke’s</w:t>
      </w:r>
      <w:proofErr w:type="spellEnd"/>
      <w:r>
        <w:t xml:space="preserve"> cleft in the pituitary was observed. Increased absolute and relative lung weights were observed as well as foamy cells in the alveolus.</w:t>
      </w:r>
    </w:p>
    <w:p w:rsidR="00275267" w:rsidRDefault="00B45ABC">
      <w:pPr>
        <w:pStyle w:val="a3"/>
        <w:spacing w:before="117" w:line="261" w:lineRule="auto"/>
        <w:ind w:left="232" w:right="1753"/>
      </w:pPr>
      <w:r>
        <w:t xml:space="preserve">Indicators of genital organ atrophy were observed upon gross pathology and histopathology at 3 mg/kg/day and above and increased serum testosterone concentration was noted in the 10 mg/kg/day group and above. These were considered to be related to the pharmacological effects of </w:t>
      </w:r>
      <w:r w:rsidR="002B4CFB">
        <w:t>PROJECT R</w:t>
      </w:r>
      <w:r>
        <w:t>, which is an antiandrogen.</w:t>
      </w:r>
    </w:p>
    <w:p w:rsidR="00275267" w:rsidRDefault="00B45ABC">
      <w:pPr>
        <w:pStyle w:val="a3"/>
        <w:spacing w:before="117" w:line="261" w:lineRule="auto"/>
        <w:ind w:left="232" w:right="1663"/>
      </w:pPr>
      <w:r>
        <w:t>At the end of the recovery period in the 100 mg/kg group, increased leukocyte and lymphocyte count in males and decreased albumin ratio and albumin/globulin ratio in females persisted but showed a tendency toward recovery. Vacuolation in the zona fasciculata of the adrenal; and fibrosis in the zona reticularis of the adrenal was observed in males and hypertrophy of the interstitial cell in the ovary and increased yellowish-brown pigment in the lumen in the Harderian gland was observed in females after the recovery period; however, these changes showed a tendency toward recovery. Other changes noted during the dosing period were not observed or tended to recover. No tendencies toward recovery were noted in testicular or epididymal changes, which were considered to be related to the pharmacological effect of the test article.</w:t>
      </w:r>
    </w:p>
    <w:p w:rsidR="00275267" w:rsidRDefault="00B45ABC">
      <w:pPr>
        <w:pStyle w:val="a3"/>
        <w:spacing w:before="112" w:line="261" w:lineRule="auto"/>
        <w:ind w:left="232" w:right="1983"/>
      </w:pPr>
      <w:r>
        <w:t xml:space="preserve">Based on these results, it was concluded that the NOAEL of </w:t>
      </w:r>
      <w:r w:rsidR="002B4CFB">
        <w:t>PROJECT R</w:t>
      </w:r>
      <w:r>
        <w:t xml:space="preserve"> when administered orally to rats for 13 weeks was 3 mg/kg/day for males and females.</w:t>
      </w:r>
    </w:p>
    <w:p w:rsidR="00275267" w:rsidRPr="002B4CFB" w:rsidRDefault="00B45ABC">
      <w:pPr>
        <w:pStyle w:val="3"/>
        <w:numPr>
          <w:ilvl w:val="3"/>
          <w:numId w:val="7"/>
        </w:numPr>
        <w:tabs>
          <w:tab w:val="left" w:pos="1085"/>
        </w:tabs>
        <w:spacing w:before="123"/>
        <w:rPr>
          <w:highlight w:val="cyan"/>
        </w:rPr>
      </w:pPr>
      <w:bookmarkStart w:id="21" w:name="4.3.2.2_13_week_Oral_Dose_Toxicity_Study"/>
      <w:bookmarkStart w:id="22" w:name="_bookmark51"/>
      <w:bookmarkEnd w:id="21"/>
      <w:bookmarkEnd w:id="22"/>
      <w:r w:rsidRPr="002B4CFB">
        <w:rPr>
          <w:highlight w:val="cyan"/>
        </w:rPr>
        <w:t>13-week Oral Dose Toxicity Study in Monkeys with an 8-week Recovery</w:t>
      </w:r>
      <w:r w:rsidRPr="002B4CFB">
        <w:rPr>
          <w:spacing w:val="-8"/>
          <w:highlight w:val="cyan"/>
        </w:rPr>
        <w:t xml:space="preserve"> </w:t>
      </w:r>
      <w:r w:rsidRPr="002B4CFB">
        <w:rPr>
          <w:highlight w:val="cyan"/>
        </w:rPr>
        <w:t>Period</w:t>
      </w:r>
    </w:p>
    <w:p w:rsidR="00275267" w:rsidRPr="002B4CFB" w:rsidRDefault="002B4CFB">
      <w:pPr>
        <w:pStyle w:val="a3"/>
        <w:spacing w:before="139" w:line="261" w:lineRule="auto"/>
        <w:ind w:left="232" w:right="1637"/>
        <w:rPr>
          <w:highlight w:val="cyan"/>
        </w:rPr>
      </w:pPr>
      <w:r w:rsidRPr="002B4CFB">
        <w:rPr>
          <w:highlight w:val="cyan"/>
        </w:rPr>
        <w:t>PROJECT R</w:t>
      </w:r>
      <w:r w:rsidR="00B45ABC" w:rsidRPr="002B4CFB">
        <w:rPr>
          <w:highlight w:val="cyan"/>
        </w:rPr>
        <w:t xml:space="preserve"> (0, 1, 3, 10 and 100 mg/kg) was administered orally once daily for 13 weeks to cynomolgus monkeys (n = 4/sex/group) in Study </w:t>
      </w:r>
      <w:r w:rsidRPr="002B4CFB">
        <w:rPr>
          <w:highlight w:val="cyan"/>
        </w:rPr>
        <w:t>Project R</w:t>
      </w:r>
      <w:r w:rsidR="00B45ABC" w:rsidRPr="002B4CFB">
        <w:rPr>
          <w:highlight w:val="cyan"/>
        </w:rPr>
        <w:t>-TX-0010 [End-of-Text Table 3.6.2]. No toxic changes were noted in the 1 mg/kg/day group. Dilation of the bile canaliculus in the liver was observed in males and females at 3 mg/kg/day and above. Increased neutrophil count was observed in females at 10 mg/kg/day and above.  Increased total, direct and indirect bilirubin levels were noted in males and females, and increased ALP was noted in females at 10 mg/kg/day and above. Increased liver weight was noted in males and/or females at 10 mg/kg/day and above. Hypertrophy and decreased lipid in the zona fasciculata cells of the adrenal were observed in males and females at 10 mg/kg/day and</w:t>
      </w:r>
      <w:r w:rsidR="00B45ABC" w:rsidRPr="002B4CFB">
        <w:rPr>
          <w:spacing w:val="-22"/>
          <w:highlight w:val="cyan"/>
        </w:rPr>
        <w:t xml:space="preserve"> </w:t>
      </w:r>
      <w:r w:rsidR="00B45ABC" w:rsidRPr="002B4CFB">
        <w:rPr>
          <w:highlight w:val="cyan"/>
        </w:rPr>
        <w:t>above.</w:t>
      </w:r>
    </w:p>
    <w:p w:rsidR="00275267" w:rsidRPr="002B4CFB" w:rsidRDefault="00B45ABC">
      <w:pPr>
        <w:pStyle w:val="a3"/>
        <w:spacing w:line="261" w:lineRule="auto"/>
        <w:ind w:left="232" w:right="1848"/>
        <w:rPr>
          <w:highlight w:val="cyan"/>
        </w:rPr>
      </w:pPr>
      <w:r w:rsidRPr="002B4CFB">
        <w:rPr>
          <w:highlight w:val="cyan"/>
        </w:rPr>
        <w:lastRenderedPageBreak/>
        <w:t>Abnormal urine color, yellowish-brown urine and bilirubin positive urine were observed</w:t>
      </w:r>
      <w:r w:rsidRPr="002B4CFB">
        <w:rPr>
          <w:spacing w:val="-36"/>
          <w:highlight w:val="cyan"/>
        </w:rPr>
        <w:t xml:space="preserve"> </w:t>
      </w:r>
      <w:r w:rsidRPr="002B4CFB">
        <w:rPr>
          <w:highlight w:val="cyan"/>
        </w:rPr>
        <w:t>in 1 male in the 100 mg/kg/day group. Decreased body weights and sporadically decreased food consumption was observed at 100 mg/kg/day. Increased platelet counts and triglycerides and decreased total cholesterol were observed in males and/or</w:t>
      </w:r>
      <w:r w:rsidRPr="002B4CFB">
        <w:rPr>
          <w:spacing w:val="-15"/>
          <w:highlight w:val="cyan"/>
        </w:rPr>
        <w:t xml:space="preserve"> </w:t>
      </w:r>
      <w:r w:rsidRPr="002B4CFB">
        <w:rPr>
          <w:highlight w:val="cyan"/>
        </w:rPr>
        <w:t>females.</w:t>
      </w:r>
    </w:p>
    <w:p w:rsidR="00275267" w:rsidRPr="002B4CFB" w:rsidRDefault="00B45ABC" w:rsidP="00B45ABC">
      <w:pPr>
        <w:pStyle w:val="a3"/>
        <w:spacing w:line="261" w:lineRule="auto"/>
        <w:ind w:left="232" w:right="1743"/>
        <w:rPr>
          <w:highlight w:val="cyan"/>
        </w:rPr>
      </w:pPr>
      <w:r w:rsidRPr="002B4CFB">
        <w:rPr>
          <w:highlight w:val="cyan"/>
        </w:rPr>
        <w:t>Increased liver and adrenal weights were noted in males and females. Histopathological examination of the liver revealed dilation of the bile canaliculus in all males and females, pigmentation suspected to be due to bile in the canaliculus in some females and hypertrophy of the centrilobular/midzonal hepatocytes in some males and females. Hypertrophy and decrease in lipid in the zona fasciculata cells were observed in the adrenal in all males and females. Cholestasis was diagnosed by findings of increased total, direct and indirect</w:t>
      </w:r>
      <w:r w:rsidRPr="002B4CFB">
        <w:rPr>
          <w:rFonts w:ascii="ＭＳ 明朝" w:eastAsia="ＭＳ 明朝" w:hAnsi="ＭＳ 明朝" w:cs="ＭＳ 明朝" w:hint="eastAsia"/>
          <w:highlight w:val="cyan"/>
          <w:lang w:eastAsia="ja-JP"/>
        </w:rPr>
        <w:t xml:space="preserve">　</w:t>
      </w:r>
      <w:r w:rsidRPr="002B4CFB">
        <w:rPr>
          <w:highlight w:val="cyan"/>
        </w:rPr>
        <w:t>bilirubin and ALP in plasma at ≥ 10 mg/kg and pigmentation of bile canaliculus at 100 mg/kg.</w:t>
      </w:r>
    </w:p>
    <w:p w:rsidR="00275267" w:rsidRPr="002B4CFB" w:rsidRDefault="00B45ABC">
      <w:pPr>
        <w:pStyle w:val="a3"/>
        <w:spacing w:before="119" w:line="261" w:lineRule="auto"/>
        <w:ind w:left="232" w:right="1624"/>
        <w:rPr>
          <w:highlight w:val="cyan"/>
        </w:rPr>
      </w:pPr>
      <w:r w:rsidRPr="002B4CFB">
        <w:rPr>
          <w:highlight w:val="cyan"/>
        </w:rPr>
        <w:t>In 1 female at 100 mg/kg/day, swelling at the head, hydrothorax, ascites, pericardial fluid, subcutaneous edema at the neck and edema in the subcutaneous tissue were observed. This female also showed decreased total protein and albumin at weeks 7 and 13. The following observations in this animal were considered secondary to the findings mentioned above: decreased lymphocyte count and chloride, increased aspartate aminotransferase (AST), BUN, inorganic phosphorus and potassium at weeks 7 and/or 13, and decreased bone marrow nucleated cell count, atrophy of the myocardium and muscle fiber (femoral muscle and tongue), atrophy of the subepicardial adipocytes, atrophy of the white pulp in the spleen, lymphoid follicular atrophy in the lymph nodes (submandibular and mesenteric) and hypocellularity in the sternal bone marrow</w:t>
      </w:r>
    </w:p>
    <w:p w:rsidR="00275267" w:rsidRPr="002B4CFB" w:rsidRDefault="00B45ABC">
      <w:pPr>
        <w:pStyle w:val="a3"/>
        <w:spacing w:before="112" w:line="261" w:lineRule="auto"/>
        <w:ind w:left="232" w:right="1910"/>
        <w:rPr>
          <w:highlight w:val="cyan"/>
        </w:rPr>
      </w:pPr>
      <w:r w:rsidRPr="002B4CFB">
        <w:rPr>
          <w:highlight w:val="cyan"/>
        </w:rPr>
        <w:t xml:space="preserve">Gross pathological indicators of genital organ atrophy and increased testosterone level and were observed at 1 mg/kg/day and above and were considered to be due to the pharmacological effect of </w:t>
      </w:r>
      <w:r w:rsidR="002B4CFB" w:rsidRPr="002B4CFB">
        <w:rPr>
          <w:highlight w:val="cyan"/>
        </w:rPr>
        <w:t>PROJECT R</w:t>
      </w:r>
      <w:r w:rsidRPr="002B4CFB">
        <w:rPr>
          <w:highlight w:val="cyan"/>
        </w:rPr>
        <w:t>.</w:t>
      </w:r>
    </w:p>
    <w:p w:rsidR="00275267" w:rsidRPr="002B4CFB" w:rsidRDefault="00B45ABC">
      <w:pPr>
        <w:pStyle w:val="a3"/>
        <w:spacing w:before="117" w:line="261" w:lineRule="auto"/>
        <w:ind w:left="232" w:right="2417"/>
        <w:rPr>
          <w:highlight w:val="cyan"/>
        </w:rPr>
      </w:pPr>
      <w:r w:rsidRPr="002B4CFB">
        <w:rPr>
          <w:highlight w:val="cyan"/>
        </w:rPr>
        <w:t>All changes noted during or at the end of 13-week treatment period at 100 mg/kg had recovered by the end of the recovery period.</w:t>
      </w:r>
    </w:p>
    <w:p w:rsidR="00275267" w:rsidRDefault="00B45ABC">
      <w:pPr>
        <w:pStyle w:val="a3"/>
        <w:spacing w:before="119"/>
        <w:ind w:left="232"/>
      </w:pPr>
      <w:r w:rsidRPr="002B4CFB">
        <w:rPr>
          <w:highlight w:val="cyan"/>
        </w:rPr>
        <w:t>Under the conditions of this study, the NOAEL was 1 mg/kg/day for males and females.</w:t>
      </w:r>
    </w:p>
    <w:p w:rsidR="00275267" w:rsidRDefault="00B45ABC">
      <w:pPr>
        <w:pStyle w:val="3"/>
        <w:numPr>
          <w:ilvl w:val="3"/>
          <w:numId w:val="7"/>
        </w:numPr>
        <w:tabs>
          <w:tab w:val="left" w:pos="1085"/>
        </w:tabs>
        <w:spacing w:before="148"/>
      </w:pPr>
      <w:bookmarkStart w:id="23" w:name="4.3.2.3_Toxicokinetics"/>
      <w:bookmarkStart w:id="24" w:name="_bookmark52"/>
      <w:bookmarkEnd w:id="23"/>
      <w:bookmarkEnd w:id="24"/>
      <w:r>
        <w:t>Toxicokinetics</w:t>
      </w:r>
    </w:p>
    <w:p w:rsidR="00275267" w:rsidRDefault="00B45ABC">
      <w:pPr>
        <w:pStyle w:val="a3"/>
        <w:spacing w:before="140" w:line="261" w:lineRule="auto"/>
        <w:ind w:left="232" w:right="1629"/>
      </w:pPr>
      <w:r>
        <w:t xml:space="preserve">A summary of toxicity studies including toxicokinetic parameters is presented in End-of-Text Table 3.2, with results presented in End-of-Text Table 3.3.  The </w:t>
      </w:r>
      <w:proofErr w:type="spellStart"/>
      <w:r>
        <w:t>C</w:t>
      </w:r>
      <w:r>
        <w:rPr>
          <w:vertAlign w:val="subscript"/>
        </w:rPr>
        <w:t>max</w:t>
      </w:r>
      <w:proofErr w:type="spellEnd"/>
      <w:r>
        <w:t xml:space="preserve"> and area under the curve from time zero to 24 hours (AUC</w:t>
      </w:r>
      <w:r>
        <w:rPr>
          <w:vertAlign w:val="subscript"/>
        </w:rPr>
        <w:t>24</w:t>
      </w:r>
      <w:r>
        <w:t xml:space="preserve">) increased dose proportionally in rats between 1 and 10 mg/kg/day; however, increases in </w:t>
      </w:r>
      <w:proofErr w:type="spellStart"/>
      <w:r>
        <w:t>C</w:t>
      </w:r>
      <w:r>
        <w:rPr>
          <w:vertAlign w:val="subscript"/>
        </w:rPr>
        <w:t>max</w:t>
      </w:r>
      <w:proofErr w:type="spellEnd"/>
      <w:r>
        <w:t xml:space="preserve"> and AUC</w:t>
      </w:r>
      <w:r>
        <w:rPr>
          <w:vertAlign w:val="subscript"/>
        </w:rPr>
        <w:t>24</w:t>
      </w:r>
      <w:r>
        <w:t xml:space="preserve"> tended to be somewhat saturated from 100 mg/kg (</w:t>
      </w:r>
      <w:r w:rsidR="002B4CFB">
        <w:t>Project R</w:t>
      </w:r>
      <w:r>
        <w:t>-TX-0009). Exposure (</w:t>
      </w:r>
      <w:proofErr w:type="spellStart"/>
      <w:r>
        <w:t>C</w:t>
      </w:r>
      <w:r>
        <w:rPr>
          <w:vertAlign w:val="subscript"/>
        </w:rPr>
        <w:t>max</w:t>
      </w:r>
      <w:proofErr w:type="spellEnd"/>
      <w:r>
        <w:t xml:space="preserve"> and AUC</w:t>
      </w:r>
      <w:r>
        <w:rPr>
          <w:vertAlign w:val="subscript"/>
        </w:rPr>
        <w:t>24</w:t>
      </w:r>
      <w:r>
        <w:t>) for females was slightly higher than that of males at 100 mg/kg [</w:t>
      </w:r>
      <w:hyperlink w:anchor="_bookmark53" w:history="1">
        <w:r>
          <w:t>Table 5</w:t>
        </w:r>
      </w:hyperlink>
      <w:r>
        <w:t xml:space="preserve">]. In males, repeated dosing for 49 and 91 days at 1 to 10 mg/kg resulted in increases in the </w:t>
      </w:r>
      <w:proofErr w:type="spellStart"/>
      <w:r>
        <w:t>C</w:t>
      </w:r>
      <w:r>
        <w:rPr>
          <w:vertAlign w:val="subscript"/>
        </w:rPr>
        <w:t>max</w:t>
      </w:r>
      <w:proofErr w:type="spellEnd"/>
      <w:r>
        <w:t xml:space="preserve"> and AUC</w:t>
      </w:r>
      <w:r>
        <w:rPr>
          <w:vertAlign w:val="subscript"/>
        </w:rPr>
        <w:t>24</w:t>
      </w:r>
      <w:r>
        <w:t xml:space="preserve"> compared to those</w:t>
      </w:r>
      <w:r>
        <w:rPr>
          <w:spacing w:val="-33"/>
        </w:rPr>
        <w:t xml:space="preserve"> </w:t>
      </w:r>
      <w:r>
        <w:t>on</w:t>
      </w:r>
    </w:p>
    <w:p w:rsidR="00275267" w:rsidRDefault="00B45ABC">
      <w:pPr>
        <w:pStyle w:val="a3"/>
        <w:spacing w:line="261" w:lineRule="auto"/>
        <w:ind w:left="232" w:right="1809"/>
      </w:pPr>
      <w:r>
        <w:t xml:space="preserve">day 1, but apparent increases were not observed at 100 mg/kg. In females, repeated dosing for 49 days resulted in increases in the </w:t>
      </w:r>
      <w:proofErr w:type="spellStart"/>
      <w:r>
        <w:t>C</w:t>
      </w:r>
      <w:r>
        <w:rPr>
          <w:vertAlign w:val="subscript"/>
        </w:rPr>
        <w:t>max</w:t>
      </w:r>
      <w:proofErr w:type="spellEnd"/>
      <w:r>
        <w:t xml:space="preserve"> and AUC</w:t>
      </w:r>
      <w:r>
        <w:rPr>
          <w:vertAlign w:val="subscript"/>
        </w:rPr>
        <w:t>24</w:t>
      </w:r>
      <w:r>
        <w:t xml:space="preserve"> at all doses tested. The systemic exposure level on day 91 was slightly higher than that on day 49.</w:t>
      </w:r>
    </w:p>
    <w:p w:rsidR="00275267" w:rsidRDefault="00B45ABC">
      <w:pPr>
        <w:pStyle w:val="a3"/>
        <w:spacing w:before="111" w:line="261" w:lineRule="auto"/>
        <w:ind w:left="232" w:right="1851"/>
      </w:pPr>
      <w:r>
        <w:t xml:space="preserve">The </w:t>
      </w:r>
      <w:proofErr w:type="spellStart"/>
      <w:r>
        <w:t>C</w:t>
      </w:r>
      <w:r>
        <w:rPr>
          <w:vertAlign w:val="subscript"/>
        </w:rPr>
        <w:t>max</w:t>
      </w:r>
      <w:proofErr w:type="spellEnd"/>
      <w:r>
        <w:t xml:space="preserve"> and AUC</w:t>
      </w:r>
      <w:r>
        <w:rPr>
          <w:vertAlign w:val="subscript"/>
        </w:rPr>
        <w:t>24</w:t>
      </w:r>
      <w:r>
        <w:t xml:space="preserve"> increased almost dose proportionally in monkeys up to 10 mg/kg/day, but less than dose proportionally at 100 mg/kg (</w:t>
      </w:r>
      <w:r w:rsidR="002B4CFB">
        <w:t>Project R</w:t>
      </w:r>
      <w:r>
        <w:t>-TX-0010) [</w:t>
      </w:r>
      <w:hyperlink w:anchor="_bookmark53" w:history="1">
        <w:r>
          <w:t>Table 5</w:t>
        </w:r>
      </w:hyperlink>
      <w:r>
        <w:t xml:space="preserve">]. The </w:t>
      </w:r>
      <w:proofErr w:type="spellStart"/>
      <w:r>
        <w:t>C</w:t>
      </w:r>
      <w:r>
        <w:rPr>
          <w:vertAlign w:val="subscript"/>
        </w:rPr>
        <w:t>max</w:t>
      </w:r>
      <w:proofErr w:type="spellEnd"/>
      <w:r>
        <w:t xml:space="preserve"> and AUC</w:t>
      </w:r>
      <w:r>
        <w:rPr>
          <w:vertAlign w:val="subscript"/>
        </w:rPr>
        <w:t>24</w:t>
      </w:r>
      <w:r>
        <w:t xml:space="preserve"> were increased 2- to 5-fold on day 49 and then remained constant on day 91. </w:t>
      </w:r>
      <w:r>
        <w:lastRenderedPageBreak/>
        <w:t>There was no clear sex difference in any parameter during the dosing period.</w:t>
      </w:r>
    </w:p>
    <w:p w:rsidR="00275267" w:rsidRDefault="00275267">
      <w:pPr>
        <w:spacing w:line="261" w:lineRule="auto"/>
        <w:sectPr w:rsidR="00275267">
          <w:headerReference w:type="default" r:id="rId7"/>
          <w:footerReference w:type="default" r:id="rId8"/>
          <w:pgSz w:w="12240" w:h="15840"/>
          <w:pgMar w:top="1240" w:right="0" w:bottom="940" w:left="1380" w:header="578" w:footer="748" w:gutter="0"/>
          <w:cols w:space="720"/>
        </w:sectPr>
      </w:pPr>
    </w:p>
    <w:p w:rsidR="00275267" w:rsidRDefault="00275267">
      <w:pPr>
        <w:pStyle w:val="a3"/>
        <w:rPr>
          <w:sz w:val="20"/>
        </w:rPr>
      </w:pPr>
    </w:p>
    <w:p w:rsidR="00275267" w:rsidRDefault="00B45ABC">
      <w:pPr>
        <w:pStyle w:val="3"/>
        <w:tabs>
          <w:tab w:val="left" w:pos="1643"/>
        </w:tabs>
        <w:spacing w:before="206"/>
        <w:ind w:left="1643" w:right="2461" w:hanging="1412"/>
      </w:pPr>
      <w:bookmarkStart w:id="25" w:name="_bookmark53"/>
      <w:bookmarkEnd w:id="25"/>
      <w:r>
        <w:t>Table 5</w:t>
      </w:r>
      <w:r>
        <w:tab/>
        <w:t>Repeat-dose Toxicokinetics after Oral Administration in Rats and Monkeys</w:t>
      </w:r>
    </w:p>
    <w:p w:rsidR="00275267" w:rsidRDefault="00275267">
      <w:pPr>
        <w:pStyle w:val="a3"/>
        <w:spacing w:before="5"/>
        <w:rPr>
          <w:b/>
          <w:sz w:val="5"/>
        </w:rPr>
      </w:pPr>
    </w:p>
    <w:tbl>
      <w:tblPr>
        <w:tblStyle w:val="TableNormal"/>
        <w:tblW w:w="0" w:type="auto"/>
        <w:tblInd w:w="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79"/>
        <w:gridCol w:w="900"/>
        <w:gridCol w:w="540"/>
        <w:gridCol w:w="1394"/>
        <w:gridCol w:w="1394"/>
        <w:gridCol w:w="1394"/>
        <w:gridCol w:w="1396"/>
      </w:tblGrid>
      <w:tr w:rsidR="00275267">
        <w:trPr>
          <w:trHeight w:val="455"/>
        </w:trPr>
        <w:tc>
          <w:tcPr>
            <w:tcW w:w="2179" w:type="dxa"/>
            <w:vMerge w:val="restart"/>
            <w:tcBorders>
              <w:bottom w:val="single" w:sz="4" w:space="0" w:color="000000"/>
              <w:right w:val="single" w:sz="4" w:space="0" w:color="000000"/>
            </w:tcBorders>
          </w:tcPr>
          <w:p w:rsidR="00275267" w:rsidRDefault="00B45ABC">
            <w:pPr>
              <w:pStyle w:val="TableParagraph"/>
              <w:spacing w:line="240" w:lineRule="auto"/>
              <w:ind w:left="105" w:right="838"/>
              <w:jc w:val="left"/>
              <w:rPr>
                <w:b/>
                <w:sz w:val="20"/>
              </w:rPr>
            </w:pPr>
            <w:r>
              <w:rPr>
                <w:b/>
                <w:sz w:val="20"/>
              </w:rPr>
              <w:t xml:space="preserve">Type of Study </w:t>
            </w:r>
            <w:proofErr w:type="spellStart"/>
            <w:r>
              <w:rPr>
                <w:b/>
                <w:sz w:val="20"/>
              </w:rPr>
              <w:t>Study</w:t>
            </w:r>
            <w:proofErr w:type="spellEnd"/>
            <w:r>
              <w:rPr>
                <w:b/>
                <w:sz w:val="20"/>
              </w:rPr>
              <w:t xml:space="preserve"> No.</w:t>
            </w:r>
          </w:p>
        </w:tc>
        <w:tc>
          <w:tcPr>
            <w:tcW w:w="900" w:type="dxa"/>
            <w:vMerge w:val="restart"/>
            <w:tcBorders>
              <w:left w:val="single" w:sz="4" w:space="0" w:color="000000"/>
              <w:bottom w:val="single" w:sz="4" w:space="0" w:color="000000"/>
              <w:right w:val="single" w:sz="4" w:space="0" w:color="000000"/>
            </w:tcBorders>
          </w:tcPr>
          <w:p w:rsidR="00275267" w:rsidRDefault="00B45ABC">
            <w:pPr>
              <w:pStyle w:val="TableParagraph"/>
              <w:spacing w:line="240" w:lineRule="auto"/>
              <w:ind w:left="120" w:firstLine="127"/>
              <w:jc w:val="left"/>
              <w:rPr>
                <w:b/>
                <w:sz w:val="20"/>
              </w:rPr>
            </w:pPr>
            <w:r>
              <w:rPr>
                <w:b/>
                <w:sz w:val="20"/>
              </w:rPr>
              <w:t xml:space="preserve">Dose </w:t>
            </w:r>
            <w:r>
              <w:rPr>
                <w:b/>
                <w:w w:val="95"/>
                <w:sz w:val="20"/>
              </w:rPr>
              <w:t>(mg/kg)</w:t>
            </w:r>
          </w:p>
        </w:tc>
        <w:tc>
          <w:tcPr>
            <w:tcW w:w="540" w:type="dxa"/>
            <w:vMerge w:val="restart"/>
            <w:tcBorders>
              <w:left w:val="single" w:sz="4" w:space="0" w:color="000000"/>
              <w:bottom w:val="single" w:sz="4" w:space="0" w:color="000000"/>
              <w:right w:val="single" w:sz="4" w:space="0" w:color="000000"/>
            </w:tcBorders>
          </w:tcPr>
          <w:p w:rsidR="00275267" w:rsidRDefault="00B45ABC">
            <w:pPr>
              <w:pStyle w:val="TableParagraph"/>
              <w:spacing w:line="224" w:lineRule="exact"/>
              <w:ind w:left="122"/>
              <w:jc w:val="left"/>
              <w:rPr>
                <w:b/>
                <w:sz w:val="20"/>
              </w:rPr>
            </w:pPr>
            <w:r>
              <w:rPr>
                <w:b/>
                <w:sz w:val="20"/>
              </w:rPr>
              <w:t>Sex</w:t>
            </w:r>
          </w:p>
        </w:tc>
        <w:tc>
          <w:tcPr>
            <w:tcW w:w="5578" w:type="dxa"/>
            <w:gridSpan w:val="4"/>
            <w:tcBorders>
              <w:left w:val="single" w:sz="4" w:space="0" w:color="000000"/>
              <w:bottom w:val="single" w:sz="4" w:space="0" w:color="000000"/>
            </w:tcBorders>
          </w:tcPr>
          <w:p w:rsidR="00275267" w:rsidRDefault="00B45ABC">
            <w:pPr>
              <w:pStyle w:val="TableParagraph"/>
              <w:spacing w:line="224" w:lineRule="exact"/>
              <w:ind w:left="1275" w:right="1256"/>
              <w:rPr>
                <w:b/>
                <w:sz w:val="20"/>
              </w:rPr>
            </w:pPr>
            <w:r>
              <w:rPr>
                <w:b/>
                <w:sz w:val="20"/>
              </w:rPr>
              <w:t>Total Plasma Concentration</w:t>
            </w:r>
          </w:p>
          <w:p w:rsidR="00275267" w:rsidRDefault="00B45ABC">
            <w:pPr>
              <w:pStyle w:val="TableParagraph"/>
              <w:spacing w:line="211" w:lineRule="exact"/>
              <w:ind w:left="1276" w:right="1256"/>
              <w:rPr>
                <w:b/>
                <w:sz w:val="20"/>
              </w:rPr>
            </w:pPr>
            <w:r>
              <w:rPr>
                <w:b/>
                <w:sz w:val="20"/>
              </w:rPr>
              <w:t>[Unbound Plasma Concentration†]</w:t>
            </w:r>
          </w:p>
        </w:tc>
      </w:tr>
      <w:tr w:rsidR="00275267">
        <w:trPr>
          <w:trHeight w:val="455"/>
        </w:trPr>
        <w:tc>
          <w:tcPr>
            <w:tcW w:w="2179" w:type="dxa"/>
            <w:vMerge/>
            <w:tcBorders>
              <w:top w:val="nil"/>
              <w:bottom w:val="single" w:sz="4" w:space="0" w:color="000000"/>
              <w:right w:val="single" w:sz="4" w:space="0" w:color="000000"/>
            </w:tcBorders>
          </w:tcPr>
          <w:p w:rsidR="00275267" w:rsidRDefault="00275267">
            <w:pPr>
              <w:rPr>
                <w:sz w:val="2"/>
                <w:szCs w:val="2"/>
              </w:rPr>
            </w:pPr>
          </w:p>
        </w:tc>
        <w:tc>
          <w:tcPr>
            <w:tcW w:w="900" w:type="dxa"/>
            <w:vMerge/>
            <w:tcBorders>
              <w:top w:val="nil"/>
              <w:left w:val="single" w:sz="4" w:space="0" w:color="000000"/>
              <w:bottom w:val="single" w:sz="4" w:space="0" w:color="000000"/>
              <w:right w:val="single" w:sz="4" w:space="0" w:color="000000"/>
            </w:tcBorders>
          </w:tcPr>
          <w:p w:rsidR="00275267" w:rsidRDefault="00275267">
            <w:pPr>
              <w:rPr>
                <w:sz w:val="2"/>
                <w:szCs w:val="2"/>
              </w:rPr>
            </w:pPr>
          </w:p>
        </w:tc>
        <w:tc>
          <w:tcPr>
            <w:tcW w:w="540" w:type="dxa"/>
            <w:vMerge/>
            <w:tcBorders>
              <w:top w:val="nil"/>
              <w:left w:val="single" w:sz="4" w:space="0" w:color="000000"/>
              <w:bottom w:val="single" w:sz="4" w:space="0" w:color="000000"/>
              <w:right w:val="single" w:sz="4" w:space="0" w:color="000000"/>
            </w:tcBorders>
          </w:tcPr>
          <w:p w:rsidR="00275267" w:rsidRDefault="00275267">
            <w:pPr>
              <w:rPr>
                <w:sz w:val="2"/>
                <w:szCs w:val="2"/>
              </w:rPr>
            </w:pPr>
          </w:p>
        </w:tc>
        <w:tc>
          <w:tcPr>
            <w:tcW w:w="2788" w:type="dxa"/>
            <w:gridSpan w:val="2"/>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before="52" w:line="200" w:lineRule="exact"/>
              <w:ind w:left="1046" w:right="1032" w:firstLine="5"/>
              <w:rPr>
                <w:b/>
                <w:sz w:val="20"/>
              </w:rPr>
            </w:pPr>
            <w:r>
              <w:rPr>
                <w:b/>
                <w:position w:val="3"/>
                <w:sz w:val="20"/>
              </w:rPr>
              <w:t>C</w:t>
            </w:r>
            <w:r>
              <w:rPr>
                <w:b/>
                <w:sz w:val="13"/>
              </w:rPr>
              <w:t xml:space="preserve">max </w:t>
            </w:r>
            <w:r>
              <w:rPr>
                <w:b/>
                <w:w w:val="95"/>
                <w:sz w:val="20"/>
              </w:rPr>
              <w:t>(ng/mL)</w:t>
            </w:r>
          </w:p>
        </w:tc>
        <w:tc>
          <w:tcPr>
            <w:tcW w:w="2790" w:type="dxa"/>
            <w:gridSpan w:val="2"/>
            <w:tcBorders>
              <w:top w:val="single" w:sz="4" w:space="0" w:color="000000"/>
              <w:left w:val="single" w:sz="4" w:space="0" w:color="000000"/>
              <w:bottom w:val="single" w:sz="4" w:space="0" w:color="000000"/>
            </w:tcBorders>
          </w:tcPr>
          <w:p w:rsidR="00275267" w:rsidRDefault="00B45ABC">
            <w:pPr>
              <w:pStyle w:val="TableParagraph"/>
              <w:spacing w:line="224" w:lineRule="exact"/>
              <w:ind w:left="938" w:right="918"/>
              <w:rPr>
                <w:b/>
                <w:sz w:val="20"/>
              </w:rPr>
            </w:pPr>
            <w:r>
              <w:rPr>
                <w:b/>
                <w:sz w:val="20"/>
              </w:rPr>
              <w:t>AUC</w:t>
            </w:r>
            <w:r>
              <w:rPr>
                <w:b/>
                <w:sz w:val="20"/>
                <w:vertAlign w:val="subscript"/>
              </w:rPr>
              <w:t>24</w:t>
            </w:r>
          </w:p>
          <w:p w:rsidR="00275267" w:rsidRDefault="00B45ABC">
            <w:pPr>
              <w:pStyle w:val="TableParagraph"/>
              <w:spacing w:line="211" w:lineRule="exact"/>
              <w:ind w:left="938" w:right="919"/>
              <w:rPr>
                <w:b/>
                <w:sz w:val="20"/>
              </w:rPr>
            </w:pPr>
            <w:r>
              <w:rPr>
                <w:b/>
                <w:sz w:val="20"/>
              </w:rPr>
              <w:t>(</w:t>
            </w:r>
            <w:proofErr w:type="spellStart"/>
            <w:r>
              <w:rPr>
                <w:b/>
                <w:sz w:val="20"/>
              </w:rPr>
              <w:t>ng·h</w:t>
            </w:r>
            <w:proofErr w:type="spellEnd"/>
            <w:r>
              <w:rPr>
                <w:b/>
                <w:sz w:val="20"/>
              </w:rPr>
              <w:t>/mL)</w:t>
            </w:r>
          </w:p>
        </w:tc>
      </w:tr>
      <w:tr w:rsidR="00275267">
        <w:trPr>
          <w:trHeight w:val="453"/>
        </w:trPr>
        <w:tc>
          <w:tcPr>
            <w:tcW w:w="2179" w:type="dxa"/>
            <w:vMerge/>
            <w:tcBorders>
              <w:top w:val="nil"/>
              <w:bottom w:val="single" w:sz="4" w:space="0" w:color="000000"/>
              <w:right w:val="single" w:sz="4" w:space="0" w:color="000000"/>
            </w:tcBorders>
          </w:tcPr>
          <w:p w:rsidR="00275267" w:rsidRDefault="00275267">
            <w:pPr>
              <w:rPr>
                <w:sz w:val="2"/>
                <w:szCs w:val="2"/>
              </w:rPr>
            </w:pPr>
          </w:p>
        </w:tc>
        <w:tc>
          <w:tcPr>
            <w:tcW w:w="900" w:type="dxa"/>
            <w:vMerge/>
            <w:tcBorders>
              <w:top w:val="nil"/>
              <w:left w:val="single" w:sz="4" w:space="0" w:color="000000"/>
              <w:bottom w:val="single" w:sz="4" w:space="0" w:color="000000"/>
              <w:right w:val="single" w:sz="4" w:space="0" w:color="000000"/>
            </w:tcBorders>
          </w:tcPr>
          <w:p w:rsidR="00275267" w:rsidRDefault="00275267">
            <w:pPr>
              <w:rPr>
                <w:sz w:val="2"/>
                <w:szCs w:val="2"/>
              </w:rPr>
            </w:pPr>
          </w:p>
        </w:tc>
        <w:tc>
          <w:tcPr>
            <w:tcW w:w="540" w:type="dxa"/>
            <w:vMerge/>
            <w:tcBorders>
              <w:top w:val="nil"/>
              <w:left w:val="single" w:sz="4" w:space="0" w:color="000000"/>
              <w:bottom w:val="single" w:sz="4" w:space="0" w:color="000000"/>
              <w:right w:val="single" w:sz="4" w:space="0" w:color="000000"/>
            </w:tcBorders>
          </w:tcPr>
          <w:p w:rsidR="00275267" w:rsidRDefault="00275267">
            <w:pPr>
              <w:rPr>
                <w:sz w:val="2"/>
                <w:szCs w:val="2"/>
              </w:rPr>
            </w:pP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23" w:lineRule="exact"/>
              <w:ind w:left="253" w:right="239"/>
              <w:rPr>
                <w:b/>
                <w:sz w:val="20"/>
              </w:rPr>
            </w:pPr>
            <w:r>
              <w:rPr>
                <w:b/>
                <w:sz w:val="20"/>
              </w:rPr>
              <w:t>First</w:t>
            </w:r>
          </w:p>
          <w:p w:rsidR="00275267" w:rsidRDefault="00B45ABC">
            <w:pPr>
              <w:pStyle w:val="TableParagraph"/>
              <w:spacing w:line="210" w:lineRule="exact"/>
              <w:ind w:left="253" w:right="239"/>
              <w:rPr>
                <w:b/>
                <w:sz w:val="20"/>
              </w:rPr>
            </w:pPr>
            <w:r>
              <w:rPr>
                <w:b/>
                <w:sz w:val="20"/>
              </w:rPr>
              <w:t>Dose</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23" w:lineRule="exact"/>
              <w:ind w:left="254" w:right="239"/>
              <w:rPr>
                <w:b/>
                <w:sz w:val="20"/>
              </w:rPr>
            </w:pPr>
            <w:r>
              <w:rPr>
                <w:b/>
                <w:sz w:val="20"/>
              </w:rPr>
              <w:t>Last</w:t>
            </w:r>
          </w:p>
          <w:p w:rsidR="00275267" w:rsidRDefault="00B45ABC">
            <w:pPr>
              <w:pStyle w:val="TableParagraph"/>
              <w:spacing w:line="210" w:lineRule="exact"/>
              <w:ind w:left="254" w:right="239"/>
              <w:rPr>
                <w:b/>
                <w:sz w:val="20"/>
              </w:rPr>
            </w:pPr>
            <w:r>
              <w:rPr>
                <w:b/>
                <w:sz w:val="20"/>
              </w:rPr>
              <w:t>Dose</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23" w:lineRule="exact"/>
              <w:ind w:left="254" w:right="238"/>
              <w:rPr>
                <w:b/>
                <w:sz w:val="20"/>
              </w:rPr>
            </w:pPr>
            <w:r>
              <w:rPr>
                <w:b/>
                <w:sz w:val="20"/>
              </w:rPr>
              <w:t>First</w:t>
            </w:r>
          </w:p>
          <w:p w:rsidR="00275267" w:rsidRDefault="00B45ABC">
            <w:pPr>
              <w:pStyle w:val="TableParagraph"/>
              <w:spacing w:line="210" w:lineRule="exact"/>
              <w:ind w:left="254" w:right="238"/>
              <w:rPr>
                <w:b/>
                <w:sz w:val="20"/>
              </w:rPr>
            </w:pPr>
            <w:r>
              <w:rPr>
                <w:b/>
                <w:sz w:val="20"/>
              </w:rPr>
              <w:t>Dose</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23" w:lineRule="exact"/>
              <w:ind w:left="429" w:right="410"/>
              <w:rPr>
                <w:b/>
                <w:sz w:val="20"/>
              </w:rPr>
            </w:pPr>
            <w:r>
              <w:rPr>
                <w:b/>
                <w:sz w:val="20"/>
              </w:rPr>
              <w:t>Last</w:t>
            </w:r>
          </w:p>
          <w:p w:rsidR="00275267" w:rsidRDefault="00B45ABC">
            <w:pPr>
              <w:pStyle w:val="TableParagraph"/>
              <w:spacing w:line="210" w:lineRule="exact"/>
              <w:ind w:left="430" w:right="410"/>
              <w:rPr>
                <w:b/>
                <w:sz w:val="20"/>
              </w:rPr>
            </w:pPr>
            <w:r>
              <w:rPr>
                <w:b/>
                <w:sz w:val="20"/>
              </w:rPr>
              <w:t>Dose</w:t>
            </w:r>
          </w:p>
        </w:tc>
      </w:tr>
      <w:tr w:rsidR="00275267">
        <w:trPr>
          <w:trHeight w:val="916"/>
        </w:trPr>
        <w:tc>
          <w:tcPr>
            <w:tcW w:w="2179" w:type="dxa"/>
            <w:vMerge w:val="restart"/>
            <w:tcBorders>
              <w:top w:val="single" w:sz="4" w:space="0" w:color="000000"/>
              <w:bottom w:val="single" w:sz="4" w:space="0" w:color="000000"/>
              <w:right w:val="single" w:sz="4" w:space="0" w:color="000000"/>
            </w:tcBorders>
          </w:tcPr>
          <w:p w:rsidR="00275267" w:rsidRDefault="00B45ABC">
            <w:pPr>
              <w:pStyle w:val="TableParagraph"/>
              <w:spacing w:line="240" w:lineRule="auto"/>
              <w:ind w:left="105" w:right="245"/>
              <w:jc w:val="left"/>
              <w:rPr>
                <w:sz w:val="20"/>
              </w:rPr>
            </w:pPr>
            <w:r>
              <w:rPr>
                <w:sz w:val="20"/>
              </w:rPr>
              <w:t>Rat 13-week oral dose toxicity study (definitive)</w:t>
            </w:r>
          </w:p>
          <w:p w:rsidR="00275267" w:rsidRDefault="00275267">
            <w:pPr>
              <w:pStyle w:val="TableParagraph"/>
              <w:spacing w:before="2" w:line="240" w:lineRule="auto"/>
              <w:jc w:val="left"/>
              <w:rPr>
                <w:b/>
                <w:sz w:val="19"/>
              </w:rPr>
            </w:pPr>
          </w:p>
          <w:p w:rsidR="00275267" w:rsidRDefault="00B45ABC">
            <w:pPr>
              <w:pStyle w:val="TableParagraph"/>
              <w:spacing w:line="240" w:lineRule="auto"/>
              <w:ind w:left="105"/>
              <w:jc w:val="left"/>
              <w:rPr>
                <w:sz w:val="20"/>
              </w:rPr>
            </w:pPr>
            <w:r>
              <w:rPr>
                <w:sz w:val="20"/>
              </w:rPr>
              <w:t>(</w:t>
            </w:r>
            <w:r w:rsidR="002B4CFB">
              <w:rPr>
                <w:sz w:val="20"/>
              </w:rPr>
              <w:t>Project R</w:t>
            </w:r>
            <w:r>
              <w:rPr>
                <w:sz w:val="20"/>
              </w:rPr>
              <w:t>-TX-0009)</w:t>
            </w: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1</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M</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72"/>
              <w:jc w:val="left"/>
              <w:rPr>
                <w:sz w:val="20"/>
              </w:rPr>
            </w:pPr>
            <w:r>
              <w:rPr>
                <w:sz w:val="20"/>
              </w:rPr>
              <w:t>243.786</w:t>
            </w:r>
          </w:p>
          <w:p w:rsidR="00275267" w:rsidRDefault="00B45ABC">
            <w:pPr>
              <w:pStyle w:val="TableParagraph"/>
              <w:spacing w:line="240" w:lineRule="auto"/>
              <w:ind w:left="456"/>
              <w:jc w:val="left"/>
              <w:rPr>
                <w:sz w:val="20"/>
              </w:rPr>
            </w:pPr>
            <w:r>
              <w:rPr>
                <w:sz w:val="20"/>
              </w:rPr>
              <w:t>[2.32]</w:t>
            </w:r>
          </w:p>
          <w:p w:rsidR="00275267" w:rsidRDefault="00B45ABC">
            <w:pPr>
              <w:pStyle w:val="TableParagraph"/>
              <w:spacing w:before="1" w:line="240" w:lineRule="auto"/>
              <w:ind w:left="372"/>
              <w:jc w:val="left"/>
              <w:rPr>
                <w:sz w:val="20"/>
              </w:rPr>
            </w:pPr>
            <w:r>
              <w:rPr>
                <w:sz w:val="20"/>
              </w:rPr>
              <w:t>256.353</w:t>
            </w:r>
          </w:p>
          <w:p w:rsidR="00275267" w:rsidRDefault="00B45ABC">
            <w:pPr>
              <w:pStyle w:val="TableParagraph"/>
              <w:spacing w:line="216" w:lineRule="exact"/>
              <w:ind w:left="456"/>
              <w:jc w:val="left"/>
              <w:rPr>
                <w:sz w:val="20"/>
              </w:rPr>
            </w:pPr>
            <w:r>
              <w:rPr>
                <w:sz w:val="20"/>
              </w:rPr>
              <w:t>[2.44]</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72"/>
              <w:jc w:val="left"/>
              <w:rPr>
                <w:sz w:val="20"/>
              </w:rPr>
            </w:pPr>
            <w:r>
              <w:rPr>
                <w:sz w:val="20"/>
              </w:rPr>
              <w:t>687.556</w:t>
            </w:r>
          </w:p>
          <w:p w:rsidR="00275267" w:rsidRDefault="00B45ABC">
            <w:pPr>
              <w:pStyle w:val="TableParagraph"/>
              <w:spacing w:line="240" w:lineRule="auto"/>
              <w:ind w:left="456"/>
              <w:jc w:val="left"/>
              <w:rPr>
                <w:sz w:val="20"/>
              </w:rPr>
            </w:pPr>
            <w:r>
              <w:rPr>
                <w:sz w:val="20"/>
              </w:rPr>
              <w:t>[6.53]</w:t>
            </w:r>
          </w:p>
          <w:p w:rsidR="00275267" w:rsidRDefault="00B45ABC">
            <w:pPr>
              <w:pStyle w:val="TableParagraph"/>
              <w:spacing w:before="1" w:line="240" w:lineRule="auto"/>
              <w:ind w:left="372"/>
              <w:jc w:val="left"/>
              <w:rPr>
                <w:sz w:val="20"/>
              </w:rPr>
            </w:pPr>
            <w:r>
              <w:rPr>
                <w:sz w:val="20"/>
              </w:rPr>
              <w:t>848.822</w:t>
            </w:r>
          </w:p>
          <w:p w:rsidR="00275267" w:rsidRDefault="00B45ABC">
            <w:pPr>
              <w:pStyle w:val="TableParagraph"/>
              <w:spacing w:line="216" w:lineRule="exact"/>
              <w:ind w:left="456"/>
              <w:jc w:val="left"/>
              <w:rPr>
                <w:sz w:val="20"/>
              </w:rPr>
            </w:pPr>
            <w:r>
              <w:rPr>
                <w:sz w:val="20"/>
              </w:rPr>
              <w:t>[8.06]</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3" w:right="239"/>
              <w:rPr>
                <w:sz w:val="20"/>
              </w:rPr>
            </w:pPr>
            <w:r>
              <w:rPr>
                <w:sz w:val="20"/>
              </w:rPr>
              <w:t>3298</w:t>
            </w:r>
          </w:p>
          <w:p w:rsidR="00275267" w:rsidRDefault="00B45ABC">
            <w:pPr>
              <w:pStyle w:val="TableParagraph"/>
              <w:spacing w:line="240" w:lineRule="auto"/>
              <w:ind w:left="252" w:right="239"/>
              <w:rPr>
                <w:sz w:val="20"/>
              </w:rPr>
            </w:pPr>
            <w:r>
              <w:rPr>
                <w:sz w:val="20"/>
              </w:rPr>
              <w:t>[31.3]</w:t>
            </w:r>
          </w:p>
          <w:p w:rsidR="00275267" w:rsidRDefault="00B45ABC">
            <w:pPr>
              <w:pStyle w:val="TableParagraph"/>
              <w:spacing w:before="1" w:line="240" w:lineRule="auto"/>
              <w:ind w:left="253" w:right="239"/>
              <w:rPr>
                <w:sz w:val="20"/>
              </w:rPr>
            </w:pPr>
            <w:r>
              <w:rPr>
                <w:sz w:val="20"/>
              </w:rPr>
              <w:t>3889</w:t>
            </w:r>
          </w:p>
          <w:p w:rsidR="00275267" w:rsidRDefault="00B45ABC">
            <w:pPr>
              <w:pStyle w:val="TableParagraph"/>
              <w:spacing w:line="216" w:lineRule="exact"/>
              <w:ind w:left="252" w:right="239"/>
              <w:rPr>
                <w:sz w:val="20"/>
              </w:rPr>
            </w:pPr>
            <w:r>
              <w:rPr>
                <w:sz w:val="20"/>
              </w:rPr>
              <w:t>[36.9]</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9" w:lineRule="exact"/>
              <w:ind w:left="428" w:right="410"/>
              <w:rPr>
                <w:sz w:val="20"/>
              </w:rPr>
            </w:pPr>
            <w:r>
              <w:rPr>
                <w:sz w:val="20"/>
              </w:rPr>
              <w:t>9261</w:t>
            </w:r>
          </w:p>
          <w:p w:rsidR="00275267" w:rsidRDefault="00B45ABC">
            <w:pPr>
              <w:pStyle w:val="TableParagraph"/>
              <w:spacing w:line="240" w:lineRule="auto"/>
              <w:ind w:left="427" w:right="410"/>
              <w:rPr>
                <w:sz w:val="20"/>
              </w:rPr>
            </w:pPr>
            <w:r>
              <w:rPr>
                <w:sz w:val="20"/>
              </w:rPr>
              <w:t>[88.0]</w:t>
            </w:r>
          </w:p>
          <w:p w:rsidR="00275267" w:rsidRDefault="00B45ABC">
            <w:pPr>
              <w:pStyle w:val="TableParagraph"/>
              <w:spacing w:before="1" w:line="240" w:lineRule="auto"/>
              <w:ind w:left="430" w:right="410"/>
              <w:rPr>
                <w:sz w:val="20"/>
              </w:rPr>
            </w:pPr>
            <w:r>
              <w:rPr>
                <w:sz w:val="20"/>
              </w:rPr>
              <w:t>13147</w:t>
            </w:r>
          </w:p>
          <w:p w:rsidR="00275267" w:rsidRDefault="00B45ABC">
            <w:pPr>
              <w:pStyle w:val="TableParagraph"/>
              <w:spacing w:line="216" w:lineRule="exact"/>
              <w:ind w:left="428" w:right="410"/>
              <w:rPr>
                <w:sz w:val="20"/>
              </w:rPr>
            </w:pPr>
            <w:r>
              <w:rPr>
                <w:sz w:val="20"/>
              </w:rPr>
              <w:t>[125]</w:t>
            </w:r>
          </w:p>
        </w:tc>
      </w:tr>
      <w:tr w:rsidR="00275267">
        <w:trPr>
          <w:trHeight w:val="914"/>
        </w:trPr>
        <w:tc>
          <w:tcPr>
            <w:tcW w:w="2179" w:type="dxa"/>
            <w:vMerge/>
            <w:tcBorders>
              <w:top w:val="nil"/>
              <w:bottom w:val="single" w:sz="4" w:space="0" w:color="000000"/>
              <w:right w:val="single" w:sz="4" w:space="0" w:color="000000"/>
            </w:tcBorders>
          </w:tcPr>
          <w:p w:rsidR="00275267" w:rsidRDefault="00275267">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u w:val="single"/>
              </w:rPr>
              <w:t>3</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M</w:t>
            </w:r>
          </w:p>
          <w:p w:rsidR="00275267" w:rsidRDefault="00275267">
            <w:pPr>
              <w:pStyle w:val="TableParagraph"/>
              <w:spacing w:before="9" w:line="240" w:lineRule="auto"/>
              <w:jc w:val="left"/>
              <w:rPr>
                <w:b/>
                <w:sz w:val="19"/>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8" w:lineRule="exact"/>
              <w:ind w:left="251" w:right="239"/>
              <w:rPr>
                <w:sz w:val="20"/>
              </w:rPr>
            </w:pPr>
            <w:r>
              <w:rPr>
                <w:sz w:val="20"/>
              </w:rPr>
              <w:t>1115.679</w:t>
            </w:r>
          </w:p>
          <w:p w:rsidR="00275267" w:rsidRDefault="00B45ABC">
            <w:pPr>
              <w:pStyle w:val="TableParagraph"/>
              <w:spacing w:line="229" w:lineRule="exact"/>
              <w:ind w:left="251" w:right="239"/>
              <w:rPr>
                <w:sz w:val="20"/>
              </w:rPr>
            </w:pPr>
            <w:r>
              <w:rPr>
                <w:sz w:val="20"/>
              </w:rPr>
              <w:t>[10.6]</w:t>
            </w:r>
          </w:p>
          <w:p w:rsidR="00275267" w:rsidRDefault="00B45ABC">
            <w:pPr>
              <w:pStyle w:val="TableParagraph"/>
              <w:spacing w:line="240" w:lineRule="auto"/>
              <w:ind w:left="251" w:right="239"/>
              <w:rPr>
                <w:sz w:val="20"/>
              </w:rPr>
            </w:pPr>
            <w:r>
              <w:rPr>
                <w:sz w:val="20"/>
              </w:rPr>
              <w:t>1170.261</w:t>
            </w:r>
          </w:p>
          <w:p w:rsidR="00275267" w:rsidRDefault="00B45ABC">
            <w:pPr>
              <w:pStyle w:val="TableParagraph"/>
              <w:spacing w:before="1" w:line="216" w:lineRule="exact"/>
              <w:ind w:left="251" w:right="239"/>
              <w:rPr>
                <w:sz w:val="20"/>
              </w:rPr>
            </w:pPr>
            <w:r>
              <w:rPr>
                <w:sz w:val="20"/>
              </w:rPr>
              <w:t>[11.1]</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8" w:lineRule="exact"/>
              <w:ind w:left="252" w:right="239"/>
              <w:rPr>
                <w:sz w:val="20"/>
              </w:rPr>
            </w:pPr>
            <w:r>
              <w:rPr>
                <w:sz w:val="20"/>
              </w:rPr>
              <w:t>2860.929</w:t>
            </w:r>
          </w:p>
          <w:p w:rsidR="00275267" w:rsidRDefault="00B45ABC">
            <w:pPr>
              <w:pStyle w:val="TableParagraph"/>
              <w:spacing w:line="229" w:lineRule="exact"/>
              <w:ind w:left="252" w:right="239"/>
              <w:rPr>
                <w:sz w:val="20"/>
              </w:rPr>
            </w:pPr>
            <w:r>
              <w:rPr>
                <w:sz w:val="20"/>
              </w:rPr>
              <w:t>[27.2]</w:t>
            </w:r>
          </w:p>
          <w:p w:rsidR="00275267" w:rsidRDefault="00B45ABC">
            <w:pPr>
              <w:pStyle w:val="TableParagraph"/>
              <w:spacing w:line="240" w:lineRule="auto"/>
              <w:ind w:left="252" w:right="239"/>
              <w:rPr>
                <w:sz w:val="20"/>
              </w:rPr>
            </w:pPr>
            <w:r>
              <w:rPr>
                <w:sz w:val="20"/>
              </w:rPr>
              <w:t>2917.744</w:t>
            </w:r>
          </w:p>
          <w:p w:rsidR="00275267" w:rsidRDefault="00B45ABC">
            <w:pPr>
              <w:pStyle w:val="TableParagraph"/>
              <w:spacing w:before="1" w:line="216" w:lineRule="exact"/>
              <w:ind w:left="252" w:right="239"/>
              <w:rPr>
                <w:sz w:val="20"/>
              </w:rPr>
            </w:pPr>
            <w:r>
              <w:rPr>
                <w:sz w:val="20"/>
              </w:rPr>
              <w:t>[27.7]</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8" w:lineRule="exact"/>
              <w:ind w:left="254" w:right="238"/>
              <w:rPr>
                <w:sz w:val="20"/>
              </w:rPr>
            </w:pPr>
            <w:r>
              <w:rPr>
                <w:sz w:val="20"/>
              </w:rPr>
              <w:t>17014</w:t>
            </w:r>
          </w:p>
          <w:p w:rsidR="00275267" w:rsidRDefault="00B45ABC">
            <w:pPr>
              <w:pStyle w:val="TableParagraph"/>
              <w:spacing w:line="229" w:lineRule="exact"/>
              <w:ind w:left="253" w:right="239"/>
              <w:rPr>
                <w:sz w:val="20"/>
              </w:rPr>
            </w:pPr>
            <w:r>
              <w:rPr>
                <w:sz w:val="20"/>
              </w:rPr>
              <w:t>[162]</w:t>
            </w:r>
          </w:p>
          <w:p w:rsidR="00275267" w:rsidRDefault="00B45ABC">
            <w:pPr>
              <w:pStyle w:val="TableParagraph"/>
              <w:spacing w:line="240" w:lineRule="auto"/>
              <w:ind w:left="254" w:right="238"/>
              <w:rPr>
                <w:sz w:val="20"/>
              </w:rPr>
            </w:pPr>
            <w:r>
              <w:rPr>
                <w:sz w:val="20"/>
              </w:rPr>
              <w:t>19232</w:t>
            </w:r>
          </w:p>
          <w:p w:rsidR="00275267" w:rsidRDefault="00B45ABC">
            <w:pPr>
              <w:pStyle w:val="TableParagraph"/>
              <w:spacing w:before="1" w:line="216" w:lineRule="exact"/>
              <w:ind w:left="253" w:right="239"/>
              <w:rPr>
                <w:sz w:val="20"/>
              </w:rPr>
            </w:pPr>
            <w:r>
              <w:rPr>
                <w:sz w:val="20"/>
              </w:rPr>
              <w:t>[183]</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8" w:lineRule="exact"/>
              <w:ind w:left="430" w:right="410"/>
              <w:rPr>
                <w:sz w:val="20"/>
              </w:rPr>
            </w:pPr>
            <w:r>
              <w:rPr>
                <w:sz w:val="20"/>
              </w:rPr>
              <w:t>44229</w:t>
            </w:r>
          </w:p>
          <w:p w:rsidR="00275267" w:rsidRDefault="00B45ABC">
            <w:pPr>
              <w:pStyle w:val="TableParagraph"/>
              <w:spacing w:line="229" w:lineRule="exact"/>
              <w:ind w:left="428" w:right="410"/>
              <w:rPr>
                <w:sz w:val="20"/>
              </w:rPr>
            </w:pPr>
            <w:r>
              <w:rPr>
                <w:sz w:val="20"/>
              </w:rPr>
              <w:t>[420]</w:t>
            </w:r>
          </w:p>
          <w:p w:rsidR="00275267" w:rsidRDefault="00B45ABC">
            <w:pPr>
              <w:pStyle w:val="TableParagraph"/>
              <w:spacing w:line="240" w:lineRule="auto"/>
              <w:ind w:left="430" w:right="410"/>
              <w:rPr>
                <w:sz w:val="20"/>
              </w:rPr>
            </w:pPr>
            <w:r>
              <w:rPr>
                <w:sz w:val="20"/>
              </w:rPr>
              <w:t>56808</w:t>
            </w:r>
          </w:p>
          <w:p w:rsidR="00275267" w:rsidRDefault="00B45ABC">
            <w:pPr>
              <w:pStyle w:val="TableParagraph"/>
              <w:spacing w:before="1" w:line="216" w:lineRule="exact"/>
              <w:ind w:left="428" w:right="410"/>
              <w:rPr>
                <w:sz w:val="20"/>
              </w:rPr>
            </w:pPr>
            <w:r>
              <w:rPr>
                <w:sz w:val="20"/>
              </w:rPr>
              <w:t>[540]</w:t>
            </w:r>
          </w:p>
        </w:tc>
      </w:tr>
      <w:tr w:rsidR="00275267">
        <w:trPr>
          <w:trHeight w:val="913"/>
        </w:trPr>
        <w:tc>
          <w:tcPr>
            <w:tcW w:w="2179" w:type="dxa"/>
            <w:vMerge/>
            <w:tcBorders>
              <w:top w:val="nil"/>
              <w:bottom w:val="single" w:sz="4" w:space="0" w:color="000000"/>
              <w:right w:val="single" w:sz="4" w:space="0" w:color="000000"/>
            </w:tcBorders>
          </w:tcPr>
          <w:p w:rsidR="00275267" w:rsidRDefault="00275267">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50"/>
              <w:jc w:val="left"/>
              <w:rPr>
                <w:sz w:val="20"/>
              </w:rPr>
            </w:pPr>
            <w:r>
              <w:rPr>
                <w:sz w:val="20"/>
              </w:rPr>
              <w:t>10</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M</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1" w:right="239"/>
              <w:rPr>
                <w:sz w:val="20"/>
              </w:rPr>
            </w:pPr>
            <w:r>
              <w:rPr>
                <w:sz w:val="20"/>
              </w:rPr>
              <w:t>3381.532</w:t>
            </w:r>
          </w:p>
          <w:p w:rsidR="00275267" w:rsidRDefault="00B45ABC">
            <w:pPr>
              <w:pStyle w:val="TableParagraph"/>
              <w:spacing w:line="240" w:lineRule="auto"/>
              <w:ind w:left="251" w:right="239"/>
              <w:rPr>
                <w:sz w:val="20"/>
              </w:rPr>
            </w:pPr>
            <w:r>
              <w:rPr>
                <w:sz w:val="20"/>
              </w:rPr>
              <w:t>[32.1]</w:t>
            </w:r>
          </w:p>
          <w:p w:rsidR="00275267" w:rsidRDefault="00B45ABC">
            <w:pPr>
              <w:pStyle w:val="TableParagraph"/>
              <w:spacing w:before="1" w:line="240" w:lineRule="auto"/>
              <w:ind w:left="251" w:right="239"/>
              <w:rPr>
                <w:sz w:val="20"/>
              </w:rPr>
            </w:pPr>
            <w:r>
              <w:rPr>
                <w:sz w:val="20"/>
              </w:rPr>
              <w:t>4037.331</w:t>
            </w:r>
          </w:p>
          <w:p w:rsidR="00275267" w:rsidRDefault="00B45ABC">
            <w:pPr>
              <w:pStyle w:val="TableParagraph"/>
              <w:spacing w:line="213" w:lineRule="exact"/>
              <w:ind w:left="251" w:right="239"/>
              <w:rPr>
                <w:sz w:val="20"/>
              </w:rPr>
            </w:pPr>
            <w:r>
              <w:rPr>
                <w:sz w:val="20"/>
              </w:rPr>
              <w:t>[38.4]</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2" w:right="239"/>
              <w:rPr>
                <w:sz w:val="20"/>
              </w:rPr>
            </w:pPr>
            <w:r>
              <w:rPr>
                <w:sz w:val="20"/>
              </w:rPr>
              <w:t>7389.695</w:t>
            </w:r>
          </w:p>
          <w:p w:rsidR="00275267" w:rsidRDefault="00B45ABC">
            <w:pPr>
              <w:pStyle w:val="TableParagraph"/>
              <w:spacing w:line="240" w:lineRule="auto"/>
              <w:ind w:left="252" w:right="239"/>
              <w:rPr>
                <w:sz w:val="20"/>
              </w:rPr>
            </w:pPr>
            <w:r>
              <w:rPr>
                <w:sz w:val="20"/>
              </w:rPr>
              <w:t>[70.2]</w:t>
            </w:r>
          </w:p>
          <w:p w:rsidR="00275267" w:rsidRDefault="00B45ABC">
            <w:pPr>
              <w:pStyle w:val="TableParagraph"/>
              <w:spacing w:before="1" w:line="240" w:lineRule="auto"/>
              <w:ind w:left="254" w:right="239"/>
              <w:rPr>
                <w:sz w:val="20"/>
              </w:rPr>
            </w:pPr>
            <w:r>
              <w:rPr>
                <w:sz w:val="20"/>
              </w:rPr>
              <w:t>11433.586</w:t>
            </w:r>
          </w:p>
          <w:p w:rsidR="00275267" w:rsidRDefault="00B45ABC">
            <w:pPr>
              <w:pStyle w:val="TableParagraph"/>
              <w:spacing w:line="213" w:lineRule="exact"/>
              <w:ind w:left="252" w:right="239"/>
              <w:rPr>
                <w:sz w:val="20"/>
              </w:rPr>
            </w:pPr>
            <w:r>
              <w:rPr>
                <w:sz w:val="20"/>
              </w:rPr>
              <w:t>[109]</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4" w:right="238"/>
              <w:rPr>
                <w:sz w:val="20"/>
              </w:rPr>
            </w:pPr>
            <w:r>
              <w:rPr>
                <w:sz w:val="20"/>
              </w:rPr>
              <w:t>55112</w:t>
            </w:r>
          </w:p>
          <w:p w:rsidR="00275267" w:rsidRDefault="00B45ABC">
            <w:pPr>
              <w:pStyle w:val="TableParagraph"/>
              <w:spacing w:line="240" w:lineRule="auto"/>
              <w:ind w:left="253" w:right="239"/>
              <w:rPr>
                <w:sz w:val="20"/>
              </w:rPr>
            </w:pPr>
            <w:r>
              <w:rPr>
                <w:sz w:val="20"/>
              </w:rPr>
              <w:t>[524]</w:t>
            </w:r>
          </w:p>
          <w:p w:rsidR="00275267" w:rsidRDefault="00B45ABC">
            <w:pPr>
              <w:pStyle w:val="TableParagraph"/>
              <w:spacing w:before="1" w:line="240" w:lineRule="auto"/>
              <w:ind w:left="254" w:right="238"/>
              <w:rPr>
                <w:sz w:val="20"/>
              </w:rPr>
            </w:pPr>
            <w:r>
              <w:rPr>
                <w:sz w:val="20"/>
              </w:rPr>
              <w:t>70443</w:t>
            </w:r>
          </w:p>
          <w:p w:rsidR="00275267" w:rsidRDefault="00B45ABC">
            <w:pPr>
              <w:pStyle w:val="TableParagraph"/>
              <w:spacing w:line="213" w:lineRule="exact"/>
              <w:ind w:left="253" w:right="239"/>
              <w:rPr>
                <w:sz w:val="20"/>
              </w:rPr>
            </w:pPr>
            <w:r>
              <w:rPr>
                <w:sz w:val="20"/>
              </w:rPr>
              <w:t>[669]</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9" w:lineRule="exact"/>
              <w:ind w:left="399"/>
              <w:jc w:val="left"/>
              <w:rPr>
                <w:sz w:val="20"/>
              </w:rPr>
            </w:pPr>
            <w:r>
              <w:rPr>
                <w:sz w:val="20"/>
              </w:rPr>
              <w:t>143203</w:t>
            </w:r>
          </w:p>
          <w:p w:rsidR="00275267" w:rsidRDefault="00B45ABC">
            <w:pPr>
              <w:pStyle w:val="TableParagraph"/>
              <w:spacing w:line="240" w:lineRule="auto"/>
              <w:ind w:left="433"/>
              <w:jc w:val="left"/>
              <w:rPr>
                <w:sz w:val="20"/>
              </w:rPr>
            </w:pPr>
            <w:r>
              <w:rPr>
                <w:sz w:val="20"/>
              </w:rPr>
              <w:t>[1360]</w:t>
            </w:r>
          </w:p>
          <w:p w:rsidR="00275267" w:rsidRDefault="00B45ABC">
            <w:pPr>
              <w:pStyle w:val="TableParagraph"/>
              <w:spacing w:before="1" w:line="240" w:lineRule="auto"/>
              <w:ind w:left="399"/>
              <w:jc w:val="left"/>
              <w:rPr>
                <w:sz w:val="20"/>
              </w:rPr>
            </w:pPr>
            <w:r>
              <w:rPr>
                <w:sz w:val="20"/>
              </w:rPr>
              <w:t>234040</w:t>
            </w:r>
          </w:p>
          <w:p w:rsidR="00275267" w:rsidRDefault="00B45ABC">
            <w:pPr>
              <w:pStyle w:val="TableParagraph"/>
              <w:spacing w:line="213" w:lineRule="exact"/>
              <w:ind w:left="433"/>
              <w:jc w:val="left"/>
              <w:rPr>
                <w:sz w:val="20"/>
              </w:rPr>
            </w:pPr>
            <w:r>
              <w:rPr>
                <w:sz w:val="20"/>
              </w:rPr>
              <w:t>[2223]</w:t>
            </w:r>
          </w:p>
        </w:tc>
      </w:tr>
      <w:tr w:rsidR="00275267">
        <w:trPr>
          <w:trHeight w:val="916"/>
        </w:trPr>
        <w:tc>
          <w:tcPr>
            <w:tcW w:w="2179" w:type="dxa"/>
            <w:vMerge/>
            <w:tcBorders>
              <w:top w:val="nil"/>
              <w:bottom w:val="single" w:sz="4" w:space="0" w:color="000000"/>
              <w:right w:val="single" w:sz="4" w:space="0" w:color="000000"/>
            </w:tcBorders>
          </w:tcPr>
          <w:p w:rsidR="00275267" w:rsidRDefault="00275267">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00"/>
              <w:jc w:val="left"/>
              <w:rPr>
                <w:sz w:val="20"/>
              </w:rPr>
            </w:pPr>
            <w:r>
              <w:rPr>
                <w:sz w:val="20"/>
              </w:rPr>
              <w:t>100</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M</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3" w:right="239"/>
              <w:rPr>
                <w:sz w:val="20"/>
              </w:rPr>
            </w:pPr>
            <w:r>
              <w:rPr>
                <w:sz w:val="20"/>
              </w:rPr>
              <w:t>17979.239</w:t>
            </w:r>
          </w:p>
          <w:p w:rsidR="00275267" w:rsidRDefault="00B45ABC">
            <w:pPr>
              <w:pStyle w:val="TableParagraph"/>
              <w:spacing w:line="240" w:lineRule="auto"/>
              <w:ind w:left="251" w:right="239"/>
              <w:rPr>
                <w:sz w:val="20"/>
              </w:rPr>
            </w:pPr>
            <w:r>
              <w:rPr>
                <w:sz w:val="20"/>
              </w:rPr>
              <w:t>[171]</w:t>
            </w:r>
          </w:p>
          <w:p w:rsidR="00275267" w:rsidRDefault="00B45ABC">
            <w:pPr>
              <w:pStyle w:val="TableParagraph"/>
              <w:spacing w:before="1" w:line="240" w:lineRule="auto"/>
              <w:ind w:left="253" w:right="239"/>
              <w:rPr>
                <w:sz w:val="20"/>
              </w:rPr>
            </w:pPr>
            <w:r>
              <w:rPr>
                <w:sz w:val="20"/>
              </w:rPr>
              <w:t>22015.630</w:t>
            </w:r>
          </w:p>
          <w:p w:rsidR="00275267" w:rsidRDefault="00B45ABC">
            <w:pPr>
              <w:pStyle w:val="TableParagraph"/>
              <w:spacing w:line="216" w:lineRule="exact"/>
              <w:ind w:left="251" w:right="239"/>
              <w:rPr>
                <w:sz w:val="20"/>
              </w:rPr>
            </w:pPr>
            <w:r>
              <w:rPr>
                <w:sz w:val="20"/>
              </w:rPr>
              <w:t>[209]</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4" w:right="239"/>
              <w:rPr>
                <w:sz w:val="20"/>
              </w:rPr>
            </w:pPr>
            <w:r>
              <w:rPr>
                <w:sz w:val="20"/>
              </w:rPr>
              <w:t>20711.679</w:t>
            </w:r>
          </w:p>
          <w:p w:rsidR="00275267" w:rsidRDefault="00B45ABC">
            <w:pPr>
              <w:pStyle w:val="TableParagraph"/>
              <w:spacing w:line="240" w:lineRule="auto"/>
              <w:ind w:left="252" w:right="239"/>
              <w:rPr>
                <w:sz w:val="20"/>
              </w:rPr>
            </w:pPr>
            <w:r>
              <w:rPr>
                <w:sz w:val="20"/>
              </w:rPr>
              <w:t>[197]</w:t>
            </w:r>
          </w:p>
          <w:p w:rsidR="00275267" w:rsidRDefault="00B45ABC">
            <w:pPr>
              <w:pStyle w:val="TableParagraph"/>
              <w:spacing w:before="1" w:line="240" w:lineRule="auto"/>
              <w:ind w:left="254" w:right="239"/>
              <w:rPr>
                <w:sz w:val="20"/>
              </w:rPr>
            </w:pPr>
            <w:r>
              <w:rPr>
                <w:sz w:val="20"/>
              </w:rPr>
              <w:t>46269.593</w:t>
            </w:r>
          </w:p>
          <w:p w:rsidR="00275267" w:rsidRDefault="00B45ABC">
            <w:pPr>
              <w:pStyle w:val="TableParagraph"/>
              <w:spacing w:line="216" w:lineRule="exact"/>
              <w:ind w:left="252" w:right="239"/>
              <w:rPr>
                <w:sz w:val="20"/>
              </w:rPr>
            </w:pPr>
            <w:r>
              <w:rPr>
                <w:sz w:val="20"/>
              </w:rPr>
              <w:t>[440]</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99"/>
              <w:jc w:val="left"/>
              <w:rPr>
                <w:sz w:val="20"/>
              </w:rPr>
            </w:pPr>
            <w:r>
              <w:rPr>
                <w:sz w:val="20"/>
              </w:rPr>
              <w:t>351182</w:t>
            </w:r>
          </w:p>
          <w:p w:rsidR="00275267" w:rsidRDefault="00B45ABC">
            <w:pPr>
              <w:pStyle w:val="TableParagraph"/>
              <w:spacing w:line="240" w:lineRule="auto"/>
              <w:ind w:left="432"/>
              <w:jc w:val="left"/>
              <w:rPr>
                <w:sz w:val="20"/>
              </w:rPr>
            </w:pPr>
            <w:r>
              <w:rPr>
                <w:sz w:val="20"/>
              </w:rPr>
              <w:t>[3336]</w:t>
            </w:r>
          </w:p>
          <w:p w:rsidR="00275267" w:rsidRDefault="00B45ABC">
            <w:pPr>
              <w:pStyle w:val="TableParagraph"/>
              <w:spacing w:before="1" w:line="240" w:lineRule="auto"/>
              <w:ind w:left="399"/>
              <w:jc w:val="left"/>
              <w:rPr>
                <w:sz w:val="20"/>
              </w:rPr>
            </w:pPr>
            <w:r>
              <w:rPr>
                <w:sz w:val="20"/>
              </w:rPr>
              <w:t>412178</w:t>
            </w:r>
          </w:p>
          <w:p w:rsidR="00275267" w:rsidRDefault="00B45ABC">
            <w:pPr>
              <w:pStyle w:val="TableParagraph"/>
              <w:spacing w:line="216" w:lineRule="exact"/>
              <w:ind w:left="432"/>
              <w:jc w:val="left"/>
              <w:rPr>
                <w:sz w:val="20"/>
              </w:rPr>
            </w:pPr>
            <w:r>
              <w:rPr>
                <w:sz w:val="20"/>
              </w:rPr>
              <w:t>[3916]</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9" w:lineRule="exact"/>
              <w:ind w:left="399"/>
              <w:jc w:val="left"/>
              <w:rPr>
                <w:sz w:val="20"/>
              </w:rPr>
            </w:pPr>
            <w:r>
              <w:rPr>
                <w:sz w:val="20"/>
              </w:rPr>
              <w:t>412104</w:t>
            </w:r>
          </w:p>
          <w:p w:rsidR="00275267" w:rsidRDefault="00B45ABC">
            <w:pPr>
              <w:pStyle w:val="TableParagraph"/>
              <w:spacing w:line="240" w:lineRule="auto"/>
              <w:ind w:left="433"/>
              <w:jc w:val="left"/>
              <w:rPr>
                <w:sz w:val="20"/>
              </w:rPr>
            </w:pPr>
            <w:r>
              <w:rPr>
                <w:sz w:val="20"/>
              </w:rPr>
              <w:t>[3915]</w:t>
            </w:r>
          </w:p>
          <w:p w:rsidR="00275267" w:rsidRDefault="00B45ABC">
            <w:pPr>
              <w:pStyle w:val="TableParagraph"/>
              <w:spacing w:before="1" w:line="240" w:lineRule="auto"/>
              <w:ind w:left="399"/>
              <w:jc w:val="left"/>
              <w:rPr>
                <w:sz w:val="20"/>
              </w:rPr>
            </w:pPr>
            <w:r>
              <w:rPr>
                <w:sz w:val="20"/>
              </w:rPr>
              <w:t>849778</w:t>
            </w:r>
          </w:p>
          <w:p w:rsidR="00275267" w:rsidRDefault="00B45ABC">
            <w:pPr>
              <w:pStyle w:val="TableParagraph"/>
              <w:spacing w:line="216" w:lineRule="exact"/>
              <w:ind w:left="433"/>
              <w:jc w:val="left"/>
              <w:rPr>
                <w:sz w:val="20"/>
              </w:rPr>
            </w:pPr>
            <w:r>
              <w:rPr>
                <w:sz w:val="20"/>
              </w:rPr>
              <w:t>[8073]</w:t>
            </w:r>
          </w:p>
        </w:tc>
      </w:tr>
      <w:tr w:rsidR="00275267">
        <w:trPr>
          <w:trHeight w:val="908"/>
        </w:trPr>
        <w:tc>
          <w:tcPr>
            <w:tcW w:w="2179" w:type="dxa"/>
            <w:vMerge w:val="restart"/>
            <w:tcBorders>
              <w:top w:val="single" w:sz="4" w:space="0" w:color="000000"/>
              <w:right w:val="single" w:sz="4" w:space="0" w:color="000000"/>
            </w:tcBorders>
          </w:tcPr>
          <w:p w:rsidR="00275267" w:rsidRDefault="00B45ABC">
            <w:pPr>
              <w:pStyle w:val="TableParagraph"/>
              <w:spacing w:line="240" w:lineRule="auto"/>
              <w:ind w:left="105" w:right="272"/>
              <w:jc w:val="left"/>
              <w:rPr>
                <w:sz w:val="20"/>
              </w:rPr>
            </w:pPr>
            <w:r>
              <w:rPr>
                <w:sz w:val="20"/>
              </w:rPr>
              <w:t>Monkey 13-week oral dose toxicity study (definitive)</w:t>
            </w:r>
          </w:p>
          <w:p w:rsidR="00275267" w:rsidRDefault="00275267">
            <w:pPr>
              <w:pStyle w:val="TableParagraph"/>
              <w:spacing w:line="240" w:lineRule="auto"/>
              <w:jc w:val="left"/>
              <w:rPr>
                <w:b/>
                <w:sz w:val="19"/>
              </w:rPr>
            </w:pPr>
          </w:p>
          <w:p w:rsidR="00275267" w:rsidRDefault="00B45ABC">
            <w:pPr>
              <w:pStyle w:val="TableParagraph"/>
              <w:spacing w:line="240" w:lineRule="auto"/>
              <w:ind w:left="105"/>
              <w:jc w:val="left"/>
              <w:rPr>
                <w:sz w:val="20"/>
              </w:rPr>
            </w:pPr>
            <w:r>
              <w:rPr>
                <w:sz w:val="20"/>
              </w:rPr>
              <w:t>(</w:t>
            </w:r>
            <w:r w:rsidR="002B4CFB">
              <w:rPr>
                <w:sz w:val="20"/>
              </w:rPr>
              <w:t>Project R</w:t>
            </w:r>
            <w:r>
              <w:rPr>
                <w:sz w:val="20"/>
              </w:rPr>
              <w:t>-TX-0010)</w:t>
            </w: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u w:val="single"/>
              </w:rPr>
              <w:t>1</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11"/>
              <w:rPr>
                <w:sz w:val="20"/>
              </w:rPr>
            </w:pPr>
            <w:r>
              <w:rPr>
                <w:w w:val="99"/>
                <w:sz w:val="20"/>
              </w:rPr>
              <w:t>M</w:t>
            </w:r>
          </w:p>
          <w:p w:rsidR="00275267" w:rsidRDefault="00275267">
            <w:pPr>
              <w:pStyle w:val="TableParagraph"/>
              <w:spacing w:before="9" w:line="240" w:lineRule="auto"/>
              <w:jc w:val="left"/>
              <w:rPr>
                <w:b/>
                <w:sz w:val="19"/>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72"/>
              <w:jc w:val="left"/>
              <w:rPr>
                <w:sz w:val="20"/>
              </w:rPr>
            </w:pPr>
            <w:r>
              <w:rPr>
                <w:sz w:val="20"/>
              </w:rPr>
              <w:t>164.617</w:t>
            </w:r>
          </w:p>
          <w:p w:rsidR="00275267" w:rsidRDefault="00B45ABC">
            <w:pPr>
              <w:pStyle w:val="TableParagraph"/>
              <w:spacing w:line="229" w:lineRule="exact"/>
              <w:ind w:left="456"/>
              <w:jc w:val="left"/>
              <w:rPr>
                <w:sz w:val="20"/>
              </w:rPr>
            </w:pPr>
            <w:r>
              <w:rPr>
                <w:sz w:val="20"/>
              </w:rPr>
              <w:t>[3.95]</w:t>
            </w:r>
          </w:p>
          <w:p w:rsidR="00275267" w:rsidRDefault="00B45ABC">
            <w:pPr>
              <w:pStyle w:val="TableParagraph"/>
              <w:spacing w:line="229" w:lineRule="exact"/>
              <w:ind w:left="372"/>
              <w:jc w:val="left"/>
              <w:rPr>
                <w:sz w:val="20"/>
              </w:rPr>
            </w:pPr>
            <w:r>
              <w:rPr>
                <w:sz w:val="20"/>
              </w:rPr>
              <w:t>255.032</w:t>
            </w:r>
          </w:p>
          <w:p w:rsidR="00275267" w:rsidRDefault="00B45ABC">
            <w:pPr>
              <w:pStyle w:val="TableParagraph"/>
              <w:spacing w:before="1" w:line="211" w:lineRule="exact"/>
              <w:ind w:left="456"/>
              <w:jc w:val="left"/>
              <w:rPr>
                <w:sz w:val="20"/>
              </w:rPr>
            </w:pPr>
            <w:r>
              <w:rPr>
                <w:sz w:val="20"/>
              </w:rPr>
              <w:t>[6.12]</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372"/>
              <w:jc w:val="left"/>
              <w:rPr>
                <w:sz w:val="20"/>
              </w:rPr>
            </w:pPr>
            <w:r>
              <w:rPr>
                <w:sz w:val="20"/>
              </w:rPr>
              <w:t>742.918</w:t>
            </w:r>
          </w:p>
          <w:p w:rsidR="00275267" w:rsidRDefault="00B45ABC">
            <w:pPr>
              <w:pStyle w:val="TableParagraph"/>
              <w:spacing w:line="229" w:lineRule="exact"/>
              <w:ind w:left="456"/>
              <w:jc w:val="left"/>
              <w:rPr>
                <w:sz w:val="20"/>
              </w:rPr>
            </w:pPr>
            <w:r>
              <w:rPr>
                <w:sz w:val="20"/>
              </w:rPr>
              <w:t>[17.8]</w:t>
            </w:r>
          </w:p>
          <w:p w:rsidR="00275267" w:rsidRDefault="00B45ABC">
            <w:pPr>
              <w:pStyle w:val="TableParagraph"/>
              <w:spacing w:line="229" w:lineRule="exact"/>
              <w:ind w:left="372"/>
              <w:jc w:val="left"/>
              <w:rPr>
                <w:sz w:val="20"/>
              </w:rPr>
            </w:pPr>
            <w:r>
              <w:rPr>
                <w:sz w:val="20"/>
              </w:rPr>
              <w:t>547.580</w:t>
            </w:r>
          </w:p>
          <w:p w:rsidR="00275267" w:rsidRDefault="00B45ABC">
            <w:pPr>
              <w:pStyle w:val="TableParagraph"/>
              <w:spacing w:before="1" w:line="211" w:lineRule="exact"/>
              <w:ind w:left="456"/>
              <w:jc w:val="left"/>
              <w:rPr>
                <w:sz w:val="20"/>
              </w:rPr>
            </w:pPr>
            <w:r>
              <w:rPr>
                <w:sz w:val="20"/>
              </w:rPr>
              <w:t>[13.1]</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9" w:lineRule="exact"/>
              <w:ind w:left="253" w:right="239"/>
              <w:rPr>
                <w:sz w:val="20"/>
              </w:rPr>
            </w:pPr>
            <w:r>
              <w:rPr>
                <w:sz w:val="20"/>
              </w:rPr>
              <w:t>3351</w:t>
            </w:r>
          </w:p>
          <w:p w:rsidR="00275267" w:rsidRDefault="00B45ABC">
            <w:pPr>
              <w:pStyle w:val="TableParagraph"/>
              <w:spacing w:line="229" w:lineRule="exact"/>
              <w:ind w:left="252" w:right="239"/>
              <w:rPr>
                <w:sz w:val="20"/>
              </w:rPr>
            </w:pPr>
            <w:r>
              <w:rPr>
                <w:sz w:val="20"/>
              </w:rPr>
              <w:t>[80.4]</w:t>
            </w:r>
          </w:p>
          <w:p w:rsidR="00275267" w:rsidRDefault="00B45ABC">
            <w:pPr>
              <w:pStyle w:val="TableParagraph"/>
              <w:spacing w:line="229" w:lineRule="exact"/>
              <w:ind w:left="253" w:right="239"/>
              <w:rPr>
                <w:sz w:val="20"/>
              </w:rPr>
            </w:pPr>
            <w:r>
              <w:rPr>
                <w:sz w:val="20"/>
              </w:rPr>
              <w:t>3959</w:t>
            </w:r>
          </w:p>
          <w:p w:rsidR="00275267" w:rsidRDefault="00B45ABC">
            <w:pPr>
              <w:pStyle w:val="TableParagraph"/>
              <w:spacing w:before="1" w:line="211" w:lineRule="exact"/>
              <w:ind w:left="252" w:right="239"/>
              <w:rPr>
                <w:sz w:val="20"/>
              </w:rPr>
            </w:pPr>
            <w:r>
              <w:rPr>
                <w:sz w:val="20"/>
              </w:rPr>
              <w:t>[95.0]</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9" w:lineRule="exact"/>
              <w:ind w:left="430" w:right="410"/>
              <w:rPr>
                <w:sz w:val="20"/>
              </w:rPr>
            </w:pPr>
            <w:r>
              <w:rPr>
                <w:sz w:val="20"/>
              </w:rPr>
              <w:t>14328</w:t>
            </w:r>
          </w:p>
          <w:p w:rsidR="00275267" w:rsidRDefault="00B45ABC">
            <w:pPr>
              <w:pStyle w:val="TableParagraph"/>
              <w:spacing w:line="229" w:lineRule="exact"/>
              <w:ind w:left="428" w:right="410"/>
              <w:rPr>
                <w:sz w:val="20"/>
              </w:rPr>
            </w:pPr>
            <w:r>
              <w:rPr>
                <w:sz w:val="20"/>
              </w:rPr>
              <w:t>[344]</w:t>
            </w:r>
          </w:p>
          <w:p w:rsidR="00275267" w:rsidRDefault="00B45ABC">
            <w:pPr>
              <w:pStyle w:val="TableParagraph"/>
              <w:spacing w:line="229" w:lineRule="exact"/>
              <w:ind w:left="428" w:right="410"/>
              <w:rPr>
                <w:sz w:val="20"/>
              </w:rPr>
            </w:pPr>
            <w:r>
              <w:rPr>
                <w:sz w:val="20"/>
              </w:rPr>
              <w:t>9931</w:t>
            </w:r>
          </w:p>
          <w:p w:rsidR="00275267" w:rsidRDefault="00B45ABC">
            <w:pPr>
              <w:pStyle w:val="TableParagraph"/>
              <w:spacing w:before="1" w:line="211" w:lineRule="exact"/>
              <w:ind w:left="428" w:right="410"/>
              <w:rPr>
                <w:sz w:val="20"/>
              </w:rPr>
            </w:pPr>
            <w:r>
              <w:rPr>
                <w:sz w:val="20"/>
              </w:rPr>
              <w:t>[238]</w:t>
            </w:r>
          </w:p>
        </w:tc>
      </w:tr>
      <w:tr w:rsidR="00275267">
        <w:trPr>
          <w:trHeight w:val="906"/>
        </w:trPr>
        <w:tc>
          <w:tcPr>
            <w:tcW w:w="2179" w:type="dxa"/>
            <w:vMerge/>
            <w:tcBorders>
              <w:top w:val="nil"/>
              <w:right w:val="single" w:sz="4" w:space="0" w:color="000000"/>
            </w:tcBorders>
          </w:tcPr>
          <w:p w:rsidR="00275267" w:rsidRDefault="00275267">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11"/>
              <w:rPr>
                <w:sz w:val="20"/>
              </w:rPr>
            </w:pPr>
            <w:r>
              <w:rPr>
                <w:w w:val="99"/>
                <w:sz w:val="20"/>
              </w:rPr>
              <w:t>3</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11"/>
              <w:rPr>
                <w:sz w:val="20"/>
              </w:rPr>
            </w:pPr>
            <w:r>
              <w:rPr>
                <w:w w:val="99"/>
                <w:sz w:val="20"/>
              </w:rPr>
              <w:t>M</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372"/>
              <w:jc w:val="left"/>
              <w:rPr>
                <w:sz w:val="20"/>
              </w:rPr>
            </w:pPr>
            <w:r>
              <w:rPr>
                <w:sz w:val="20"/>
              </w:rPr>
              <w:t>459.332</w:t>
            </w:r>
          </w:p>
          <w:p w:rsidR="00275267" w:rsidRDefault="00B45ABC">
            <w:pPr>
              <w:pStyle w:val="TableParagraph"/>
              <w:spacing w:line="240" w:lineRule="auto"/>
              <w:ind w:left="456"/>
              <w:jc w:val="left"/>
              <w:rPr>
                <w:sz w:val="20"/>
              </w:rPr>
            </w:pPr>
            <w:r>
              <w:rPr>
                <w:sz w:val="20"/>
              </w:rPr>
              <w:t>[11.0]</w:t>
            </w:r>
          </w:p>
          <w:p w:rsidR="00275267" w:rsidRDefault="00B45ABC">
            <w:pPr>
              <w:pStyle w:val="TableParagraph"/>
              <w:spacing w:before="1" w:line="240" w:lineRule="auto"/>
              <w:ind w:left="372"/>
              <w:jc w:val="left"/>
              <w:rPr>
                <w:sz w:val="20"/>
              </w:rPr>
            </w:pPr>
            <w:r>
              <w:rPr>
                <w:sz w:val="20"/>
              </w:rPr>
              <w:t>721.407</w:t>
            </w:r>
          </w:p>
          <w:p w:rsidR="00275267" w:rsidRDefault="00B45ABC">
            <w:pPr>
              <w:pStyle w:val="TableParagraph"/>
              <w:spacing w:line="211" w:lineRule="exact"/>
              <w:ind w:left="456"/>
              <w:jc w:val="left"/>
              <w:rPr>
                <w:sz w:val="20"/>
              </w:rPr>
            </w:pPr>
            <w:r>
              <w:rPr>
                <w:sz w:val="20"/>
              </w:rPr>
              <w:t>[17.3]</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252" w:right="239"/>
              <w:rPr>
                <w:sz w:val="20"/>
              </w:rPr>
            </w:pPr>
            <w:r>
              <w:rPr>
                <w:sz w:val="20"/>
              </w:rPr>
              <w:t>1796.377</w:t>
            </w:r>
          </w:p>
          <w:p w:rsidR="00275267" w:rsidRDefault="00B45ABC">
            <w:pPr>
              <w:pStyle w:val="TableParagraph"/>
              <w:spacing w:line="240" w:lineRule="auto"/>
              <w:ind w:left="252" w:right="239"/>
              <w:rPr>
                <w:sz w:val="20"/>
              </w:rPr>
            </w:pPr>
            <w:r>
              <w:rPr>
                <w:sz w:val="20"/>
              </w:rPr>
              <w:t>[43.1]</w:t>
            </w:r>
          </w:p>
          <w:p w:rsidR="00275267" w:rsidRDefault="00B45ABC">
            <w:pPr>
              <w:pStyle w:val="TableParagraph"/>
              <w:spacing w:before="1" w:line="240" w:lineRule="auto"/>
              <w:ind w:left="252" w:right="239"/>
              <w:rPr>
                <w:sz w:val="20"/>
              </w:rPr>
            </w:pPr>
            <w:r>
              <w:rPr>
                <w:sz w:val="20"/>
              </w:rPr>
              <w:t>1731.793</w:t>
            </w:r>
          </w:p>
          <w:p w:rsidR="00275267" w:rsidRDefault="00B45ABC">
            <w:pPr>
              <w:pStyle w:val="TableParagraph"/>
              <w:spacing w:line="211" w:lineRule="exact"/>
              <w:ind w:left="252" w:right="239"/>
              <w:rPr>
                <w:sz w:val="20"/>
              </w:rPr>
            </w:pPr>
            <w:r>
              <w:rPr>
                <w:sz w:val="20"/>
              </w:rPr>
              <w:t>[41.6]</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253" w:right="239"/>
              <w:rPr>
                <w:sz w:val="20"/>
              </w:rPr>
            </w:pPr>
            <w:r>
              <w:rPr>
                <w:sz w:val="20"/>
              </w:rPr>
              <w:t>8429</w:t>
            </w:r>
          </w:p>
          <w:p w:rsidR="00275267" w:rsidRDefault="00B45ABC">
            <w:pPr>
              <w:pStyle w:val="TableParagraph"/>
              <w:spacing w:line="240" w:lineRule="auto"/>
              <w:ind w:left="253" w:right="239"/>
              <w:rPr>
                <w:sz w:val="20"/>
              </w:rPr>
            </w:pPr>
            <w:r>
              <w:rPr>
                <w:sz w:val="20"/>
              </w:rPr>
              <w:t>[202]</w:t>
            </w:r>
          </w:p>
          <w:p w:rsidR="00275267" w:rsidRDefault="00B45ABC">
            <w:pPr>
              <w:pStyle w:val="TableParagraph"/>
              <w:spacing w:before="1" w:line="240" w:lineRule="auto"/>
              <w:ind w:left="254" w:right="238"/>
              <w:rPr>
                <w:sz w:val="20"/>
              </w:rPr>
            </w:pPr>
            <w:r>
              <w:rPr>
                <w:sz w:val="20"/>
              </w:rPr>
              <w:t>11179</w:t>
            </w:r>
          </w:p>
          <w:p w:rsidR="00275267" w:rsidRDefault="00B45ABC">
            <w:pPr>
              <w:pStyle w:val="TableParagraph"/>
              <w:spacing w:line="211" w:lineRule="exact"/>
              <w:ind w:left="253" w:right="239"/>
              <w:rPr>
                <w:sz w:val="20"/>
              </w:rPr>
            </w:pPr>
            <w:r>
              <w:rPr>
                <w:sz w:val="20"/>
              </w:rPr>
              <w:t>[268]</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4" w:lineRule="exact"/>
              <w:ind w:left="430" w:right="410"/>
              <w:rPr>
                <w:sz w:val="20"/>
              </w:rPr>
            </w:pPr>
            <w:r>
              <w:rPr>
                <w:sz w:val="20"/>
              </w:rPr>
              <w:t>33939</w:t>
            </w:r>
          </w:p>
          <w:p w:rsidR="00275267" w:rsidRDefault="00B45ABC">
            <w:pPr>
              <w:pStyle w:val="TableParagraph"/>
              <w:spacing w:line="240" w:lineRule="auto"/>
              <w:ind w:left="428" w:right="410"/>
              <w:rPr>
                <w:sz w:val="20"/>
              </w:rPr>
            </w:pPr>
            <w:r>
              <w:rPr>
                <w:sz w:val="20"/>
              </w:rPr>
              <w:t>[815]</w:t>
            </w:r>
          </w:p>
          <w:p w:rsidR="00275267" w:rsidRDefault="00B45ABC">
            <w:pPr>
              <w:pStyle w:val="TableParagraph"/>
              <w:spacing w:before="1" w:line="240" w:lineRule="auto"/>
              <w:ind w:left="430" w:right="410"/>
              <w:rPr>
                <w:sz w:val="20"/>
              </w:rPr>
            </w:pPr>
            <w:r>
              <w:rPr>
                <w:sz w:val="20"/>
              </w:rPr>
              <w:t>28057</w:t>
            </w:r>
          </w:p>
          <w:p w:rsidR="00275267" w:rsidRDefault="00B45ABC">
            <w:pPr>
              <w:pStyle w:val="TableParagraph"/>
              <w:spacing w:line="211" w:lineRule="exact"/>
              <w:ind w:left="428" w:right="410"/>
              <w:rPr>
                <w:sz w:val="20"/>
              </w:rPr>
            </w:pPr>
            <w:r>
              <w:rPr>
                <w:sz w:val="20"/>
              </w:rPr>
              <w:t>[673]</w:t>
            </w:r>
          </w:p>
        </w:tc>
      </w:tr>
      <w:tr w:rsidR="00275267">
        <w:trPr>
          <w:trHeight w:val="903"/>
        </w:trPr>
        <w:tc>
          <w:tcPr>
            <w:tcW w:w="2179" w:type="dxa"/>
            <w:vMerge/>
            <w:tcBorders>
              <w:top w:val="nil"/>
              <w:right w:val="single" w:sz="4" w:space="0" w:color="000000"/>
            </w:tcBorders>
          </w:tcPr>
          <w:p w:rsidR="00275267" w:rsidRDefault="00275267">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350"/>
              <w:jc w:val="left"/>
              <w:rPr>
                <w:sz w:val="20"/>
              </w:rPr>
            </w:pPr>
            <w:r>
              <w:rPr>
                <w:sz w:val="20"/>
              </w:rPr>
              <w:t>10</w:t>
            </w:r>
          </w:p>
        </w:tc>
        <w:tc>
          <w:tcPr>
            <w:tcW w:w="540"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11"/>
              <w:rPr>
                <w:sz w:val="20"/>
              </w:rPr>
            </w:pPr>
            <w:r>
              <w:rPr>
                <w:w w:val="99"/>
                <w:sz w:val="20"/>
              </w:rPr>
              <w:t>M</w:t>
            </w:r>
          </w:p>
          <w:p w:rsidR="00275267" w:rsidRDefault="00275267">
            <w:pPr>
              <w:pStyle w:val="TableParagraph"/>
              <w:spacing w:before="9" w:line="240" w:lineRule="auto"/>
              <w:jc w:val="left"/>
              <w:rPr>
                <w:b/>
                <w:sz w:val="19"/>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3" w:lineRule="exact"/>
              <w:ind w:left="251" w:right="239"/>
              <w:rPr>
                <w:sz w:val="20"/>
              </w:rPr>
            </w:pPr>
            <w:r>
              <w:rPr>
                <w:sz w:val="20"/>
              </w:rPr>
              <w:t>1172.404</w:t>
            </w:r>
          </w:p>
          <w:p w:rsidR="00275267" w:rsidRDefault="00B45ABC">
            <w:pPr>
              <w:pStyle w:val="TableParagraph"/>
              <w:spacing w:line="229" w:lineRule="exact"/>
              <w:ind w:left="251" w:right="239"/>
              <w:rPr>
                <w:sz w:val="20"/>
              </w:rPr>
            </w:pPr>
            <w:r>
              <w:rPr>
                <w:sz w:val="20"/>
              </w:rPr>
              <w:t>[28.1]</w:t>
            </w:r>
          </w:p>
          <w:p w:rsidR="00275267" w:rsidRDefault="00B45ABC">
            <w:pPr>
              <w:pStyle w:val="TableParagraph"/>
              <w:spacing w:line="240" w:lineRule="auto"/>
              <w:ind w:left="251" w:right="239"/>
              <w:rPr>
                <w:sz w:val="20"/>
              </w:rPr>
            </w:pPr>
            <w:r>
              <w:rPr>
                <w:sz w:val="20"/>
              </w:rPr>
              <w:t>1341.510</w:t>
            </w:r>
          </w:p>
          <w:p w:rsidR="00275267" w:rsidRDefault="00B45ABC">
            <w:pPr>
              <w:pStyle w:val="TableParagraph"/>
              <w:spacing w:before="1" w:line="211" w:lineRule="exact"/>
              <w:ind w:left="251" w:right="239"/>
              <w:rPr>
                <w:sz w:val="20"/>
              </w:rPr>
            </w:pPr>
            <w:r>
              <w:rPr>
                <w:sz w:val="20"/>
              </w:rPr>
              <w:t>[32.2]</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3" w:lineRule="exact"/>
              <w:ind w:left="252" w:right="239"/>
              <w:rPr>
                <w:sz w:val="20"/>
              </w:rPr>
            </w:pPr>
            <w:r>
              <w:rPr>
                <w:sz w:val="20"/>
              </w:rPr>
              <w:t>5139.860</w:t>
            </w:r>
          </w:p>
          <w:p w:rsidR="00275267" w:rsidRDefault="00B45ABC">
            <w:pPr>
              <w:pStyle w:val="TableParagraph"/>
              <w:spacing w:line="229" w:lineRule="exact"/>
              <w:ind w:left="252" w:right="239"/>
              <w:rPr>
                <w:sz w:val="20"/>
              </w:rPr>
            </w:pPr>
            <w:r>
              <w:rPr>
                <w:sz w:val="20"/>
              </w:rPr>
              <w:t>[123]</w:t>
            </w:r>
          </w:p>
          <w:p w:rsidR="00275267" w:rsidRDefault="00B45ABC">
            <w:pPr>
              <w:pStyle w:val="TableParagraph"/>
              <w:spacing w:line="240" w:lineRule="auto"/>
              <w:ind w:left="252" w:right="239"/>
              <w:rPr>
                <w:sz w:val="20"/>
              </w:rPr>
            </w:pPr>
            <w:r>
              <w:rPr>
                <w:sz w:val="20"/>
              </w:rPr>
              <w:t>4943.954</w:t>
            </w:r>
          </w:p>
          <w:p w:rsidR="00275267" w:rsidRDefault="00B45ABC">
            <w:pPr>
              <w:pStyle w:val="TableParagraph"/>
              <w:spacing w:before="1" w:line="211" w:lineRule="exact"/>
              <w:ind w:left="252" w:right="239"/>
              <w:rPr>
                <w:sz w:val="20"/>
              </w:rPr>
            </w:pPr>
            <w:r>
              <w:rPr>
                <w:sz w:val="20"/>
              </w:rPr>
              <w:t>[119]</w:t>
            </w:r>
          </w:p>
        </w:tc>
        <w:tc>
          <w:tcPr>
            <w:tcW w:w="139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3" w:lineRule="exact"/>
              <w:ind w:left="254" w:right="238"/>
              <w:rPr>
                <w:sz w:val="20"/>
              </w:rPr>
            </w:pPr>
            <w:r>
              <w:rPr>
                <w:sz w:val="20"/>
              </w:rPr>
              <w:t>23154</w:t>
            </w:r>
          </w:p>
          <w:p w:rsidR="00275267" w:rsidRDefault="00B45ABC">
            <w:pPr>
              <w:pStyle w:val="TableParagraph"/>
              <w:spacing w:line="229" w:lineRule="exact"/>
              <w:ind w:left="253" w:right="239"/>
              <w:rPr>
                <w:sz w:val="20"/>
              </w:rPr>
            </w:pPr>
            <w:r>
              <w:rPr>
                <w:sz w:val="20"/>
              </w:rPr>
              <w:t>[556]</w:t>
            </w:r>
          </w:p>
          <w:p w:rsidR="00275267" w:rsidRDefault="00B45ABC">
            <w:pPr>
              <w:pStyle w:val="TableParagraph"/>
              <w:spacing w:line="240" w:lineRule="auto"/>
              <w:ind w:left="254" w:right="238"/>
              <w:rPr>
                <w:sz w:val="20"/>
              </w:rPr>
            </w:pPr>
            <w:r>
              <w:rPr>
                <w:sz w:val="20"/>
              </w:rPr>
              <w:t>23821</w:t>
            </w:r>
          </w:p>
          <w:p w:rsidR="00275267" w:rsidRDefault="00B45ABC">
            <w:pPr>
              <w:pStyle w:val="TableParagraph"/>
              <w:spacing w:before="1" w:line="211" w:lineRule="exact"/>
              <w:ind w:left="253" w:right="239"/>
              <w:rPr>
                <w:sz w:val="20"/>
              </w:rPr>
            </w:pPr>
            <w:r>
              <w:rPr>
                <w:sz w:val="20"/>
              </w:rPr>
              <w:t>[572]</w:t>
            </w:r>
          </w:p>
        </w:tc>
        <w:tc>
          <w:tcPr>
            <w:tcW w:w="1396" w:type="dxa"/>
            <w:tcBorders>
              <w:top w:val="single" w:sz="4" w:space="0" w:color="000000"/>
              <w:left w:val="single" w:sz="4" w:space="0" w:color="000000"/>
              <w:bottom w:val="single" w:sz="4" w:space="0" w:color="000000"/>
            </w:tcBorders>
          </w:tcPr>
          <w:p w:rsidR="00275267" w:rsidRDefault="00B45ABC">
            <w:pPr>
              <w:pStyle w:val="TableParagraph"/>
              <w:spacing w:line="213" w:lineRule="exact"/>
              <w:ind w:left="399"/>
              <w:jc w:val="left"/>
              <w:rPr>
                <w:sz w:val="20"/>
              </w:rPr>
            </w:pPr>
            <w:r>
              <w:rPr>
                <w:sz w:val="20"/>
              </w:rPr>
              <w:t>102526</w:t>
            </w:r>
          </w:p>
          <w:p w:rsidR="00275267" w:rsidRDefault="00B45ABC">
            <w:pPr>
              <w:pStyle w:val="TableParagraph"/>
              <w:spacing w:line="229" w:lineRule="exact"/>
              <w:ind w:left="433"/>
              <w:jc w:val="left"/>
              <w:rPr>
                <w:sz w:val="20"/>
              </w:rPr>
            </w:pPr>
            <w:r>
              <w:rPr>
                <w:sz w:val="20"/>
              </w:rPr>
              <w:t>[2461]</w:t>
            </w:r>
          </w:p>
          <w:p w:rsidR="00275267" w:rsidRDefault="00B45ABC">
            <w:pPr>
              <w:pStyle w:val="TableParagraph"/>
              <w:spacing w:line="240" w:lineRule="auto"/>
              <w:ind w:left="450"/>
              <w:jc w:val="left"/>
              <w:rPr>
                <w:sz w:val="20"/>
              </w:rPr>
            </w:pPr>
            <w:r>
              <w:rPr>
                <w:sz w:val="20"/>
              </w:rPr>
              <w:t>95616</w:t>
            </w:r>
          </w:p>
          <w:p w:rsidR="00275267" w:rsidRDefault="00B45ABC">
            <w:pPr>
              <w:pStyle w:val="TableParagraph"/>
              <w:spacing w:before="1" w:line="211" w:lineRule="exact"/>
              <w:ind w:left="433"/>
              <w:jc w:val="left"/>
              <w:rPr>
                <w:sz w:val="20"/>
              </w:rPr>
            </w:pPr>
            <w:r>
              <w:rPr>
                <w:sz w:val="20"/>
              </w:rPr>
              <w:t>[2295]</w:t>
            </w:r>
          </w:p>
        </w:tc>
      </w:tr>
      <w:tr w:rsidR="00275267">
        <w:trPr>
          <w:trHeight w:val="911"/>
        </w:trPr>
        <w:tc>
          <w:tcPr>
            <w:tcW w:w="2179" w:type="dxa"/>
            <w:vMerge/>
            <w:tcBorders>
              <w:top w:val="nil"/>
              <w:right w:val="single" w:sz="4" w:space="0" w:color="000000"/>
            </w:tcBorders>
          </w:tcPr>
          <w:p w:rsidR="00275267" w:rsidRDefault="00275267">
            <w:pPr>
              <w:rPr>
                <w:sz w:val="2"/>
                <w:szCs w:val="2"/>
              </w:rPr>
            </w:pPr>
          </w:p>
        </w:tc>
        <w:tc>
          <w:tcPr>
            <w:tcW w:w="900" w:type="dxa"/>
            <w:tcBorders>
              <w:top w:val="single" w:sz="4" w:space="0" w:color="000000"/>
              <w:left w:val="single" w:sz="4" w:space="0" w:color="000000"/>
              <w:right w:val="single" w:sz="4" w:space="0" w:color="000000"/>
            </w:tcBorders>
          </w:tcPr>
          <w:p w:rsidR="00275267" w:rsidRDefault="00B45ABC">
            <w:pPr>
              <w:pStyle w:val="TableParagraph"/>
              <w:spacing w:line="214" w:lineRule="exact"/>
              <w:ind w:left="300"/>
              <w:jc w:val="left"/>
              <w:rPr>
                <w:sz w:val="20"/>
              </w:rPr>
            </w:pPr>
            <w:r>
              <w:rPr>
                <w:sz w:val="20"/>
              </w:rPr>
              <w:t>100</w:t>
            </w:r>
          </w:p>
        </w:tc>
        <w:tc>
          <w:tcPr>
            <w:tcW w:w="540" w:type="dxa"/>
            <w:tcBorders>
              <w:top w:val="single" w:sz="4" w:space="0" w:color="000000"/>
              <w:left w:val="single" w:sz="4" w:space="0" w:color="000000"/>
              <w:right w:val="single" w:sz="4" w:space="0" w:color="000000"/>
            </w:tcBorders>
          </w:tcPr>
          <w:p w:rsidR="00275267" w:rsidRDefault="00B45ABC">
            <w:pPr>
              <w:pStyle w:val="TableParagraph"/>
              <w:spacing w:line="214" w:lineRule="exact"/>
              <w:ind w:left="11"/>
              <w:rPr>
                <w:sz w:val="20"/>
              </w:rPr>
            </w:pPr>
            <w:r>
              <w:rPr>
                <w:w w:val="99"/>
                <w:sz w:val="20"/>
              </w:rPr>
              <w:t>M</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2"/>
              <w:rPr>
                <w:sz w:val="20"/>
              </w:rPr>
            </w:pPr>
            <w:r>
              <w:rPr>
                <w:w w:val="99"/>
                <w:sz w:val="20"/>
              </w:rPr>
              <w:t>F</w:t>
            </w:r>
          </w:p>
        </w:tc>
        <w:tc>
          <w:tcPr>
            <w:tcW w:w="1394" w:type="dxa"/>
            <w:tcBorders>
              <w:top w:val="single" w:sz="4" w:space="0" w:color="000000"/>
              <w:left w:val="single" w:sz="4" w:space="0" w:color="000000"/>
              <w:right w:val="single" w:sz="4" w:space="0" w:color="000000"/>
            </w:tcBorders>
          </w:tcPr>
          <w:p w:rsidR="00275267" w:rsidRDefault="00B45ABC">
            <w:pPr>
              <w:pStyle w:val="TableParagraph"/>
              <w:spacing w:line="214" w:lineRule="exact"/>
              <w:ind w:left="251" w:right="239"/>
              <w:rPr>
                <w:sz w:val="20"/>
              </w:rPr>
            </w:pPr>
            <w:r>
              <w:rPr>
                <w:sz w:val="20"/>
              </w:rPr>
              <w:t>3548.723</w:t>
            </w:r>
          </w:p>
          <w:p w:rsidR="00275267" w:rsidRDefault="00B45ABC">
            <w:pPr>
              <w:pStyle w:val="TableParagraph"/>
              <w:spacing w:line="240" w:lineRule="auto"/>
              <w:ind w:left="251" w:right="239"/>
              <w:rPr>
                <w:sz w:val="20"/>
              </w:rPr>
            </w:pPr>
            <w:r>
              <w:rPr>
                <w:sz w:val="20"/>
              </w:rPr>
              <w:t>[85.2]</w:t>
            </w:r>
          </w:p>
          <w:p w:rsidR="00275267" w:rsidRDefault="00B45ABC">
            <w:pPr>
              <w:pStyle w:val="TableParagraph"/>
              <w:spacing w:before="1" w:line="229" w:lineRule="exact"/>
              <w:ind w:left="251" w:right="239"/>
              <w:rPr>
                <w:sz w:val="20"/>
              </w:rPr>
            </w:pPr>
            <w:r>
              <w:rPr>
                <w:sz w:val="20"/>
              </w:rPr>
              <w:t>3381.809</w:t>
            </w:r>
          </w:p>
          <w:p w:rsidR="00275267" w:rsidRDefault="00B45ABC">
            <w:pPr>
              <w:pStyle w:val="TableParagraph"/>
              <w:spacing w:line="217" w:lineRule="exact"/>
              <w:ind w:left="251" w:right="239"/>
              <w:rPr>
                <w:sz w:val="20"/>
              </w:rPr>
            </w:pPr>
            <w:r>
              <w:rPr>
                <w:sz w:val="20"/>
              </w:rPr>
              <w:t>[81.2]</w:t>
            </w:r>
          </w:p>
        </w:tc>
        <w:tc>
          <w:tcPr>
            <w:tcW w:w="1394" w:type="dxa"/>
            <w:tcBorders>
              <w:top w:val="single" w:sz="4" w:space="0" w:color="000000"/>
              <w:left w:val="single" w:sz="4" w:space="0" w:color="000000"/>
              <w:right w:val="single" w:sz="4" w:space="0" w:color="000000"/>
            </w:tcBorders>
          </w:tcPr>
          <w:p w:rsidR="00275267" w:rsidRDefault="00B45ABC">
            <w:pPr>
              <w:pStyle w:val="TableParagraph"/>
              <w:spacing w:line="214" w:lineRule="exact"/>
              <w:ind w:left="254" w:right="239"/>
              <w:rPr>
                <w:sz w:val="20"/>
              </w:rPr>
            </w:pPr>
            <w:r>
              <w:rPr>
                <w:sz w:val="20"/>
              </w:rPr>
              <w:t>10453.157</w:t>
            </w:r>
          </w:p>
          <w:p w:rsidR="00275267" w:rsidRDefault="00B45ABC">
            <w:pPr>
              <w:pStyle w:val="TableParagraph"/>
              <w:spacing w:line="240" w:lineRule="auto"/>
              <w:ind w:left="252" w:right="239"/>
              <w:rPr>
                <w:sz w:val="20"/>
              </w:rPr>
            </w:pPr>
            <w:r>
              <w:rPr>
                <w:sz w:val="20"/>
              </w:rPr>
              <w:t>[251]</w:t>
            </w:r>
          </w:p>
          <w:p w:rsidR="00275267" w:rsidRDefault="00B45ABC">
            <w:pPr>
              <w:pStyle w:val="TableParagraph"/>
              <w:spacing w:before="1" w:line="229" w:lineRule="exact"/>
              <w:ind w:left="252" w:right="239"/>
              <w:rPr>
                <w:sz w:val="20"/>
              </w:rPr>
            </w:pPr>
            <w:r>
              <w:rPr>
                <w:sz w:val="20"/>
              </w:rPr>
              <w:t>9082.809</w:t>
            </w:r>
          </w:p>
          <w:p w:rsidR="00275267" w:rsidRDefault="00B45ABC">
            <w:pPr>
              <w:pStyle w:val="TableParagraph"/>
              <w:spacing w:line="217" w:lineRule="exact"/>
              <w:ind w:left="252" w:right="239"/>
              <w:rPr>
                <w:sz w:val="20"/>
              </w:rPr>
            </w:pPr>
            <w:r>
              <w:rPr>
                <w:sz w:val="20"/>
              </w:rPr>
              <w:t>[218]</w:t>
            </w:r>
          </w:p>
        </w:tc>
        <w:tc>
          <w:tcPr>
            <w:tcW w:w="1394" w:type="dxa"/>
            <w:tcBorders>
              <w:top w:val="single" w:sz="4" w:space="0" w:color="000000"/>
              <w:left w:val="single" w:sz="4" w:space="0" w:color="000000"/>
              <w:right w:val="single" w:sz="4" w:space="0" w:color="000000"/>
            </w:tcBorders>
          </w:tcPr>
          <w:p w:rsidR="00275267" w:rsidRDefault="00B45ABC">
            <w:pPr>
              <w:pStyle w:val="TableParagraph"/>
              <w:spacing w:line="214" w:lineRule="exact"/>
              <w:ind w:left="449"/>
              <w:jc w:val="left"/>
              <w:rPr>
                <w:sz w:val="20"/>
              </w:rPr>
            </w:pPr>
            <w:r>
              <w:rPr>
                <w:sz w:val="20"/>
              </w:rPr>
              <w:t>56234</w:t>
            </w:r>
          </w:p>
          <w:p w:rsidR="00275267" w:rsidRDefault="00B45ABC">
            <w:pPr>
              <w:pStyle w:val="TableParagraph"/>
              <w:spacing w:line="240" w:lineRule="auto"/>
              <w:ind w:left="432"/>
              <w:jc w:val="left"/>
              <w:rPr>
                <w:sz w:val="20"/>
              </w:rPr>
            </w:pPr>
            <w:r>
              <w:rPr>
                <w:sz w:val="20"/>
              </w:rPr>
              <w:t>[1350]</w:t>
            </w:r>
          </w:p>
          <w:p w:rsidR="00275267" w:rsidRDefault="00B45ABC">
            <w:pPr>
              <w:pStyle w:val="TableParagraph"/>
              <w:spacing w:before="1" w:line="229" w:lineRule="exact"/>
              <w:ind w:left="449"/>
              <w:jc w:val="left"/>
              <w:rPr>
                <w:sz w:val="20"/>
              </w:rPr>
            </w:pPr>
            <w:r>
              <w:rPr>
                <w:sz w:val="20"/>
              </w:rPr>
              <w:t>62993</w:t>
            </w:r>
          </w:p>
          <w:p w:rsidR="00275267" w:rsidRDefault="00B45ABC">
            <w:pPr>
              <w:pStyle w:val="TableParagraph"/>
              <w:spacing w:line="217" w:lineRule="exact"/>
              <w:ind w:left="432"/>
              <w:jc w:val="left"/>
              <w:rPr>
                <w:sz w:val="20"/>
              </w:rPr>
            </w:pPr>
            <w:r>
              <w:rPr>
                <w:sz w:val="20"/>
              </w:rPr>
              <w:t>[1512]</w:t>
            </w:r>
          </w:p>
        </w:tc>
        <w:tc>
          <w:tcPr>
            <w:tcW w:w="1396" w:type="dxa"/>
            <w:tcBorders>
              <w:top w:val="single" w:sz="4" w:space="0" w:color="000000"/>
              <w:left w:val="single" w:sz="4" w:space="0" w:color="000000"/>
            </w:tcBorders>
          </w:tcPr>
          <w:p w:rsidR="00275267" w:rsidRDefault="00B45ABC">
            <w:pPr>
              <w:pStyle w:val="TableParagraph"/>
              <w:spacing w:line="214" w:lineRule="exact"/>
              <w:ind w:left="399"/>
              <w:jc w:val="left"/>
              <w:rPr>
                <w:sz w:val="20"/>
              </w:rPr>
            </w:pPr>
            <w:r>
              <w:rPr>
                <w:sz w:val="20"/>
              </w:rPr>
              <w:t>207920</w:t>
            </w:r>
          </w:p>
          <w:p w:rsidR="00275267" w:rsidRDefault="00B45ABC">
            <w:pPr>
              <w:pStyle w:val="TableParagraph"/>
              <w:spacing w:line="240" w:lineRule="auto"/>
              <w:ind w:left="433"/>
              <w:jc w:val="left"/>
              <w:rPr>
                <w:sz w:val="20"/>
              </w:rPr>
            </w:pPr>
            <w:r>
              <w:rPr>
                <w:sz w:val="20"/>
              </w:rPr>
              <w:t>[4990]</w:t>
            </w:r>
          </w:p>
          <w:p w:rsidR="00275267" w:rsidRDefault="00B45ABC">
            <w:pPr>
              <w:pStyle w:val="TableParagraph"/>
              <w:spacing w:before="1" w:line="229" w:lineRule="exact"/>
              <w:ind w:left="399"/>
              <w:jc w:val="left"/>
              <w:rPr>
                <w:sz w:val="20"/>
              </w:rPr>
            </w:pPr>
            <w:r>
              <w:rPr>
                <w:sz w:val="20"/>
              </w:rPr>
              <w:t>176081</w:t>
            </w:r>
          </w:p>
          <w:p w:rsidR="00275267" w:rsidRDefault="00B45ABC">
            <w:pPr>
              <w:pStyle w:val="TableParagraph"/>
              <w:spacing w:line="217" w:lineRule="exact"/>
              <w:ind w:left="433"/>
              <w:jc w:val="left"/>
              <w:rPr>
                <w:sz w:val="20"/>
              </w:rPr>
            </w:pPr>
            <w:r>
              <w:rPr>
                <w:sz w:val="20"/>
              </w:rPr>
              <w:t>[4226]</w:t>
            </w:r>
          </w:p>
        </w:tc>
      </w:tr>
    </w:tbl>
    <w:p w:rsidR="00275267" w:rsidRDefault="00B45ABC">
      <w:pPr>
        <w:spacing w:before="51"/>
        <w:ind w:left="232"/>
        <w:rPr>
          <w:sz w:val="20"/>
        </w:rPr>
      </w:pPr>
      <w:r>
        <w:rPr>
          <w:sz w:val="20"/>
        </w:rPr>
        <w:t>No-observed-adverse-effect levels (NOAELs) for general toxicity are underlined.</w:t>
      </w:r>
    </w:p>
    <w:p w:rsidR="00275267" w:rsidRDefault="00B45ABC">
      <w:pPr>
        <w:spacing w:before="58" w:line="302" w:lineRule="auto"/>
        <w:ind w:left="232" w:right="3771"/>
        <w:rPr>
          <w:sz w:val="20"/>
        </w:rPr>
      </w:pPr>
      <w:r>
        <w:rPr>
          <w:sz w:val="20"/>
        </w:rPr>
        <w:t xml:space="preserve">† Unbound plasma concentrations were calculated based on data from </w:t>
      </w:r>
      <w:r w:rsidR="002B4CFB">
        <w:rPr>
          <w:sz w:val="20"/>
        </w:rPr>
        <w:t>Project R</w:t>
      </w:r>
      <w:r>
        <w:rPr>
          <w:sz w:val="20"/>
        </w:rPr>
        <w:t xml:space="preserve">-ME-008. Source: </w:t>
      </w:r>
      <w:r w:rsidR="002B4CFB">
        <w:rPr>
          <w:sz w:val="20"/>
        </w:rPr>
        <w:t>Project R</w:t>
      </w:r>
      <w:r>
        <w:rPr>
          <w:sz w:val="20"/>
        </w:rPr>
        <w:t xml:space="preserve">-TX-0009 (rat) and </w:t>
      </w:r>
      <w:r w:rsidR="002B4CFB">
        <w:rPr>
          <w:sz w:val="20"/>
        </w:rPr>
        <w:t>Project R</w:t>
      </w:r>
      <w:r>
        <w:rPr>
          <w:sz w:val="20"/>
        </w:rPr>
        <w:t>-TX-0010 (monkey)</w:t>
      </w:r>
    </w:p>
    <w:p w:rsidR="00275267" w:rsidRDefault="00275267">
      <w:pPr>
        <w:pStyle w:val="a3"/>
        <w:rPr>
          <w:sz w:val="22"/>
        </w:rPr>
      </w:pPr>
    </w:p>
    <w:p w:rsidR="00275267" w:rsidRDefault="00275267">
      <w:pPr>
        <w:pStyle w:val="a3"/>
        <w:spacing w:before="5"/>
        <w:rPr>
          <w:sz w:val="22"/>
        </w:rPr>
      </w:pPr>
    </w:p>
    <w:p w:rsidR="00275267" w:rsidRDefault="00B45ABC">
      <w:pPr>
        <w:pStyle w:val="3"/>
        <w:numPr>
          <w:ilvl w:val="2"/>
          <w:numId w:val="7"/>
        </w:numPr>
        <w:tabs>
          <w:tab w:val="left" w:pos="1084"/>
          <w:tab w:val="left" w:pos="1085"/>
        </w:tabs>
        <w:spacing w:before="1"/>
      </w:pPr>
      <w:bookmarkStart w:id="26" w:name="4.3.3_Genotoxicity"/>
      <w:bookmarkStart w:id="27" w:name="_bookmark54"/>
      <w:bookmarkEnd w:id="26"/>
      <w:bookmarkEnd w:id="27"/>
      <w:r>
        <w:t>Genotoxicity</w:t>
      </w:r>
    </w:p>
    <w:p w:rsidR="00275267" w:rsidRDefault="002B4CFB">
      <w:pPr>
        <w:pStyle w:val="a3"/>
        <w:spacing w:before="139" w:line="261" w:lineRule="auto"/>
        <w:ind w:left="232" w:right="1695"/>
      </w:pPr>
      <w:r w:rsidRPr="002B4CFB">
        <w:rPr>
          <w:highlight w:val="yellow"/>
        </w:rPr>
        <w:t xml:space="preserve">PROJECT </w:t>
      </w:r>
      <w:proofErr w:type="spellStart"/>
      <w:r w:rsidRPr="002B4CFB">
        <w:rPr>
          <w:highlight w:val="yellow"/>
        </w:rPr>
        <w:t>R</w:t>
      </w:r>
      <w:r w:rsidR="00B45ABC" w:rsidRPr="002B4CFB">
        <w:rPr>
          <w:highlight w:val="yellow"/>
        </w:rPr>
        <w:t xml:space="preserve"> at</w:t>
      </w:r>
      <w:proofErr w:type="spellEnd"/>
      <w:r w:rsidR="00B45ABC" w:rsidRPr="002B4CFB">
        <w:rPr>
          <w:highlight w:val="yellow"/>
        </w:rPr>
        <w:t xml:space="preserve"> concentrations up to 5000 mcg/plate showed no mutagenic activity in the bacterial reverse mutation assay (</w:t>
      </w:r>
      <w:r w:rsidRPr="002B4CFB">
        <w:rPr>
          <w:highlight w:val="yellow"/>
        </w:rPr>
        <w:t>Project R</w:t>
      </w:r>
      <w:r w:rsidR="00B45ABC" w:rsidRPr="002B4CFB">
        <w:rPr>
          <w:highlight w:val="yellow"/>
        </w:rPr>
        <w:t>-TX-0001) [End-of-Text Table 3.7.1].</w:t>
      </w:r>
      <w:r w:rsidR="00B45ABC">
        <w:t xml:space="preserve"> </w:t>
      </w:r>
      <w:r>
        <w:t xml:space="preserve">PROJECT </w:t>
      </w:r>
      <w:proofErr w:type="spellStart"/>
      <w:r>
        <w:t>R</w:t>
      </w:r>
      <w:r w:rsidR="00B45ABC">
        <w:t xml:space="preserve"> at</w:t>
      </w:r>
      <w:proofErr w:type="spellEnd"/>
      <w:r w:rsidR="00B45ABC">
        <w:t xml:space="preserve"> concentrations ranging from 5 to 80 mcg/mL induced structural chromosomal aberrations in CHL/IU cells in short-term treatment without and with metabolic activation (</w:t>
      </w:r>
      <w:r>
        <w:t>Project R</w:t>
      </w:r>
      <w:r w:rsidR="00B45ABC">
        <w:t xml:space="preserve">-TX-0002) [End-of-Text Table 3.7.2]. </w:t>
      </w:r>
      <w:r>
        <w:t xml:space="preserve">PROJECT </w:t>
      </w:r>
      <w:proofErr w:type="spellStart"/>
      <w:r>
        <w:t>R</w:t>
      </w:r>
      <w:r w:rsidR="00B45ABC">
        <w:t xml:space="preserve"> at</w:t>
      </w:r>
      <w:proofErr w:type="spellEnd"/>
      <w:r w:rsidR="00B45ABC">
        <w:t xml:space="preserve"> doses up to 2000 mg/kg did not induce</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Default="00B45ABC">
      <w:pPr>
        <w:pStyle w:val="a3"/>
        <w:spacing w:before="227" w:line="261" w:lineRule="auto"/>
        <w:ind w:left="232" w:right="1630"/>
      </w:pPr>
      <w:proofErr w:type="spellStart"/>
      <w:r>
        <w:t>micronucleated</w:t>
      </w:r>
      <w:proofErr w:type="spellEnd"/>
      <w:r>
        <w:t xml:space="preserve"> polychromatic erythrocytes in murine bone marrow cells (</w:t>
      </w:r>
      <w:r w:rsidR="002B4CFB">
        <w:t>Project R</w:t>
      </w:r>
      <w:r>
        <w:t xml:space="preserve">-TX-0003) [End-of-Text Table 3.8.1]. </w:t>
      </w:r>
      <w:r w:rsidR="002B4CFB">
        <w:t xml:space="preserve">PROJECT </w:t>
      </w:r>
      <w:proofErr w:type="spellStart"/>
      <w:r w:rsidR="002B4CFB">
        <w:t>R</w:t>
      </w:r>
      <w:r>
        <w:t xml:space="preserve"> at</w:t>
      </w:r>
      <w:proofErr w:type="spellEnd"/>
      <w:r>
        <w:t xml:space="preserve"> doses up to 2000 mg/kg did not induce DNA damage in rat hepatocytes (</w:t>
      </w:r>
      <w:r w:rsidR="002B4CFB">
        <w:t>Project R</w:t>
      </w:r>
      <w:r>
        <w:t>-TX-0004) [End-of-Text Table 3.8.2].</w:t>
      </w:r>
    </w:p>
    <w:p w:rsidR="00275267" w:rsidRDefault="00B45ABC">
      <w:pPr>
        <w:pStyle w:val="3"/>
        <w:numPr>
          <w:ilvl w:val="2"/>
          <w:numId w:val="7"/>
        </w:numPr>
        <w:tabs>
          <w:tab w:val="left" w:pos="1084"/>
          <w:tab w:val="left" w:pos="1085"/>
        </w:tabs>
        <w:spacing w:before="123"/>
      </w:pPr>
      <w:bookmarkStart w:id="28" w:name="4.3.4_Carcinogenicity"/>
      <w:bookmarkStart w:id="29" w:name="_bookmark55"/>
      <w:bookmarkEnd w:id="28"/>
      <w:bookmarkEnd w:id="29"/>
      <w:r>
        <w:t>Carcinogenicity</w:t>
      </w:r>
    </w:p>
    <w:p w:rsidR="00275267" w:rsidRDefault="00B45ABC">
      <w:pPr>
        <w:pStyle w:val="a3"/>
        <w:spacing w:before="139"/>
        <w:ind w:left="232"/>
      </w:pPr>
      <w:r>
        <w:t>No carcinogenicity studies have been conducted to date.</w:t>
      </w:r>
    </w:p>
    <w:p w:rsidR="00275267" w:rsidRDefault="00B45ABC">
      <w:pPr>
        <w:pStyle w:val="3"/>
        <w:numPr>
          <w:ilvl w:val="2"/>
          <w:numId w:val="7"/>
        </w:numPr>
        <w:tabs>
          <w:tab w:val="left" w:pos="1084"/>
          <w:tab w:val="left" w:pos="1085"/>
        </w:tabs>
        <w:spacing w:before="149"/>
      </w:pPr>
      <w:bookmarkStart w:id="30" w:name="4.3.5_Reproductive_and_Developmental_Tox"/>
      <w:bookmarkStart w:id="31" w:name="_bookmark56"/>
      <w:bookmarkEnd w:id="30"/>
      <w:bookmarkEnd w:id="31"/>
      <w:r>
        <w:t>Reproductive and Developmental</w:t>
      </w:r>
      <w:r>
        <w:rPr>
          <w:spacing w:val="-2"/>
        </w:rPr>
        <w:t xml:space="preserve"> </w:t>
      </w:r>
      <w:r>
        <w:t>Toxicity</w:t>
      </w:r>
    </w:p>
    <w:p w:rsidR="00275267" w:rsidRDefault="002B4CFB">
      <w:pPr>
        <w:pStyle w:val="a3"/>
        <w:spacing w:before="139" w:line="261" w:lineRule="auto"/>
        <w:ind w:left="232" w:right="1610"/>
      </w:pPr>
      <w:r>
        <w:t>PROJECT R</w:t>
      </w:r>
      <w:r w:rsidR="00B45ABC">
        <w:t xml:space="preserve"> (0.1, 1, 10 and 100 mg/kg/day) was administered orally to male rats (20/group) from 4 weeks before mating and through the mating period (2 weeks), followed by an 8-week recovery period, to assess reversibility of the effects on male fertility (</w:t>
      </w:r>
      <w:r>
        <w:t>Project R</w:t>
      </w:r>
      <w:r w:rsidR="00B45ABC">
        <w:t>-TX-0011)</w:t>
      </w:r>
    </w:p>
    <w:p w:rsidR="00275267" w:rsidRDefault="00B45ABC">
      <w:pPr>
        <w:pStyle w:val="a3"/>
        <w:spacing w:line="274" w:lineRule="exact"/>
        <w:ind w:left="232"/>
      </w:pPr>
      <w:r>
        <w:t>[End-of-Text Table 3.9].</w:t>
      </w:r>
    </w:p>
    <w:p w:rsidR="00275267" w:rsidRDefault="00B45ABC">
      <w:pPr>
        <w:pStyle w:val="a3"/>
        <w:spacing w:before="144" w:line="261" w:lineRule="auto"/>
        <w:ind w:left="232" w:right="1641"/>
      </w:pPr>
      <w:r>
        <w:t>No males died in any group. In the 1 and 0.1 mg/kg/day groups, no test-article-related changes were noted in clinical signs, body weight or food consumption. Emaciation was observed in 1 male in the 100 mg/kg/day group. Significant suppression of body weight gain and low body weight were noted during the dosing period in the 100 mg/kg/day group and during the early phase of the dosing period in the 10 mg/kg/day group. Low food consumption was also noted during the dosing period in the 100 mg/kg group. In the</w:t>
      </w:r>
    </w:p>
    <w:p w:rsidR="00275267" w:rsidRDefault="00B45ABC">
      <w:pPr>
        <w:pStyle w:val="a3"/>
        <w:spacing w:line="261" w:lineRule="auto"/>
        <w:ind w:left="232" w:right="1916"/>
      </w:pPr>
      <w:r>
        <w:t>10 mg/kg/day recovery group, suppression of body weight gain and low body weight were noted during the dosing period; however, effects on body weight recovered by the end of recovery period.</w:t>
      </w:r>
    </w:p>
    <w:p w:rsidR="00275267" w:rsidRDefault="00B45ABC">
      <w:pPr>
        <w:pStyle w:val="a3"/>
        <w:spacing w:before="113" w:line="261" w:lineRule="auto"/>
        <w:ind w:left="232" w:right="1616"/>
      </w:pPr>
      <w:r>
        <w:t>No test-article-related changes were noted in the copulation rate, mean copulatory interval, fertility rate or sperm examination parameters in the 1 or 0.1 mg/kg group, or in reproductive organ weight in the 0.1 mg/kg/day group. The copulation rate was slightly low at mating during the dosing period in the 10 mg/kg/day group; however, no test-article-related changes were noted in the mean copulatory interval or fertility rate in this group. Of the males in the 100 mg/kg/day group, 17 of 20 did not copulate with nontreated females, and the remaining 3 males who copulated failed to impregnate the females.</w:t>
      </w:r>
    </w:p>
    <w:p w:rsidR="00275267" w:rsidRDefault="00B45ABC">
      <w:pPr>
        <w:pStyle w:val="a3"/>
        <w:spacing w:before="114" w:line="261" w:lineRule="auto"/>
        <w:ind w:left="232" w:right="2044"/>
      </w:pPr>
      <w:r>
        <w:t>Gross pathological examination at the end of the dosing period revealed reduced size and weight of the seminal vesicle, prostate and epididymis in the 1, 10 and</w:t>
      </w:r>
    </w:p>
    <w:p w:rsidR="00275267" w:rsidRDefault="00B45ABC">
      <w:pPr>
        <w:pStyle w:val="a3"/>
        <w:spacing w:line="261" w:lineRule="auto"/>
        <w:ind w:left="232" w:right="1809"/>
      </w:pPr>
      <w:r>
        <w:t>100 mg/kg/day groups. A low sperm count was noted in the 10 and 100 mg/kg/day groups. Increased testis weight, reduced sperm activity and viability rate were also noted in the</w:t>
      </w:r>
    </w:p>
    <w:p w:rsidR="00275267" w:rsidRDefault="00B45ABC">
      <w:pPr>
        <w:pStyle w:val="a3"/>
        <w:spacing w:line="261" w:lineRule="auto"/>
        <w:ind w:left="232" w:right="1944"/>
      </w:pPr>
      <w:r>
        <w:t>100 mg/kg/day group. At the end of the recovery period, reduced seminal vesicle and prostate weights were noted in recovery group treated with 10 mg/kg compared with the control group; however, these changes were less severe than those at the end of the dosing period. All copulated males impregnated females at mating and no test-article-related changes were noted in sperm examination parameters after the 8-week recovery period.</w:t>
      </w:r>
    </w:p>
    <w:p w:rsidR="00275267" w:rsidRDefault="00B45ABC">
      <w:pPr>
        <w:pStyle w:val="a3"/>
        <w:spacing w:before="113" w:line="261" w:lineRule="auto"/>
        <w:ind w:left="232" w:right="1991"/>
      </w:pPr>
      <w:r>
        <w:t xml:space="preserve">No test-article-related changes were noted in the preimplantation loss rate, number of live embryos, number of </w:t>
      </w:r>
      <w:proofErr w:type="spellStart"/>
      <w:r>
        <w:t>postimplantation</w:t>
      </w:r>
      <w:proofErr w:type="spellEnd"/>
      <w:r>
        <w:t xml:space="preserve"> losses or </w:t>
      </w:r>
      <w:proofErr w:type="spellStart"/>
      <w:r>
        <w:t>postimplantation</w:t>
      </w:r>
      <w:proofErr w:type="spellEnd"/>
      <w:r>
        <w:t xml:space="preserve"> loss rate in the 0.1, 1 or 10 mg/kg/day groups.</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Default="00B45ABC">
      <w:pPr>
        <w:pStyle w:val="a3"/>
        <w:spacing w:before="227" w:line="261" w:lineRule="auto"/>
        <w:ind w:left="232" w:right="2169"/>
      </w:pPr>
      <w:r>
        <w:t xml:space="preserve">Based on these results the NOAEL of </w:t>
      </w:r>
      <w:r w:rsidR="002B4CFB">
        <w:t>PROJECT R</w:t>
      </w:r>
      <w:r>
        <w:t xml:space="preserve"> was 1 mg/kg/day for general toxicity in males, 0.1 mg/kg/day for reproductive function in males and 10 mg/kg/day for early embryonic development.</w:t>
      </w:r>
    </w:p>
    <w:p w:rsidR="00275267" w:rsidRDefault="00B45ABC">
      <w:pPr>
        <w:pStyle w:val="3"/>
        <w:numPr>
          <w:ilvl w:val="2"/>
          <w:numId w:val="7"/>
        </w:numPr>
        <w:tabs>
          <w:tab w:val="left" w:pos="1084"/>
          <w:tab w:val="left" w:pos="1085"/>
        </w:tabs>
        <w:spacing w:before="123"/>
      </w:pPr>
      <w:bookmarkStart w:id="32" w:name="4.3.6_Local_Tolerance"/>
      <w:bookmarkStart w:id="33" w:name="_bookmark57"/>
      <w:bookmarkEnd w:id="32"/>
      <w:bookmarkEnd w:id="33"/>
      <w:r>
        <w:t>Local</w:t>
      </w:r>
      <w:r>
        <w:rPr>
          <w:spacing w:val="-2"/>
        </w:rPr>
        <w:t xml:space="preserve"> </w:t>
      </w:r>
      <w:r>
        <w:t>Tolerance</w:t>
      </w:r>
    </w:p>
    <w:p w:rsidR="00275267" w:rsidRDefault="00B45ABC">
      <w:pPr>
        <w:pStyle w:val="a3"/>
        <w:spacing w:before="139"/>
        <w:ind w:left="232"/>
      </w:pPr>
      <w:r>
        <w:t xml:space="preserve">No local tolerance studies have been conducted with </w:t>
      </w:r>
      <w:r w:rsidR="002B4CFB">
        <w:t>PROJECT R</w:t>
      </w:r>
      <w:r>
        <w:t>.</w:t>
      </w:r>
    </w:p>
    <w:p w:rsidR="00275267" w:rsidRDefault="00B45ABC">
      <w:pPr>
        <w:pStyle w:val="3"/>
        <w:numPr>
          <w:ilvl w:val="2"/>
          <w:numId w:val="7"/>
        </w:numPr>
        <w:tabs>
          <w:tab w:val="left" w:pos="1084"/>
          <w:tab w:val="left" w:pos="1085"/>
        </w:tabs>
        <w:spacing w:before="149"/>
      </w:pPr>
      <w:bookmarkStart w:id="34" w:name="4.3.7_Other_Toxicity_Studies"/>
      <w:bookmarkStart w:id="35" w:name="_bookmark58"/>
      <w:bookmarkEnd w:id="34"/>
      <w:bookmarkEnd w:id="35"/>
      <w:r>
        <w:t>Other Toxicity</w:t>
      </w:r>
      <w:r>
        <w:rPr>
          <w:spacing w:val="-2"/>
        </w:rPr>
        <w:t xml:space="preserve"> </w:t>
      </w:r>
      <w:r>
        <w:t>Studies</w:t>
      </w:r>
    </w:p>
    <w:p w:rsidR="00275267" w:rsidRDefault="00B45ABC">
      <w:pPr>
        <w:pStyle w:val="a3"/>
        <w:spacing w:before="139"/>
        <w:ind w:left="232"/>
      </w:pPr>
      <w:r>
        <w:t xml:space="preserve">No other toxicity studies have been conducted with </w:t>
      </w:r>
      <w:r w:rsidR="002B4CFB">
        <w:t>PROJECT R</w:t>
      </w:r>
      <w:r>
        <w:t>.</w:t>
      </w:r>
    </w:p>
    <w:p w:rsidR="00275267" w:rsidRDefault="00B45ABC">
      <w:pPr>
        <w:pStyle w:val="2"/>
        <w:tabs>
          <w:tab w:val="left" w:pos="1132"/>
        </w:tabs>
        <w:spacing w:before="123"/>
        <w:ind w:left="1132" w:right="1647" w:hanging="900"/>
      </w:pPr>
      <w:bookmarkStart w:id="36" w:name="4.4_Integrated_Nonclinical_Overview_and_"/>
      <w:bookmarkStart w:id="37" w:name="_bookmark59"/>
      <w:bookmarkEnd w:id="36"/>
      <w:bookmarkEnd w:id="37"/>
      <w:r>
        <w:t>4.4</w:t>
      </w:r>
      <w:r>
        <w:tab/>
        <w:t>Integrated Nonclinical Overview and Conclusion: Potential Clinical Relevance</w:t>
      </w:r>
    </w:p>
    <w:p w:rsidR="00275267" w:rsidRDefault="002B4CFB">
      <w:pPr>
        <w:pStyle w:val="a3"/>
        <w:spacing w:before="140" w:line="261" w:lineRule="auto"/>
        <w:ind w:left="232" w:right="1836"/>
      </w:pPr>
      <w:r>
        <w:t>PROJECT R</w:t>
      </w:r>
      <w:r w:rsidR="00B45ABC">
        <w:t xml:space="preserve"> is a potent antagonist of human AR. </w:t>
      </w:r>
      <w:r>
        <w:t>PROJECT R</w:t>
      </w:r>
      <w:r w:rsidR="00B45ABC">
        <w:t xml:space="preserve"> has antagonistic activity on both T877A- and W741C-mutated AR, but it does not have any agonistic activities. In a 5-week repeated-dose study, </w:t>
      </w:r>
      <w:r>
        <w:t>PROJECT R</w:t>
      </w:r>
      <w:r w:rsidR="00B45ABC">
        <w:t xml:space="preserve"> dose dependently reduced the ventral prostate weight in mature male rats with an ED</w:t>
      </w:r>
      <w:r w:rsidR="00B45ABC">
        <w:rPr>
          <w:vertAlign w:val="subscript"/>
        </w:rPr>
        <w:t>50</w:t>
      </w:r>
      <w:r w:rsidR="00B45ABC">
        <w:t xml:space="preserve"> value of 0.56 mg/kg/day.</w:t>
      </w:r>
    </w:p>
    <w:p w:rsidR="00275267" w:rsidRDefault="00B45ABC">
      <w:pPr>
        <w:pStyle w:val="a3"/>
        <w:spacing w:before="117" w:line="261" w:lineRule="auto"/>
        <w:ind w:left="232" w:right="1810"/>
      </w:pPr>
      <w:r>
        <w:t xml:space="preserve">Repeated oral administration of </w:t>
      </w:r>
      <w:r w:rsidR="002B4CFB">
        <w:t>PROJECT R</w:t>
      </w:r>
      <w:r>
        <w:t xml:space="preserve"> to SCID mice suppressed the tumor volume of </w:t>
      </w:r>
      <w:proofErr w:type="spellStart"/>
      <w:r>
        <w:t>KUCaP</w:t>
      </w:r>
      <w:proofErr w:type="spellEnd"/>
      <w:r>
        <w:t xml:space="preserve"> xenograft expressing the W741C-mutated AR. Pharmacology studies performed to date provide proof of mechanism for the pharmacological activity of </w:t>
      </w:r>
      <w:r w:rsidR="002B4CFB">
        <w:t>PROJECT R</w:t>
      </w:r>
      <w:r>
        <w:t xml:space="preserve"> and also provide nonclinical proof of concept for reduction of tumor growth by antagonizing W741C-mutated AR.</w:t>
      </w:r>
    </w:p>
    <w:p w:rsidR="00275267" w:rsidRDefault="00B45ABC">
      <w:pPr>
        <w:pStyle w:val="a3"/>
        <w:spacing w:before="116" w:line="261" w:lineRule="auto"/>
        <w:ind w:left="232" w:right="1763"/>
      </w:pPr>
      <w:r>
        <w:t xml:space="preserve">In pharmacokinetic studies, dose-dependent accumulation of </w:t>
      </w:r>
      <w:r w:rsidR="002B4CFB">
        <w:t>PROJECT R</w:t>
      </w:r>
      <w:r>
        <w:t xml:space="preserve"> occurred in both rats and monkeys. Plasma protein binding (mainly to HSA) was highest in humans (99.12%).</w:t>
      </w:r>
    </w:p>
    <w:p w:rsidR="00275267" w:rsidRDefault="00B45ABC">
      <w:pPr>
        <w:pStyle w:val="a3"/>
        <w:spacing w:line="261" w:lineRule="auto"/>
        <w:ind w:left="232" w:right="1619"/>
      </w:pPr>
      <w:r>
        <w:t xml:space="preserve">No clear human-specific </w:t>
      </w:r>
      <w:r w:rsidR="002B4CFB">
        <w:t>PROJECT R</w:t>
      </w:r>
      <w:r>
        <w:t xml:space="preserve"> metabolites were formed in the liver microsomes or hepatocyte incubations. CYP3A4/5 was the major CYP isozyme involved in the </w:t>
      </w:r>
      <w:r w:rsidR="002B4CFB">
        <w:t>PROJECT R</w:t>
      </w:r>
      <w:r>
        <w:t xml:space="preserve"> metabolism in human liver microsomes. </w:t>
      </w:r>
      <w:r w:rsidR="002B4CFB">
        <w:t>PROJECT R</w:t>
      </w:r>
      <w:r>
        <w:t xml:space="preserve"> showed weak direct inhibition of CYP2C8, 2C9, 2C19 and 2D6 and a weak time-dependent irreversible inhibition of CYP3A4. While CYP1A and 3A were induced dose dependently, CYP2B was not induced. </w:t>
      </w:r>
      <w:r w:rsidR="002B4CFB">
        <w:t>PROJECT R</w:t>
      </w:r>
      <w:r>
        <w:t xml:space="preserve"> was mainly excreted via feces and to a lesser extent via urine. Enterohepatic circulation was substantial (34.6%). </w:t>
      </w:r>
      <w:r w:rsidR="002B4CFB">
        <w:t>PROJECT R</w:t>
      </w:r>
      <w:r>
        <w:t xml:space="preserve"> inhibited P-</w:t>
      </w:r>
      <w:proofErr w:type="spellStart"/>
      <w:r>
        <w:t>gp</w:t>
      </w:r>
      <w:proofErr w:type="spellEnd"/>
      <w:r>
        <w:t>-mediated transport and also proved to be a substrate for P-</w:t>
      </w:r>
      <w:proofErr w:type="spellStart"/>
      <w:r>
        <w:t>gp</w:t>
      </w:r>
      <w:proofErr w:type="spellEnd"/>
      <w:r>
        <w:t xml:space="preserve"> transport. Based on these results, </w:t>
      </w:r>
      <w:r w:rsidR="002B4CFB">
        <w:t>PROJECT R</w:t>
      </w:r>
      <w:r>
        <w:t xml:space="preserve"> may have clinically relevant drug-drug interactions with drugs that are metabolized and/or excreted by CYP2C9 and P-</w:t>
      </w:r>
      <w:proofErr w:type="spellStart"/>
      <w:r>
        <w:t>gp</w:t>
      </w:r>
      <w:proofErr w:type="spellEnd"/>
      <w:r>
        <w:t>. Concomitant medications that are CYP2C9 or P-</w:t>
      </w:r>
      <w:proofErr w:type="spellStart"/>
      <w:r>
        <w:t>gp</w:t>
      </w:r>
      <w:proofErr w:type="spellEnd"/>
      <w:r>
        <w:t xml:space="preserve"> substrates with a narrow therapeutic/safety range should be administered with</w:t>
      </w:r>
      <w:r>
        <w:rPr>
          <w:spacing w:val="-8"/>
        </w:rPr>
        <w:t xml:space="preserve"> </w:t>
      </w:r>
      <w:r>
        <w:t>caution.</w:t>
      </w:r>
    </w:p>
    <w:p w:rsidR="00275267" w:rsidRDefault="00B45ABC">
      <w:pPr>
        <w:pStyle w:val="a3"/>
        <w:spacing w:before="109" w:line="261" w:lineRule="auto"/>
        <w:ind w:left="232" w:right="1629"/>
      </w:pPr>
      <w:r>
        <w:t xml:space="preserve">In safety pharmacology studies, </w:t>
      </w:r>
      <w:r w:rsidR="002B4CFB">
        <w:t>PROJECT R</w:t>
      </w:r>
      <w:r>
        <w:t xml:space="preserve"> was shown to inhibit the </w:t>
      </w:r>
      <w:proofErr w:type="spellStart"/>
      <w:r>
        <w:t>hERG</w:t>
      </w:r>
      <w:proofErr w:type="spellEnd"/>
      <w:r>
        <w:t xml:space="preserve"> current, slightly prolonged APD</w:t>
      </w:r>
      <w:r>
        <w:rPr>
          <w:vertAlign w:val="subscript"/>
        </w:rPr>
        <w:t>30</w:t>
      </w:r>
      <w:r>
        <w:t xml:space="preserve"> and APD</w:t>
      </w:r>
      <w:r>
        <w:rPr>
          <w:vertAlign w:val="subscript"/>
        </w:rPr>
        <w:t>90</w:t>
      </w:r>
      <w:r>
        <w:t xml:space="preserve"> in isolated guinea pig muscles at approximately 3 </w:t>
      </w:r>
      <w:proofErr w:type="spellStart"/>
      <w:r>
        <w:t>mcM</w:t>
      </w:r>
      <w:proofErr w:type="spellEnd"/>
      <w:r>
        <w:t xml:space="preserve">, which is approximately 500 times higher than the assumed pharmacologically effective plasma concentration. However, the in vivo monkey cardiovascular safety study and the 13-week repeated-dose study in monkeys did not show effects on ECG, QTc or heart rate. Although the cardiovascular risk for </w:t>
      </w:r>
      <w:r w:rsidR="002B4CFB">
        <w:t>PROJECT R</w:t>
      </w:r>
      <w:r>
        <w:t xml:space="preserve"> is low, cardiac monitoring will be performed in human studies, as 1 female monkey in the exploratory 4-week study displayed a decreased heart rate.</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Default="00B45ABC">
      <w:pPr>
        <w:pStyle w:val="a3"/>
        <w:spacing w:before="227" w:line="261" w:lineRule="auto"/>
        <w:ind w:left="232" w:right="1636"/>
      </w:pPr>
      <w:r>
        <w:t xml:space="preserve">No animals died in the single-dose toxicity studies and therefore the minimum lethal dose was greater than 2000 mg/kg in both rats and monkeys. In the repeated-dose toxicity studies in rats and monkeys, the targets of </w:t>
      </w:r>
      <w:r w:rsidR="002B4CFB">
        <w:t>PROJECT R</w:t>
      </w:r>
      <w:r>
        <w:t xml:space="preserve">-induced toxicity included the liver (cholestasis), hematopoietic system (slight anemia, increased lymphocytes) and cardiovascular system (decreased heart rate). In addition, histopathological changes in the pituitary, adrenals and thymus were observed; and </w:t>
      </w:r>
      <w:r w:rsidR="002B4CFB">
        <w:t>PROJECT R</w:t>
      </w:r>
      <w:r>
        <w:t xml:space="preserve"> was shown to increase cholesterol levels.</w:t>
      </w:r>
    </w:p>
    <w:p w:rsidR="00275267" w:rsidRDefault="00B45ABC">
      <w:pPr>
        <w:pStyle w:val="a3"/>
        <w:spacing w:before="115" w:line="261" w:lineRule="auto"/>
        <w:ind w:left="232" w:right="1630"/>
      </w:pPr>
      <w:r>
        <w:t xml:space="preserve">The NOAEL in the 13-week rat study was 3 mg/kg/day, based on hematological changes and effects on thymus, adrenals and cholesterol levels at 10 mg/kg. At this NOAEL, </w:t>
      </w:r>
      <w:proofErr w:type="spellStart"/>
      <w:r>
        <w:t>AUC</w:t>
      </w:r>
      <w:r>
        <w:rPr>
          <w:vertAlign w:val="subscript"/>
        </w:rPr>
        <w:t>u</w:t>
      </w:r>
      <w:proofErr w:type="spellEnd"/>
      <w:r>
        <w:t xml:space="preserve"> is 4.5 to 14.9 times higher than the pharmacologically effective AUC. In the 13-week monkey study, the NOAEL was 1 mg/kg, as dilation of bile canaliculi occurred at 3 mg/kg. At this NOAEL, </w:t>
      </w:r>
      <w:proofErr w:type="spellStart"/>
      <w:r>
        <w:t>AUC</w:t>
      </w:r>
      <w:r>
        <w:rPr>
          <w:vertAlign w:val="subscript"/>
        </w:rPr>
        <w:t>u</w:t>
      </w:r>
      <w:proofErr w:type="spellEnd"/>
      <w:r>
        <w:t xml:space="preserve"> is 2.2 to 9.5 times higher than the pharmacologically effective AUC. </w:t>
      </w:r>
      <w:r>
        <w:rPr>
          <w:spacing w:val="-3"/>
        </w:rPr>
        <w:t xml:space="preserve">It </w:t>
      </w:r>
      <w:r>
        <w:t>is important to note that the dilation of bile canaliculi at 3 mg/kg may be an adaptive response to slightly increased bile viscosity, as no bilirubin or ALP changes occurred. Evident cholestasis</w:t>
      </w:r>
      <w:r>
        <w:rPr>
          <w:spacing w:val="-3"/>
        </w:rPr>
        <w:t xml:space="preserve"> </w:t>
      </w:r>
      <w:r>
        <w:t>occurred</w:t>
      </w:r>
      <w:r>
        <w:rPr>
          <w:spacing w:val="-4"/>
        </w:rPr>
        <w:t xml:space="preserve"> </w:t>
      </w:r>
      <w:r>
        <w:t>at</w:t>
      </w:r>
      <w:r>
        <w:rPr>
          <w:spacing w:val="-2"/>
        </w:rPr>
        <w:t xml:space="preserve"> </w:t>
      </w:r>
      <w:r>
        <w:t>10</w:t>
      </w:r>
      <w:r>
        <w:rPr>
          <w:spacing w:val="-4"/>
        </w:rPr>
        <w:t xml:space="preserve"> </w:t>
      </w:r>
      <w:r>
        <w:t>mg/kg,</w:t>
      </w:r>
      <w:r>
        <w:rPr>
          <w:spacing w:val="-2"/>
        </w:rPr>
        <w:t xml:space="preserve"> </w:t>
      </w:r>
      <w:r>
        <w:t>but</w:t>
      </w:r>
      <w:r>
        <w:rPr>
          <w:spacing w:val="-4"/>
        </w:rPr>
        <w:t xml:space="preserve"> </w:t>
      </w:r>
      <w:r>
        <w:t>was</w:t>
      </w:r>
      <w:r>
        <w:rPr>
          <w:spacing w:val="-3"/>
        </w:rPr>
        <w:t xml:space="preserve"> </w:t>
      </w:r>
      <w:r>
        <w:t>mild</w:t>
      </w:r>
      <w:r>
        <w:rPr>
          <w:spacing w:val="-3"/>
        </w:rPr>
        <w:t xml:space="preserve"> </w:t>
      </w:r>
      <w:r>
        <w:t>in</w:t>
      </w:r>
      <w:r>
        <w:rPr>
          <w:spacing w:val="-2"/>
        </w:rPr>
        <w:t xml:space="preserve"> </w:t>
      </w:r>
      <w:r>
        <w:t>nature</w:t>
      </w:r>
      <w:r>
        <w:rPr>
          <w:spacing w:val="-4"/>
        </w:rPr>
        <w:t xml:space="preserve"> </w:t>
      </w:r>
      <w:r>
        <w:t>(no</w:t>
      </w:r>
      <w:r>
        <w:rPr>
          <w:spacing w:val="-3"/>
        </w:rPr>
        <w:t xml:space="preserve"> </w:t>
      </w:r>
      <w:r>
        <w:t>signs</w:t>
      </w:r>
      <w:r>
        <w:rPr>
          <w:spacing w:val="-4"/>
        </w:rPr>
        <w:t xml:space="preserve"> </w:t>
      </w:r>
      <w:r>
        <w:t>of</w:t>
      </w:r>
      <w:r>
        <w:rPr>
          <w:spacing w:val="-3"/>
        </w:rPr>
        <w:t xml:space="preserve"> </w:t>
      </w:r>
      <w:r>
        <w:t>necrosis)</w:t>
      </w:r>
      <w:r>
        <w:rPr>
          <w:spacing w:val="-4"/>
        </w:rPr>
        <w:t xml:space="preserve"> </w:t>
      </w:r>
      <w:r>
        <w:t>and</w:t>
      </w:r>
      <w:r>
        <w:rPr>
          <w:spacing w:val="-2"/>
        </w:rPr>
        <w:t xml:space="preserve"> </w:t>
      </w:r>
      <w:r>
        <w:t>reversible.</w:t>
      </w:r>
    </w:p>
    <w:p w:rsidR="00275267" w:rsidRDefault="00B45ABC">
      <w:pPr>
        <w:pStyle w:val="a3"/>
        <w:spacing w:before="114" w:line="261" w:lineRule="auto"/>
        <w:ind w:left="232" w:right="1710"/>
      </w:pPr>
      <w:r>
        <w:t>In the fertility study, male rats dosed with 100 mg/kg failed to impregnate females, while the copulation rate was slightly lowered at 10 mg/kg, accompanied by histopathological</w:t>
      </w:r>
      <w:r>
        <w:rPr>
          <w:spacing w:val="-40"/>
        </w:rPr>
        <w:t xml:space="preserve"> </w:t>
      </w:r>
      <w:r>
        <w:t>changes in the male reproductive organs. No changes were observed in early embryonic development. These results were consistent with the pharmacological activity of</w:t>
      </w:r>
      <w:r>
        <w:rPr>
          <w:spacing w:val="-25"/>
        </w:rPr>
        <w:t xml:space="preserve"> </w:t>
      </w:r>
      <w:r w:rsidR="002B4CFB">
        <w:t>PROJECT R</w:t>
      </w:r>
      <w:r>
        <w:t>.</w:t>
      </w:r>
    </w:p>
    <w:p w:rsidR="00275267" w:rsidRDefault="00B45ABC">
      <w:pPr>
        <w:pStyle w:val="a3"/>
        <w:spacing w:before="117" w:line="261" w:lineRule="auto"/>
        <w:ind w:left="232" w:right="1617"/>
      </w:pPr>
      <w:r>
        <w:t>Findings of potential concern for clinical trials include changes in liver function (cholestasis), hematological findings (slight anemia, increased lymphocytes), cardiovascular events (decreased heart rate, elevated cholesterol levels) and histopathological changes in the adrenals. In addition, class-related antiandrogen effects can be expected.</w:t>
      </w:r>
    </w:p>
    <w:p w:rsidR="00275267" w:rsidRPr="002B4CFB" w:rsidRDefault="00B45ABC">
      <w:pPr>
        <w:pStyle w:val="3"/>
        <w:spacing w:before="121"/>
        <w:ind w:left="232"/>
        <w:rPr>
          <w:highlight w:val="magenta"/>
        </w:rPr>
      </w:pPr>
      <w:r w:rsidRPr="002B4CFB">
        <w:rPr>
          <w:highlight w:val="magenta"/>
        </w:rPr>
        <w:t>Effects on the Liver</w:t>
      </w:r>
    </w:p>
    <w:p w:rsidR="00275267" w:rsidRDefault="00B45ABC">
      <w:pPr>
        <w:pStyle w:val="a3"/>
        <w:spacing w:before="139" w:line="261" w:lineRule="auto"/>
        <w:ind w:left="232" w:right="1615"/>
      </w:pPr>
      <w:r w:rsidRPr="002B4CFB">
        <w:rPr>
          <w:highlight w:val="magenta"/>
        </w:rPr>
        <w:t xml:space="preserve">Cholestasis was observed in the repeated-dose toxicity studies in monkeys, as characterized by dilatation of bile canaliculus, pigmentation in the centrilobular bile canaliculi and high bile viscosity, which are all suggestive of bile flow obstruction. Increase in serum bilirubin and </w:t>
      </w:r>
      <w:proofErr w:type="spellStart"/>
      <w:r w:rsidRPr="002B4CFB">
        <w:rPr>
          <w:highlight w:val="magenta"/>
        </w:rPr>
        <w:t>bilirubinurina</w:t>
      </w:r>
      <w:proofErr w:type="spellEnd"/>
      <w:r w:rsidRPr="002B4CFB">
        <w:rPr>
          <w:highlight w:val="magenta"/>
        </w:rPr>
        <w:t xml:space="preserve"> and increased ALP, indicative of cholestasis, were also found. In contrast, little damage to hepatocytes in histopathology and minor changes in serum AST or ALT</w:t>
      </w:r>
      <w:r w:rsidRPr="002B4CFB">
        <w:rPr>
          <w:spacing w:val="-33"/>
          <w:highlight w:val="magenta"/>
        </w:rPr>
        <w:t xml:space="preserve"> </w:t>
      </w:r>
      <w:r w:rsidRPr="002B4CFB">
        <w:rPr>
          <w:highlight w:val="magenta"/>
        </w:rPr>
        <w:t>were observed. These findings were absent after an 8-week recovery</w:t>
      </w:r>
      <w:r w:rsidRPr="002B4CFB">
        <w:rPr>
          <w:spacing w:val="-12"/>
          <w:highlight w:val="magenta"/>
        </w:rPr>
        <w:t xml:space="preserve"> </w:t>
      </w:r>
      <w:r w:rsidRPr="002B4CFB">
        <w:rPr>
          <w:highlight w:val="magenta"/>
        </w:rPr>
        <w:t>period.</w:t>
      </w:r>
    </w:p>
    <w:p w:rsidR="00275267" w:rsidRDefault="002B4CFB">
      <w:pPr>
        <w:pStyle w:val="a3"/>
        <w:spacing w:before="116" w:line="261" w:lineRule="auto"/>
        <w:ind w:left="232" w:right="1610"/>
      </w:pPr>
      <w:r>
        <w:t>PROJECT R</w:t>
      </w:r>
      <w:r w:rsidR="00B45ABC">
        <w:t xml:space="preserve"> or its metabolites are thought to </w:t>
      </w:r>
      <w:proofErr w:type="spellStart"/>
      <w:r w:rsidR="00B45ABC">
        <w:t>affect</w:t>
      </w:r>
      <w:proofErr w:type="spellEnd"/>
      <w:r w:rsidR="00B45ABC">
        <w:t xml:space="preserve"> on bile flow directly, as increased total, indirect and direct bilirubin was observed after a single dose of 1000 mg/kg. The type of cholestasis observed in monkeys resembles the bland cholestasis (cholestasis without hepatitis) induced by anabolic steroids, estrogens and various drugs such as cyclosporine, and is consistent with an inhibitory effect on hepatic bile acid transporters.</w:t>
      </w:r>
    </w:p>
    <w:p w:rsidR="00275267" w:rsidRDefault="00B45ABC">
      <w:pPr>
        <w:pStyle w:val="a3"/>
        <w:spacing w:before="116" w:line="261" w:lineRule="auto"/>
        <w:ind w:left="232" w:right="1683"/>
      </w:pPr>
      <w:r w:rsidRPr="002B4CFB">
        <w:rPr>
          <w:highlight w:val="magenta"/>
        </w:rPr>
        <w:t>Direct bilirubin and ALP were shown to be suitable biomarkers of cholestasis in the</w:t>
      </w:r>
      <w:r w:rsidRPr="002B4CFB">
        <w:rPr>
          <w:spacing w:val="-40"/>
          <w:highlight w:val="magenta"/>
        </w:rPr>
        <w:t xml:space="preserve"> </w:t>
      </w:r>
      <w:r w:rsidRPr="002B4CFB">
        <w:rPr>
          <w:highlight w:val="magenta"/>
        </w:rPr>
        <w:t>13-week toxicity in monkeys.</w:t>
      </w:r>
      <w:r>
        <w:t xml:space="preserve"> In addition, gamma-glutamyl transpeptidase (GGT) and serum bile acids can be used to monitor cholestasis in clinical</w:t>
      </w:r>
      <w:r>
        <w:rPr>
          <w:spacing w:val="-1"/>
        </w:rPr>
        <w:t xml:space="preserve"> </w:t>
      </w:r>
      <w:r>
        <w:t>trials.</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Pr="002B4CFB" w:rsidRDefault="00B45ABC">
      <w:pPr>
        <w:pStyle w:val="3"/>
        <w:spacing w:before="232"/>
        <w:ind w:left="232"/>
        <w:rPr>
          <w:highlight w:val="magenta"/>
        </w:rPr>
      </w:pPr>
      <w:r w:rsidRPr="002B4CFB">
        <w:rPr>
          <w:highlight w:val="magenta"/>
        </w:rPr>
        <w:t>Cardiovascular Effects</w:t>
      </w:r>
    </w:p>
    <w:p w:rsidR="00275267" w:rsidRDefault="00B45ABC">
      <w:pPr>
        <w:pStyle w:val="a3"/>
        <w:spacing w:before="139" w:line="261" w:lineRule="auto"/>
        <w:ind w:left="232" w:right="1710"/>
      </w:pPr>
      <w:r w:rsidRPr="002B4CFB">
        <w:rPr>
          <w:highlight w:val="magenta"/>
        </w:rPr>
        <w:t>The IC</w:t>
      </w:r>
      <w:r w:rsidRPr="002B4CFB">
        <w:rPr>
          <w:highlight w:val="magenta"/>
          <w:vertAlign w:val="subscript"/>
        </w:rPr>
        <w:t>50</w:t>
      </w:r>
      <w:r w:rsidRPr="002B4CFB">
        <w:rPr>
          <w:highlight w:val="magenta"/>
        </w:rPr>
        <w:t xml:space="preserve"> for </w:t>
      </w:r>
      <w:proofErr w:type="spellStart"/>
      <w:r w:rsidRPr="002B4CFB">
        <w:rPr>
          <w:highlight w:val="magenta"/>
        </w:rPr>
        <w:t>hERG</w:t>
      </w:r>
      <w:proofErr w:type="spellEnd"/>
      <w:r w:rsidRPr="002B4CFB">
        <w:rPr>
          <w:highlight w:val="magenta"/>
        </w:rPr>
        <w:t xml:space="preserve"> current inhibition by </w:t>
      </w:r>
      <w:r w:rsidR="002B4CFB" w:rsidRPr="002B4CFB">
        <w:rPr>
          <w:highlight w:val="magenta"/>
        </w:rPr>
        <w:t>PROJECT R</w:t>
      </w:r>
      <w:r w:rsidRPr="002B4CFB">
        <w:rPr>
          <w:highlight w:val="magenta"/>
        </w:rPr>
        <w:t xml:space="preserve"> was 2.8 </w:t>
      </w:r>
      <w:proofErr w:type="spellStart"/>
      <w:r w:rsidRPr="002B4CFB">
        <w:rPr>
          <w:highlight w:val="magenta"/>
        </w:rPr>
        <w:t>mcM</w:t>
      </w:r>
      <w:proofErr w:type="spellEnd"/>
      <w:r w:rsidRPr="002B4CFB">
        <w:rPr>
          <w:highlight w:val="magenta"/>
        </w:rPr>
        <w:t xml:space="preserve"> and in isolated guinea pig papillary muscles, and slight prolongation of APD</w:t>
      </w:r>
      <w:r w:rsidRPr="002B4CFB">
        <w:rPr>
          <w:highlight w:val="magenta"/>
          <w:vertAlign w:val="subscript"/>
        </w:rPr>
        <w:t>30</w:t>
      </w:r>
      <w:r w:rsidRPr="002B4CFB">
        <w:rPr>
          <w:highlight w:val="magenta"/>
        </w:rPr>
        <w:t xml:space="preserve"> and APD</w:t>
      </w:r>
      <w:r w:rsidRPr="002B4CFB">
        <w:rPr>
          <w:highlight w:val="magenta"/>
          <w:vertAlign w:val="subscript"/>
        </w:rPr>
        <w:t>90</w:t>
      </w:r>
      <w:r w:rsidRPr="002B4CFB">
        <w:rPr>
          <w:highlight w:val="magenta"/>
        </w:rPr>
        <w:t xml:space="preserve"> were observed at 3 </w:t>
      </w:r>
      <w:proofErr w:type="spellStart"/>
      <w:r w:rsidRPr="002B4CFB">
        <w:rPr>
          <w:highlight w:val="magenta"/>
        </w:rPr>
        <w:t>mcM</w:t>
      </w:r>
      <w:proofErr w:type="spellEnd"/>
      <w:r w:rsidRPr="002B4CFB">
        <w:rPr>
          <w:highlight w:val="magenta"/>
        </w:rPr>
        <w:t>. Decreased heart rate was noted in 1 of 2 females dosed with 300 mg/kg after dosing at week 4 in the 4-week monkey study. However, the in vivo monkey cardiovascular safety study and the 13-week repeated-dose study in monkeys did not show effects on ECG, QTc or</w:t>
      </w:r>
      <w:r w:rsidRPr="002B4CFB">
        <w:rPr>
          <w:spacing w:val="-35"/>
          <w:highlight w:val="magenta"/>
        </w:rPr>
        <w:t xml:space="preserve"> </w:t>
      </w:r>
      <w:r w:rsidRPr="002B4CFB">
        <w:rPr>
          <w:highlight w:val="magenta"/>
        </w:rPr>
        <w:t>heart rate.</w:t>
      </w:r>
      <w:r>
        <w:t xml:space="preserve"> Standard cardiac monitoring will be conducted in clinical</w:t>
      </w:r>
      <w:r>
        <w:rPr>
          <w:spacing w:val="-3"/>
        </w:rPr>
        <w:t xml:space="preserve"> </w:t>
      </w:r>
      <w:r>
        <w:t>trials.</w:t>
      </w:r>
    </w:p>
    <w:p w:rsidR="00275267" w:rsidRDefault="00B45ABC">
      <w:pPr>
        <w:pStyle w:val="a3"/>
        <w:spacing w:before="116" w:line="261" w:lineRule="auto"/>
        <w:ind w:left="232" w:right="1617"/>
      </w:pPr>
      <w:r>
        <w:t xml:space="preserve">Total cholesterol levels were increased by </w:t>
      </w:r>
      <w:r w:rsidR="002B4CFB">
        <w:t>PROJECT R</w:t>
      </w:r>
      <w:r>
        <w:t xml:space="preserve">. In patients receiving hormone deprivation therapy, hypercholesterolemia is frequently observed. As it is a risk factor for cardiovascular disease, elevation of cholesterol levels should be monitored in clinical trials of </w:t>
      </w:r>
      <w:r w:rsidR="002B4CFB">
        <w:t>PROJECT R</w:t>
      </w:r>
      <w:r>
        <w:t>.</w:t>
      </w:r>
    </w:p>
    <w:p w:rsidR="00275267" w:rsidRPr="002B4CFB" w:rsidRDefault="00B45ABC">
      <w:pPr>
        <w:pStyle w:val="3"/>
        <w:spacing w:before="121"/>
        <w:ind w:left="232"/>
        <w:rPr>
          <w:highlight w:val="magenta"/>
        </w:rPr>
      </w:pPr>
      <w:r w:rsidRPr="002B4CFB">
        <w:rPr>
          <w:highlight w:val="magenta"/>
        </w:rPr>
        <w:t>Hematological Effects</w:t>
      </w:r>
    </w:p>
    <w:p w:rsidR="00275267" w:rsidRDefault="00B45ABC">
      <w:pPr>
        <w:pStyle w:val="a3"/>
        <w:spacing w:before="139" w:line="261" w:lineRule="auto"/>
        <w:ind w:left="232" w:right="1684"/>
      </w:pPr>
      <w:r w:rsidRPr="002B4CFB">
        <w:rPr>
          <w:highlight w:val="magenta"/>
        </w:rPr>
        <w:t>In the 13-week rat study, slight decreases in hematocrit, hemoglobin and/or red blood cells were noted at 3 mg/kg and above, which were judged to be of little toxicological concern because of their magnitude (approximately 4%) and the observed reversibility after cessation of treatment. Reticulocytes increased in response to decreasing erythrocyte counts and increased extramedullary hematopoiesis in the spleen was also found.</w:t>
      </w:r>
      <w:r>
        <w:t xml:space="preserve"> Normocytic normochromic anemia is commonly encountered in men receiving hormonal deprivation therapy.</w:t>
      </w:r>
    </w:p>
    <w:p w:rsidR="00275267" w:rsidRDefault="00B45ABC">
      <w:pPr>
        <w:pStyle w:val="a3"/>
        <w:spacing w:before="115" w:line="261" w:lineRule="auto"/>
        <w:ind w:left="232" w:right="1658"/>
      </w:pPr>
      <w:r w:rsidRPr="002B4CFB">
        <w:rPr>
          <w:highlight w:val="magenta"/>
        </w:rPr>
        <w:t>Increased neutrophil counts and increased platelets, but no changes in the erythrocyte lineage were observed in the 13-week monkey study. In rats, increased lymphocytes and decreased neutrophil ratio as well as hyperplasia in white pulp of the spleen were found.</w:t>
      </w:r>
      <w:r>
        <w:t xml:space="preserve"> Increased lymphocyte counts are considered to be due to the pharmacological activity of </w:t>
      </w:r>
      <w:r w:rsidR="002B4CFB">
        <w:t>PROJECT R</w:t>
      </w:r>
      <w:r>
        <w:t>. In clinical studies, differential white blood cells (WBCs) should be measured.</w:t>
      </w:r>
    </w:p>
    <w:p w:rsidR="00275267" w:rsidRPr="002B4CFB" w:rsidRDefault="00B45ABC">
      <w:pPr>
        <w:pStyle w:val="3"/>
        <w:spacing w:before="120"/>
        <w:ind w:left="232"/>
        <w:rPr>
          <w:highlight w:val="magenta"/>
        </w:rPr>
      </w:pPr>
      <w:r w:rsidRPr="002B4CFB">
        <w:rPr>
          <w:highlight w:val="magenta"/>
        </w:rPr>
        <w:t>Adrenal Effects</w:t>
      </w:r>
    </w:p>
    <w:p w:rsidR="00275267" w:rsidRDefault="00B45ABC">
      <w:pPr>
        <w:pStyle w:val="a3"/>
        <w:spacing w:before="140" w:line="261" w:lineRule="auto"/>
        <w:ind w:left="232" w:right="1711"/>
      </w:pPr>
      <w:r w:rsidRPr="002B4CFB">
        <w:rPr>
          <w:highlight w:val="magenta"/>
        </w:rPr>
        <w:t>In the 13-week rat study, increased adrenal weights and vacuolation/hypertrophy of the cortical</w:t>
      </w:r>
      <w:r w:rsidRPr="002B4CFB">
        <w:rPr>
          <w:spacing w:val="-4"/>
          <w:highlight w:val="magenta"/>
        </w:rPr>
        <w:t xml:space="preserve"> </w:t>
      </w:r>
      <w:r w:rsidRPr="002B4CFB">
        <w:rPr>
          <w:highlight w:val="magenta"/>
        </w:rPr>
        <w:t>cells,</w:t>
      </w:r>
      <w:r w:rsidRPr="002B4CFB">
        <w:rPr>
          <w:spacing w:val="-5"/>
          <w:highlight w:val="magenta"/>
        </w:rPr>
        <w:t xml:space="preserve"> </w:t>
      </w:r>
      <w:r w:rsidRPr="002B4CFB">
        <w:rPr>
          <w:highlight w:val="magenta"/>
        </w:rPr>
        <w:t>and</w:t>
      </w:r>
      <w:r w:rsidRPr="002B4CFB">
        <w:rPr>
          <w:spacing w:val="-5"/>
          <w:highlight w:val="magenta"/>
        </w:rPr>
        <w:t xml:space="preserve"> </w:t>
      </w:r>
      <w:r w:rsidRPr="002B4CFB">
        <w:rPr>
          <w:highlight w:val="magenta"/>
        </w:rPr>
        <w:t>at</w:t>
      </w:r>
      <w:r w:rsidRPr="002B4CFB">
        <w:rPr>
          <w:spacing w:val="-5"/>
          <w:highlight w:val="magenta"/>
        </w:rPr>
        <w:t xml:space="preserve"> </w:t>
      </w:r>
      <w:r w:rsidRPr="002B4CFB">
        <w:rPr>
          <w:highlight w:val="magenta"/>
        </w:rPr>
        <w:t>higher</w:t>
      </w:r>
      <w:r w:rsidRPr="002B4CFB">
        <w:rPr>
          <w:spacing w:val="-5"/>
          <w:highlight w:val="magenta"/>
        </w:rPr>
        <w:t xml:space="preserve"> </w:t>
      </w:r>
      <w:r w:rsidRPr="002B4CFB">
        <w:rPr>
          <w:highlight w:val="magenta"/>
        </w:rPr>
        <w:t>dose,</w:t>
      </w:r>
      <w:r w:rsidRPr="002B4CFB">
        <w:rPr>
          <w:spacing w:val="-5"/>
          <w:highlight w:val="magenta"/>
        </w:rPr>
        <w:t xml:space="preserve"> </w:t>
      </w:r>
      <w:r w:rsidRPr="002B4CFB">
        <w:rPr>
          <w:highlight w:val="magenta"/>
        </w:rPr>
        <w:t>enlargement,</w:t>
      </w:r>
      <w:r w:rsidRPr="002B4CFB">
        <w:rPr>
          <w:spacing w:val="-3"/>
          <w:highlight w:val="magenta"/>
        </w:rPr>
        <w:t xml:space="preserve"> </w:t>
      </w:r>
      <w:r w:rsidRPr="002B4CFB">
        <w:rPr>
          <w:highlight w:val="magenta"/>
        </w:rPr>
        <w:t>cellular</w:t>
      </w:r>
      <w:r w:rsidRPr="002B4CFB">
        <w:rPr>
          <w:spacing w:val="-3"/>
          <w:highlight w:val="magenta"/>
        </w:rPr>
        <w:t xml:space="preserve"> </w:t>
      </w:r>
      <w:r w:rsidRPr="002B4CFB">
        <w:rPr>
          <w:highlight w:val="magenta"/>
        </w:rPr>
        <w:t>infiltration,</w:t>
      </w:r>
      <w:r w:rsidRPr="002B4CFB">
        <w:rPr>
          <w:spacing w:val="-4"/>
          <w:highlight w:val="magenta"/>
        </w:rPr>
        <w:t xml:space="preserve"> </w:t>
      </w:r>
      <w:r w:rsidRPr="002B4CFB">
        <w:rPr>
          <w:highlight w:val="magenta"/>
        </w:rPr>
        <w:t>degeneration</w:t>
      </w:r>
      <w:r w:rsidRPr="002B4CFB">
        <w:rPr>
          <w:spacing w:val="-5"/>
          <w:highlight w:val="magenta"/>
        </w:rPr>
        <w:t xml:space="preserve"> </w:t>
      </w:r>
      <w:r w:rsidRPr="002B4CFB">
        <w:rPr>
          <w:highlight w:val="magenta"/>
        </w:rPr>
        <w:t>and</w:t>
      </w:r>
      <w:r w:rsidRPr="002B4CFB">
        <w:rPr>
          <w:spacing w:val="-5"/>
          <w:highlight w:val="magenta"/>
        </w:rPr>
        <w:t xml:space="preserve"> </w:t>
      </w:r>
      <w:r w:rsidRPr="002B4CFB">
        <w:rPr>
          <w:highlight w:val="magenta"/>
        </w:rPr>
        <w:t>necrosis in the zona fasciculata/reticularis were observed. Furthermore, in the 13-week monkey study, hypertrophy and decreased lipids in the zona fasciculata were observed.</w:t>
      </w:r>
      <w:r>
        <w:t xml:space="preserve"> As</w:t>
      </w:r>
      <w:r>
        <w:rPr>
          <w:spacing w:val="-18"/>
        </w:rPr>
        <w:t xml:space="preserve"> </w:t>
      </w:r>
      <w:r>
        <w:t>the</w:t>
      </w:r>
    </w:p>
    <w:p w:rsidR="00275267" w:rsidRDefault="00B45ABC">
      <w:pPr>
        <w:pStyle w:val="a3"/>
        <w:spacing w:line="273" w:lineRule="exact"/>
        <w:ind w:left="232"/>
      </w:pPr>
      <w:r>
        <w:rPr>
          <w:position w:val="11"/>
          <w:sz w:val="16"/>
        </w:rPr>
        <w:t>14</w:t>
      </w:r>
      <w:r>
        <w:t>C-</w:t>
      </w:r>
      <w:r w:rsidR="002B4CFB">
        <w:t>PROJECT R</w:t>
      </w:r>
      <w:r>
        <w:t xml:space="preserve"> distribution study showed high tissue concentration in the adrenals, it is likely</w:t>
      </w:r>
    </w:p>
    <w:p w:rsidR="00275267" w:rsidRDefault="00B45ABC">
      <w:pPr>
        <w:pStyle w:val="a3"/>
        <w:spacing w:before="24" w:line="261" w:lineRule="auto"/>
        <w:ind w:left="232" w:right="2335"/>
        <w:jc w:val="both"/>
      </w:pPr>
      <w:r>
        <w:t xml:space="preserve">that the adrenal findings at 100 mg/kg are caused by a direct effect of </w:t>
      </w:r>
      <w:r w:rsidR="002B4CFB">
        <w:t>PROJECT R</w:t>
      </w:r>
      <w:r>
        <w:t xml:space="preserve"> on the adrenals. Adrenal function will be monitored in early clinical trials using cortisol and adrenocorticotropic hormone (ACTH) as biomarkers.</w:t>
      </w:r>
    </w:p>
    <w:p w:rsidR="00275267" w:rsidRDefault="00B45ABC">
      <w:pPr>
        <w:pStyle w:val="3"/>
        <w:spacing w:before="122"/>
        <w:ind w:left="232"/>
      </w:pPr>
      <w:r>
        <w:t>Other Class-related Effects</w:t>
      </w:r>
    </w:p>
    <w:p w:rsidR="00275267" w:rsidRDefault="00B45ABC">
      <w:pPr>
        <w:pStyle w:val="a3"/>
        <w:spacing w:before="139" w:line="261" w:lineRule="auto"/>
        <w:ind w:left="232" w:right="1677"/>
      </w:pPr>
      <w:r>
        <w:t xml:space="preserve">As an AR antagonist, class-related endocrine side effects (hot flushes, gynecomastia, breast pain) and gastrointestinal effects (abdominal pain, diarrhea, constipation, nausea) may occur. Decreased libido and impotence are also frequently reported. It is currently not known what the effects of single-dose administration of </w:t>
      </w:r>
      <w:r w:rsidR="002B4CFB">
        <w:t xml:space="preserve">PROJECT </w:t>
      </w:r>
      <w:proofErr w:type="spellStart"/>
      <w:r w:rsidR="002B4CFB">
        <w:t>R</w:t>
      </w:r>
      <w:r>
        <w:t xml:space="preserve"> are</w:t>
      </w:r>
      <w:proofErr w:type="spellEnd"/>
      <w:r>
        <w:t xml:space="preserve"> on the libido of healthy volunteers.</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Default="00B45ABC">
      <w:pPr>
        <w:pStyle w:val="3"/>
        <w:spacing w:before="232"/>
        <w:ind w:left="232"/>
      </w:pPr>
      <w:r>
        <w:t>Risk Minimization Actions</w:t>
      </w:r>
    </w:p>
    <w:p w:rsidR="00275267" w:rsidRDefault="00B45ABC">
      <w:pPr>
        <w:pStyle w:val="a3"/>
        <w:spacing w:before="139" w:line="261" w:lineRule="auto"/>
        <w:ind w:left="232" w:right="1643"/>
      </w:pPr>
      <w:r>
        <w:t xml:space="preserve">Potential safety concerns associated with </w:t>
      </w:r>
      <w:r w:rsidR="002B4CFB">
        <w:t>PROJECT R</w:t>
      </w:r>
      <w:r>
        <w:t xml:space="preserve"> are summarized in </w:t>
      </w:r>
      <w:hyperlink w:anchor="_bookmark60" w:history="1">
        <w:r>
          <w:t>Table 6</w:t>
        </w:r>
      </w:hyperlink>
      <w:r>
        <w:t xml:space="preserve"> along with the corresponding risk minimization actions.</w:t>
      </w:r>
    </w:p>
    <w:p w:rsidR="00275267" w:rsidRDefault="00B45ABC">
      <w:pPr>
        <w:pStyle w:val="3"/>
        <w:tabs>
          <w:tab w:val="left" w:pos="1643"/>
        </w:tabs>
        <w:spacing w:before="97"/>
        <w:ind w:left="232"/>
      </w:pPr>
      <w:bookmarkStart w:id="38" w:name="_bookmark60"/>
      <w:bookmarkEnd w:id="38"/>
      <w:r>
        <w:t>Table 6</w:t>
      </w:r>
      <w:r>
        <w:tab/>
        <w:t xml:space="preserve">Potential Safety Concerns of </w:t>
      </w:r>
      <w:r w:rsidR="002B4CFB">
        <w:t>PROJECT R</w:t>
      </w:r>
      <w:r>
        <w:t xml:space="preserve"> and Risk Minimization</w:t>
      </w:r>
      <w:r>
        <w:rPr>
          <w:spacing w:val="-5"/>
        </w:rPr>
        <w:t xml:space="preserve"> </w:t>
      </w:r>
      <w:r>
        <w:t>Actions</w:t>
      </w:r>
    </w:p>
    <w:p w:rsidR="00275267" w:rsidRDefault="00275267">
      <w:pPr>
        <w:pStyle w:val="a3"/>
        <w:spacing w:before="6"/>
        <w:rPr>
          <w:b/>
          <w:sz w:val="5"/>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86"/>
        <w:gridCol w:w="3508"/>
        <w:gridCol w:w="3419"/>
      </w:tblGrid>
      <w:tr w:rsidR="00275267">
        <w:trPr>
          <w:trHeight w:val="385"/>
        </w:trPr>
        <w:tc>
          <w:tcPr>
            <w:tcW w:w="2186" w:type="dxa"/>
            <w:tcBorders>
              <w:bottom w:val="single" w:sz="4" w:space="0" w:color="000000"/>
              <w:right w:val="single" w:sz="4" w:space="0" w:color="000000"/>
            </w:tcBorders>
          </w:tcPr>
          <w:p w:rsidR="00275267" w:rsidRDefault="00B45ABC">
            <w:pPr>
              <w:pStyle w:val="TableParagraph"/>
              <w:spacing w:line="224" w:lineRule="exact"/>
              <w:ind w:left="112"/>
              <w:jc w:val="left"/>
              <w:rPr>
                <w:b/>
                <w:sz w:val="20"/>
              </w:rPr>
            </w:pPr>
            <w:r>
              <w:rPr>
                <w:b/>
                <w:sz w:val="20"/>
              </w:rPr>
              <w:t>Target Organs</w:t>
            </w:r>
          </w:p>
        </w:tc>
        <w:tc>
          <w:tcPr>
            <w:tcW w:w="3508" w:type="dxa"/>
            <w:tcBorders>
              <w:left w:val="single" w:sz="4" w:space="0" w:color="000000"/>
              <w:bottom w:val="single" w:sz="4" w:space="0" w:color="000000"/>
              <w:right w:val="single" w:sz="4" w:space="0" w:color="000000"/>
            </w:tcBorders>
          </w:tcPr>
          <w:p w:rsidR="00275267" w:rsidRDefault="00B45ABC">
            <w:pPr>
              <w:pStyle w:val="TableParagraph"/>
              <w:spacing w:line="224" w:lineRule="exact"/>
              <w:ind w:left="115"/>
              <w:jc w:val="left"/>
              <w:rPr>
                <w:b/>
                <w:sz w:val="20"/>
              </w:rPr>
            </w:pPr>
            <w:r>
              <w:rPr>
                <w:b/>
                <w:sz w:val="20"/>
              </w:rPr>
              <w:t>Potential Risks</w:t>
            </w:r>
          </w:p>
        </w:tc>
        <w:tc>
          <w:tcPr>
            <w:tcW w:w="3419" w:type="dxa"/>
            <w:tcBorders>
              <w:left w:val="single" w:sz="4" w:space="0" w:color="000000"/>
              <w:bottom w:val="single" w:sz="4" w:space="0" w:color="000000"/>
            </w:tcBorders>
          </w:tcPr>
          <w:p w:rsidR="00275267" w:rsidRDefault="00B45ABC">
            <w:pPr>
              <w:pStyle w:val="TableParagraph"/>
              <w:spacing w:line="224" w:lineRule="exact"/>
              <w:ind w:left="118"/>
              <w:jc w:val="left"/>
              <w:rPr>
                <w:b/>
                <w:sz w:val="20"/>
              </w:rPr>
            </w:pPr>
            <w:r>
              <w:rPr>
                <w:b/>
                <w:sz w:val="20"/>
              </w:rPr>
              <w:t>Risk Minimization Action</w:t>
            </w:r>
          </w:p>
        </w:tc>
      </w:tr>
      <w:tr w:rsidR="00275267">
        <w:trPr>
          <w:trHeight w:val="683"/>
        </w:trPr>
        <w:tc>
          <w:tcPr>
            <w:tcW w:w="2186" w:type="dxa"/>
            <w:tcBorders>
              <w:top w:val="single" w:sz="4" w:space="0" w:color="000000"/>
              <w:bottom w:val="single" w:sz="4" w:space="0" w:color="000000"/>
              <w:right w:val="single" w:sz="4" w:space="0" w:color="000000"/>
            </w:tcBorders>
          </w:tcPr>
          <w:p w:rsidR="00275267" w:rsidRDefault="00B45ABC">
            <w:pPr>
              <w:pStyle w:val="TableParagraph"/>
              <w:spacing w:line="219" w:lineRule="exact"/>
              <w:ind w:left="112"/>
              <w:jc w:val="left"/>
              <w:rPr>
                <w:sz w:val="20"/>
              </w:rPr>
            </w:pPr>
            <w:r>
              <w:rPr>
                <w:sz w:val="20"/>
              </w:rPr>
              <w:t>Adrenals</w:t>
            </w:r>
          </w:p>
        </w:tc>
        <w:tc>
          <w:tcPr>
            <w:tcW w:w="350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37" w:lineRule="auto"/>
              <w:ind w:left="115" w:right="269"/>
              <w:jc w:val="left"/>
              <w:rPr>
                <w:sz w:val="20"/>
              </w:rPr>
            </w:pPr>
            <w:r>
              <w:rPr>
                <w:sz w:val="20"/>
              </w:rPr>
              <w:t>Adrenal hypertrophy, and at higher dose, depletion of cells in the zona</w:t>
            </w:r>
          </w:p>
          <w:p w:rsidR="00275267" w:rsidRDefault="00B45ABC">
            <w:pPr>
              <w:pStyle w:val="TableParagraph"/>
              <w:spacing w:line="216" w:lineRule="exact"/>
              <w:ind w:left="115"/>
              <w:jc w:val="left"/>
              <w:rPr>
                <w:sz w:val="20"/>
              </w:rPr>
            </w:pPr>
            <w:r>
              <w:rPr>
                <w:sz w:val="20"/>
              </w:rPr>
              <w:t>fasciculata and reticularis</w:t>
            </w:r>
          </w:p>
        </w:tc>
        <w:tc>
          <w:tcPr>
            <w:tcW w:w="3419" w:type="dxa"/>
            <w:tcBorders>
              <w:top w:val="single" w:sz="4" w:space="0" w:color="000000"/>
              <w:left w:val="single" w:sz="4" w:space="0" w:color="000000"/>
              <w:bottom w:val="single" w:sz="4" w:space="0" w:color="000000"/>
            </w:tcBorders>
          </w:tcPr>
          <w:p w:rsidR="00275267" w:rsidRDefault="00B45ABC">
            <w:pPr>
              <w:pStyle w:val="TableParagraph"/>
              <w:spacing w:line="237" w:lineRule="auto"/>
              <w:ind w:left="118" w:right="555"/>
              <w:jc w:val="left"/>
              <w:rPr>
                <w:sz w:val="20"/>
              </w:rPr>
            </w:pPr>
            <w:r>
              <w:rPr>
                <w:sz w:val="20"/>
              </w:rPr>
              <w:t>Monitoring of ACTH and cortisol levels</w:t>
            </w:r>
          </w:p>
        </w:tc>
      </w:tr>
      <w:tr w:rsidR="00275267">
        <w:trPr>
          <w:trHeight w:val="1144"/>
        </w:trPr>
        <w:tc>
          <w:tcPr>
            <w:tcW w:w="2186" w:type="dxa"/>
            <w:tcBorders>
              <w:top w:val="single" w:sz="4" w:space="0" w:color="000000"/>
              <w:bottom w:val="single" w:sz="4" w:space="0" w:color="000000"/>
              <w:right w:val="single" w:sz="4" w:space="0" w:color="000000"/>
            </w:tcBorders>
          </w:tcPr>
          <w:p w:rsidR="00275267" w:rsidRDefault="00B45ABC">
            <w:pPr>
              <w:pStyle w:val="TableParagraph"/>
              <w:spacing w:line="219" w:lineRule="exact"/>
              <w:ind w:left="112"/>
              <w:jc w:val="left"/>
              <w:rPr>
                <w:sz w:val="20"/>
              </w:rPr>
            </w:pPr>
            <w:r>
              <w:rPr>
                <w:sz w:val="20"/>
              </w:rPr>
              <w:t>Liver</w:t>
            </w:r>
          </w:p>
        </w:tc>
        <w:tc>
          <w:tcPr>
            <w:tcW w:w="350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40" w:lineRule="auto"/>
              <w:ind w:left="115" w:right="187"/>
              <w:jc w:val="both"/>
              <w:rPr>
                <w:sz w:val="20"/>
              </w:rPr>
            </w:pPr>
            <w:r>
              <w:rPr>
                <w:sz w:val="20"/>
              </w:rPr>
              <w:t>Dilatation of bile canaliculus, increases in indirect, direct and total bilirubin and ALP</w:t>
            </w:r>
          </w:p>
        </w:tc>
        <w:tc>
          <w:tcPr>
            <w:tcW w:w="3419" w:type="dxa"/>
            <w:tcBorders>
              <w:top w:val="single" w:sz="4" w:space="0" w:color="000000"/>
              <w:left w:val="single" w:sz="4" w:space="0" w:color="000000"/>
              <w:bottom w:val="single" w:sz="4" w:space="0" w:color="000000"/>
            </w:tcBorders>
          </w:tcPr>
          <w:p w:rsidR="00275267" w:rsidRDefault="00B45ABC">
            <w:pPr>
              <w:pStyle w:val="TableParagraph"/>
              <w:spacing w:line="240" w:lineRule="auto"/>
              <w:ind w:left="118" w:right="266"/>
              <w:jc w:val="left"/>
              <w:rPr>
                <w:sz w:val="20"/>
              </w:rPr>
            </w:pPr>
            <w:r>
              <w:rPr>
                <w:sz w:val="20"/>
              </w:rPr>
              <w:t>Standard monitoring of liver function parameters (ALT, AST, ALP, GGT, total bilirubin);</w:t>
            </w:r>
          </w:p>
          <w:p w:rsidR="00275267" w:rsidRDefault="00B45ABC">
            <w:pPr>
              <w:pStyle w:val="TableParagraph"/>
              <w:spacing w:line="230" w:lineRule="atLeast"/>
              <w:ind w:left="118" w:right="233"/>
              <w:jc w:val="left"/>
              <w:rPr>
                <w:sz w:val="20"/>
              </w:rPr>
            </w:pPr>
            <w:r>
              <w:rPr>
                <w:sz w:val="20"/>
              </w:rPr>
              <w:t>in addition, direct bilirubin and serum bile acids should be measured</w:t>
            </w:r>
          </w:p>
        </w:tc>
      </w:tr>
      <w:tr w:rsidR="00275267">
        <w:trPr>
          <w:trHeight w:val="1368"/>
        </w:trPr>
        <w:tc>
          <w:tcPr>
            <w:tcW w:w="2186" w:type="dxa"/>
            <w:tcBorders>
              <w:top w:val="single" w:sz="4" w:space="0" w:color="000000"/>
              <w:bottom w:val="single" w:sz="4" w:space="0" w:color="000000"/>
              <w:right w:val="single" w:sz="4" w:space="0" w:color="000000"/>
            </w:tcBorders>
          </w:tcPr>
          <w:p w:rsidR="00275267" w:rsidRDefault="00B45ABC">
            <w:pPr>
              <w:pStyle w:val="TableParagraph"/>
              <w:spacing w:line="214" w:lineRule="exact"/>
              <w:ind w:left="112"/>
              <w:jc w:val="left"/>
              <w:rPr>
                <w:sz w:val="20"/>
              </w:rPr>
            </w:pPr>
            <w:r>
              <w:rPr>
                <w:sz w:val="20"/>
              </w:rPr>
              <w:t>Cardiovascular system</w:t>
            </w:r>
          </w:p>
        </w:tc>
        <w:tc>
          <w:tcPr>
            <w:tcW w:w="350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4" w:lineRule="exact"/>
              <w:ind w:left="115"/>
              <w:jc w:val="left"/>
              <w:rPr>
                <w:sz w:val="20"/>
              </w:rPr>
            </w:pPr>
            <w:r>
              <w:rPr>
                <w:sz w:val="20"/>
              </w:rPr>
              <w:t>Decrease in heart rate</w:t>
            </w:r>
          </w:p>
          <w:p w:rsidR="00275267" w:rsidRDefault="00275267">
            <w:pPr>
              <w:pStyle w:val="TableParagraph"/>
              <w:spacing w:line="240" w:lineRule="auto"/>
              <w:jc w:val="left"/>
              <w:rPr>
                <w:b/>
                <w:sz w:val="20"/>
              </w:rPr>
            </w:pPr>
          </w:p>
          <w:p w:rsidR="00275267" w:rsidRDefault="00B45ABC">
            <w:pPr>
              <w:pStyle w:val="TableParagraph"/>
              <w:spacing w:before="1" w:line="240" w:lineRule="auto"/>
              <w:ind w:left="115"/>
              <w:jc w:val="left"/>
              <w:rPr>
                <w:sz w:val="20"/>
              </w:rPr>
            </w:pPr>
            <w:r>
              <w:rPr>
                <w:sz w:val="20"/>
              </w:rPr>
              <w:t>Increase total cholesterol levels</w:t>
            </w:r>
          </w:p>
        </w:tc>
        <w:tc>
          <w:tcPr>
            <w:tcW w:w="3419" w:type="dxa"/>
            <w:tcBorders>
              <w:top w:val="single" w:sz="4" w:space="0" w:color="000000"/>
              <w:left w:val="single" w:sz="4" w:space="0" w:color="000000"/>
              <w:bottom w:val="single" w:sz="4" w:space="0" w:color="000000"/>
            </w:tcBorders>
          </w:tcPr>
          <w:p w:rsidR="00275267" w:rsidRDefault="00B45ABC">
            <w:pPr>
              <w:pStyle w:val="TableParagraph"/>
              <w:spacing w:line="214" w:lineRule="exact"/>
              <w:ind w:left="118"/>
              <w:jc w:val="left"/>
              <w:rPr>
                <w:sz w:val="20"/>
              </w:rPr>
            </w:pPr>
            <w:r>
              <w:rPr>
                <w:sz w:val="20"/>
              </w:rPr>
              <w:t>Cardiac monitoring should be</w:t>
            </w:r>
          </w:p>
          <w:p w:rsidR="00275267" w:rsidRDefault="00B45ABC">
            <w:pPr>
              <w:pStyle w:val="TableParagraph"/>
              <w:spacing w:line="240" w:lineRule="auto"/>
              <w:ind w:left="118" w:right="266"/>
              <w:jc w:val="left"/>
              <w:rPr>
                <w:sz w:val="20"/>
              </w:rPr>
            </w:pPr>
            <w:r>
              <w:rPr>
                <w:sz w:val="20"/>
              </w:rPr>
              <w:t>performed during the first 12 hours after dosing in the FIH study</w:t>
            </w:r>
          </w:p>
          <w:p w:rsidR="00275267" w:rsidRDefault="00275267">
            <w:pPr>
              <w:pStyle w:val="TableParagraph"/>
              <w:spacing w:before="1" w:line="240" w:lineRule="auto"/>
              <w:jc w:val="left"/>
              <w:rPr>
                <w:b/>
                <w:sz w:val="20"/>
              </w:rPr>
            </w:pPr>
          </w:p>
          <w:p w:rsidR="00275267" w:rsidRDefault="00B45ABC">
            <w:pPr>
              <w:pStyle w:val="TableParagraph"/>
              <w:spacing w:line="230" w:lineRule="atLeast"/>
              <w:ind w:left="118" w:right="294"/>
              <w:jc w:val="left"/>
              <w:rPr>
                <w:sz w:val="20"/>
              </w:rPr>
            </w:pPr>
            <w:r>
              <w:rPr>
                <w:sz w:val="20"/>
              </w:rPr>
              <w:t>Monitoring of total cholesterol, HDL and LDL</w:t>
            </w:r>
          </w:p>
        </w:tc>
      </w:tr>
      <w:tr w:rsidR="00275267">
        <w:trPr>
          <w:trHeight w:val="916"/>
        </w:trPr>
        <w:tc>
          <w:tcPr>
            <w:tcW w:w="2186" w:type="dxa"/>
            <w:tcBorders>
              <w:top w:val="single" w:sz="4" w:space="0" w:color="000000"/>
              <w:bottom w:val="single" w:sz="4" w:space="0" w:color="000000"/>
              <w:right w:val="single" w:sz="4" w:space="0" w:color="000000"/>
            </w:tcBorders>
          </w:tcPr>
          <w:p w:rsidR="00275267" w:rsidRDefault="00B45ABC">
            <w:pPr>
              <w:pStyle w:val="TableParagraph"/>
              <w:spacing w:line="219" w:lineRule="exact"/>
              <w:ind w:left="112"/>
              <w:jc w:val="left"/>
              <w:rPr>
                <w:sz w:val="20"/>
              </w:rPr>
            </w:pPr>
            <w:r>
              <w:rPr>
                <w:sz w:val="20"/>
              </w:rPr>
              <w:t>Hematopoietic system</w:t>
            </w:r>
          </w:p>
        </w:tc>
        <w:tc>
          <w:tcPr>
            <w:tcW w:w="350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40" w:lineRule="auto"/>
              <w:ind w:left="115"/>
              <w:jc w:val="left"/>
              <w:rPr>
                <w:sz w:val="20"/>
              </w:rPr>
            </w:pPr>
            <w:r>
              <w:rPr>
                <w:sz w:val="20"/>
              </w:rPr>
              <w:t>Slight anemic changes, increase in lymphocyte count</w:t>
            </w:r>
          </w:p>
        </w:tc>
        <w:tc>
          <w:tcPr>
            <w:tcW w:w="3419" w:type="dxa"/>
            <w:tcBorders>
              <w:top w:val="single" w:sz="4" w:space="0" w:color="000000"/>
              <w:left w:val="single" w:sz="4" w:space="0" w:color="000000"/>
              <w:bottom w:val="single" w:sz="4" w:space="0" w:color="000000"/>
            </w:tcBorders>
          </w:tcPr>
          <w:p w:rsidR="00275267" w:rsidRDefault="00B45ABC">
            <w:pPr>
              <w:pStyle w:val="TableParagraph"/>
              <w:spacing w:line="240" w:lineRule="auto"/>
              <w:ind w:left="118" w:right="955"/>
              <w:jc w:val="left"/>
              <w:rPr>
                <w:sz w:val="20"/>
              </w:rPr>
            </w:pPr>
            <w:r>
              <w:rPr>
                <w:sz w:val="20"/>
              </w:rPr>
              <w:t>Monitoring of hematological parameters</w:t>
            </w:r>
          </w:p>
          <w:p w:rsidR="00275267" w:rsidRDefault="00B45ABC">
            <w:pPr>
              <w:pStyle w:val="TableParagraph"/>
              <w:spacing w:line="230" w:lineRule="atLeast"/>
              <w:ind w:left="118" w:right="150"/>
              <w:jc w:val="left"/>
              <w:rPr>
                <w:sz w:val="20"/>
              </w:rPr>
            </w:pPr>
            <w:r>
              <w:rPr>
                <w:sz w:val="20"/>
              </w:rPr>
              <w:t>(hematocrit, hemoglobin, erythrocytes, reticulocytes, differential WBC)</w:t>
            </w:r>
          </w:p>
        </w:tc>
      </w:tr>
      <w:tr w:rsidR="00275267">
        <w:trPr>
          <w:trHeight w:val="451"/>
        </w:trPr>
        <w:tc>
          <w:tcPr>
            <w:tcW w:w="2186" w:type="dxa"/>
            <w:tcBorders>
              <w:top w:val="single" w:sz="4" w:space="0" w:color="000000"/>
              <w:bottom w:val="single" w:sz="4" w:space="0" w:color="000000"/>
              <w:right w:val="single" w:sz="4" w:space="0" w:color="000000"/>
            </w:tcBorders>
          </w:tcPr>
          <w:p w:rsidR="00275267" w:rsidRDefault="00B45ABC">
            <w:pPr>
              <w:pStyle w:val="TableParagraph"/>
              <w:spacing w:line="216" w:lineRule="exact"/>
              <w:ind w:left="112"/>
              <w:jc w:val="left"/>
              <w:rPr>
                <w:sz w:val="20"/>
              </w:rPr>
            </w:pPr>
            <w:r>
              <w:rPr>
                <w:sz w:val="20"/>
              </w:rPr>
              <w:t>Endocrine system</w:t>
            </w:r>
          </w:p>
        </w:tc>
        <w:tc>
          <w:tcPr>
            <w:tcW w:w="350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6" w:lineRule="exact"/>
              <w:ind w:left="115"/>
              <w:jc w:val="left"/>
              <w:rPr>
                <w:sz w:val="20"/>
              </w:rPr>
            </w:pPr>
            <w:r>
              <w:rPr>
                <w:sz w:val="20"/>
              </w:rPr>
              <w:t>High-circulating testosterone level</w:t>
            </w:r>
          </w:p>
        </w:tc>
        <w:tc>
          <w:tcPr>
            <w:tcW w:w="3419" w:type="dxa"/>
            <w:tcBorders>
              <w:top w:val="single" w:sz="4" w:space="0" w:color="000000"/>
              <w:left w:val="single" w:sz="4" w:space="0" w:color="000000"/>
              <w:bottom w:val="single" w:sz="4" w:space="0" w:color="000000"/>
            </w:tcBorders>
          </w:tcPr>
          <w:p w:rsidR="00275267" w:rsidRDefault="00B45ABC">
            <w:pPr>
              <w:pStyle w:val="TableParagraph"/>
              <w:spacing w:line="216" w:lineRule="exact"/>
              <w:ind w:left="118"/>
              <w:jc w:val="left"/>
              <w:rPr>
                <w:sz w:val="20"/>
              </w:rPr>
            </w:pPr>
            <w:r>
              <w:rPr>
                <w:sz w:val="20"/>
              </w:rPr>
              <w:t>Testosterone, LH and FSH should be</w:t>
            </w:r>
          </w:p>
          <w:p w:rsidR="00275267" w:rsidRDefault="00B45ABC">
            <w:pPr>
              <w:pStyle w:val="TableParagraph"/>
              <w:spacing w:line="216" w:lineRule="exact"/>
              <w:ind w:left="118"/>
              <w:jc w:val="left"/>
              <w:rPr>
                <w:sz w:val="20"/>
              </w:rPr>
            </w:pPr>
            <w:r>
              <w:rPr>
                <w:sz w:val="20"/>
              </w:rPr>
              <w:t>monitored</w:t>
            </w:r>
          </w:p>
        </w:tc>
      </w:tr>
      <w:tr w:rsidR="00275267">
        <w:trPr>
          <w:trHeight w:val="1144"/>
        </w:trPr>
        <w:tc>
          <w:tcPr>
            <w:tcW w:w="2186" w:type="dxa"/>
            <w:tcBorders>
              <w:top w:val="single" w:sz="4" w:space="0" w:color="000000"/>
              <w:right w:val="single" w:sz="4" w:space="0" w:color="000000"/>
            </w:tcBorders>
          </w:tcPr>
          <w:p w:rsidR="00275267" w:rsidRDefault="00B45ABC">
            <w:pPr>
              <w:pStyle w:val="TableParagraph"/>
              <w:spacing w:line="219" w:lineRule="exact"/>
              <w:ind w:left="112"/>
              <w:jc w:val="left"/>
              <w:rPr>
                <w:sz w:val="20"/>
              </w:rPr>
            </w:pPr>
            <w:r>
              <w:rPr>
                <w:sz w:val="20"/>
              </w:rPr>
              <w:t>Reproductive system</w:t>
            </w:r>
          </w:p>
        </w:tc>
        <w:tc>
          <w:tcPr>
            <w:tcW w:w="3508" w:type="dxa"/>
            <w:tcBorders>
              <w:top w:val="single" w:sz="4" w:space="0" w:color="000000"/>
              <w:left w:val="single" w:sz="4" w:space="0" w:color="000000"/>
              <w:right w:val="single" w:sz="4" w:space="0" w:color="000000"/>
            </w:tcBorders>
          </w:tcPr>
          <w:p w:rsidR="00275267" w:rsidRDefault="00B45ABC">
            <w:pPr>
              <w:pStyle w:val="TableParagraph"/>
              <w:spacing w:line="237" w:lineRule="auto"/>
              <w:ind w:left="115" w:right="269"/>
              <w:jc w:val="left"/>
              <w:rPr>
                <w:sz w:val="20"/>
              </w:rPr>
            </w:pPr>
            <w:r>
              <w:rPr>
                <w:sz w:val="20"/>
              </w:rPr>
              <w:t>Lack of information on female reproductive and embryo-fetal toxicity</w:t>
            </w:r>
          </w:p>
        </w:tc>
        <w:tc>
          <w:tcPr>
            <w:tcW w:w="3419" w:type="dxa"/>
            <w:tcBorders>
              <w:top w:val="single" w:sz="4" w:space="0" w:color="000000"/>
              <w:left w:val="single" w:sz="4" w:space="0" w:color="000000"/>
            </w:tcBorders>
          </w:tcPr>
          <w:p w:rsidR="00275267" w:rsidRDefault="00B45ABC">
            <w:pPr>
              <w:pStyle w:val="TableParagraph"/>
              <w:spacing w:line="240" w:lineRule="auto"/>
              <w:ind w:left="118" w:right="68"/>
              <w:jc w:val="left"/>
              <w:rPr>
                <w:sz w:val="20"/>
              </w:rPr>
            </w:pPr>
            <w:r>
              <w:rPr>
                <w:sz w:val="20"/>
              </w:rPr>
              <w:t xml:space="preserve">Healthy volunteers should employ 2 forms of contraception, one of which is a barrier method, to avoid pregnancy and exposure of females to </w:t>
            </w:r>
            <w:r w:rsidR="002B4CFB">
              <w:rPr>
                <w:sz w:val="20"/>
              </w:rPr>
              <w:t>PROJECT R</w:t>
            </w:r>
          </w:p>
          <w:p w:rsidR="00275267" w:rsidRDefault="00B45ABC">
            <w:pPr>
              <w:pStyle w:val="TableParagraph"/>
              <w:spacing w:line="215" w:lineRule="exact"/>
              <w:ind w:left="118"/>
              <w:jc w:val="left"/>
              <w:rPr>
                <w:sz w:val="20"/>
              </w:rPr>
            </w:pPr>
            <w:r>
              <w:rPr>
                <w:sz w:val="20"/>
              </w:rPr>
              <w:t>through male ejaculate</w:t>
            </w:r>
          </w:p>
        </w:tc>
      </w:tr>
    </w:tbl>
    <w:p w:rsidR="00275267" w:rsidRDefault="00B45ABC">
      <w:pPr>
        <w:spacing w:before="51"/>
        <w:ind w:left="232" w:right="2003"/>
        <w:rPr>
          <w:sz w:val="20"/>
        </w:rPr>
      </w:pPr>
      <w:r>
        <w:rPr>
          <w:sz w:val="20"/>
        </w:rPr>
        <w:t>ACTH: adrenocorticotropic hormone; ALT: alanine aminotransferase; AST: aspartate aminotransferase; ALP; alkaline phosphatase; GGT: gamma-glutamyl transpeptidase; FIH: first in human; HDL: high density lipoprotein; LDL: low density lipoprotein; WBC: white blood cells; LH: luteinizing hormone; FSH: follicle stimulating hormone.</w:t>
      </w:r>
    </w:p>
    <w:p w:rsidR="00275267" w:rsidRDefault="00275267">
      <w:pPr>
        <w:pStyle w:val="a3"/>
        <w:rPr>
          <w:sz w:val="22"/>
        </w:rPr>
      </w:pPr>
    </w:p>
    <w:p w:rsidR="00275267" w:rsidRDefault="00B45ABC">
      <w:pPr>
        <w:pStyle w:val="3"/>
        <w:spacing w:before="136"/>
        <w:ind w:left="232"/>
      </w:pPr>
      <w:r>
        <w:t>Safety Margin</w:t>
      </w:r>
    </w:p>
    <w:p w:rsidR="00275267" w:rsidRDefault="00B45ABC">
      <w:pPr>
        <w:pStyle w:val="a3"/>
        <w:spacing w:before="139" w:line="261" w:lineRule="auto"/>
        <w:ind w:left="232" w:right="1843"/>
      </w:pPr>
      <w:r>
        <w:t>The human equivalent dose of the NOAEL observed in rats was calculated as 0.484 mg/kg and in monkeys was calculated as 0.322 mg/kg. The maximum recommended starting dose (MRSD) based on the  monkey NOAEL, using a safety factor of 10, is 1.93 mg/day for a 60 kg human. The monkey NOAEL was based on the occurrence of cholestasis (without hepatocellular damage), which is a monitorable event in clinical trials. A dose</w:t>
      </w:r>
      <w:r>
        <w:rPr>
          <w:spacing w:val="-17"/>
        </w:rPr>
        <w:t xml:space="preserve"> </w:t>
      </w:r>
      <w:r>
        <w:t>of</w:t>
      </w:r>
    </w:p>
    <w:p w:rsidR="00275267" w:rsidRDefault="00B45ABC">
      <w:pPr>
        <w:pStyle w:val="a3"/>
        <w:spacing w:line="261" w:lineRule="auto"/>
        <w:ind w:left="232" w:right="1823"/>
      </w:pPr>
      <w:r>
        <w:t xml:space="preserve">1 mg/day was recommended as the starting dose in the planned first-in-human (FIH) study. At the recommended starting dose, the exposures based on the plasma unbound fraction are approximately 44 to 172-fold and 41 to 166-fold for </w:t>
      </w:r>
      <w:proofErr w:type="spellStart"/>
      <w:r>
        <w:t>C</w:t>
      </w:r>
      <w:r>
        <w:rPr>
          <w:vertAlign w:val="subscript"/>
        </w:rPr>
        <w:t>max</w:t>
      </w:r>
      <w:proofErr w:type="spellEnd"/>
      <w:r>
        <w:t xml:space="preserve"> and AUC</w:t>
      </w:r>
      <w:r>
        <w:rPr>
          <w:vertAlign w:val="subscript"/>
        </w:rPr>
        <w:t>24</w:t>
      </w:r>
      <w:r>
        <w:t>, respectively, lower than those at the LOAEL for dilatation of bile canaliculi in the monkey 13-week study [</w:t>
      </w:r>
      <w:hyperlink w:anchor="_bookmark61" w:history="1">
        <w:r>
          <w:t>Table 7</w:t>
        </w:r>
      </w:hyperlink>
      <w:r>
        <w:t>].</w:t>
      </w:r>
    </w:p>
    <w:p w:rsidR="00275267" w:rsidRDefault="00275267">
      <w:pPr>
        <w:spacing w:line="261" w:lineRule="auto"/>
        <w:sectPr w:rsidR="00275267">
          <w:pgSz w:w="12240" w:h="15840"/>
          <w:pgMar w:top="1240" w:right="0" w:bottom="940" w:left="1380" w:header="578" w:footer="748" w:gutter="0"/>
          <w:cols w:space="720"/>
        </w:sectPr>
      </w:pPr>
    </w:p>
    <w:p w:rsidR="00275267" w:rsidRDefault="00275267">
      <w:pPr>
        <w:pStyle w:val="a3"/>
        <w:rPr>
          <w:sz w:val="20"/>
        </w:rPr>
      </w:pPr>
    </w:p>
    <w:p w:rsidR="00275267" w:rsidRDefault="00B45ABC">
      <w:pPr>
        <w:pStyle w:val="3"/>
        <w:tabs>
          <w:tab w:val="left" w:pos="1643"/>
        </w:tabs>
        <w:spacing w:before="206"/>
        <w:ind w:left="1643" w:right="2515" w:hanging="1412"/>
      </w:pPr>
      <w:bookmarkStart w:id="39" w:name="_bookmark61"/>
      <w:bookmarkEnd w:id="39"/>
      <w:r>
        <w:t>Table</w:t>
      </w:r>
      <w:r>
        <w:rPr>
          <w:spacing w:val="-1"/>
        </w:rPr>
        <w:t xml:space="preserve"> </w:t>
      </w:r>
      <w:r>
        <w:t>7</w:t>
      </w:r>
      <w:r>
        <w:tab/>
        <w:t xml:space="preserve">Compilation of Doses and Systemic Exposure Data of </w:t>
      </w:r>
      <w:r w:rsidR="002B4CFB">
        <w:t xml:space="preserve">PROJECT </w:t>
      </w:r>
      <w:proofErr w:type="spellStart"/>
      <w:r w:rsidR="002B4CFB">
        <w:t>R</w:t>
      </w:r>
      <w:r>
        <w:rPr>
          <w:spacing w:val="-29"/>
        </w:rPr>
        <w:t xml:space="preserve"> </w:t>
      </w:r>
      <w:r>
        <w:t>at</w:t>
      </w:r>
      <w:proofErr w:type="spellEnd"/>
      <w:r>
        <w:t xml:space="preserve"> PAD/NOAEL/HED and the First-in-human (FIH)</w:t>
      </w:r>
      <w:r>
        <w:rPr>
          <w:spacing w:val="-6"/>
        </w:rPr>
        <w:t xml:space="preserve"> </w:t>
      </w:r>
      <w:r>
        <w:t>Dose</w:t>
      </w:r>
    </w:p>
    <w:p w:rsidR="00275267" w:rsidRDefault="00275267">
      <w:pPr>
        <w:pStyle w:val="a3"/>
        <w:spacing w:before="5"/>
        <w:rPr>
          <w:b/>
          <w:sz w:val="5"/>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55"/>
        <w:gridCol w:w="564"/>
        <w:gridCol w:w="1258"/>
        <w:gridCol w:w="1239"/>
        <w:gridCol w:w="1172"/>
        <w:gridCol w:w="1261"/>
        <w:gridCol w:w="1081"/>
        <w:gridCol w:w="1170"/>
      </w:tblGrid>
      <w:tr w:rsidR="00275267">
        <w:trPr>
          <w:trHeight w:val="397"/>
        </w:trPr>
        <w:tc>
          <w:tcPr>
            <w:tcW w:w="1555" w:type="dxa"/>
            <w:vMerge w:val="restart"/>
            <w:tcBorders>
              <w:left w:val="single" w:sz="8" w:space="0" w:color="000000"/>
              <w:right w:val="single" w:sz="4" w:space="0" w:color="000000"/>
            </w:tcBorders>
          </w:tcPr>
          <w:p w:rsidR="00275267" w:rsidRDefault="00B45ABC">
            <w:pPr>
              <w:pStyle w:val="TableParagraph"/>
              <w:spacing w:line="240" w:lineRule="auto"/>
              <w:ind w:left="112" w:right="753"/>
              <w:jc w:val="left"/>
              <w:rPr>
                <w:b/>
                <w:sz w:val="18"/>
              </w:rPr>
            </w:pPr>
            <w:r>
              <w:rPr>
                <w:b/>
                <w:sz w:val="18"/>
              </w:rPr>
              <w:t>Species/ Route of</w:t>
            </w:r>
          </w:p>
          <w:p w:rsidR="00275267" w:rsidRDefault="00B45ABC">
            <w:pPr>
              <w:pStyle w:val="TableParagraph"/>
              <w:spacing w:line="240" w:lineRule="auto"/>
              <w:ind w:left="112" w:right="227"/>
              <w:jc w:val="left"/>
              <w:rPr>
                <w:b/>
                <w:sz w:val="18"/>
              </w:rPr>
            </w:pPr>
            <w:r>
              <w:rPr>
                <w:b/>
                <w:sz w:val="18"/>
              </w:rPr>
              <w:t>Administration Test category</w:t>
            </w:r>
          </w:p>
        </w:tc>
        <w:tc>
          <w:tcPr>
            <w:tcW w:w="564" w:type="dxa"/>
            <w:vMerge w:val="restart"/>
            <w:tcBorders>
              <w:left w:val="single" w:sz="4" w:space="0" w:color="000000"/>
              <w:right w:val="single" w:sz="4" w:space="0" w:color="000000"/>
            </w:tcBorders>
          </w:tcPr>
          <w:p w:rsidR="00275267" w:rsidRDefault="00B45ABC">
            <w:pPr>
              <w:pStyle w:val="TableParagraph"/>
              <w:spacing w:line="200" w:lineRule="exact"/>
              <w:ind w:left="148"/>
              <w:jc w:val="left"/>
              <w:rPr>
                <w:b/>
                <w:sz w:val="18"/>
              </w:rPr>
            </w:pPr>
            <w:r>
              <w:rPr>
                <w:b/>
                <w:sz w:val="18"/>
              </w:rPr>
              <w:t>Sex</w:t>
            </w:r>
          </w:p>
        </w:tc>
        <w:tc>
          <w:tcPr>
            <w:tcW w:w="1258" w:type="dxa"/>
            <w:vMerge w:val="restart"/>
            <w:tcBorders>
              <w:left w:val="single" w:sz="4" w:space="0" w:color="000000"/>
              <w:right w:val="single" w:sz="4" w:space="0" w:color="000000"/>
            </w:tcBorders>
          </w:tcPr>
          <w:p w:rsidR="00275267" w:rsidRDefault="00B45ABC">
            <w:pPr>
              <w:pStyle w:val="TableParagraph"/>
              <w:spacing w:line="240" w:lineRule="auto"/>
              <w:ind w:left="165" w:right="132" w:firstLine="280"/>
              <w:jc w:val="left"/>
              <w:rPr>
                <w:b/>
                <w:sz w:val="18"/>
              </w:rPr>
            </w:pPr>
            <w:r>
              <w:rPr>
                <w:b/>
                <w:sz w:val="18"/>
              </w:rPr>
              <w:t>Dose (mg/kg/day)</w:t>
            </w:r>
          </w:p>
        </w:tc>
        <w:tc>
          <w:tcPr>
            <w:tcW w:w="1239" w:type="dxa"/>
            <w:vMerge w:val="restart"/>
            <w:tcBorders>
              <w:left w:val="single" w:sz="4" w:space="0" w:color="000000"/>
              <w:right w:val="single" w:sz="4" w:space="0" w:color="000000"/>
            </w:tcBorders>
          </w:tcPr>
          <w:p w:rsidR="00275267" w:rsidRDefault="00B45ABC">
            <w:pPr>
              <w:pStyle w:val="TableParagraph"/>
              <w:spacing w:line="200" w:lineRule="exact"/>
              <w:ind w:left="381"/>
              <w:jc w:val="left"/>
              <w:rPr>
                <w:b/>
                <w:sz w:val="18"/>
              </w:rPr>
            </w:pPr>
            <w:r>
              <w:rPr>
                <w:b/>
                <w:sz w:val="18"/>
              </w:rPr>
              <w:t>HED†</w:t>
            </w:r>
          </w:p>
          <w:p w:rsidR="00275267" w:rsidRDefault="00B45ABC">
            <w:pPr>
              <w:pStyle w:val="TableParagraph"/>
              <w:spacing w:line="207" w:lineRule="exact"/>
              <w:ind w:left="321"/>
              <w:jc w:val="left"/>
              <w:rPr>
                <w:b/>
                <w:sz w:val="18"/>
              </w:rPr>
            </w:pPr>
            <w:r>
              <w:rPr>
                <w:b/>
                <w:sz w:val="18"/>
              </w:rPr>
              <w:t>(mg/kg)</w:t>
            </w:r>
          </w:p>
        </w:tc>
        <w:tc>
          <w:tcPr>
            <w:tcW w:w="4684" w:type="dxa"/>
            <w:gridSpan w:val="4"/>
            <w:tcBorders>
              <w:left w:val="single" w:sz="4" w:space="0" w:color="000000"/>
              <w:bottom w:val="single" w:sz="4" w:space="0" w:color="000000"/>
              <w:right w:val="single" w:sz="8" w:space="0" w:color="000000"/>
            </w:tcBorders>
          </w:tcPr>
          <w:p w:rsidR="00275267" w:rsidRDefault="00B45ABC">
            <w:pPr>
              <w:pStyle w:val="TableParagraph"/>
              <w:spacing w:line="200" w:lineRule="exact"/>
              <w:ind w:left="864" w:right="849"/>
              <w:rPr>
                <w:b/>
                <w:sz w:val="18"/>
              </w:rPr>
            </w:pPr>
            <w:r>
              <w:rPr>
                <w:b/>
                <w:sz w:val="18"/>
              </w:rPr>
              <w:t xml:space="preserve">Total Plasma </w:t>
            </w:r>
            <w:r w:rsidR="002B4CFB">
              <w:rPr>
                <w:b/>
                <w:sz w:val="18"/>
              </w:rPr>
              <w:t>PROJECT R</w:t>
            </w:r>
            <w:r>
              <w:rPr>
                <w:b/>
                <w:sz w:val="18"/>
              </w:rPr>
              <w:t xml:space="preserve"> Concentration</w:t>
            </w:r>
          </w:p>
          <w:p w:rsidR="00275267" w:rsidRDefault="00B45ABC">
            <w:pPr>
              <w:pStyle w:val="TableParagraph"/>
              <w:spacing w:line="177" w:lineRule="exact"/>
              <w:ind w:left="860" w:right="849"/>
              <w:rPr>
                <w:b/>
                <w:sz w:val="18"/>
              </w:rPr>
            </w:pPr>
            <w:r>
              <w:rPr>
                <w:b/>
                <w:sz w:val="18"/>
              </w:rPr>
              <w:t>[Unbound Plasma Concentration]</w:t>
            </w:r>
          </w:p>
        </w:tc>
      </w:tr>
      <w:tr w:rsidR="00275267">
        <w:trPr>
          <w:trHeight w:val="207"/>
        </w:trPr>
        <w:tc>
          <w:tcPr>
            <w:tcW w:w="1555" w:type="dxa"/>
            <w:vMerge/>
            <w:tcBorders>
              <w:top w:val="nil"/>
              <w:left w:val="single" w:sz="8" w:space="0" w:color="000000"/>
              <w:right w:val="single" w:sz="4" w:space="0" w:color="000000"/>
            </w:tcBorders>
          </w:tcPr>
          <w:p w:rsidR="00275267" w:rsidRDefault="00275267">
            <w:pPr>
              <w:rPr>
                <w:sz w:val="2"/>
                <w:szCs w:val="2"/>
              </w:rPr>
            </w:pPr>
          </w:p>
        </w:tc>
        <w:tc>
          <w:tcPr>
            <w:tcW w:w="564" w:type="dxa"/>
            <w:vMerge/>
            <w:tcBorders>
              <w:top w:val="nil"/>
              <w:left w:val="single" w:sz="4" w:space="0" w:color="000000"/>
              <w:right w:val="single" w:sz="4" w:space="0" w:color="000000"/>
            </w:tcBorders>
          </w:tcPr>
          <w:p w:rsidR="00275267" w:rsidRDefault="00275267">
            <w:pPr>
              <w:rPr>
                <w:sz w:val="2"/>
                <w:szCs w:val="2"/>
              </w:rPr>
            </w:pPr>
          </w:p>
        </w:tc>
        <w:tc>
          <w:tcPr>
            <w:tcW w:w="1258" w:type="dxa"/>
            <w:vMerge/>
            <w:tcBorders>
              <w:top w:val="nil"/>
              <w:left w:val="single" w:sz="4" w:space="0" w:color="000000"/>
              <w:right w:val="single" w:sz="4" w:space="0" w:color="000000"/>
            </w:tcBorders>
          </w:tcPr>
          <w:p w:rsidR="00275267" w:rsidRDefault="00275267">
            <w:pPr>
              <w:rPr>
                <w:sz w:val="2"/>
                <w:szCs w:val="2"/>
              </w:rPr>
            </w:pPr>
          </w:p>
        </w:tc>
        <w:tc>
          <w:tcPr>
            <w:tcW w:w="1239" w:type="dxa"/>
            <w:vMerge/>
            <w:tcBorders>
              <w:top w:val="nil"/>
              <w:left w:val="single" w:sz="4" w:space="0" w:color="000000"/>
              <w:right w:val="single" w:sz="4" w:space="0" w:color="000000"/>
            </w:tcBorders>
          </w:tcPr>
          <w:p w:rsidR="00275267" w:rsidRDefault="00275267">
            <w:pPr>
              <w:rPr>
                <w:sz w:val="2"/>
                <w:szCs w:val="2"/>
              </w:rPr>
            </w:pPr>
          </w:p>
        </w:tc>
        <w:tc>
          <w:tcPr>
            <w:tcW w:w="2433" w:type="dxa"/>
            <w:gridSpan w:val="2"/>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704"/>
              <w:jc w:val="left"/>
              <w:rPr>
                <w:b/>
                <w:sz w:val="18"/>
              </w:rPr>
            </w:pPr>
            <w:proofErr w:type="spellStart"/>
            <w:r>
              <w:rPr>
                <w:b/>
                <w:sz w:val="18"/>
              </w:rPr>
              <w:t>C</w:t>
            </w:r>
            <w:r>
              <w:rPr>
                <w:b/>
                <w:sz w:val="18"/>
                <w:vertAlign w:val="subscript"/>
              </w:rPr>
              <w:t>max</w:t>
            </w:r>
            <w:proofErr w:type="spellEnd"/>
            <w:r>
              <w:rPr>
                <w:b/>
                <w:sz w:val="18"/>
              </w:rPr>
              <w:t xml:space="preserve"> (ng/mL)</w:t>
            </w:r>
          </w:p>
        </w:tc>
        <w:tc>
          <w:tcPr>
            <w:tcW w:w="2251" w:type="dxa"/>
            <w:gridSpan w:val="2"/>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88" w:lineRule="exact"/>
              <w:ind w:left="436"/>
              <w:jc w:val="left"/>
              <w:rPr>
                <w:b/>
                <w:sz w:val="18"/>
              </w:rPr>
            </w:pPr>
            <w:r>
              <w:rPr>
                <w:b/>
                <w:sz w:val="18"/>
              </w:rPr>
              <w:t>AUC</w:t>
            </w:r>
            <w:r>
              <w:rPr>
                <w:b/>
                <w:sz w:val="18"/>
                <w:vertAlign w:val="subscript"/>
              </w:rPr>
              <w:t>24</w:t>
            </w:r>
            <w:r>
              <w:rPr>
                <w:b/>
                <w:sz w:val="18"/>
              </w:rPr>
              <w:t xml:space="preserve"> (</w:t>
            </w:r>
            <w:proofErr w:type="spellStart"/>
            <w:r>
              <w:rPr>
                <w:b/>
                <w:sz w:val="18"/>
              </w:rPr>
              <w:t>ng</w:t>
            </w:r>
            <w:r>
              <w:rPr>
                <w:rFonts w:ascii="ＭＳ 明朝" w:eastAsia="ＭＳ 明朝" w:hint="eastAsia"/>
                <w:sz w:val="18"/>
              </w:rPr>
              <w:t>･</w:t>
            </w:r>
            <w:r>
              <w:rPr>
                <w:b/>
                <w:sz w:val="18"/>
              </w:rPr>
              <w:t>h</w:t>
            </w:r>
            <w:proofErr w:type="spellEnd"/>
            <w:r>
              <w:rPr>
                <w:b/>
                <w:sz w:val="18"/>
              </w:rPr>
              <w:t>/mL)</w:t>
            </w:r>
          </w:p>
        </w:tc>
      </w:tr>
      <w:tr w:rsidR="00275267">
        <w:trPr>
          <w:trHeight w:val="188"/>
        </w:trPr>
        <w:tc>
          <w:tcPr>
            <w:tcW w:w="1555" w:type="dxa"/>
            <w:vMerge/>
            <w:tcBorders>
              <w:top w:val="nil"/>
              <w:left w:val="single" w:sz="8" w:space="0" w:color="000000"/>
              <w:right w:val="single" w:sz="4" w:space="0" w:color="000000"/>
            </w:tcBorders>
          </w:tcPr>
          <w:p w:rsidR="00275267" w:rsidRDefault="00275267">
            <w:pPr>
              <w:rPr>
                <w:sz w:val="2"/>
                <w:szCs w:val="2"/>
              </w:rPr>
            </w:pPr>
          </w:p>
        </w:tc>
        <w:tc>
          <w:tcPr>
            <w:tcW w:w="564" w:type="dxa"/>
            <w:vMerge/>
            <w:tcBorders>
              <w:top w:val="nil"/>
              <w:left w:val="single" w:sz="4" w:space="0" w:color="000000"/>
              <w:right w:val="single" w:sz="4" w:space="0" w:color="000000"/>
            </w:tcBorders>
          </w:tcPr>
          <w:p w:rsidR="00275267" w:rsidRDefault="00275267">
            <w:pPr>
              <w:rPr>
                <w:sz w:val="2"/>
                <w:szCs w:val="2"/>
              </w:rPr>
            </w:pPr>
          </w:p>
        </w:tc>
        <w:tc>
          <w:tcPr>
            <w:tcW w:w="1258" w:type="dxa"/>
            <w:vMerge/>
            <w:tcBorders>
              <w:top w:val="nil"/>
              <w:left w:val="single" w:sz="4" w:space="0" w:color="000000"/>
              <w:right w:val="single" w:sz="4" w:space="0" w:color="000000"/>
            </w:tcBorders>
          </w:tcPr>
          <w:p w:rsidR="00275267" w:rsidRDefault="00275267">
            <w:pPr>
              <w:rPr>
                <w:sz w:val="2"/>
                <w:szCs w:val="2"/>
              </w:rPr>
            </w:pPr>
          </w:p>
        </w:tc>
        <w:tc>
          <w:tcPr>
            <w:tcW w:w="1239" w:type="dxa"/>
            <w:vMerge/>
            <w:tcBorders>
              <w:top w:val="nil"/>
              <w:left w:val="single" w:sz="4" w:space="0" w:color="000000"/>
              <w:right w:val="single" w:sz="4" w:space="0" w:color="000000"/>
            </w:tcBorders>
          </w:tcPr>
          <w:p w:rsidR="00275267" w:rsidRDefault="00275267">
            <w:pPr>
              <w:rPr>
                <w:sz w:val="2"/>
                <w:szCs w:val="2"/>
              </w:rPr>
            </w:pPr>
          </w:p>
        </w:tc>
        <w:tc>
          <w:tcPr>
            <w:tcW w:w="1172" w:type="dxa"/>
            <w:tcBorders>
              <w:top w:val="single" w:sz="4" w:space="0" w:color="000000"/>
              <w:left w:val="single" w:sz="4" w:space="0" w:color="000000"/>
              <w:right w:val="single" w:sz="4" w:space="0" w:color="000000"/>
            </w:tcBorders>
          </w:tcPr>
          <w:p w:rsidR="00275267" w:rsidRDefault="00B45ABC">
            <w:pPr>
              <w:pStyle w:val="TableParagraph"/>
              <w:spacing w:line="168" w:lineRule="exact"/>
              <w:ind w:left="189" w:right="177"/>
              <w:rPr>
                <w:b/>
                <w:sz w:val="18"/>
              </w:rPr>
            </w:pPr>
            <w:r>
              <w:rPr>
                <w:b/>
                <w:sz w:val="18"/>
              </w:rPr>
              <w:t>First dose</w:t>
            </w:r>
          </w:p>
        </w:tc>
        <w:tc>
          <w:tcPr>
            <w:tcW w:w="1261" w:type="dxa"/>
            <w:tcBorders>
              <w:top w:val="single" w:sz="4" w:space="0" w:color="000000"/>
              <w:left w:val="single" w:sz="4" w:space="0" w:color="000000"/>
              <w:right w:val="single" w:sz="4" w:space="0" w:color="000000"/>
            </w:tcBorders>
          </w:tcPr>
          <w:p w:rsidR="00275267" w:rsidRDefault="00B45ABC">
            <w:pPr>
              <w:pStyle w:val="TableParagraph"/>
              <w:spacing w:line="168" w:lineRule="exact"/>
              <w:ind w:left="245" w:right="240"/>
              <w:rPr>
                <w:b/>
                <w:sz w:val="18"/>
              </w:rPr>
            </w:pPr>
            <w:r>
              <w:rPr>
                <w:b/>
                <w:sz w:val="18"/>
              </w:rPr>
              <w:t>Last dose</w:t>
            </w:r>
          </w:p>
        </w:tc>
        <w:tc>
          <w:tcPr>
            <w:tcW w:w="1081" w:type="dxa"/>
            <w:tcBorders>
              <w:top w:val="single" w:sz="4" w:space="0" w:color="000000"/>
              <w:left w:val="single" w:sz="4" w:space="0" w:color="000000"/>
              <w:right w:val="single" w:sz="4" w:space="0" w:color="000000"/>
            </w:tcBorders>
          </w:tcPr>
          <w:p w:rsidR="00275267" w:rsidRDefault="00B45ABC">
            <w:pPr>
              <w:pStyle w:val="TableParagraph"/>
              <w:spacing w:line="168" w:lineRule="exact"/>
              <w:ind w:left="140" w:right="136"/>
              <w:rPr>
                <w:b/>
                <w:sz w:val="18"/>
              </w:rPr>
            </w:pPr>
            <w:r>
              <w:rPr>
                <w:b/>
                <w:sz w:val="18"/>
              </w:rPr>
              <w:t>First dose</w:t>
            </w:r>
          </w:p>
        </w:tc>
        <w:tc>
          <w:tcPr>
            <w:tcW w:w="1170" w:type="dxa"/>
            <w:tcBorders>
              <w:top w:val="single" w:sz="4" w:space="0" w:color="000000"/>
              <w:left w:val="single" w:sz="4" w:space="0" w:color="000000"/>
              <w:right w:val="single" w:sz="8" w:space="0" w:color="000000"/>
            </w:tcBorders>
          </w:tcPr>
          <w:p w:rsidR="00275267" w:rsidRDefault="00B45ABC">
            <w:pPr>
              <w:pStyle w:val="TableParagraph"/>
              <w:spacing w:line="168" w:lineRule="exact"/>
              <w:ind w:left="197" w:right="191"/>
              <w:rPr>
                <w:b/>
                <w:sz w:val="18"/>
              </w:rPr>
            </w:pPr>
            <w:r>
              <w:rPr>
                <w:b/>
                <w:sz w:val="18"/>
              </w:rPr>
              <w:t>Last dose</w:t>
            </w:r>
          </w:p>
        </w:tc>
      </w:tr>
      <w:tr w:rsidR="00275267">
        <w:trPr>
          <w:trHeight w:val="610"/>
        </w:trPr>
        <w:tc>
          <w:tcPr>
            <w:tcW w:w="1555" w:type="dxa"/>
            <w:tcBorders>
              <w:left w:val="single" w:sz="8" w:space="0" w:color="000000"/>
              <w:right w:val="single" w:sz="4" w:space="0" w:color="000000"/>
            </w:tcBorders>
          </w:tcPr>
          <w:p w:rsidR="00275267" w:rsidRDefault="00B45ABC">
            <w:pPr>
              <w:pStyle w:val="TableParagraph"/>
              <w:spacing w:line="196" w:lineRule="exact"/>
              <w:ind w:left="112"/>
              <w:jc w:val="left"/>
              <w:rPr>
                <w:sz w:val="18"/>
              </w:rPr>
            </w:pPr>
            <w:r>
              <w:rPr>
                <w:sz w:val="18"/>
              </w:rPr>
              <w:t>Rat, SD;</w:t>
            </w:r>
          </w:p>
          <w:p w:rsidR="00275267" w:rsidRDefault="00B45ABC">
            <w:pPr>
              <w:pStyle w:val="TableParagraph"/>
              <w:spacing w:before="5" w:line="206" w:lineRule="exact"/>
              <w:ind w:left="112" w:right="378"/>
              <w:jc w:val="left"/>
              <w:rPr>
                <w:sz w:val="18"/>
              </w:rPr>
            </w:pPr>
            <w:r>
              <w:rPr>
                <w:sz w:val="18"/>
              </w:rPr>
              <w:t>oral, pharmacology</w:t>
            </w:r>
          </w:p>
        </w:tc>
        <w:tc>
          <w:tcPr>
            <w:tcW w:w="564" w:type="dxa"/>
            <w:tcBorders>
              <w:left w:val="single" w:sz="4" w:space="0" w:color="000000"/>
              <w:right w:val="single" w:sz="4" w:space="0" w:color="000000"/>
            </w:tcBorders>
          </w:tcPr>
          <w:p w:rsidR="00275267" w:rsidRDefault="00B45ABC">
            <w:pPr>
              <w:pStyle w:val="TableParagraph"/>
              <w:spacing w:line="196" w:lineRule="exact"/>
              <w:ind w:left="14"/>
              <w:rPr>
                <w:sz w:val="18"/>
              </w:rPr>
            </w:pPr>
            <w:r>
              <w:rPr>
                <w:sz w:val="18"/>
              </w:rPr>
              <w:t>M</w:t>
            </w:r>
          </w:p>
        </w:tc>
        <w:tc>
          <w:tcPr>
            <w:tcW w:w="1258" w:type="dxa"/>
            <w:tcBorders>
              <w:left w:val="single" w:sz="4" w:space="0" w:color="000000"/>
              <w:right w:val="single" w:sz="4" w:space="0" w:color="000000"/>
            </w:tcBorders>
          </w:tcPr>
          <w:p w:rsidR="00275267" w:rsidRDefault="00B45ABC">
            <w:pPr>
              <w:pStyle w:val="TableParagraph"/>
              <w:spacing w:line="196" w:lineRule="exact"/>
              <w:ind w:left="211"/>
              <w:jc w:val="left"/>
              <w:rPr>
                <w:sz w:val="18"/>
              </w:rPr>
            </w:pPr>
            <w:r>
              <w:rPr>
                <w:sz w:val="18"/>
              </w:rPr>
              <w:t>0.56 (PAD)</w:t>
            </w:r>
          </w:p>
        </w:tc>
        <w:tc>
          <w:tcPr>
            <w:tcW w:w="1239" w:type="dxa"/>
            <w:tcBorders>
              <w:left w:val="single" w:sz="4" w:space="0" w:color="000000"/>
              <w:right w:val="single" w:sz="4" w:space="0" w:color="000000"/>
            </w:tcBorders>
          </w:tcPr>
          <w:p w:rsidR="00275267" w:rsidRDefault="00B45ABC">
            <w:pPr>
              <w:pStyle w:val="TableParagraph"/>
              <w:spacing w:line="196" w:lineRule="exact"/>
              <w:ind w:left="59" w:right="47"/>
              <w:rPr>
                <w:sz w:val="18"/>
              </w:rPr>
            </w:pPr>
            <w:r>
              <w:rPr>
                <w:sz w:val="18"/>
              </w:rPr>
              <w:t>0.090</w:t>
            </w:r>
          </w:p>
        </w:tc>
        <w:tc>
          <w:tcPr>
            <w:tcW w:w="1172" w:type="dxa"/>
            <w:tcBorders>
              <w:left w:val="single" w:sz="4" w:space="0" w:color="000000"/>
              <w:right w:val="single" w:sz="4" w:space="0" w:color="000000"/>
            </w:tcBorders>
          </w:tcPr>
          <w:p w:rsidR="00275267" w:rsidRDefault="00B45ABC">
            <w:pPr>
              <w:pStyle w:val="TableParagraph"/>
              <w:spacing w:line="196" w:lineRule="exact"/>
              <w:ind w:left="10"/>
              <w:rPr>
                <w:sz w:val="18"/>
              </w:rPr>
            </w:pPr>
            <w:r>
              <w:rPr>
                <w:sz w:val="18"/>
              </w:rPr>
              <w:t>_</w:t>
            </w:r>
          </w:p>
        </w:tc>
        <w:tc>
          <w:tcPr>
            <w:tcW w:w="1261" w:type="dxa"/>
            <w:tcBorders>
              <w:left w:val="single" w:sz="4" w:space="0" w:color="000000"/>
              <w:right w:val="single" w:sz="4" w:space="0" w:color="000000"/>
            </w:tcBorders>
          </w:tcPr>
          <w:p w:rsidR="00275267" w:rsidRDefault="00B45ABC">
            <w:pPr>
              <w:pStyle w:val="TableParagraph"/>
              <w:spacing w:line="196" w:lineRule="exact"/>
              <w:ind w:left="1"/>
              <w:rPr>
                <w:sz w:val="18"/>
              </w:rPr>
            </w:pPr>
            <w:r>
              <w:rPr>
                <w:sz w:val="18"/>
              </w:rPr>
              <w:t>_</w:t>
            </w:r>
          </w:p>
        </w:tc>
        <w:tc>
          <w:tcPr>
            <w:tcW w:w="1081" w:type="dxa"/>
            <w:tcBorders>
              <w:left w:val="single" w:sz="4" w:space="0" w:color="000000"/>
              <w:right w:val="single" w:sz="4" w:space="0" w:color="000000"/>
            </w:tcBorders>
          </w:tcPr>
          <w:p w:rsidR="00275267" w:rsidRDefault="00B45ABC">
            <w:pPr>
              <w:pStyle w:val="TableParagraph"/>
              <w:spacing w:line="196" w:lineRule="exact"/>
              <w:ind w:left="2"/>
              <w:rPr>
                <w:sz w:val="18"/>
              </w:rPr>
            </w:pPr>
            <w:r>
              <w:rPr>
                <w:sz w:val="18"/>
              </w:rPr>
              <w:t>_</w:t>
            </w:r>
          </w:p>
        </w:tc>
        <w:tc>
          <w:tcPr>
            <w:tcW w:w="1170" w:type="dxa"/>
            <w:tcBorders>
              <w:left w:val="single" w:sz="4" w:space="0" w:color="000000"/>
              <w:right w:val="single" w:sz="8" w:space="0" w:color="000000"/>
            </w:tcBorders>
          </w:tcPr>
          <w:p w:rsidR="00275267" w:rsidRDefault="00B45ABC">
            <w:pPr>
              <w:pStyle w:val="TableParagraph"/>
              <w:spacing w:line="196" w:lineRule="exact"/>
              <w:ind w:left="7"/>
              <w:rPr>
                <w:sz w:val="18"/>
              </w:rPr>
            </w:pPr>
            <w:r>
              <w:rPr>
                <w:sz w:val="18"/>
              </w:rPr>
              <w:t>_</w:t>
            </w:r>
          </w:p>
        </w:tc>
      </w:tr>
      <w:tr w:rsidR="00275267">
        <w:trPr>
          <w:trHeight w:val="405"/>
        </w:trPr>
        <w:tc>
          <w:tcPr>
            <w:tcW w:w="1555" w:type="dxa"/>
            <w:vMerge w:val="restart"/>
            <w:tcBorders>
              <w:left w:val="single" w:sz="8" w:space="0" w:color="000000"/>
              <w:bottom w:val="single" w:sz="4" w:space="0" w:color="000000"/>
              <w:right w:val="single" w:sz="4" w:space="0" w:color="000000"/>
            </w:tcBorders>
          </w:tcPr>
          <w:p w:rsidR="00275267" w:rsidRDefault="00B45ABC">
            <w:pPr>
              <w:pStyle w:val="TableParagraph"/>
              <w:spacing w:line="194" w:lineRule="exact"/>
              <w:ind w:left="112"/>
              <w:jc w:val="left"/>
              <w:rPr>
                <w:sz w:val="18"/>
              </w:rPr>
            </w:pPr>
            <w:r>
              <w:rPr>
                <w:sz w:val="18"/>
              </w:rPr>
              <w:t>Rat, SD;</w:t>
            </w:r>
          </w:p>
          <w:p w:rsidR="00275267" w:rsidRDefault="00B45ABC">
            <w:pPr>
              <w:pStyle w:val="TableParagraph"/>
              <w:spacing w:before="2" w:line="207" w:lineRule="exact"/>
              <w:ind w:left="112"/>
              <w:jc w:val="left"/>
              <w:rPr>
                <w:sz w:val="18"/>
              </w:rPr>
            </w:pPr>
            <w:r>
              <w:rPr>
                <w:sz w:val="18"/>
              </w:rPr>
              <w:t>oral</w:t>
            </w:r>
          </w:p>
          <w:p w:rsidR="00275267" w:rsidRDefault="00B45ABC">
            <w:pPr>
              <w:pStyle w:val="TableParagraph"/>
              <w:spacing w:line="207" w:lineRule="exact"/>
              <w:ind w:left="112"/>
              <w:jc w:val="left"/>
              <w:rPr>
                <w:sz w:val="18"/>
              </w:rPr>
            </w:pPr>
            <w:r>
              <w:rPr>
                <w:sz w:val="18"/>
              </w:rPr>
              <w:t>13-week toxicity</w:t>
            </w:r>
          </w:p>
        </w:tc>
        <w:tc>
          <w:tcPr>
            <w:tcW w:w="564"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14"/>
              <w:rPr>
                <w:sz w:val="18"/>
              </w:rPr>
            </w:pPr>
            <w:r>
              <w:rPr>
                <w:sz w:val="18"/>
              </w:rPr>
              <w:t>M</w:t>
            </w:r>
          </w:p>
        </w:tc>
        <w:tc>
          <w:tcPr>
            <w:tcW w:w="1258"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126" w:right="115"/>
              <w:rPr>
                <w:sz w:val="18"/>
              </w:rPr>
            </w:pPr>
            <w:r>
              <w:rPr>
                <w:sz w:val="18"/>
              </w:rPr>
              <w:t>3 (NOAEL)</w:t>
            </w:r>
          </w:p>
        </w:tc>
        <w:tc>
          <w:tcPr>
            <w:tcW w:w="1239"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59" w:right="47"/>
              <w:rPr>
                <w:sz w:val="18"/>
              </w:rPr>
            </w:pPr>
            <w:r>
              <w:rPr>
                <w:sz w:val="18"/>
              </w:rPr>
              <w:t>0.484</w:t>
            </w:r>
          </w:p>
        </w:tc>
        <w:tc>
          <w:tcPr>
            <w:tcW w:w="1172"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187" w:right="177"/>
              <w:rPr>
                <w:sz w:val="18"/>
              </w:rPr>
            </w:pPr>
            <w:r>
              <w:rPr>
                <w:sz w:val="18"/>
              </w:rPr>
              <w:t>1115.679</w:t>
            </w:r>
          </w:p>
          <w:p w:rsidR="00275267" w:rsidRDefault="00B45ABC">
            <w:pPr>
              <w:pStyle w:val="TableParagraph"/>
              <w:spacing w:before="2" w:line="190" w:lineRule="exact"/>
              <w:ind w:left="186" w:right="177"/>
              <w:rPr>
                <w:sz w:val="18"/>
              </w:rPr>
            </w:pPr>
            <w:r>
              <w:rPr>
                <w:sz w:val="18"/>
              </w:rPr>
              <w:t>[10.6]</w:t>
            </w:r>
          </w:p>
        </w:tc>
        <w:tc>
          <w:tcPr>
            <w:tcW w:w="1261"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241" w:right="240"/>
              <w:rPr>
                <w:sz w:val="18"/>
              </w:rPr>
            </w:pPr>
            <w:r>
              <w:rPr>
                <w:sz w:val="18"/>
              </w:rPr>
              <w:t>2860.929</w:t>
            </w:r>
          </w:p>
          <w:p w:rsidR="00275267" w:rsidRDefault="00B45ABC">
            <w:pPr>
              <w:pStyle w:val="TableParagraph"/>
              <w:spacing w:before="2" w:line="190" w:lineRule="exact"/>
              <w:ind w:left="240" w:right="240"/>
              <w:rPr>
                <w:sz w:val="18"/>
              </w:rPr>
            </w:pPr>
            <w:r>
              <w:rPr>
                <w:sz w:val="18"/>
              </w:rPr>
              <w:t>[27.2]</w:t>
            </w:r>
          </w:p>
        </w:tc>
        <w:tc>
          <w:tcPr>
            <w:tcW w:w="1081" w:type="dxa"/>
            <w:tcBorders>
              <w:left w:val="single" w:sz="4" w:space="0" w:color="000000"/>
              <w:bottom w:val="single" w:sz="4" w:space="0" w:color="000000"/>
              <w:right w:val="single" w:sz="4" w:space="0" w:color="000000"/>
            </w:tcBorders>
          </w:tcPr>
          <w:p w:rsidR="00275267" w:rsidRDefault="00B45ABC">
            <w:pPr>
              <w:pStyle w:val="TableParagraph"/>
              <w:spacing w:line="194" w:lineRule="exact"/>
              <w:ind w:left="309"/>
              <w:jc w:val="left"/>
              <w:rPr>
                <w:sz w:val="18"/>
              </w:rPr>
            </w:pPr>
            <w:r>
              <w:rPr>
                <w:sz w:val="18"/>
              </w:rPr>
              <w:t>17014</w:t>
            </w:r>
          </w:p>
          <w:p w:rsidR="00275267" w:rsidRDefault="00B45ABC">
            <w:pPr>
              <w:pStyle w:val="TableParagraph"/>
              <w:spacing w:before="2" w:line="190" w:lineRule="exact"/>
              <w:ind w:left="340"/>
              <w:jc w:val="left"/>
              <w:rPr>
                <w:sz w:val="18"/>
              </w:rPr>
            </w:pPr>
            <w:r>
              <w:rPr>
                <w:sz w:val="18"/>
              </w:rPr>
              <w:t>[162]</w:t>
            </w:r>
          </w:p>
        </w:tc>
        <w:tc>
          <w:tcPr>
            <w:tcW w:w="1170" w:type="dxa"/>
            <w:tcBorders>
              <w:left w:val="single" w:sz="4" w:space="0" w:color="000000"/>
              <w:bottom w:val="single" w:sz="4" w:space="0" w:color="000000"/>
              <w:right w:val="single" w:sz="8" w:space="0" w:color="000000"/>
            </w:tcBorders>
          </w:tcPr>
          <w:p w:rsidR="00275267" w:rsidRDefault="00B45ABC">
            <w:pPr>
              <w:pStyle w:val="TableParagraph"/>
              <w:spacing w:line="194" w:lineRule="exact"/>
              <w:ind w:left="353"/>
              <w:jc w:val="left"/>
              <w:rPr>
                <w:sz w:val="18"/>
              </w:rPr>
            </w:pPr>
            <w:r>
              <w:rPr>
                <w:sz w:val="18"/>
              </w:rPr>
              <w:t>44229</w:t>
            </w:r>
          </w:p>
          <w:p w:rsidR="00275267" w:rsidRDefault="00B45ABC">
            <w:pPr>
              <w:pStyle w:val="TableParagraph"/>
              <w:spacing w:before="2" w:line="190" w:lineRule="exact"/>
              <w:ind w:left="384"/>
              <w:jc w:val="left"/>
              <w:rPr>
                <w:sz w:val="18"/>
              </w:rPr>
            </w:pPr>
            <w:r>
              <w:rPr>
                <w:sz w:val="18"/>
              </w:rPr>
              <w:t>[420]</w:t>
            </w:r>
          </w:p>
        </w:tc>
      </w:tr>
      <w:tr w:rsidR="00275267">
        <w:trPr>
          <w:trHeight w:val="410"/>
        </w:trPr>
        <w:tc>
          <w:tcPr>
            <w:tcW w:w="1555" w:type="dxa"/>
            <w:vMerge/>
            <w:tcBorders>
              <w:top w:val="nil"/>
              <w:left w:val="single" w:sz="8" w:space="0" w:color="000000"/>
              <w:bottom w:val="single" w:sz="4"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6"/>
              <w:rPr>
                <w:sz w:val="18"/>
              </w:rPr>
            </w:pPr>
            <w:r>
              <w:rPr>
                <w:sz w:val="18"/>
              </w:rPr>
              <w:t>F</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26" w:right="115"/>
              <w:rPr>
                <w:sz w:val="18"/>
              </w:rPr>
            </w:pPr>
            <w:r>
              <w:rPr>
                <w:sz w:val="18"/>
              </w:rPr>
              <w:t>3 (NOAEL)</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59" w:right="47"/>
              <w:rPr>
                <w:sz w:val="18"/>
              </w:rPr>
            </w:pPr>
            <w:r>
              <w:rPr>
                <w:sz w:val="18"/>
              </w:rPr>
              <w:t>0.484</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87" w:right="177"/>
              <w:rPr>
                <w:sz w:val="18"/>
              </w:rPr>
            </w:pPr>
            <w:r>
              <w:rPr>
                <w:sz w:val="18"/>
              </w:rPr>
              <w:t>1170.261</w:t>
            </w:r>
          </w:p>
          <w:p w:rsidR="00275267" w:rsidRDefault="00B45ABC">
            <w:pPr>
              <w:pStyle w:val="TableParagraph"/>
              <w:spacing w:before="2" w:line="190" w:lineRule="exact"/>
              <w:ind w:left="186" w:right="177"/>
              <w:rPr>
                <w:sz w:val="18"/>
              </w:rPr>
            </w:pPr>
            <w:r>
              <w:rPr>
                <w:sz w:val="18"/>
              </w:rPr>
              <w:t>[11.1]</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241" w:right="240"/>
              <w:rPr>
                <w:sz w:val="18"/>
              </w:rPr>
            </w:pPr>
            <w:r>
              <w:rPr>
                <w:sz w:val="18"/>
              </w:rPr>
              <w:t>2917.744</w:t>
            </w:r>
          </w:p>
          <w:p w:rsidR="00275267" w:rsidRDefault="00B45ABC">
            <w:pPr>
              <w:pStyle w:val="TableParagraph"/>
              <w:spacing w:before="2" w:line="190" w:lineRule="exact"/>
              <w:ind w:left="240" w:right="240"/>
              <w:rPr>
                <w:sz w:val="18"/>
              </w:rPr>
            </w:pPr>
            <w:r>
              <w:rPr>
                <w:sz w:val="18"/>
              </w:rPr>
              <w:t>[27.7]</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09"/>
              <w:jc w:val="left"/>
              <w:rPr>
                <w:sz w:val="18"/>
              </w:rPr>
            </w:pPr>
            <w:r>
              <w:rPr>
                <w:sz w:val="18"/>
              </w:rPr>
              <w:t>19232</w:t>
            </w:r>
          </w:p>
          <w:p w:rsidR="00275267" w:rsidRDefault="00B45ABC">
            <w:pPr>
              <w:pStyle w:val="TableParagraph"/>
              <w:spacing w:before="2" w:line="190" w:lineRule="exact"/>
              <w:ind w:left="340"/>
              <w:jc w:val="left"/>
              <w:rPr>
                <w:sz w:val="18"/>
              </w:rPr>
            </w:pPr>
            <w:r>
              <w:rPr>
                <w:sz w:val="18"/>
              </w:rPr>
              <w:t>[183]</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98" w:lineRule="exact"/>
              <w:ind w:left="353"/>
              <w:jc w:val="left"/>
              <w:rPr>
                <w:sz w:val="18"/>
              </w:rPr>
            </w:pPr>
            <w:r>
              <w:rPr>
                <w:sz w:val="18"/>
              </w:rPr>
              <w:t>56808</w:t>
            </w:r>
          </w:p>
          <w:p w:rsidR="00275267" w:rsidRDefault="00B45ABC">
            <w:pPr>
              <w:pStyle w:val="TableParagraph"/>
              <w:spacing w:before="2" w:line="190" w:lineRule="exact"/>
              <w:ind w:left="384"/>
              <w:jc w:val="left"/>
              <w:rPr>
                <w:sz w:val="18"/>
              </w:rPr>
            </w:pPr>
            <w:r>
              <w:rPr>
                <w:sz w:val="18"/>
              </w:rPr>
              <w:t>[540]</w:t>
            </w:r>
          </w:p>
        </w:tc>
      </w:tr>
      <w:tr w:rsidR="00275267">
        <w:trPr>
          <w:trHeight w:val="433"/>
        </w:trPr>
        <w:tc>
          <w:tcPr>
            <w:tcW w:w="1555" w:type="dxa"/>
            <w:vMerge/>
            <w:tcBorders>
              <w:top w:val="nil"/>
              <w:left w:val="single" w:sz="8" w:space="0" w:color="000000"/>
              <w:bottom w:val="single" w:sz="4"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4"/>
              <w:rPr>
                <w:sz w:val="18"/>
              </w:rPr>
            </w:pPr>
            <w:r>
              <w:rPr>
                <w:sz w:val="18"/>
              </w:rPr>
              <w:t>M</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27" w:right="113"/>
              <w:rPr>
                <w:sz w:val="18"/>
              </w:rPr>
            </w:pPr>
            <w:r>
              <w:rPr>
                <w:sz w:val="18"/>
              </w:rPr>
              <w:t>10</w:t>
            </w:r>
          </w:p>
          <w:p w:rsidR="00275267" w:rsidRDefault="00B45ABC">
            <w:pPr>
              <w:pStyle w:val="TableParagraph"/>
              <w:spacing w:before="4" w:line="211" w:lineRule="exact"/>
              <w:ind w:left="127" w:right="115"/>
              <w:rPr>
                <w:rFonts w:ascii="ＭＳ 明朝" w:eastAsia="ＭＳ 明朝"/>
                <w:sz w:val="18"/>
              </w:rPr>
            </w:pPr>
            <w:r>
              <w:rPr>
                <w:sz w:val="18"/>
              </w:rPr>
              <w:t>(LOAEL</w:t>
            </w:r>
            <w:r>
              <w:rPr>
                <w:rFonts w:ascii="ＭＳ 明朝" w:eastAsia="ＭＳ 明朝" w:hint="eastAsia"/>
                <w:sz w:val="18"/>
              </w:rPr>
              <w:t>）</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59" w:right="47"/>
              <w:rPr>
                <w:sz w:val="18"/>
              </w:rPr>
            </w:pPr>
            <w:r>
              <w:rPr>
                <w:sz w:val="18"/>
              </w:rPr>
              <w:t>1.613</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85" w:right="177"/>
              <w:rPr>
                <w:sz w:val="18"/>
              </w:rPr>
            </w:pPr>
            <w:r>
              <w:rPr>
                <w:sz w:val="18"/>
              </w:rPr>
              <w:t>7390</w:t>
            </w:r>
          </w:p>
          <w:p w:rsidR="00275267" w:rsidRDefault="00B45ABC">
            <w:pPr>
              <w:pStyle w:val="TableParagraph"/>
              <w:spacing w:line="207" w:lineRule="exact"/>
              <w:ind w:left="186" w:right="177"/>
              <w:rPr>
                <w:sz w:val="18"/>
              </w:rPr>
            </w:pPr>
            <w:r>
              <w:rPr>
                <w:sz w:val="18"/>
              </w:rPr>
              <w:t>[70.2]</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55"/>
              <w:jc w:val="left"/>
              <w:rPr>
                <w:sz w:val="18"/>
              </w:rPr>
            </w:pPr>
            <w:r>
              <w:rPr>
                <w:sz w:val="18"/>
              </w:rPr>
              <w:t>143203</w:t>
            </w:r>
          </w:p>
          <w:p w:rsidR="00275267" w:rsidRDefault="00B45ABC">
            <w:pPr>
              <w:pStyle w:val="TableParagraph"/>
              <w:spacing w:line="207" w:lineRule="exact"/>
              <w:ind w:left="386"/>
              <w:jc w:val="left"/>
              <w:rPr>
                <w:sz w:val="18"/>
              </w:rPr>
            </w:pPr>
            <w:r>
              <w:rPr>
                <w:sz w:val="18"/>
              </w:rPr>
              <w:t>[1360]</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54"/>
              <w:jc w:val="left"/>
              <w:rPr>
                <w:sz w:val="18"/>
              </w:rPr>
            </w:pPr>
            <w:r>
              <w:rPr>
                <w:sz w:val="18"/>
              </w:rPr>
              <w:t>7390</w:t>
            </w:r>
          </w:p>
          <w:p w:rsidR="00275267" w:rsidRDefault="00B45ABC">
            <w:pPr>
              <w:pStyle w:val="TableParagraph"/>
              <w:spacing w:line="207" w:lineRule="exact"/>
              <w:ind w:left="318"/>
              <w:jc w:val="left"/>
              <w:rPr>
                <w:sz w:val="18"/>
              </w:rPr>
            </w:pPr>
            <w:r>
              <w:rPr>
                <w:sz w:val="18"/>
              </w:rPr>
              <w:t>[70.2]</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98" w:lineRule="exact"/>
              <w:ind w:left="310"/>
              <w:jc w:val="left"/>
              <w:rPr>
                <w:sz w:val="18"/>
              </w:rPr>
            </w:pPr>
            <w:r>
              <w:rPr>
                <w:sz w:val="18"/>
              </w:rPr>
              <w:t>143203</w:t>
            </w:r>
          </w:p>
          <w:p w:rsidR="00275267" w:rsidRDefault="00B45ABC">
            <w:pPr>
              <w:pStyle w:val="TableParagraph"/>
              <w:spacing w:line="207" w:lineRule="exact"/>
              <w:ind w:left="339"/>
              <w:jc w:val="left"/>
              <w:rPr>
                <w:sz w:val="18"/>
              </w:rPr>
            </w:pPr>
            <w:r>
              <w:rPr>
                <w:sz w:val="18"/>
              </w:rPr>
              <w:t>[1360]</w:t>
            </w:r>
          </w:p>
        </w:tc>
      </w:tr>
      <w:tr w:rsidR="00275267">
        <w:trPr>
          <w:trHeight w:val="410"/>
        </w:trPr>
        <w:tc>
          <w:tcPr>
            <w:tcW w:w="1555" w:type="dxa"/>
            <w:vMerge/>
            <w:tcBorders>
              <w:top w:val="nil"/>
              <w:left w:val="single" w:sz="8" w:space="0" w:color="000000"/>
              <w:bottom w:val="single" w:sz="4"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6"/>
              <w:rPr>
                <w:sz w:val="18"/>
              </w:rPr>
            </w:pPr>
            <w:r>
              <w:rPr>
                <w:sz w:val="18"/>
              </w:rPr>
              <w:t>F</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26" w:right="115"/>
              <w:rPr>
                <w:sz w:val="18"/>
              </w:rPr>
            </w:pPr>
            <w:r>
              <w:rPr>
                <w:sz w:val="18"/>
              </w:rPr>
              <w:t>10 (LOAEL)</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59" w:right="47"/>
              <w:rPr>
                <w:sz w:val="18"/>
              </w:rPr>
            </w:pPr>
            <w:r>
              <w:rPr>
                <w:sz w:val="18"/>
              </w:rPr>
              <w:t>1.613</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58"/>
              <w:jc w:val="left"/>
              <w:rPr>
                <w:sz w:val="18"/>
              </w:rPr>
            </w:pPr>
            <w:r>
              <w:rPr>
                <w:sz w:val="18"/>
              </w:rPr>
              <w:t>11434</w:t>
            </w:r>
          </w:p>
          <w:p w:rsidR="00275267" w:rsidRDefault="00B45ABC">
            <w:pPr>
              <w:pStyle w:val="TableParagraph"/>
              <w:spacing w:before="2" w:line="190" w:lineRule="exact"/>
              <w:ind w:left="323"/>
              <w:jc w:val="left"/>
              <w:rPr>
                <w:sz w:val="18"/>
              </w:rPr>
            </w:pPr>
            <w:r>
              <w:rPr>
                <w:sz w:val="18"/>
              </w:rPr>
              <w:t>[108.6]</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55"/>
              <w:jc w:val="left"/>
              <w:rPr>
                <w:sz w:val="18"/>
              </w:rPr>
            </w:pPr>
            <w:r>
              <w:rPr>
                <w:sz w:val="18"/>
              </w:rPr>
              <w:t>234040</w:t>
            </w:r>
          </w:p>
          <w:p w:rsidR="00275267" w:rsidRDefault="00B45ABC">
            <w:pPr>
              <w:pStyle w:val="TableParagraph"/>
              <w:spacing w:before="2" w:line="190" w:lineRule="exact"/>
              <w:ind w:left="386"/>
              <w:jc w:val="left"/>
              <w:rPr>
                <w:sz w:val="18"/>
              </w:rPr>
            </w:pPr>
            <w:r>
              <w:rPr>
                <w:sz w:val="18"/>
              </w:rPr>
              <w:t>[2223]</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09"/>
              <w:jc w:val="left"/>
              <w:rPr>
                <w:sz w:val="18"/>
              </w:rPr>
            </w:pPr>
            <w:r>
              <w:rPr>
                <w:sz w:val="18"/>
              </w:rPr>
              <w:t>11434</w:t>
            </w:r>
          </w:p>
          <w:p w:rsidR="00275267" w:rsidRDefault="00B45ABC">
            <w:pPr>
              <w:pStyle w:val="TableParagraph"/>
              <w:spacing w:before="2" w:line="190" w:lineRule="exact"/>
              <w:ind w:left="273"/>
              <w:jc w:val="left"/>
              <w:rPr>
                <w:sz w:val="18"/>
              </w:rPr>
            </w:pPr>
            <w:r>
              <w:rPr>
                <w:sz w:val="18"/>
              </w:rPr>
              <w:t>[108.6]</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98" w:lineRule="exact"/>
              <w:ind w:left="310"/>
              <w:jc w:val="left"/>
              <w:rPr>
                <w:sz w:val="18"/>
              </w:rPr>
            </w:pPr>
            <w:r>
              <w:rPr>
                <w:sz w:val="18"/>
              </w:rPr>
              <w:t>234040</w:t>
            </w:r>
          </w:p>
          <w:p w:rsidR="00275267" w:rsidRDefault="00B45ABC">
            <w:pPr>
              <w:pStyle w:val="TableParagraph"/>
              <w:spacing w:before="2" w:line="190" w:lineRule="exact"/>
              <w:ind w:left="339"/>
              <w:jc w:val="left"/>
              <w:rPr>
                <w:sz w:val="18"/>
              </w:rPr>
            </w:pPr>
            <w:r>
              <w:rPr>
                <w:sz w:val="18"/>
              </w:rPr>
              <w:t>[2223]</w:t>
            </w:r>
          </w:p>
        </w:tc>
      </w:tr>
      <w:tr w:rsidR="00275267">
        <w:trPr>
          <w:trHeight w:val="400"/>
        </w:trPr>
        <w:tc>
          <w:tcPr>
            <w:tcW w:w="1555" w:type="dxa"/>
            <w:vMerge w:val="restart"/>
            <w:tcBorders>
              <w:top w:val="single" w:sz="4" w:space="0" w:color="000000"/>
              <w:left w:val="single" w:sz="8" w:space="0" w:color="000000"/>
              <w:right w:val="single" w:sz="4" w:space="0" w:color="000000"/>
            </w:tcBorders>
          </w:tcPr>
          <w:p w:rsidR="00275267" w:rsidRDefault="00B45ABC">
            <w:pPr>
              <w:pStyle w:val="TableParagraph"/>
              <w:spacing w:line="240" w:lineRule="auto"/>
              <w:ind w:left="112" w:right="352"/>
              <w:jc w:val="left"/>
              <w:rPr>
                <w:sz w:val="18"/>
              </w:rPr>
            </w:pPr>
            <w:r>
              <w:rPr>
                <w:sz w:val="18"/>
              </w:rPr>
              <w:t xml:space="preserve">Monkey, </w:t>
            </w:r>
            <w:proofErr w:type="spellStart"/>
            <w:r>
              <w:rPr>
                <w:sz w:val="18"/>
              </w:rPr>
              <w:t>Cynomolgous</w:t>
            </w:r>
            <w:proofErr w:type="spellEnd"/>
            <w:r>
              <w:rPr>
                <w:sz w:val="18"/>
              </w:rPr>
              <w:t>. oral</w:t>
            </w:r>
          </w:p>
          <w:p w:rsidR="00275267" w:rsidRDefault="00B45ABC">
            <w:pPr>
              <w:pStyle w:val="TableParagraph"/>
              <w:spacing w:line="240" w:lineRule="auto"/>
              <w:ind w:left="112"/>
              <w:jc w:val="left"/>
              <w:rPr>
                <w:sz w:val="18"/>
              </w:rPr>
            </w:pPr>
            <w:r>
              <w:rPr>
                <w:sz w:val="18"/>
              </w:rPr>
              <w:t>13-week toxicity</w:t>
            </w: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4"/>
              <w:rPr>
                <w:sz w:val="18"/>
              </w:rPr>
            </w:pPr>
            <w:r>
              <w:rPr>
                <w:sz w:val="18"/>
              </w:rPr>
              <w:t>M</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126" w:right="115"/>
              <w:rPr>
                <w:sz w:val="18"/>
              </w:rPr>
            </w:pPr>
            <w:r>
              <w:rPr>
                <w:sz w:val="18"/>
              </w:rPr>
              <w:t>1 (NOAEL)</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59" w:right="47"/>
              <w:rPr>
                <w:sz w:val="18"/>
              </w:rPr>
            </w:pPr>
            <w:r>
              <w:rPr>
                <w:sz w:val="18"/>
              </w:rPr>
              <w:t>0.322</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291"/>
              <w:jc w:val="left"/>
              <w:rPr>
                <w:sz w:val="18"/>
              </w:rPr>
            </w:pPr>
            <w:r>
              <w:rPr>
                <w:sz w:val="18"/>
              </w:rPr>
              <w:t>164.617</w:t>
            </w:r>
          </w:p>
          <w:p w:rsidR="00275267" w:rsidRDefault="00B45ABC">
            <w:pPr>
              <w:pStyle w:val="TableParagraph"/>
              <w:spacing w:line="182" w:lineRule="exact"/>
              <w:ind w:left="368"/>
              <w:jc w:val="left"/>
              <w:rPr>
                <w:sz w:val="18"/>
              </w:rPr>
            </w:pPr>
            <w:r>
              <w:rPr>
                <w:sz w:val="18"/>
              </w:rPr>
              <w:t>[3.95]</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34"/>
              <w:jc w:val="left"/>
              <w:rPr>
                <w:sz w:val="18"/>
              </w:rPr>
            </w:pPr>
            <w:r>
              <w:rPr>
                <w:sz w:val="18"/>
              </w:rPr>
              <w:t>742.918</w:t>
            </w:r>
          </w:p>
          <w:p w:rsidR="00275267" w:rsidRDefault="00B45ABC">
            <w:pPr>
              <w:pStyle w:val="TableParagraph"/>
              <w:spacing w:line="182" w:lineRule="exact"/>
              <w:ind w:left="408"/>
              <w:jc w:val="left"/>
              <w:rPr>
                <w:sz w:val="18"/>
              </w:rPr>
            </w:pPr>
            <w:r>
              <w:rPr>
                <w:sz w:val="18"/>
              </w:rPr>
              <w:t>[17.8]</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98" w:lineRule="exact"/>
              <w:ind w:left="354"/>
              <w:jc w:val="left"/>
              <w:rPr>
                <w:sz w:val="18"/>
              </w:rPr>
            </w:pPr>
            <w:r>
              <w:rPr>
                <w:sz w:val="18"/>
              </w:rPr>
              <w:t>3351</w:t>
            </w:r>
          </w:p>
          <w:p w:rsidR="00275267" w:rsidRDefault="00B45ABC">
            <w:pPr>
              <w:pStyle w:val="TableParagraph"/>
              <w:spacing w:line="182" w:lineRule="exact"/>
              <w:ind w:left="318"/>
              <w:jc w:val="left"/>
              <w:rPr>
                <w:sz w:val="18"/>
              </w:rPr>
            </w:pPr>
            <w:r>
              <w:rPr>
                <w:sz w:val="18"/>
              </w:rPr>
              <w:t>[80.4]</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98" w:lineRule="exact"/>
              <w:ind w:left="353"/>
              <w:jc w:val="left"/>
              <w:rPr>
                <w:sz w:val="18"/>
              </w:rPr>
            </w:pPr>
            <w:r>
              <w:rPr>
                <w:sz w:val="18"/>
              </w:rPr>
              <w:t>14328</w:t>
            </w:r>
          </w:p>
          <w:p w:rsidR="00275267" w:rsidRDefault="00B45ABC">
            <w:pPr>
              <w:pStyle w:val="TableParagraph"/>
              <w:spacing w:line="182" w:lineRule="exact"/>
              <w:ind w:left="384"/>
              <w:jc w:val="left"/>
              <w:rPr>
                <w:sz w:val="18"/>
              </w:rPr>
            </w:pPr>
            <w:r>
              <w:rPr>
                <w:sz w:val="18"/>
              </w:rPr>
              <w:t>[344]</w:t>
            </w:r>
          </w:p>
        </w:tc>
      </w:tr>
      <w:tr w:rsidR="00275267">
        <w:trPr>
          <w:trHeight w:val="387"/>
        </w:trPr>
        <w:tc>
          <w:tcPr>
            <w:tcW w:w="1555" w:type="dxa"/>
            <w:vMerge/>
            <w:tcBorders>
              <w:top w:val="nil"/>
              <w:left w:val="single" w:sz="8"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16"/>
              <w:rPr>
                <w:sz w:val="18"/>
              </w:rPr>
            </w:pPr>
            <w:r>
              <w:rPr>
                <w:sz w:val="18"/>
              </w:rPr>
              <w:t>F</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126" w:right="115"/>
              <w:rPr>
                <w:sz w:val="18"/>
              </w:rPr>
            </w:pPr>
            <w:r>
              <w:rPr>
                <w:sz w:val="18"/>
              </w:rPr>
              <w:t>1 (NOAEL)</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59" w:right="47"/>
              <w:rPr>
                <w:sz w:val="18"/>
              </w:rPr>
            </w:pPr>
            <w:r>
              <w:rPr>
                <w:sz w:val="18"/>
              </w:rPr>
              <w:t>0.322</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291"/>
              <w:jc w:val="left"/>
              <w:rPr>
                <w:sz w:val="18"/>
              </w:rPr>
            </w:pPr>
            <w:r>
              <w:rPr>
                <w:sz w:val="18"/>
              </w:rPr>
              <w:t>255.032</w:t>
            </w:r>
          </w:p>
          <w:p w:rsidR="00275267" w:rsidRDefault="00B45ABC">
            <w:pPr>
              <w:pStyle w:val="TableParagraph"/>
              <w:spacing w:line="180" w:lineRule="exact"/>
              <w:ind w:left="368"/>
              <w:jc w:val="left"/>
              <w:rPr>
                <w:sz w:val="18"/>
              </w:rPr>
            </w:pPr>
            <w:r>
              <w:rPr>
                <w:sz w:val="18"/>
              </w:rPr>
              <w:t>[6.12]</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334"/>
              <w:jc w:val="left"/>
              <w:rPr>
                <w:sz w:val="18"/>
              </w:rPr>
            </w:pPr>
            <w:r>
              <w:rPr>
                <w:sz w:val="18"/>
              </w:rPr>
              <w:t>547.580</w:t>
            </w:r>
          </w:p>
          <w:p w:rsidR="00275267" w:rsidRDefault="00B45ABC">
            <w:pPr>
              <w:pStyle w:val="TableParagraph"/>
              <w:spacing w:line="180" w:lineRule="exact"/>
              <w:ind w:left="408"/>
              <w:jc w:val="left"/>
              <w:rPr>
                <w:sz w:val="18"/>
              </w:rPr>
            </w:pPr>
            <w:r>
              <w:rPr>
                <w:sz w:val="18"/>
              </w:rPr>
              <w:t>[13.1]</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354"/>
              <w:jc w:val="left"/>
              <w:rPr>
                <w:sz w:val="18"/>
              </w:rPr>
            </w:pPr>
            <w:r>
              <w:rPr>
                <w:sz w:val="18"/>
              </w:rPr>
              <w:t>3959</w:t>
            </w:r>
          </w:p>
          <w:p w:rsidR="00275267" w:rsidRDefault="00B45ABC">
            <w:pPr>
              <w:pStyle w:val="TableParagraph"/>
              <w:spacing w:line="180" w:lineRule="exact"/>
              <w:ind w:left="318"/>
              <w:jc w:val="left"/>
              <w:rPr>
                <w:sz w:val="18"/>
              </w:rPr>
            </w:pPr>
            <w:r>
              <w:rPr>
                <w:sz w:val="18"/>
              </w:rPr>
              <w:t>[95.0]</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88" w:lineRule="exact"/>
              <w:ind w:left="196" w:right="191"/>
              <w:rPr>
                <w:sz w:val="18"/>
              </w:rPr>
            </w:pPr>
            <w:r>
              <w:rPr>
                <w:sz w:val="18"/>
              </w:rPr>
              <w:t>9931</w:t>
            </w:r>
          </w:p>
          <w:p w:rsidR="00275267" w:rsidRDefault="00B45ABC">
            <w:pPr>
              <w:pStyle w:val="TableParagraph"/>
              <w:spacing w:line="180" w:lineRule="exact"/>
              <w:ind w:left="194" w:right="191"/>
              <w:rPr>
                <w:sz w:val="18"/>
              </w:rPr>
            </w:pPr>
            <w:r>
              <w:rPr>
                <w:sz w:val="18"/>
              </w:rPr>
              <w:t>[238]</w:t>
            </w:r>
          </w:p>
        </w:tc>
      </w:tr>
      <w:tr w:rsidR="00275267">
        <w:trPr>
          <w:trHeight w:val="488"/>
        </w:trPr>
        <w:tc>
          <w:tcPr>
            <w:tcW w:w="1555" w:type="dxa"/>
            <w:vMerge/>
            <w:tcBorders>
              <w:top w:val="nil"/>
              <w:left w:val="single" w:sz="8"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14"/>
              <w:rPr>
                <w:sz w:val="18"/>
              </w:rPr>
            </w:pPr>
            <w:r>
              <w:rPr>
                <w:sz w:val="18"/>
              </w:rPr>
              <w:t>M</w:t>
            </w:r>
          </w:p>
        </w:tc>
        <w:tc>
          <w:tcPr>
            <w:tcW w:w="1258"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217" w:lineRule="exact"/>
              <w:ind w:left="127" w:right="115"/>
              <w:rPr>
                <w:rFonts w:ascii="ＭＳ 明朝" w:eastAsia="ＭＳ 明朝"/>
                <w:sz w:val="18"/>
              </w:rPr>
            </w:pPr>
            <w:r>
              <w:rPr>
                <w:sz w:val="18"/>
              </w:rPr>
              <w:t>3 (LOAEL</w:t>
            </w:r>
            <w:r>
              <w:rPr>
                <w:rFonts w:ascii="ＭＳ 明朝" w:eastAsia="ＭＳ 明朝" w:hint="eastAsia"/>
                <w:sz w:val="18"/>
              </w:rPr>
              <w:t>）</w:t>
            </w:r>
          </w:p>
        </w:tc>
        <w:tc>
          <w:tcPr>
            <w:tcW w:w="1239"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59" w:right="47"/>
              <w:rPr>
                <w:sz w:val="18"/>
              </w:rPr>
            </w:pPr>
            <w:r>
              <w:rPr>
                <w:sz w:val="18"/>
              </w:rPr>
              <w:t>0.968</w:t>
            </w:r>
          </w:p>
        </w:tc>
        <w:tc>
          <w:tcPr>
            <w:tcW w:w="1172"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383"/>
              <w:jc w:val="left"/>
              <w:rPr>
                <w:sz w:val="18"/>
              </w:rPr>
            </w:pPr>
            <w:r>
              <w:rPr>
                <w:sz w:val="18"/>
              </w:rPr>
              <w:t>459.3</w:t>
            </w:r>
          </w:p>
          <w:p w:rsidR="00275267" w:rsidRDefault="00B45ABC">
            <w:pPr>
              <w:pStyle w:val="TableParagraph"/>
              <w:spacing w:line="207" w:lineRule="exact"/>
              <w:ind w:left="368"/>
              <w:jc w:val="left"/>
              <w:rPr>
                <w:sz w:val="18"/>
              </w:rPr>
            </w:pPr>
            <w:r>
              <w:rPr>
                <w:sz w:val="18"/>
              </w:rPr>
              <w:t>[11.0]</w:t>
            </w:r>
          </w:p>
        </w:tc>
        <w:tc>
          <w:tcPr>
            <w:tcW w:w="126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244" w:right="240"/>
              <w:rPr>
                <w:sz w:val="18"/>
              </w:rPr>
            </w:pPr>
            <w:r>
              <w:rPr>
                <w:sz w:val="18"/>
              </w:rPr>
              <w:t>1796</w:t>
            </w:r>
          </w:p>
          <w:p w:rsidR="00275267" w:rsidRDefault="00B45ABC">
            <w:pPr>
              <w:pStyle w:val="TableParagraph"/>
              <w:spacing w:line="207" w:lineRule="exact"/>
              <w:ind w:left="240" w:right="240"/>
              <w:rPr>
                <w:sz w:val="18"/>
              </w:rPr>
            </w:pPr>
            <w:r>
              <w:rPr>
                <w:sz w:val="18"/>
              </w:rPr>
              <w:t>[43.1]</w:t>
            </w:r>
          </w:p>
        </w:tc>
        <w:tc>
          <w:tcPr>
            <w:tcW w:w="1081" w:type="dxa"/>
            <w:tcBorders>
              <w:top w:val="single" w:sz="4" w:space="0" w:color="000000"/>
              <w:left w:val="single" w:sz="4" w:space="0" w:color="000000"/>
              <w:bottom w:val="single" w:sz="4" w:space="0" w:color="000000"/>
              <w:right w:val="single" w:sz="4" w:space="0" w:color="000000"/>
            </w:tcBorders>
          </w:tcPr>
          <w:p w:rsidR="00275267" w:rsidRDefault="00B45ABC">
            <w:pPr>
              <w:pStyle w:val="TableParagraph"/>
              <w:spacing w:line="188" w:lineRule="exact"/>
              <w:ind w:left="354"/>
              <w:jc w:val="left"/>
              <w:rPr>
                <w:sz w:val="18"/>
              </w:rPr>
            </w:pPr>
            <w:r>
              <w:rPr>
                <w:sz w:val="18"/>
              </w:rPr>
              <w:t>8429</w:t>
            </w:r>
          </w:p>
          <w:p w:rsidR="00275267" w:rsidRDefault="00B45ABC">
            <w:pPr>
              <w:pStyle w:val="TableParagraph"/>
              <w:spacing w:line="207" w:lineRule="exact"/>
              <w:ind w:left="340"/>
              <w:jc w:val="left"/>
              <w:rPr>
                <w:sz w:val="18"/>
              </w:rPr>
            </w:pPr>
            <w:r>
              <w:rPr>
                <w:sz w:val="18"/>
              </w:rPr>
              <w:t>[202]</w:t>
            </w:r>
          </w:p>
        </w:tc>
        <w:tc>
          <w:tcPr>
            <w:tcW w:w="1170" w:type="dxa"/>
            <w:tcBorders>
              <w:top w:val="single" w:sz="4" w:space="0" w:color="000000"/>
              <w:left w:val="single" w:sz="4" w:space="0" w:color="000000"/>
              <w:bottom w:val="single" w:sz="4" w:space="0" w:color="000000"/>
              <w:right w:val="single" w:sz="8" w:space="0" w:color="000000"/>
            </w:tcBorders>
          </w:tcPr>
          <w:p w:rsidR="00275267" w:rsidRDefault="00B45ABC">
            <w:pPr>
              <w:pStyle w:val="TableParagraph"/>
              <w:spacing w:line="188" w:lineRule="exact"/>
              <w:ind w:left="353"/>
              <w:jc w:val="left"/>
              <w:rPr>
                <w:sz w:val="18"/>
              </w:rPr>
            </w:pPr>
            <w:r>
              <w:rPr>
                <w:sz w:val="18"/>
              </w:rPr>
              <w:t>33939</w:t>
            </w:r>
          </w:p>
          <w:p w:rsidR="00275267" w:rsidRDefault="00B45ABC">
            <w:pPr>
              <w:pStyle w:val="TableParagraph"/>
              <w:spacing w:line="207" w:lineRule="exact"/>
              <w:ind w:left="384"/>
              <w:jc w:val="left"/>
              <w:rPr>
                <w:sz w:val="18"/>
              </w:rPr>
            </w:pPr>
            <w:r>
              <w:rPr>
                <w:sz w:val="18"/>
              </w:rPr>
              <w:t>[815]</w:t>
            </w:r>
          </w:p>
        </w:tc>
      </w:tr>
      <w:tr w:rsidR="00275267">
        <w:trPr>
          <w:trHeight w:val="493"/>
        </w:trPr>
        <w:tc>
          <w:tcPr>
            <w:tcW w:w="1555" w:type="dxa"/>
            <w:vMerge/>
            <w:tcBorders>
              <w:top w:val="nil"/>
              <w:left w:val="single" w:sz="8" w:space="0" w:color="000000"/>
              <w:right w:val="single" w:sz="4" w:space="0" w:color="000000"/>
            </w:tcBorders>
          </w:tcPr>
          <w:p w:rsidR="00275267" w:rsidRDefault="00275267">
            <w:pPr>
              <w:rPr>
                <w:sz w:val="2"/>
                <w:szCs w:val="2"/>
              </w:rPr>
            </w:pPr>
          </w:p>
        </w:tc>
        <w:tc>
          <w:tcPr>
            <w:tcW w:w="564"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16"/>
              <w:rPr>
                <w:sz w:val="18"/>
              </w:rPr>
            </w:pPr>
            <w:r>
              <w:rPr>
                <w:sz w:val="18"/>
              </w:rPr>
              <w:t>F</w:t>
            </w:r>
          </w:p>
        </w:tc>
        <w:tc>
          <w:tcPr>
            <w:tcW w:w="1258"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126" w:right="115"/>
              <w:rPr>
                <w:sz w:val="18"/>
              </w:rPr>
            </w:pPr>
            <w:r>
              <w:rPr>
                <w:sz w:val="18"/>
              </w:rPr>
              <w:t>3 (LOAEL)</w:t>
            </w:r>
          </w:p>
        </w:tc>
        <w:tc>
          <w:tcPr>
            <w:tcW w:w="1239"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59" w:right="47"/>
              <w:rPr>
                <w:sz w:val="18"/>
              </w:rPr>
            </w:pPr>
            <w:r>
              <w:rPr>
                <w:sz w:val="18"/>
              </w:rPr>
              <w:t>0.968</w:t>
            </w:r>
          </w:p>
        </w:tc>
        <w:tc>
          <w:tcPr>
            <w:tcW w:w="1172"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383"/>
              <w:jc w:val="left"/>
              <w:rPr>
                <w:sz w:val="18"/>
              </w:rPr>
            </w:pPr>
            <w:r>
              <w:rPr>
                <w:sz w:val="18"/>
              </w:rPr>
              <w:t>721.4</w:t>
            </w:r>
          </w:p>
          <w:p w:rsidR="00275267" w:rsidRDefault="00B45ABC">
            <w:pPr>
              <w:pStyle w:val="TableParagraph"/>
              <w:spacing w:line="207" w:lineRule="exact"/>
              <w:ind w:left="368"/>
              <w:jc w:val="left"/>
              <w:rPr>
                <w:sz w:val="18"/>
              </w:rPr>
            </w:pPr>
            <w:r>
              <w:rPr>
                <w:sz w:val="18"/>
              </w:rPr>
              <w:t>[17.3]</w:t>
            </w:r>
          </w:p>
        </w:tc>
        <w:tc>
          <w:tcPr>
            <w:tcW w:w="1261"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244" w:right="240"/>
              <w:rPr>
                <w:sz w:val="18"/>
              </w:rPr>
            </w:pPr>
            <w:r>
              <w:rPr>
                <w:sz w:val="18"/>
              </w:rPr>
              <w:t>1732</w:t>
            </w:r>
          </w:p>
          <w:p w:rsidR="00275267" w:rsidRDefault="00B45ABC">
            <w:pPr>
              <w:pStyle w:val="TableParagraph"/>
              <w:spacing w:line="207" w:lineRule="exact"/>
              <w:ind w:left="240" w:right="240"/>
              <w:rPr>
                <w:sz w:val="18"/>
              </w:rPr>
            </w:pPr>
            <w:r>
              <w:rPr>
                <w:sz w:val="18"/>
              </w:rPr>
              <w:t>[41.6]</w:t>
            </w:r>
          </w:p>
        </w:tc>
        <w:tc>
          <w:tcPr>
            <w:tcW w:w="1081" w:type="dxa"/>
            <w:tcBorders>
              <w:top w:val="single" w:sz="4" w:space="0" w:color="000000"/>
              <w:left w:val="single" w:sz="4" w:space="0" w:color="000000"/>
              <w:right w:val="single" w:sz="4" w:space="0" w:color="000000"/>
            </w:tcBorders>
          </w:tcPr>
          <w:p w:rsidR="00275267" w:rsidRDefault="00B45ABC">
            <w:pPr>
              <w:pStyle w:val="TableParagraph"/>
              <w:spacing w:line="188" w:lineRule="exact"/>
              <w:ind w:left="309"/>
              <w:jc w:val="left"/>
              <w:rPr>
                <w:sz w:val="18"/>
              </w:rPr>
            </w:pPr>
            <w:r>
              <w:rPr>
                <w:sz w:val="18"/>
              </w:rPr>
              <w:t>11179</w:t>
            </w:r>
          </w:p>
          <w:p w:rsidR="00275267" w:rsidRDefault="00B45ABC">
            <w:pPr>
              <w:pStyle w:val="TableParagraph"/>
              <w:spacing w:line="207" w:lineRule="exact"/>
              <w:ind w:left="340"/>
              <w:jc w:val="left"/>
              <w:rPr>
                <w:sz w:val="18"/>
              </w:rPr>
            </w:pPr>
            <w:r>
              <w:rPr>
                <w:sz w:val="18"/>
              </w:rPr>
              <w:t>[268]</w:t>
            </w:r>
          </w:p>
        </w:tc>
        <w:tc>
          <w:tcPr>
            <w:tcW w:w="1170" w:type="dxa"/>
            <w:tcBorders>
              <w:top w:val="single" w:sz="4" w:space="0" w:color="000000"/>
              <w:left w:val="single" w:sz="4" w:space="0" w:color="000000"/>
              <w:right w:val="single" w:sz="8" w:space="0" w:color="000000"/>
            </w:tcBorders>
          </w:tcPr>
          <w:p w:rsidR="00275267" w:rsidRDefault="00B45ABC">
            <w:pPr>
              <w:pStyle w:val="TableParagraph"/>
              <w:spacing w:line="188" w:lineRule="exact"/>
              <w:ind w:left="353"/>
              <w:jc w:val="left"/>
              <w:rPr>
                <w:sz w:val="18"/>
              </w:rPr>
            </w:pPr>
            <w:r>
              <w:rPr>
                <w:sz w:val="18"/>
              </w:rPr>
              <w:t>28057</w:t>
            </w:r>
          </w:p>
          <w:p w:rsidR="00275267" w:rsidRDefault="00B45ABC">
            <w:pPr>
              <w:pStyle w:val="TableParagraph"/>
              <w:spacing w:line="207" w:lineRule="exact"/>
              <w:ind w:left="317"/>
              <w:jc w:val="left"/>
              <w:rPr>
                <w:sz w:val="18"/>
              </w:rPr>
            </w:pPr>
            <w:r>
              <w:rPr>
                <w:sz w:val="18"/>
              </w:rPr>
              <w:t>[673.4]</w:t>
            </w:r>
          </w:p>
        </w:tc>
      </w:tr>
      <w:tr w:rsidR="00275267">
        <w:trPr>
          <w:trHeight w:val="478"/>
        </w:trPr>
        <w:tc>
          <w:tcPr>
            <w:tcW w:w="1555" w:type="dxa"/>
            <w:tcBorders>
              <w:left w:val="single" w:sz="8" w:space="0" w:color="000000"/>
              <w:right w:val="single" w:sz="4" w:space="0" w:color="000000"/>
            </w:tcBorders>
          </w:tcPr>
          <w:p w:rsidR="00275267" w:rsidRDefault="00B45ABC">
            <w:pPr>
              <w:pStyle w:val="TableParagraph"/>
              <w:spacing w:line="195" w:lineRule="exact"/>
              <w:ind w:left="112"/>
              <w:jc w:val="left"/>
              <w:rPr>
                <w:sz w:val="18"/>
              </w:rPr>
            </w:pPr>
            <w:r>
              <w:rPr>
                <w:sz w:val="18"/>
              </w:rPr>
              <w:t>Human</w:t>
            </w:r>
          </w:p>
          <w:p w:rsidR="00275267" w:rsidRDefault="00B45ABC">
            <w:pPr>
              <w:pStyle w:val="TableParagraph"/>
              <w:spacing w:line="207" w:lineRule="exact"/>
              <w:ind w:left="112"/>
              <w:jc w:val="left"/>
              <w:rPr>
                <w:sz w:val="18"/>
              </w:rPr>
            </w:pPr>
            <w:r>
              <w:rPr>
                <w:sz w:val="18"/>
              </w:rPr>
              <w:t>FIH</w:t>
            </w:r>
          </w:p>
        </w:tc>
        <w:tc>
          <w:tcPr>
            <w:tcW w:w="564" w:type="dxa"/>
            <w:tcBorders>
              <w:left w:val="single" w:sz="4" w:space="0" w:color="000000"/>
              <w:right w:val="single" w:sz="4" w:space="0" w:color="000000"/>
            </w:tcBorders>
          </w:tcPr>
          <w:p w:rsidR="00275267" w:rsidRDefault="00B45ABC">
            <w:pPr>
              <w:pStyle w:val="TableParagraph"/>
              <w:spacing w:line="196" w:lineRule="exact"/>
              <w:ind w:left="14"/>
              <w:rPr>
                <w:sz w:val="18"/>
              </w:rPr>
            </w:pPr>
            <w:r>
              <w:rPr>
                <w:sz w:val="18"/>
              </w:rPr>
              <w:t>M</w:t>
            </w:r>
          </w:p>
        </w:tc>
        <w:tc>
          <w:tcPr>
            <w:tcW w:w="1258" w:type="dxa"/>
            <w:tcBorders>
              <w:left w:val="single" w:sz="4" w:space="0" w:color="000000"/>
              <w:right w:val="single" w:sz="4" w:space="0" w:color="000000"/>
            </w:tcBorders>
          </w:tcPr>
          <w:p w:rsidR="00275267" w:rsidRDefault="00B45ABC">
            <w:pPr>
              <w:pStyle w:val="TableParagraph"/>
              <w:spacing w:line="196" w:lineRule="exact"/>
              <w:ind w:left="127" w:right="114"/>
              <w:rPr>
                <w:sz w:val="18"/>
              </w:rPr>
            </w:pPr>
            <w:r>
              <w:rPr>
                <w:sz w:val="18"/>
              </w:rPr>
              <w:t>0.017</w:t>
            </w:r>
          </w:p>
        </w:tc>
        <w:tc>
          <w:tcPr>
            <w:tcW w:w="1239" w:type="dxa"/>
            <w:tcBorders>
              <w:left w:val="single" w:sz="4" w:space="0" w:color="000000"/>
              <w:right w:val="single" w:sz="4" w:space="0" w:color="000000"/>
            </w:tcBorders>
          </w:tcPr>
          <w:p w:rsidR="00275267" w:rsidRDefault="00B45ABC">
            <w:pPr>
              <w:pStyle w:val="TableParagraph"/>
              <w:spacing w:line="224" w:lineRule="exact"/>
              <w:ind w:left="61" w:right="47"/>
              <w:rPr>
                <w:sz w:val="18"/>
              </w:rPr>
            </w:pPr>
            <w:r>
              <w:rPr>
                <w:rFonts w:ascii="ＭＳ 明朝" w:eastAsia="ＭＳ 明朝" w:hint="eastAsia"/>
                <w:sz w:val="18"/>
              </w:rPr>
              <w:t>１</w:t>
            </w:r>
            <w:r>
              <w:rPr>
                <w:sz w:val="18"/>
              </w:rPr>
              <w:t>mg/man/day</w:t>
            </w:r>
          </w:p>
        </w:tc>
        <w:tc>
          <w:tcPr>
            <w:tcW w:w="2433" w:type="dxa"/>
            <w:gridSpan w:val="2"/>
            <w:tcBorders>
              <w:left w:val="single" w:sz="4" w:space="0" w:color="000000"/>
              <w:right w:val="single" w:sz="4" w:space="0" w:color="000000"/>
            </w:tcBorders>
          </w:tcPr>
          <w:p w:rsidR="00275267" w:rsidRDefault="00B45ABC">
            <w:pPr>
              <w:pStyle w:val="TableParagraph"/>
              <w:spacing w:line="195" w:lineRule="exact"/>
              <w:ind w:left="977" w:right="970"/>
              <w:rPr>
                <w:sz w:val="18"/>
              </w:rPr>
            </w:pPr>
            <w:r>
              <w:rPr>
                <w:sz w:val="18"/>
              </w:rPr>
              <w:t>28.0‡</w:t>
            </w:r>
          </w:p>
          <w:p w:rsidR="00275267" w:rsidRDefault="00B45ABC">
            <w:pPr>
              <w:pStyle w:val="TableParagraph"/>
              <w:spacing w:line="207" w:lineRule="exact"/>
              <w:ind w:left="977" w:right="971"/>
              <w:rPr>
                <w:sz w:val="18"/>
              </w:rPr>
            </w:pPr>
            <w:r>
              <w:rPr>
                <w:sz w:val="18"/>
              </w:rPr>
              <w:t>[0.25]</w:t>
            </w:r>
          </w:p>
        </w:tc>
        <w:tc>
          <w:tcPr>
            <w:tcW w:w="2251" w:type="dxa"/>
            <w:gridSpan w:val="2"/>
            <w:tcBorders>
              <w:left w:val="single" w:sz="4" w:space="0" w:color="000000"/>
              <w:right w:val="single" w:sz="8" w:space="0" w:color="000000"/>
            </w:tcBorders>
          </w:tcPr>
          <w:p w:rsidR="00275267" w:rsidRDefault="00B45ABC">
            <w:pPr>
              <w:pStyle w:val="TableParagraph"/>
              <w:spacing w:line="195" w:lineRule="exact"/>
              <w:ind w:left="853" w:right="847"/>
              <w:rPr>
                <w:sz w:val="18"/>
              </w:rPr>
            </w:pPr>
            <w:r>
              <w:rPr>
                <w:sz w:val="18"/>
              </w:rPr>
              <w:t>557.6‡</w:t>
            </w:r>
          </w:p>
          <w:p w:rsidR="00275267" w:rsidRDefault="00B45ABC">
            <w:pPr>
              <w:pStyle w:val="TableParagraph"/>
              <w:spacing w:line="207" w:lineRule="exact"/>
              <w:ind w:left="851" w:right="847"/>
              <w:rPr>
                <w:sz w:val="18"/>
              </w:rPr>
            </w:pPr>
            <w:r>
              <w:rPr>
                <w:sz w:val="18"/>
              </w:rPr>
              <w:t>[4.9]</w:t>
            </w:r>
          </w:p>
        </w:tc>
      </w:tr>
    </w:tbl>
    <w:p w:rsidR="00275267" w:rsidRDefault="00B45ABC">
      <w:pPr>
        <w:spacing w:before="51" w:line="229" w:lineRule="exact"/>
        <w:ind w:left="232"/>
        <w:rPr>
          <w:sz w:val="20"/>
        </w:rPr>
      </w:pPr>
      <w:r>
        <w:rPr>
          <w:sz w:val="20"/>
        </w:rPr>
        <w:t>–: Toxicokinetic parameters not available; HED: human equivalent dose;</w:t>
      </w:r>
    </w:p>
    <w:p w:rsidR="00275267" w:rsidRDefault="00B45ABC">
      <w:pPr>
        <w:ind w:left="232" w:right="3004"/>
        <w:rPr>
          <w:sz w:val="20"/>
        </w:rPr>
      </w:pPr>
      <w:r>
        <w:rPr>
          <w:sz w:val="20"/>
        </w:rPr>
        <w:t>LOAEL: lowest-observed-adverse-effect level; MRSD: maximum recommended starting dose; NOAEL: no-observed-adverse-effect level; PAD: pharmacologically active dose.</w:t>
      </w:r>
    </w:p>
    <w:p w:rsidR="00275267" w:rsidRDefault="00B45ABC">
      <w:pPr>
        <w:spacing w:before="60"/>
        <w:ind w:left="232" w:right="1644"/>
        <w:rPr>
          <w:sz w:val="20"/>
        </w:rPr>
      </w:pPr>
      <w:r>
        <w:rPr>
          <w:sz w:val="20"/>
        </w:rPr>
        <w:t>†The human equivalent dose levels were calculated by using the body surface area conversion factors (rat: 0.16, dog: 0.54, human: 0.32) and the human body weight of 60 kg</w:t>
      </w:r>
    </w:p>
    <w:p w:rsidR="00275267" w:rsidRDefault="00B45ABC">
      <w:pPr>
        <w:spacing w:before="61"/>
        <w:ind w:left="232" w:right="2643"/>
        <w:rPr>
          <w:sz w:val="20"/>
        </w:rPr>
      </w:pPr>
      <w:r>
        <w:rPr>
          <w:sz w:val="20"/>
        </w:rPr>
        <w:t>‡The predicted systemic exposure in humans at a dose of 1 mg/day, based on physiologically based pharmacokinetic modeling using total drug concentrations in rats and monkeys.</w:t>
      </w:r>
    </w:p>
    <w:p w:rsidR="00275267" w:rsidRDefault="00B45ABC" w:rsidP="00B45ABC">
      <w:pPr>
        <w:spacing w:before="59"/>
        <w:ind w:left="232"/>
        <w:rPr>
          <w:sz w:val="20"/>
        </w:rPr>
      </w:pPr>
      <w:r>
        <w:rPr>
          <w:sz w:val="20"/>
        </w:rPr>
        <w:t xml:space="preserve">Sources: </w:t>
      </w:r>
      <w:r w:rsidR="002B4CFB">
        <w:rPr>
          <w:sz w:val="20"/>
        </w:rPr>
        <w:t>Project R</w:t>
      </w:r>
      <w:r>
        <w:rPr>
          <w:sz w:val="20"/>
        </w:rPr>
        <w:t xml:space="preserve">-TX-0009 and </w:t>
      </w:r>
      <w:r w:rsidR="002B4CFB">
        <w:rPr>
          <w:sz w:val="20"/>
        </w:rPr>
        <w:t>Project R</w:t>
      </w:r>
      <w:r>
        <w:rPr>
          <w:sz w:val="20"/>
        </w:rPr>
        <w:t xml:space="preserve">-PH-0006 (rat) and </w:t>
      </w:r>
      <w:r w:rsidR="002B4CFB">
        <w:rPr>
          <w:sz w:val="20"/>
        </w:rPr>
        <w:t>Project R</w:t>
      </w:r>
      <w:r>
        <w:rPr>
          <w:sz w:val="20"/>
        </w:rPr>
        <w:t>-TX-0010 (monkey)</w:t>
      </w:r>
    </w:p>
    <w:sectPr w:rsidR="00275267" w:rsidSect="00B45ABC">
      <w:pgSz w:w="12240" w:h="15840"/>
      <w:pgMar w:top="1240" w:right="0" w:bottom="940" w:left="138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947" w:rsidRDefault="00816947">
      <w:r>
        <w:separator/>
      </w:r>
    </w:p>
  </w:endnote>
  <w:endnote w:type="continuationSeparator" w:id="0">
    <w:p w:rsidR="00816947" w:rsidRDefault="0081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267" w:rsidRDefault="00EF66BB">
    <w:pPr>
      <w:pStyle w:val="a3"/>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79.65pt;margin-top:743.6pt;width:39.7pt;height:13.05pt;z-index:-793768;mso-position-horizontal-relative:page;mso-position-vertical-relative:page" filled="f" stroked="f">
          <v:textbox inset="0,0,0,0">
            <w:txbxContent>
              <w:p w:rsidR="00275267" w:rsidRDefault="00B45ABC">
                <w:pPr>
                  <w:spacing w:before="10"/>
                  <w:ind w:left="20"/>
                  <w:rPr>
                    <w:sz w:val="20"/>
                  </w:rPr>
                </w:pPr>
                <w:r>
                  <w:rPr>
                    <w:color w:val="323232"/>
                    <w:sz w:val="20"/>
                  </w:rPr>
                  <w:t>Sep 2011</w:t>
                </w:r>
              </w:p>
            </w:txbxContent>
          </v:textbox>
          <w10:wrap anchorx="page" anchory="page"/>
        </v:shape>
      </w:pict>
    </w:r>
    <w:r>
      <w:pict>
        <v:shape id="_x0000_s2078" type="#_x0000_t202" style="position:absolute;margin-left:290.35pt;margin-top:743.6pt;width:34.1pt;height:13.05pt;z-index:-793744;mso-position-horizontal-relative:page;mso-position-vertical-relative:page" filled="f" stroked="f">
          <v:textbox inset="0,0,0,0">
            <w:txbxContent>
              <w:p w:rsidR="00275267" w:rsidRDefault="00B45ABC">
                <w:pPr>
                  <w:spacing w:before="10"/>
                  <w:ind w:left="20"/>
                  <w:rPr>
                    <w:sz w:val="20"/>
                  </w:rPr>
                </w:pPr>
                <w:r>
                  <w:rPr>
                    <w:color w:val="323232"/>
                    <w:sz w:val="20"/>
                  </w:rPr>
                  <w:t>Astellas</w:t>
                </w:r>
              </w:p>
            </w:txbxContent>
          </v:textbox>
          <w10:wrap anchorx="page" anchory="page"/>
        </v:shape>
      </w:pict>
    </w:r>
    <w:r>
      <w:pict>
        <v:shape id="_x0000_s2077" type="#_x0000_t202" style="position:absolute;margin-left:477.8pt;margin-top:743.6pt;width:57.45pt;height:13.05pt;z-index:-793720;mso-position-horizontal-relative:page;mso-position-vertical-relative:page" filled="f" stroked="f">
          <v:textbox inset="0,0,0,0">
            <w:txbxContent>
              <w:p w:rsidR="00275267" w:rsidRDefault="00B45ABC">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39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947" w:rsidRDefault="00816947">
      <w:r>
        <w:separator/>
      </w:r>
    </w:p>
  </w:footnote>
  <w:footnote w:type="continuationSeparator" w:id="0">
    <w:p w:rsidR="00816947" w:rsidRDefault="0081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267" w:rsidRDefault="00275267">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61D1"/>
    <w:multiLevelType w:val="multilevel"/>
    <w:tmpl w:val="1FDA788E"/>
    <w:lvl w:ilvl="0">
      <w:start w:val="3"/>
      <w:numFmt w:val="decimal"/>
      <w:lvlText w:val="%1"/>
      <w:lvlJc w:val="left"/>
      <w:pPr>
        <w:ind w:left="1073" w:hanging="852"/>
        <w:jc w:val="left"/>
      </w:pPr>
      <w:rPr>
        <w:rFonts w:hint="default"/>
      </w:rPr>
    </w:lvl>
    <w:lvl w:ilvl="1">
      <w:start w:val="8"/>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 w15:restartNumberingAfterBreak="0">
    <w:nsid w:val="261E08FC"/>
    <w:multiLevelType w:val="multilevel"/>
    <w:tmpl w:val="71FA010E"/>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35357B2D"/>
    <w:multiLevelType w:val="multilevel"/>
    <w:tmpl w:val="E244DD8A"/>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3" w15:restartNumberingAfterBreak="0">
    <w:nsid w:val="35FB2D1E"/>
    <w:multiLevelType w:val="multilevel"/>
    <w:tmpl w:val="B83EDC52"/>
    <w:lvl w:ilvl="0">
      <w:start w:val="5"/>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132" w:hanging="900"/>
        <w:jc w:val="left"/>
      </w:pPr>
      <w:rPr>
        <w:rFonts w:ascii="Times New Roman" w:eastAsia="Times New Roman" w:hAnsi="Times New Roman" w:cs="Times New Roman" w:hint="default"/>
        <w:b/>
        <w:bCs/>
        <w:w w:val="100"/>
        <w:sz w:val="28"/>
        <w:szCs w:val="28"/>
      </w:rPr>
    </w:lvl>
    <w:lvl w:ilvl="2">
      <w:numFmt w:val="bullet"/>
      <w:lvlText w:val="•"/>
      <w:lvlJc w:val="left"/>
      <w:pPr>
        <w:ind w:left="2220" w:hanging="900"/>
      </w:pPr>
      <w:rPr>
        <w:rFonts w:hint="default"/>
      </w:rPr>
    </w:lvl>
    <w:lvl w:ilvl="3">
      <w:numFmt w:val="bullet"/>
      <w:lvlText w:val="•"/>
      <w:lvlJc w:val="left"/>
      <w:pPr>
        <w:ind w:left="3300" w:hanging="900"/>
      </w:pPr>
      <w:rPr>
        <w:rFonts w:hint="default"/>
      </w:rPr>
    </w:lvl>
    <w:lvl w:ilvl="4">
      <w:numFmt w:val="bullet"/>
      <w:lvlText w:val="•"/>
      <w:lvlJc w:val="left"/>
      <w:pPr>
        <w:ind w:left="4380" w:hanging="900"/>
      </w:pPr>
      <w:rPr>
        <w:rFonts w:hint="default"/>
      </w:rPr>
    </w:lvl>
    <w:lvl w:ilvl="5">
      <w:numFmt w:val="bullet"/>
      <w:lvlText w:val="•"/>
      <w:lvlJc w:val="left"/>
      <w:pPr>
        <w:ind w:left="5460" w:hanging="900"/>
      </w:pPr>
      <w:rPr>
        <w:rFonts w:hint="default"/>
      </w:rPr>
    </w:lvl>
    <w:lvl w:ilvl="6">
      <w:numFmt w:val="bullet"/>
      <w:lvlText w:val="•"/>
      <w:lvlJc w:val="left"/>
      <w:pPr>
        <w:ind w:left="6540" w:hanging="900"/>
      </w:pPr>
      <w:rPr>
        <w:rFonts w:hint="default"/>
      </w:rPr>
    </w:lvl>
    <w:lvl w:ilvl="7">
      <w:numFmt w:val="bullet"/>
      <w:lvlText w:val="•"/>
      <w:lvlJc w:val="left"/>
      <w:pPr>
        <w:ind w:left="7620" w:hanging="900"/>
      </w:pPr>
      <w:rPr>
        <w:rFonts w:hint="default"/>
      </w:rPr>
    </w:lvl>
    <w:lvl w:ilvl="8">
      <w:numFmt w:val="bullet"/>
      <w:lvlText w:val="•"/>
      <w:lvlJc w:val="left"/>
      <w:pPr>
        <w:ind w:left="8700" w:hanging="900"/>
      </w:pPr>
      <w:rPr>
        <w:rFonts w:hint="default"/>
      </w:rPr>
    </w:lvl>
  </w:abstractNum>
  <w:abstractNum w:abstractNumId="4" w15:restartNumberingAfterBreak="0">
    <w:nsid w:val="423949DB"/>
    <w:multiLevelType w:val="multilevel"/>
    <w:tmpl w:val="B9D243CC"/>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5" w15:restartNumberingAfterBreak="0">
    <w:nsid w:val="43A96DE7"/>
    <w:multiLevelType w:val="multilevel"/>
    <w:tmpl w:val="5A025BCC"/>
    <w:lvl w:ilvl="0">
      <w:start w:val="2"/>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132" w:hanging="900"/>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5"/>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4922" w:hanging="1133"/>
      </w:pPr>
      <w:rPr>
        <w:rFonts w:hint="default"/>
      </w:rPr>
    </w:lvl>
    <w:lvl w:ilvl="6">
      <w:numFmt w:val="bullet"/>
      <w:lvlText w:val="•"/>
      <w:lvlJc w:val="left"/>
      <w:pPr>
        <w:ind w:left="6110" w:hanging="1133"/>
      </w:pPr>
      <w:rPr>
        <w:rFonts w:hint="default"/>
      </w:rPr>
    </w:lvl>
    <w:lvl w:ilvl="7">
      <w:numFmt w:val="bullet"/>
      <w:lvlText w:val="•"/>
      <w:lvlJc w:val="left"/>
      <w:pPr>
        <w:ind w:left="7297" w:hanging="1133"/>
      </w:pPr>
      <w:rPr>
        <w:rFonts w:hint="default"/>
      </w:rPr>
    </w:lvl>
    <w:lvl w:ilvl="8">
      <w:numFmt w:val="bullet"/>
      <w:lvlText w:val="•"/>
      <w:lvlJc w:val="left"/>
      <w:pPr>
        <w:ind w:left="8485" w:hanging="1133"/>
      </w:pPr>
      <w:rPr>
        <w:rFonts w:hint="default"/>
      </w:rPr>
    </w:lvl>
  </w:abstractNum>
  <w:abstractNum w:abstractNumId="6" w15:restartNumberingAfterBreak="0">
    <w:nsid w:val="474F7841"/>
    <w:multiLevelType w:val="multilevel"/>
    <w:tmpl w:val="FF224D84"/>
    <w:lvl w:ilvl="0">
      <w:start w:val="3"/>
      <w:numFmt w:val="decimal"/>
      <w:lvlText w:val="%1"/>
      <w:lvlJc w:val="left"/>
      <w:pPr>
        <w:ind w:left="1073" w:hanging="852"/>
        <w:jc w:val="left"/>
      </w:pPr>
      <w:rPr>
        <w:rFonts w:hint="default"/>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7" w15:restartNumberingAfterBreak="0">
    <w:nsid w:val="496205AD"/>
    <w:multiLevelType w:val="multilevel"/>
    <w:tmpl w:val="49F6EE54"/>
    <w:lvl w:ilvl="0">
      <w:start w:val="3"/>
      <w:numFmt w:val="decimal"/>
      <w:lvlText w:val="%1"/>
      <w:lvlJc w:val="left"/>
      <w:pPr>
        <w:ind w:left="581" w:hanging="360"/>
        <w:jc w:val="left"/>
      </w:pPr>
      <w:rPr>
        <w:rFonts w:hint="default"/>
      </w:rPr>
    </w:lvl>
    <w:lvl w:ilvl="1">
      <w:start w:val="3"/>
      <w:numFmt w:val="decimal"/>
      <w:lvlText w:val="%1.%2"/>
      <w:lvlJc w:val="left"/>
      <w:pPr>
        <w:ind w:left="581" w:hanging="360"/>
        <w:jc w:val="left"/>
      </w:pPr>
      <w:rPr>
        <w:rFonts w:hint="default"/>
        <w:i/>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17" w:hanging="852"/>
      </w:pPr>
      <w:rPr>
        <w:rFonts w:hint="default"/>
      </w:rPr>
    </w:lvl>
    <w:lvl w:ilvl="4">
      <w:numFmt w:val="bullet"/>
      <w:lvlText w:val="•"/>
      <w:lvlJc w:val="left"/>
      <w:pPr>
        <w:ind w:left="5786" w:hanging="852"/>
      </w:pPr>
      <w:rPr>
        <w:rFonts w:hint="default"/>
      </w:rPr>
    </w:lvl>
    <w:lvl w:ilvl="5">
      <w:numFmt w:val="bullet"/>
      <w:lvlText w:val="•"/>
      <w:lvlJc w:val="left"/>
      <w:pPr>
        <w:ind w:left="7355" w:hanging="852"/>
      </w:pPr>
      <w:rPr>
        <w:rFonts w:hint="default"/>
      </w:rPr>
    </w:lvl>
    <w:lvl w:ilvl="6">
      <w:numFmt w:val="bullet"/>
      <w:lvlText w:val="•"/>
      <w:lvlJc w:val="left"/>
      <w:pPr>
        <w:ind w:left="8924" w:hanging="852"/>
      </w:pPr>
      <w:rPr>
        <w:rFonts w:hint="default"/>
      </w:rPr>
    </w:lvl>
    <w:lvl w:ilvl="7">
      <w:numFmt w:val="bullet"/>
      <w:lvlText w:val="•"/>
      <w:lvlJc w:val="left"/>
      <w:pPr>
        <w:ind w:left="10493" w:hanging="852"/>
      </w:pPr>
      <w:rPr>
        <w:rFonts w:hint="default"/>
      </w:rPr>
    </w:lvl>
    <w:lvl w:ilvl="8">
      <w:numFmt w:val="bullet"/>
      <w:lvlText w:val="•"/>
      <w:lvlJc w:val="left"/>
      <w:pPr>
        <w:ind w:left="12062" w:hanging="852"/>
      </w:pPr>
      <w:rPr>
        <w:rFonts w:hint="default"/>
      </w:rPr>
    </w:lvl>
  </w:abstractNum>
  <w:abstractNum w:abstractNumId="8" w15:restartNumberingAfterBreak="0">
    <w:nsid w:val="4B03793F"/>
    <w:multiLevelType w:val="multilevel"/>
    <w:tmpl w:val="79D8CD8A"/>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5"/>
      <w:numFmt w:val="decimal"/>
      <w:lvlText w:val="%1.%2.%3"/>
      <w:lvlJc w:val="left"/>
      <w:pPr>
        <w:ind w:left="1084" w:hanging="852"/>
      </w:pPr>
      <w:rPr>
        <w:rFonts w:ascii="Times New Roman" w:eastAsia="ＭＳ 明朝"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9" w15:restartNumberingAfterBreak="0">
    <w:nsid w:val="4C3979B2"/>
    <w:multiLevelType w:val="multilevel"/>
    <w:tmpl w:val="67BACC8A"/>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54B26F24"/>
    <w:multiLevelType w:val="multilevel"/>
    <w:tmpl w:val="84EAAD3A"/>
    <w:lvl w:ilvl="0">
      <w:start w:val="1"/>
      <w:numFmt w:val="decimal"/>
      <w:lvlText w:val="%1"/>
      <w:lvlJc w:val="left"/>
      <w:pPr>
        <w:ind w:left="952" w:hanging="720"/>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84"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816"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248" w:hanging="1152"/>
        <w:jc w:val="left"/>
      </w:pPr>
      <w:rPr>
        <w:rFonts w:ascii="Times New Roman" w:eastAsia="Times New Roman" w:hAnsi="Times New Roman" w:cs="Times New Roman" w:hint="default"/>
        <w:w w:val="100"/>
        <w:sz w:val="22"/>
        <w:szCs w:val="22"/>
      </w:rPr>
    </w:lvl>
    <w:lvl w:ilvl="4">
      <w:start w:val="1"/>
      <w:numFmt w:val="decimal"/>
      <w:lvlText w:val="%1.%2.%3.%4.%5"/>
      <w:lvlJc w:val="left"/>
      <w:pPr>
        <w:ind w:left="2536" w:hanging="1296"/>
        <w:jc w:val="left"/>
      </w:pPr>
      <w:rPr>
        <w:rFonts w:ascii="Times New Roman" w:eastAsia="Times New Roman" w:hAnsi="Times New Roman" w:cs="Times New Roman" w:hint="default"/>
        <w:w w:val="100"/>
        <w:sz w:val="22"/>
        <w:szCs w:val="22"/>
      </w:rPr>
    </w:lvl>
    <w:lvl w:ilvl="5">
      <w:numFmt w:val="bullet"/>
      <w:lvlText w:val="•"/>
      <w:lvlJc w:val="left"/>
      <w:pPr>
        <w:ind w:left="3926" w:hanging="1296"/>
      </w:pPr>
      <w:rPr>
        <w:rFonts w:hint="default"/>
      </w:rPr>
    </w:lvl>
    <w:lvl w:ilvl="6">
      <w:numFmt w:val="bullet"/>
      <w:lvlText w:val="•"/>
      <w:lvlJc w:val="left"/>
      <w:pPr>
        <w:ind w:left="5313" w:hanging="1296"/>
      </w:pPr>
      <w:rPr>
        <w:rFonts w:hint="default"/>
      </w:rPr>
    </w:lvl>
    <w:lvl w:ilvl="7">
      <w:numFmt w:val="bullet"/>
      <w:lvlText w:val="•"/>
      <w:lvlJc w:val="left"/>
      <w:pPr>
        <w:ind w:left="6700" w:hanging="1296"/>
      </w:pPr>
      <w:rPr>
        <w:rFonts w:hint="default"/>
      </w:rPr>
    </w:lvl>
    <w:lvl w:ilvl="8">
      <w:numFmt w:val="bullet"/>
      <w:lvlText w:val="•"/>
      <w:lvlJc w:val="left"/>
      <w:pPr>
        <w:ind w:left="8086" w:hanging="1296"/>
      </w:pPr>
      <w:rPr>
        <w:rFonts w:hint="default"/>
      </w:rPr>
    </w:lvl>
  </w:abstractNum>
  <w:abstractNum w:abstractNumId="11" w15:restartNumberingAfterBreak="0">
    <w:nsid w:val="60030B8A"/>
    <w:multiLevelType w:val="multilevel"/>
    <w:tmpl w:val="13F63CC6"/>
    <w:lvl w:ilvl="0">
      <w:start w:val="1"/>
      <w:numFmt w:val="decimal"/>
      <w:lvlText w:val="%1"/>
      <w:lvlJc w:val="left"/>
      <w:pPr>
        <w:ind w:left="581" w:hanging="360"/>
        <w:jc w:val="left"/>
      </w:pPr>
      <w:rPr>
        <w:rFonts w:hint="default"/>
      </w:rPr>
    </w:lvl>
    <w:lvl w:ilvl="1">
      <w:start w:val="1"/>
      <w:numFmt w:val="decimal"/>
      <w:lvlText w:val="%1.%2"/>
      <w:lvlJc w:val="left"/>
      <w:pPr>
        <w:ind w:left="1073" w:hanging="852"/>
        <w:jc w:val="left"/>
      </w:pPr>
      <w:rPr>
        <w:rFonts w:hint="default"/>
        <w:b/>
        <w:bCs/>
        <w:w w:val="100"/>
      </w:rPr>
    </w:lvl>
    <w:lvl w:ilvl="2">
      <w:numFmt w:val="bullet"/>
      <w:lvlText w:val="•"/>
      <w:lvlJc w:val="left"/>
      <w:pPr>
        <w:ind w:left="2648" w:hanging="852"/>
      </w:pPr>
      <w:rPr>
        <w:rFonts w:hint="default"/>
      </w:rPr>
    </w:lvl>
    <w:lvl w:ilvl="3">
      <w:numFmt w:val="bullet"/>
      <w:lvlText w:val="•"/>
      <w:lvlJc w:val="left"/>
      <w:pPr>
        <w:ind w:left="4217" w:hanging="852"/>
      </w:pPr>
      <w:rPr>
        <w:rFonts w:hint="default"/>
      </w:rPr>
    </w:lvl>
    <w:lvl w:ilvl="4">
      <w:numFmt w:val="bullet"/>
      <w:lvlText w:val="•"/>
      <w:lvlJc w:val="left"/>
      <w:pPr>
        <w:ind w:left="5786" w:hanging="852"/>
      </w:pPr>
      <w:rPr>
        <w:rFonts w:hint="default"/>
      </w:rPr>
    </w:lvl>
    <w:lvl w:ilvl="5">
      <w:numFmt w:val="bullet"/>
      <w:lvlText w:val="•"/>
      <w:lvlJc w:val="left"/>
      <w:pPr>
        <w:ind w:left="7355" w:hanging="852"/>
      </w:pPr>
      <w:rPr>
        <w:rFonts w:hint="default"/>
      </w:rPr>
    </w:lvl>
    <w:lvl w:ilvl="6">
      <w:numFmt w:val="bullet"/>
      <w:lvlText w:val="•"/>
      <w:lvlJc w:val="left"/>
      <w:pPr>
        <w:ind w:left="8924" w:hanging="852"/>
      </w:pPr>
      <w:rPr>
        <w:rFonts w:hint="default"/>
      </w:rPr>
    </w:lvl>
    <w:lvl w:ilvl="7">
      <w:numFmt w:val="bullet"/>
      <w:lvlText w:val="•"/>
      <w:lvlJc w:val="left"/>
      <w:pPr>
        <w:ind w:left="10493" w:hanging="852"/>
      </w:pPr>
      <w:rPr>
        <w:rFonts w:hint="default"/>
      </w:rPr>
    </w:lvl>
    <w:lvl w:ilvl="8">
      <w:numFmt w:val="bullet"/>
      <w:lvlText w:val="•"/>
      <w:lvlJc w:val="left"/>
      <w:pPr>
        <w:ind w:left="12062" w:hanging="852"/>
      </w:pPr>
      <w:rPr>
        <w:rFonts w:hint="default"/>
      </w:rPr>
    </w:lvl>
  </w:abstractNum>
  <w:abstractNum w:abstractNumId="12" w15:restartNumberingAfterBreak="0">
    <w:nsid w:val="6B765E57"/>
    <w:multiLevelType w:val="multilevel"/>
    <w:tmpl w:val="09D21BBA"/>
    <w:lvl w:ilvl="0">
      <w:start w:val="2"/>
      <w:numFmt w:val="decimal"/>
      <w:lvlText w:val="%1"/>
      <w:lvlJc w:val="left"/>
      <w:pPr>
        <w:ind w:left="581" w:hanging="360"/>
        <w:jc w:val="left"/>
      </w:pPr>
      <w:rPr>
        <w:rFonts w:hint="default"/>
      </w:rPr>
    </w:lvl>
    <w:lvl w:ilvl="1">
      <w:start w:val="4"/>
      <w:numFmt w:val="decimal"/>
      <w:lvlText w:val="%1.%2"/>
      <w:lvlJc w:val="left"/>
      <w:pPr>
        <w:ind w:left="581" w:hanging="360"/>
        <w:jc w:val="left"/>
      </w:pPr>
      <w:rPr>
        <w:rFonts w:hint="default"/>
        <w:i/>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17" w:hanging="852"/>
      </w:pPr>
      <w:rPr>
        <w:rFonts w:hint="default"/>
      </w:rPr>
    </w:lvl>
    <w:lvl w:ilvl="4">
      <w:numFmt w:val="bullet"/>
      <w:lvlText w:val="•"/>
      <w:lvlJc w:val="left"/>
      <w:pPr>
        <w:ind w:left="5786" w:hanging="852"/>
      </w:pPr>
      <w:rPr>
        <w:rFonts w:hint="default"/>
      </w:rPr>
    </w:lvl>
    <w:lvl w:ilvl="5">
      <w:numFmt w:val="bullet"/>
      <w:lvlText w:val="•"/>
      <w:lvlJc w:val="left"/>
      <w:pPr>
        <w:ind w:left="7355" w:hanging="852"/>
      </w:pPr>
      <w:rPr>
        <w:rFonts w:hint="default"/>
      </w:rPr>
    </w:lvl>
    <w:lvl w:ilvl="6">
      <w:numFmt w:val="bullet"/>
      <w:lvlText w:val="•"/>
      <w:lvlJc w:val="left"/>
      <w:pPr>
        <w:ind w:left="8924" w:hanging="852"/>
      </w:pPr>
      <w:rPr>
        <w:rFonts w:hint="default"/>
      </w:rPr>
    </w:lvl>
    <w:lvl w:ilvl="7">
      <w:numFmt w:val="bullet"/>
      <w:lvlText w:val="•"/>
      <w:lvlJc w:val="left"/>
      <w:pPr>
        <w:ind w:left="10493" w:hanging="852"/>
      </w:pPr>
      <w:rPr>
        <w:rFonts w:hint="default"/>
      </w:rPr>
    </w:lvl>
    <w:lvl w:ilvl="8">
      <w:numFmt w:val="bullet"/>
      <w:lvlText w:val="•"/>
      <w:lvlJc w:val="left"/>
      <w:pPr>
        <w:ind w:left="12062" w:hanging="852"/>
      </w:pPr>
      <w:rPr>
        <w:rFonts w:hint="default"/>
      </w:rPr>
    </w:lvl>
  </w:abstractNum>
  <w:abstractNum w:abstractNumId="13" w15:restartNumberingAfterBreak="0">
    <w:nsid w:val="708F00DF"/>
    <w:multiLevelType w:val="multilevel"/>
    <w:tmpl w:val="ED381B86"/>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num w:numId="1">
    <w:abstractNumId w:val="0"/>
  </w:num>
  <w:num w:numId="2">
    <w:abstractNumId w:val="7"/>
  </w:num>
  <w:num w:numId="3">
    <w:abstractNumId w:val="6"/>
  </w:num>
  <w:num w:numId="4">
    <w:abstractNumId w:val="12"/>
  </w:num>
  <w:num w:numId="5">
    <w:abstractNumId w:val="11"/>
  </w:num>
  <w:num w:numId="6">
    <w:abstractNumId w:val="3"/>
  </w:num>
  <w:num w:numId="7">
    <w:abstractNumId w:val="4"/>
  </w:num>
  <w:num w:numId="8">
    <w:abstractNumId w:val="9"/>
  </w:num>
  <w:num w:numId="9">
    <w:abstractNumId w:val="8"/>
  </w:num>
  <w:num w:numId="10">
    <w:abstractNumId w:val="1"/>
  </w:num>
  <w:num w:numId="11">
    <w:abstractNumId w:val="13"/>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81">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75267"/>
    <w:rsid w:val="00275267"/>
    <w:rsid w:val="002B4CFB"/>
    <w:rsid w:val="002F4AD8"/>
    <w:rsid w:val="007670AD"/>
    <w:rsid w:val="00816947"/>
    <w:rsid w:val="00B45ABC"/>
    <w:rsid w:val="00EF6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1">
      <v:textbox inset="5.85pt,.7pt,5.85pt,.7pt"/>
    </o:shapedefaults>
    <o:shapelayout v:ext="edit">
      <o:idmap v:ext="edit" data="1"/>
    </o:shapelayout>
  </w:shapeDefaults>
  <w:decimalSymbol w:val="."/>
  <w:listSeparator w:val=","/>
  <w15:docId w15:val="{269E63B3-0EB2-4613-9F5F-487BC24F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7"/>
      <w:jc w:val="center"/>
      <w:outlineLvl w:val="0"/>
    </w:pPr>
    <w:rPr>
      <w:b/>
      <w:bCs/>
      <w:sz w:val="32"/>
      <w:szCs w:val="32"/>
    </w:rPr>
  </w:style>
  <w:style w:type="paragraph" w:styleId="2">
    <w:name w:val="heading 2"/>
    <w:basedOn w:val="a"/>
    <w:uiPriority w:val="9"/>
    <w:unhideWhenUsed/>
    <w:qFormat/>
    <w:pPr>
      <w:spacing w:before="89"/>
      <w:ind w:left="1073" w:hanging="852"/>
      <w:outlineLvl w:val="1"/>
    </w:pPr>
    <w:rPr>
      <w:b/>
      <w:bCs/>
      <w:sz w:val="28"/>
      <w:szCs w:val="28"/>
    </w:rPr>
  </w:style>
  <w:style w:type="paragraph" w:styleId="3">
    <w:name w:val="heading 3"/>
    <w:basedOn w:val="a"/>
    <w:uiPriority w:val="9"/>
    <w:unhideWhenUsed/>
    <w:qFormat/>
    <w:pPr>
      <w:ind w:left="108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52" w:hanging="720"/>
    </w:pPr>
    <w:rPr>
      <w:b/>
      <w:bCs/>
    </w:rPr>
  </w:style>
  <w:style w:type="paragraph" w:styleId="20">
    <w:name w:val="toc 2"/>
    <w:basedOn w:val="a"/>
    <w:uiPriority w:val="1"/>
    <w:qFormat/>
    <w:pPr>
      <w:spacing w:before="167"/>
      <w:ind w:left="1384" w:hanging="864"/>
    </w:pPr>
  </w:style>
  <w:style w:type="paragraph" w:styleId="30">
    <w:name w:val="toc 3"/>
    <w:basedOn w:val="a"/>
    <w:uiPriority w:val="1"/>
    <w:qFormat/>
    <w:pPr>
      <w:spacing w:before="107"/>
      <w:ind w:left="1816" w:hanging="1008"/>
    </w:pPr>
  </w:style>
  <w:style w:type="paragraph" w:styleId="4">
    <w:name w:val="toc 4"/>
    <w:basedOn w:val="a"/>
    <w:uiPriority w:val="1"/>
    <w:qFormat/>
    <w:pPr>
      <w:spacing w:before="107"/>
      <w:ind w:left="2248" w:hanging="1152"/>
    </w:pPr>
  </w:style>
  <w:style w:type="paragraph" w:styleId="5">
    <w:name w:val="toc 5"/>
    <w:basedOn w:val="a"/>
    <w:uiPriority w:val="1"/>
    <w:qFormat/>
    <w:pPr>
      <w:spacing w:before="107"/>
      <w:ind w:left="2536" w:hanging="1296"/>
    </w:pPr>
  </w:style>
  <w:style w:type="paragraph" w:styleId="6">
    <w:name w:val="toc 6"/>
    <w:basedOn w:val="a"/>
    <w:uiPriority w:val="1"/>
    <w:qFormat/>
    <w:pPr>
      <w:spacing w:before="47"/>
      <w:ind w:left="2248"/>
    </w:pPr>
  </w:style>
  <w:style w:type="paragraph" w:styleId="7">
    <w:name w:val="toc 7"/>
    <w:basedOn w:val="a"/>
    <w:uiPriority w:val="1"/>
    <w:qFormat/>
    <w:pPr>
      <w:spacing w:before="47"/>
      <w:ind w:left="2536"/>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line="181" w:lineRule="exact"/>
      <w:jc w:val="center"/>
    </w:pPr>
  </w:style>
  <w:style w:type="paragraph" w:styleId="a5">
    <w:name w:val="header"/>
    <w:basedOn w:val="a"/>
    <w:link w:val="a6"/>
    <w:uiPriority w:val="99"/>
    <w:unhideWhenUsed/>
    <w:rsid w:val="00B45ABC"/>
    <w:pPr>
      <w:tabs>
        <w:tab w:val="center" w:pos="4252"/>
        <w:tab w:val="right" w:pos="8504"/>
      </w:tabs>
      <w:snapToGrid w:val="0"/>
    </w:pPr>
  </w:style>
  <w:style w:type="character" w:customStyle="1" w:styleId="a6">
    <w:name w:val="ヘッダー (文字)"/>
    <w:basedOn w:val="a0"/>
    <w:link w:val="a5"/>
    <w:uiPriority w:val="99"/>
    <w:rsid w:val="00B45ABC"/>
    <w:rPr>
      <w:rFonts w:ascii="Times New Roman" w:eastAsia="Times New Roman" w:hAnsi="Times New Roman" w:cs="Times New Roman"/>
    </w:rPr>
  </w:style>
  <w:style w:type="paragraph" w:styleId="a7">
    <w:name w:val="footer"/>
    <w:basedOn w:val="a"/>
    <w:link w:val="a8"/>
    <w:uiPriority w:val="99"/>
    <w:unhideWhenUsed/>
    <w:rsid w:val="00B45ABC"/>
    <w:pPr>
      <w:tabs>
        <w:tab w:val="center" w:pos="4252"/>
        <w:tab w:val="right" w:pos="8504"/>
      </w:tabs>
      <w:snapToGrid w:val="0"/>
    </w:pPr>
  </w:style>
  <w:style w:type="character" w:customStyle="1" w:styleId="a8">
    <w:name w:val="フッター (文字)"/>
    <w:basedOn w:val="a0"/>
    <w:link w:val="a7"/>
    <w:uiPriority w:val="99"/>
    <w:rsid w:val="00B45A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B0CC42-156D-40B1-B1BF-D83E997815E3}"/>
</file>

<file path=customXml/itemProps2.xml><?xml version="1.0" encoding="utf-8"?>
<ds:datastoreItem xmlns:ds="http://schemas.openxmlformats.org/officeDocument/2006/customXml" ds:itemID="{8FBD2F05-746D-4107-91D0-D3F878A88422}"/>
</file>

<file path=customXml/itemProps3.xml><?xml version="1.0" encoding="utf-8"?>
<ds:datastoreItem xmlns:ds="http://schemas.openxmlformats.org/officeDocument/2006/customXml" ds:itemID="{7F3065E1-F31A-4126-B472-D1088F95CBC0}"/>
</file>

<file path=docProps/app.xml><?xml version="1.0" encoding="utf-8"?>
<Properties xmlns="http://schemas.openxmlformats.org/officeDocument/2006/extended-properties" xmlns:vt="http://schemas.openxmlformats.org/officeDocument/2006/docPropsVTypes">
  <Template>Normal</Template>
  <TotalTime>8</TotalTime>
  <Pages>12</Pages>
  <Words>4631</Words>
  <Characters>26398</Characters>
  <Application>Microsoft Office Word</Application>
  <DocSecurity>0</DocSecurity>
  <Lines>219</Lines>
  <Paragraphs>61</Paragraphs>
  <ScaleCrop>false</ScaleCrop>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2021-06-22T01:52:00Z</dcterms:created>
  <dcterms:modified xsi:type="dcterms:W3CDTF">2021-07-08T09:05:00Z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2011-09-20T00:00:00Z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