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A91" w:rsidRDefault="007D4F8F" w:rsidP="007D4F8F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r w:rsidRPr="007D4F8F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A 13-Week Repeated Oral Dose Toxicity Study of </w:t>
      </w:r>
      <w:bookmarkStart w:id="0" w:name="_GoBack"/>
      <w:r w:rsidR="006C47B1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Project R</w:t>
      </w:r>
      <w:bookmarkEnd w:id="0"/>
      <w:r w:rsidRPr="007D4F8F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 in Cynomolgus Monkeys Followed by an 8-Week</w:t>
      </w:r>
      <w: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 xml:space="preserve"> </w:t>
      </w:r>
      <w:r w:rsidRPr="007D4F8F"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  <w:t>Reversibility Study</w:t>
      </w:r>
    </w:p>
    <w:p w:rsidR="007D4F8F" w:rsidRDefault="007D4F8F" w:rsidP="007D4F8F">
      <w:pPr>
        <w:autoSpaceDE w:val="0"/>
        <w:autoSpaceDN w:val="0"/>
        <w:adjustRightInd w:val="0"/>
        <w:jc w:val="left"/>
        <w:rPr>
          <w:rFonts w:ascii="TimesNewRoman,Bold" w:eastAsia="TimesNewRoman,Bold" w:cs="TimesNewRoman,Bold"/>
          <w:b/>
          <w:bCs/>
          <w:kern w:val="0"/>
          <w:sz w:val="32"/>
          <w:szCs w:val="32"/>
        </w:rPr>
      </w:pPr>
    </w:p>
    <w:p w:rsidR="00226CB7" w:rsidRDefault="00226CB7" w:rsidP="00226CB7">
      <w:pPr>
        <w:autoSpaceDE w:val="0"/>
        <w:autoSpaceDN w:val="0"/>
        <w:adjustRightInd w:val="0"/>
        <w:jc w:val="left"/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>12 SUMMARY AND CONCLUSION</w:t>
      </w:r>
    </w:p>
    <w:p w:rsidR="00502B8B" w:rsidRDefault="006C47B1" w:rsidP="007D4F8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Project R</w:t>
      </w:r>
      <w:r w:rsidR="007D4F8F">
        <w:rPr>
          <w:rFonts w:ascii="TimesNewRomanPSMT" w:hAnsi="TimesNewRomanPSMT" w:cs="TimesNewRomanPSMT"/>
          <w:kern w:val="0"/>
          <w:szCs w:val="24"/>
        </w:rPr>
        <w:t xml:space="preserve"> was administered orally once daily for 13 weeks at dose levels of 0, 1,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 w:rsidR="007D4F8F">
        <w:rPr>
          <w:rFonts w:ascii="TimesNewRomanPSMT" w:hAnsi="TimesNewRomanPSMT" w:cs="TimesNewRomanPSMT"/>
          <w:kern w:val="0"/>
          <w:szCs w:val="24"/>
        </w:rPr>
        <w:t>3, 10, and 100 mg/kg as ASP9603 to 4 male and 4 female cynomolgus monkeys per group in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 w:rsidR="007D4F8F">
        <w:rPr>
          <w:rFonts w:ascii="TimesNewRomanPSMT" w:hAnsi="TimesNewRomanPSMT" w:cs="TimesNewRomanPSMT"/>
          <w:kern w:val="0"/>
          <w:szCs w:val="24"/>
        </w:rPr>
        <w:t>order to investigate its toxicity. Three males and three females were added to the 100 mg/kg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 w:rsidR="007D4F8F">
        <w:rPr>
          <w:rFonts w:ascii="TimesNewRomanPSMT" w:hAnsi="TimesNewRomanPSMT" w:cs="TimesNewRomanPSMT"/>
          <w:kern w:val="0"/>
          <w:szCs w:val="24"/>
        </w:rPr>
        <w:t>group in order to assess the reversibility of toxicity during a subsequent 8-week recovery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 w:rsidR="007D4F8F">
        <w:rPr>
          <w:rFonts w:ascii="TimesNewRomanPSMT" w:hAnsi="TimesNewRomanPSMT" w:cs="TimesNewRomanPSMT"/>
          <w:kern w:val="0"/>
          <w:szCs w:val="24"/>
        </w:rPr>
        <w:t>period. Systemic exposure to ASP9603 was also evaluated. Animals in the control group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 w:rsidR="007D4F8F">
        <w:rPr>
          <w:rFonts w:ascii="TimesNewRomanPSMT" w:hAnsi="TimesNewRomanPSMT" w:cs="TimesNewRomanPSMT"/>
          <w:kern w:val="0"/>
          <w:szCs w:val="24"/>
        </w:rPr>
        <w:t>received 0.5 w/v% methylcellulose solution in the same manner as the test article groups.</w:t>
      </w:r>
    </w:p>
    <w:p w:rsidR="007D4F8F" w:rsidRDefault="007D4F8F" w:rsidP="007D4F8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The following examinations were performed in this study: clinical signs, body weight, food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consumption, ophthalmology, electrocardiography, urinalysis, hematology, blood chemistry,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bone marrow examination, gross pathology, organ weights, histopathology, testosterone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analysis, and toxicokinetics.</w:t>
      </w:r>
    </w:p>
    <w:p w:rsidR="007D4F8F" w:rsidRDefault="007D4F8F" w:rsidP="007D4F8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In the 1 mg/kg group, no toxic changes were noted.</w:t>
      </w:r>
    </w:p>
    <w:p w:rsidR="007D4F8F" w:rsidRDefault="007D4F8F" w:rsidP="007D4F8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In the 3 mg/kg group, dilation of the bile canaliculus in the liver was observed in all males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and some females.</w:t>
      </w:r>
    </w:p>
    <w:p w:rsidR="007D4F8F" w:rsidRDefault="007D4F8F" w:rsidP="007D4F8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In the 10 mg/kg group, increased neutrophil count was noted in 1 female at Week 13 of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dosing. Increased total, direct, and indirect bilirubin levels were noted in males and females,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and increased alkaline phosphatase activity was noted in 1 female at Weeks 7 and 13.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Increased liver weight was noted in males. Dilation of the bile canaliculus in the liver was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observed in all males and females. Hypertrophy and decrease in lipid in the zona fasciculata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cells in the adrenal were observed in 1 male and 1 female.</w:t>
      </w:r>
    </w:p>
    <w:p w:rsidR="007D4F8F" w:rsidRDefault="007D4F8F" w:rsidP="007D4F8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In the 100 mg/kg group, abnormal urine color, yellowish-brown and bilirubin positive, was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observed in 1 male between Day 41 and Day 46 of dosing. Decreased body weight was noted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in 4 males and 3 females. Decreased food consumption was noted sporadically in 1 male and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2 females. Increased neutrophil count was noted in females at Weeks 7 and/or 13, and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increased platelet count was noted in males and in females at Week 7 or 13. Increased total,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direct, and indirect bilirubin levels, and increased alkaline phosphatase activity were noted in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males and females at Weeks 7 and 13. Decreased total cholesterol in females at Week 7 and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13, and increased triglycerides in 1 male at Week 7 and in 2 females at Week 13 were noted.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Increased liver and adrenal weights were noted in males and females. Dilation of the bile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canaliculus in all males and females, pigmentation suspected to be due to bile in the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canaliculus in some females, and hypertrophy of the centrilobular/midzonal hepatocytes in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some males and females were observed in the liver. Hypertrophy and decrease in lipid in the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zona fasciculata cells were observed in the adrenal in all males and females.</w:t>
      </w:r>
    </w:p>
    <w:p w:rsidR="007D4F8F" w:rsidRDefault="007D4F8F" w:rsidP="007D4F8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In 1 female, swelling at the head in clinical signs, and hydrothorax, ascites, pericardial fluid,</w:t>
      </w:r>
      <w:r w:rsidR="00502B8B">
        <w:rPr>
          <w:rFonts w:ascii="TimesNewRomanPSMT" w:hAnsi="TimesNewRomanPSMT" w:cs="TimesNewRomanPSMT" w:hint="eastAsia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 xml:space="preserve">and subcutaneous edema at the neck and head in gross pathology, and edema in the subcutaneous tissue </w:t>
      </w:r>
      <w:r>
        <w:rPr>
          <w:rFonts w:ascii="TimesNewRomanPSMT" w:hAnsi="TimesNewRomanPSMT" w:cs="TimesNewRomanPSMT"/>
          <w:kern w:val="0"/>
          <w:szCs w:val="24"/>
        </w:rPr>
        <w:lastRenderedPageBreak/>
        <w:t>in histopathology were observed. Decreased total protein and albumin at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Weeks 7 and 13. The following changes were considered to be secondary: decreased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lymphocyte count and chloride, and increased aspartate aminotransferase, blood urea nitrogen,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inorganic phosphorus, and potassium at Weeks 7 and/or 13, and decreased bone marrow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nucleated cell count, atrophy of the myocardium and muscle fiber (femoral muscle and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tongue), atrophy of the subepicardial adipocytes, atrophy of the white pulp in the spleen,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atrophy of the lymph follicles in the lymph nodes (submandibular and mesenteric), and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hypocellularity in the sternal bone marrow noted in 1 female, and atrophy of the thymus noted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in males and females.</w:t>
      </w:r>
    </w:p>
    <w:p w:rsidR="007D4F8F" w:rsidRDefault="007D4F8F" w:rsidP="007D4F8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The following changes were considered to be due to the pharmacological effect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(anti-androgen receptor) of the test article and not to be toxicologically significant: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Increased testosterone level and decreased absolute and relative seminal vesicle weights in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males and decreased absolute and relative uterus weights in females at 1 mg/kg and greater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Decreased absolute and relative prostate weights and atrophy/hypoplasia of the gland in the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seminal vesicle at 3 mg/kg and greater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Atrophy/hypoplasia of the gland in the prostate at 10 mg/kg and greater</w:t>
      </w:r>
      <w:r w:rsidR="00502B8B">
        <w:rPr>
          <w:rFonts w:ascii="TimesNewRomanPSMT" w:hAnsi="TimesNewRomanPSMT" w:cs="TimesNewRomanPSMT"/>
          <w:kern w:val="0"/>
          <w:szCs w:val="24"/>
        </w:rPr>
        <w:t>.</w:t>
      </w:r>
    </w:p>
    <w:p w:rsidR="007D4F8F" w:rsidRDefault="007D4F8F" w:rsidP="007D4F8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In toxicokinetics,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C</w:t>
      </w:r>
      <w:r>
        <w:rPr>
          <w:rFonts w:ascii="TimesNewRomanPSMT" w:hAnsi="TimesNewRomanPSMT" w:cs="TimesNewRomanPSMT"/>
          <w:kern w:val="0"/>
          <w:sz w:val="16"/>
          <w:szCs w:val="16"/>
        </w:rPr>
        <w:t>max</w:t>
      </w:r>
      <w:proofErr w:type="spellEnd"/>
      <w:r>
        <w:rPr>
          <w:rFonts w:ascii="TimesNewRomanPSMT" w:hAnsi="TimesNewRomanPSMT" w:cs="TimesNewRomanPSMT"/>
          <w:kern w:val="0"/>
          <w:sz w:val="16"/>
          <w:szCs w:val="16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and AUC</w:t>
      </w:r>
      <w:r>
        <w:rPr>
          <w:rFonts w:ascii="TimesNewRomanPSMT" w:hAnsi="TimesNewRomanPSMT" w:cs="TimesNewRomanPSMT"/>
          <w:kern w:val="0"/>
          <w:sz w:val="16"/>
          <w:szCs w:val="16"/>
        </w:rPr>
        <w:t xml:space="preserve">24 </w:t>
      </w:r>
      <w:r>
        <w:rPr>
          <w:rFonts w:ascii="TimesNewRomanPSMT" w:hAnsi="TimesNewRomanPSMT" w:cs="TimesNewRomanPSMT"/>
          <w:kern w:val="0"/>
          <w:szCs w:val="24"/>
        </w:rPr>
        <w:t>increased almost dose-proportionally up to 10 mg/kg, but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 xml:space="preserve">less than dose proportionally at 100 mg/kg.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C</w:t>
      </w:r>
      <w:r>
        <w:rPr>
          <w:rFonts w:ascii="TimesNewRomanPSMT" w:hAnsi="TimesNewRomanPSMT" w:cs="TimesNewRomanPSMT"/>
          <w:kern w:val="0"/>
          <w:sz w:val="16"/>
          <w:szCs w:val="16"/>
        </w:rPr>
        <w:t>max</w:t>
      </w:r>
      <w:proofErr w:type="spellEnd"/>
      <w:r>
        <w:rPr>
          <w:rFonts w:ascii="TimesNewRomanPSMT" w:hAnsi="TimesNewRomanPSMT" w:cs="TimesNewRomanPSMT"/>
          <w:kern w:val="0"/>
          <w:sz w:val="16"/>
          <w:szCs w:val="16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and AUC</w:t>
      </w:r>
      <w:r>
        <w:rPr>
          <w:rFonts w:ascii="TimesNewRomanPSMT" w:hAnsi="TimesNewRomanPSMT" w:cs="TimesNewRomanPSMT"/>
          <w:kern w:val="0"/>
          <w:sz w:val="16"/>
          <w:szCs w:val="16"/>
        </w:rPr>
        <w:t xml:space="preserve">24 </w:t>
      </w:r>
      <w:r>
        <w:rPr>
          <w:rFonts w:ascii="TimesNewRomanPSMT" w:hAnsi="TimesNewRomanPSMT" w:cs="TimesNewRomanPSMT"/>
          <w:kern w:val="0"/>
          <w:szCs w:val="24"/>
        </w:rPr>
        <w:t>were increased 2 to 5-fold on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Day 49, and then remained constant on Day 91. There was no clear sex difference in any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parameter during the dosing period.</w:t>
      </w:r>
    </w:p>
    <w:p w:rsidR="007D4F8F" w:rsidRDefault="007D4F8F" w:rsidP="007D4F8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The changes noted during or at the end of 13-week treatment at 100 mg/kg had recovered by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the end of the recovery period.</w:t>
      </w:r>
    </w:p>
    <w:p w:rsidR="00507A91" w:rsidRPr="006C2900" w:rsidRDefault="007D4F8F" w:rsidP="007D4F8F">
      <w:pPr>
        <w:autoSpaceDE w:val="0"/>
        <w:autoSpaceDN w:val="0"/>
        <w:adjustRightInd w:val="0"/>
        <w:jc w:val="left"/>
        <w:rPr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In conclusion, under the conditions of this study, the no-observed-adverse-effect level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(NOAEL) was 1 mg/kg/day as ASP9603 for males and females. Reversibility of toxicity</w:t>
      </w:r>
      <w:r w:rsidR="00502B8B">
        <w:rPr>
          <w:rFonts w:ascii="TimesNewRomanPSMT" w:hAnsi="TimesNewRomanPSMT" w:cs="TimesNewRomanPSMT"/>
          <w:kern w:val="0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Cs w:val="24"/>
        </w:rPr>
        <w:t>during the 8-week recovery period was noted.</w:t>
      </w:r>
    </w:p>
    <w:sectPr w:rsidR="00507A91" w:rsidRPr="006C2900" w:rsidSect="00E62016">
      <w:pgSz w:w="11906" w:h="16838" w:code="9"/>
      <w:pgMar w:top="1418" w:right="851" w:bottom="1418" w:left="851" w:header="851" w:footer="851" w:gutter="567"/>
      <w:cols w:space="425"/>
      <w:docGrid w:type="linesAndChars" w:linePitch="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B3C" w:rsidRDefault="00463B3C" w:rsidP="007D4F8F">
      <w:r>
        <w:separator/>
      </w:r>
    </w:p>
  </w:endnote>
  <w:endnote w:type="continuationSeparator" w:id="0">
    <w:p w:rsidR="00463B3C" w:rsidRDefault="00463B3C" w:rsidP="007D4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B3C" w:rsidRDefault="00463B3C" w:rsidP="007D4F8F">
      <w:r>
        <w:separator/>
      </w:r>
    </w:p>
  </w:footnote>
  <w:footnote w:type="continuationSeparator" w:id="0">
    <w:p w:rsidR="00463B3C" w:rsidRDefault="00463B3C" w:rsidP="007D4F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VerticalSpacing w:val="17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B0"/>
    <w:rsid w:val="002206D5"/>
    <w:rsid w:val="00226CB7"/>
    <w:rsid w:val="00280895"/>
    <w:rsid w:val="002C7EB3"/>
    <w:rsid w:val="00305291"/>
    <w:rsid w:val="00361285"/>
    <w:rsid w:val="003A0A7C"/>
    <w:rsid w:val="003F667A"/>
    <w:rsid w:val="00463B3C"/>
    <w:rsid w:val="00502B8B"/>
    <w:rsid w:val="00507A91"/>
    <w:rsid w:val="0053166F"/>
    <w:rsid w:val="005835E5"/>
    <w:rsid w:val="0067266C"/>
    <w:rsid w:val="006C2900"/>
    <w:rsid w:val="006C47B1"/>
    <w:rsid w:val="00714904"/>
    <w:rsid w:val="007D4F8F"/>
    <w:rsid w:val="008E19B0"/>
    <w:rsid w:val="00953BD7"/>
    <w:rsid w:val="00B45C6D"/>
    <w:rsid w:val="00D0213C"/>
    <w:rsid w:val="00D87BA5"/>
    <w:rsid w:val="00E62016"/>
    <w:rsid w:val="00E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49CB38-DDA4-4213-888E-F97547B1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BA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F8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D4F8F"/>
    <w:rPr>
      <w:sz w:val="24"/>
    </w:rPr>
  </w:style>
  <w:style w:type="paragraph" w:styleId="a5">
    <w:name w:val="footer"/>
    <w:basedOn w:val="a"/>
    <w:link w:val="a6"/>
    <w:uiPriority w:val="99"/>
    <w:unhideWhenUsed/>
    <w:rsid w:val="007D4F8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4F8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E427B0-D489-474C-89E5-A4FA06FF7A9B}"/>
</file>

<file path=customXml/itemProps2.xml><?xml version="1.0" encoding="utf-8"?>
<ds:datastoreItem xmlns:ds="http://schemas.openxmlformats.org/officeDocument/2006/customXml" ds:itemID="{84607B00-1B72-4EA5-B91A-97AE706C9250}"/>
</file>

<file path=customXml/itemProps3.xml><?xml version="1.0" encoding="utf-8"?>
<ds:datastoreItem xmlns:ds="http://schemas.openxmlformats.org/officeDocument/2006/customXml" ds:itemID="{C93E1618-156F-4A1A-92D0-C8666AB9E1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Watanabe, Yudai(渡辺 雄大)</dc:creator>
  <cp:keywords/>
  <dc:description/>
  <cp:lastModifiedBy>Watanabe, Yudai(渡辺 雄大)</cp:lastModifiedBy>
  <cp:revision>7</cp:revision>
  <dcterms:created xsi:type="dcterms:W3CDTF">2021-06-23T13:31:00Z</dcterms:created>
  <dcterms:modified xsi:type="dcterms:W3CDTF">2021-06-30T15:34:00Z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0x0101007EA8C9399C6F4249AB6A1823D3F13C35</vt:lpwstr>
  </property>
</Properties>
</file>