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13C" w:rsidRDefault="00B45C6D" w:rsidP="00B45C6D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bookmarkStart w:id="0" w:name="_GoBack"/>
      <w:bookmarkEnd w:id="0"/>
      <w:r w:rsidRPr="00B45C6D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A 4-week repeated oral dose toxicity study of </w:t>
      </w:r>
      <w:r w:rsidR="009A5185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Project S</w:t>
      </w:r>
      <w:r w:rsidRPr="00B45C6D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 in beagle dogs followed by</w:t>
      </w:r>
      <w:r>
        <w:rPr>
          <w:rFonts w:ascii="TimesNewRomanPS-BoldMT" w:hAnsi="TimesNewRomanPS-BoldMT" w:cs="TimesNewRomanPS-BoldMT" w:hint="eastAsia"/>
          <w:b/>
          <w:bCs/>
          <w:kern w:val="0"/>
          <w:sz w:val="32"/>
          <w:szCs w:val="32"/>
        </w:rPr>
        <w:t xml:space="preserve"> </w:t>
      </w:r>
      <w:r w:rsidRPr="00B45C6D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a 4-week reversibility study</w:t>
      </w:r>
    </w:p>
    <w:p w:rsidR="00B45C6D" w:rsidRDefault="00B45C6D" w:rsidP="00B45C6D">
      <w:pPr>
        <w:autoSpaceDE w:val="0"/>
        <w:autoSpaceDN w:val="0"/>
        <w:adjustRightInd w:val="0"/>
        <w:jc w:val="left"/>
        <w:rPr>
          <w:rFonts w:ascii="TimesNewRoman,Bold" w:eastAsia="TimesNewRoman,Bold" w:cs="TimesNewRoman,Bold"/>
          <w:b/>
          <w:bCs/>
          <w:kern w:val="0"/>
          <w:sz w:val="32"/>
          <w:szCs w:val="32"/>
        </w:rPr>
      </w:pPr>
    </w:p>
    <w:p w:rsidR="00B45C6D" w:rsidRDefault="00B45C6D" w:rsidP="00B45C6D">
      <w:pPr>
        <w:autoSpaceDE w:val="0"/>
        <w:autoSpaceDN w:val="0"/>
        <w:adjustRightInd w:val="0"/>
        <w:jc w:val="left"/>
        <w:rPr>
          <w:b/>
          <w:bCs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t xml:space="preserve">11 </w:t>
      </w:r>
      <w:proofErr w:type="gramStart"/>
      <w:r>
        <w:rPr>
          <w:b/>
          <w:bCs/>
          <w:kern w:val="0"/>
          <w:sz w:val="28"/>
          <w:szCs w:val="28"/>
        </w:rPr>
        <w:t>SUMMARY</w:t>
      </w:r>
      <w:proofErr w:type="gramEnd"/>
    </w:p>
    <w:p w:rsidR="00B45C6D" w:rsidRDefault="009A5185" w:rsidP="00B45C6D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4"/>
        </w:rPr>
      </w:pPr>
      <w:r>
        <w:rPr>
          <w:rFonts w:ascii="TimesNewRoman" w:hAnsi="TimesNewRoman" w:cs="TimesNewRoman"/>
          <w:kern w:val="0"/>
          <w:szCs w:val="24"/>
        </w:rPr>
        <w:t>Project S</w:t>
      </w:r>
      <w:r w:rsidR="00B45C6D">
        <w:rPr>
          <w:rFonts w:ascii="TimesNewRoman" w:hAnsi="TimesNewRoman" w:cs="TimesNewRoman"/>
          <w:kern w:val="0"/>
          <w:szCs w:val="24"/>
        </w:rPr>
        <w:t xml:space="preserve"> was administered orally to groups of male and female beagle dogs once daily for 4 weeks at dose levels of 0 (control), 1, 3, 10 and 30 mg/kg/day as </w:t>
      </w:r>
      <w:r>
        <w:rPr>
          <w:rFonts w:ascii="TimesNewRoman" w:hAnsi="TimesNewRoman" w:cs="TimesNewRoman"/>
          <w:kern w:val="0"/>
          <w:szCs w:val="24"/>
        </w:rPr>
        <w:t>PROJECT S</w:t>
      </w:r>
      <w:r w:rsidR="00B45C6D">
        <w:rPr>
          <w:rFonts w:ascii="TimesNewRoman" w:hAnsi="TimesNewRoman" w:cs="TimesNewRoman"/>
          <w:kern w:val="0"/>
          <w:szCs w:val="24"/>
        </w:rPr>
        <w:t xml:space="preserve"> to examine its toxicological effects, and plasma concentrations of </w:t>
      </w:r>
      <w:r>
        <w:rPr>
          <w:rFonts w:ascii="TimesNewRoman" w:hAnsi="TimesNewRoman" w:cs="TimesNewRoman"/>
          <w:kern w:val="0"/>
          <w:szCs w:val="24"/>
        </w:rPr>
        <w:t>PROJECT S</w:t>
      </w:r>
      <w:r w:rsidR="00B45C6D">
        <w:rPr>
          <w:rFonts w:ascii="TimesNewRoman" w:hAnsi="TimesNewRoman" w:cs="TimesNewRoman"/>
          <w:kern w:val="0"/>
          <w:szCs w:val="24"/>
        </w:rPr>
        <w:t xml:space="preserve"> were determined to evaluate systemic exposure of the animals. Each dosing group consisted of 3 males and 3 females. For the 30 mg/kg group, 3 males and 3 females were assigned to the recovery group to examine the reversibility of the changes induced by </w:t>
      </w:r>
      <w:r>
        <w:rPr>
          <w:rFonts w:ascii="TimesNewRoman" w:hAnsi="TimesNewRoman" w:cs="TimesNewRoman"/>
          <w:kern w:val="0"/>
          <w:szCs w:val="24"/>
        </w:rPr>
        <w:t>Project S</w:t>
      </w:r>
      <w:r w:rsidR="00B45C6D">
        <w:rPr>
          <w:rFonts w:ascii="TimesNewRoman" w:hAnsi="TimesNewRoman" w:cs="TimesNewRoman"/>
          <w:kern w:val="0"/>
          <w:szCs w:val="24"/>
        </w:rPr>
        <w:t>.</w:t>
      </w:r>
    </w:p>
    <w:p w:rsidR="00B45C6D" w:rsidRDefault="00B45C6D" w:rsidP="00B45C6D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4"/>
        </w:rPr>
      </w:pPr>
      <w:r>
        <w:rPr>
          <w:rFonts w:ascii="TimesNewRoman" w:hAnsi="TimesNewRoman" w:cs="TimesNewRoman"/>
          <w:kern w:val="0"/>
          <w:szCs w:val="24"/>
        </w:rPr>
        <w:t>The results are summarized as follows:</w:t>
      </w:r>
    </w:p>
    <w:p w:rsidR="00B45C6D" w:rsidRDefault="00B45C6D" w:rsidP="00B45C6D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4"/>
        </w:rPr>
      </w:pPr>
      <w:r>
        <w:rPr>
          <w:rFonts w:ascii="TimesNewRoman" w:hAnsi="TimesNewRoman" w:cs="TimesNewRoman"/>
          <w:kern w:val="0"/>
          <w:szCs w:val="24"/>
        </w:rPr>
        <w:t>No treatment-related changes were observed at 1, 3, or 10 mg/kg.</w:t>
      </w:r>
    </w:p>
    <w:p w:rsidR="00B45C6D" w:rsidRDefault="00B45C6D" w:rsidP="00B45C6D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4"/>
        </w:rPr>
      </w:pPr>
      <w:r>
        <w:rPr>
          <w:rFonts w:ascii="TimesNewRoman" w:hAnsi="TimesNewRoman" w:cs="TimesNewRoman"/>
          <w:kern w:val="0"/>
          <w:szCs w:val="24"/>
        </w:rPr>
        <w:t>At 30 mg/kg, staggering gait in 2 males and 2 females (1 or 4 days/4 weeks), decrease in locomotor activity in 1 male and 2 females (1 or 3 days/4 weeks), ananastasia in 1 male and 1 female (1 day/4 week), tonic convulsion in 1 female (2 days/4 weeks), vomiting in all males and 5 females (5 to 23 days/4 weeks) and salivation in 4 males and 3 females (1 to 25 days/4 weeks) were noted within 1 hour after dosing on each day. In the electrocardiogram, prolongations of QT interval and QTc and an extension of QRS were noted in one female at pre-dosing and/or 1hour after dosing in Week 4.</w:t>
      </w:r>
    </w:p>
    <w:p w:rsidR="00B45C6D" w:rsidRDefault="00B45C6D" w:rsidP="00B45C6D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4"/>
        </w:rPr>
      </w:pPr>
      <w:r>
        <w:rPr>
          <w:rFonts w:ascii="TimesNewRoman" w:hAnsi="TimesNewRoman" w:cs="TimesNewRoman"/>
          <w:kern w:val="0"/>
          <w:szCs w:val="24"/>
        </w:rPr>
        <w:t>The findings observed in the dosing period disappeared during the recovery period.</w:t>
      </w:r>
    </w:p>
    <w:p w:rsidR="00B45C6D" w:rsidRDefault="00B45C6D" w:rsidP="00B45C6D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4"/>
        </w:rPr>
      </w:pPr>
      <w:r>
        <w:rPr>
          <w:rFonts w:ascii="TimesNewRoman" w:hAnsi="TimesNewRoman" w:cs="TimesNewRoman"/>
          <w:kern w:val="0"/>
          <w:szCs w:val="24"/>
        </w:rPr>
        <w:t xml:space="preserve">In the toxicokinetics, </w:t>
      </w:r>
      <w:proofErr w:type="spellStart"/>
      <w:r>
        <w:rPr>
          <w:rFonts w:ascii="TimesNewRoman" w:hAnsi="TimesNewRoman" w:cs="TimesNewRoman"/>
          <w:kern w:val="0"/>
          <w:szCs w:val="24"/>
        </w:rPr>
        <w:t>C</w:t>
      </w:r>
      <w:r>
        <w:rPr>
          <w:rFonts w:ascii="TimesNewRoman" w:hAnsi="TimesNewRoman" w:cs="TimesNewRoman"/>
          <w:kern w:val="0"/>
          <w:sz w:val="16"/>
          <w:szCs w:val="16"/>
        </w:rPr>
        <w:t>max</w:t>
      </w:r>
      <w:proofErr w:type="spellEnd"/>
      <w:r>
        <w:rPr>
          <w:rFonts w:ascii="TimesNewRoman" w:hAnsi="TimesNewRoman" w:cs="TimesNewRoman"/>
          <w:kern w:val="0"/>
          <w:sz w:val="16"/>
          <w:szCs w:val="16"/>
        </w:rPr>
        <w:t xml:space="preserve"> </w:t>
      </w:r>
      <w:r>
        <w:rPr>
          <w:rFonts w:ascii="TimesNewRoman" w:hAnsi="TimesNewRoman" w:cs="TimesNewRoman"/>
          <w:kern w:val="0"/>
          <w:szCs w:val="24"/>
        </w:rPr>
        <w:t>and AUC</w:t>
      </w:r>
      <w:r>
        <w:rPr>
          <w:rFonts w:ascii="TimesNewRoman" w:hAnsi="TimesNewRoman" w:cs="TimesNewRoman"/>
          <w:kern w:val="0"/>
          <w:sz w:val="16"/>
          <w:szCs w:val="16"/>
        </w:rPr>
        <w:t xml:space="preserve">0-24h </w:t>
      </w:r>
      <w:r>
        <w:rPr>
          <w:rFonts w:ascii="TimesNewRoman" w:hAnsi="TimesNewRoman" w:cs="TimesNewRoman"/>
          <w:kern w:val="0"/>
          <w:szCs w:val="24"/>
        </w:rPr>
        <w:t xml:space="preserve">values increased more than dose-proportionally at all sampling points in both sexes, except the 3 mg/kg dosing group. In the 3 mg/kg dosing group, those values increased almost dose-proportionally. </w:t>
      </w:r>
      <w:proofErr w:type="spellStart"/>
      <w:r>
        <w:rPr>
          <w:rFonts w:ascii="TimesNewRoman" w:hAnsi="TimesNewRoman" w:cs="TimesNewRoman"/>
          <w:kern w:val="0"/>
          <w:szCs w:val="24"/>
        </w:rPr>
        <w:t>T</w:t>
      </w:r>
      <w:r>
        <w:rPr>
          <w:rFonts w:ascii="TimesNewRoman" w:hAnsi="TimesNewRoman" w:cs="TimesNewRoman"/>
          <w:kern w:val="0"/>
          <w:sz w:val="16"/>
          <w:szCs w:val="16"/>
        </w:rPr>
        <w:t>max</w:t>
      </w:r>
      <w:proofErr w:type="spellEnd"/>
      <w:r>
        <w:rPr>
          <w:rFonts w:ascii="TimesNewRoman" w:hAnsi="TimesNewRoman" w:cs="TimesNewRoman"/>
          <w:kern w:val="0"/>
          <w:sz w:val="16"/>
          <w:szCs w:val="16"/>
        </w:rPr>
        <w:t xml:space="preserve"> </w:t>
      </w:r>
      <w:r>
        <w:rPr>
          <w:rFonts w:ascii="TimesNewRoman" w:hAnsi="TimesNewRoman" w:cs="TimesNewRoman"/>
          <w:kern w:val="0"/>
          <w:szCs w:val="24"/>
        </w:rPr>
        <w:t>values showed a tendency to be constant. There was no appreciable sex difference. TK parameters were almost constant regardless of the frequency of administration. Systemic exposure, with AUC</w:t>
      </w:r>
      <w:r>
        <w:rPr>
          <w:rFonts w:ascii="TimesNewRoman" w:hAnsi="TimesNewRoman" w:cs="TimesNewRoman"/>
          <w:kern w:val="0"/>
          <w:sz w:val="16"/>
          <w:szCs w:val="16"/>
        </w:rPr>
        <w:t xml:space="preserve">0-24h </w:t>
      </w:r>
      <w:r>
        <w:rPr>
          <w:rFonts w:ascii="TimesNewRoman" w:hAnsi="TimesNewRoman" w:cs="TimesNewRoman"/>
          <w:kern w:val="0"/>
          <w:szCs w:val="24"/>
        </w:rPr>
        <w:t>values as an index, increased more than dose-proportionally over the dose range of 1 to 30 mg/kg.</w:t>
      </w:r>
    </w:p>
    <w:p w:rsidR="00D0213C" w:rsidRPr="006C2900" w:rsidRDefault="00B45C6D" w:rsidP="00B45C6D">
      <w:pPr>
        <w:autoSpaceDE w:val="0"/>
        <w:autoSpaceDN w:val="0"/>
        <w:adjustRightInd w:val="0"/>
        <w:jc w:val="left"/>
        <w:rPr>
          <w:szCs w:val="24"/>
        </w:rPr>
      </w:pPr>
      <w:r>
        <w:rPr>
          <w:rFonts w:ascii="TimesNewRoman" w:hAnsi="TimesNewRoman" w:cs="TimesNewRoman"/>
          <w:kern w:val="0"/>
          <w:szCs w:val="24"/>
        </w:rPr>
        <w:t>From these results, it was concluded that the no observable adverse effect level (NOAEL) under the conditions of this study was 10 mg/kg/day.</w:t>
      </w:r>
    </w:p>
    <w:sectPr w:rsidR="00D0213C" w:rsidRPr="006C2900" w:rsidSect="00E62016">
      <w:pgSz w:w="11906" w:h="16838" w:code="9"/>
      <w:pgMar w:top="1418" w:right="851" w:bottom="1418" w:left="851" w:header="851" w:footer="851" w:gutter="567"/>
      <w:cols w:space="425"/>
      <w:docGrid w:type="linesAndChars" w:linePitch="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VerticalSpacing w:val="175"/>
  <w:displayHorizontalDrawingGridEvery w:val="0"/>
  <w:displayVerticalDrawingGridEvery w:val="2"/>
  <w:characterSpacingControl w:val="compressPunctuation"/>
  <w:strictFirstAndLastChars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B0"/>
    <w:rsid w:val="002206D5"/>
    <w:rsid w:val="00280895"/>
    <w:rsid w:val="002C7EB3"/>
    <w:rsid w:val="00305291"/>
    <w:rsid w:val="00361285"/>
    <w:rsid w:val="003A0A7C"/>
    <w:rsid w:val="003F667A"/>
    <w:rsid w:val="005835E5"/>
    <w:rsid w:val="006C2900"/>
    <w:rsid w:val="00714904"/>
    <w:rsid w:val="0074056C"/>
    <w:rsid w:val="008E19B0"/>
    <w:rsid w:val="00953BD7"/>
    <w:rsid w:val="009A5185"/>
    <w:rsid w:val="00B45C6D"/>
    <w:rsid w:val="00D0213C"/>
    <w:rsid w:val="00D87BA5"/>
    <w:rsid w:val="00E62016"/>
    <w:rsid w:val="00ED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49CB38-DDA4-4213-888E-F97547B1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BA5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57711D-5999-46CB-8647-5C80AAA9AC25}"/>
</file>

<file path=customXml/itemProps2.xml><?xml version="1.0" encoding="utf-8"?>
<ds:datastoreItem xmlns:ds="http://schemas.openxmlformats.org/officeDocument/2006/customXml" ds:itemID="{3A04DF80-4F64-4DB1-8AF6-4BF2CF8CC7B7}"/>
</file>

<file path=customXml/itemProps3.xml><?xml version="1.0" encoding="utf-8"?>
<ds:datastoreItem xmlns:ds="http://schemas.openxmlformats.org/officeDocument/2006/customXml" ds:itemID="{3377583D-D69E-40EB-A83D-11732D6F42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Watanabe, Yudai(渡辺 雄大)</dc:creator>
  <cp:keywords/>
  <dc:description/>
  <cp:lastModifiedBy>Watanabe, Yudai(渡辺 雄大)</cp:lastModifiedBy>
  <cp:revision>6</cp:revision>
  <dcterms:created xsi:type="dcterms:W3CDTF">2021-06-23T13:15:00Z</dcterms:created>
  <dcterms:modified xsi:type="dcterms:W3CDTF">2021-06-30T15:40:00Z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0x0101007EA8C9399C6F4249AB6A1823D3F13C35</vt:lpwstr>
  </property>
</Properties>
</file>