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1E2C" w:rsidRDefault="00263D75">
      <w:pPr>
        <w:pStyle w:val="2"/>
        <w:numPr>
          <w:ilvl w:val="1"/>
          <w:numId w:val="41"/>
        </w:numPr>
        <w:tabs>
          <w:tab w:val="left" w:pos="1364"/>
          <w:tab w:val="left" w:pos="1365"/>
        </w:tabs>
        <w:spacing w:before="125"/>
      </w:pPr>
      <w:bookmarkStart w:id="0" w:name="4.3_Safety_Pharmacology"/>
      <w:bookmarkStart w:id="1" w:name="_bookmark20"/>
      <w:bookmarkEnd w:id="0"/>
      <w:bookmarkEnd w:id="1"/>
      <w:r>
        <w:t>Safety</w:t>
      </w:r>
      <w:r>
        <w:rPr>
          <w:spacing w:val="-2"/>
        </w:rPr>
        <w:t xml:space="preserve"> </w:t>
      </w:r>
      <w:r>
        <w:t>Pharmacology</w:t>
      </w:r>
    </w:p>
    <w:p w:rsidR="001D1E2C" w:rsidRDefault="00F65007">
      <w:pPr>
        <w:pStyle w:val="a3"/>
        <w:spacing w:before="140" w:line="261" w:lineRule="auto"/>
        <w:ind w:left="512" w:right="1683"/>
      </w:pPr>
      <w:r>
        <w:t>PROJECT S</w:t>
      </w:r>
      <w:r w:rsidR="00263D75">
        <w:t xml:space="preserve"> has been assessed in primary and secondary pharmacology studies, as well as safety pharmacology studies using </w:t>
      </w:r>
      <w:r>
        <w:t>Project S</w:t>
      </w:r>
      <w:r w:rsidR="00263D75">
        <w:t>; a tabulated overview of these studies may be found in (EOTT 1.2 and 1.3).</w:t>
      </w:r>
    </w:p>
    <w:p w:rsidR="001D1E2C" w:rsidRDefault="00263D75">
      <w:pPr>
        <w:pStyle w:val="a3"/>
        <w:spacing w:before="118" w:line="261" w:lineRule="auto"/>
        <w:ind w:left="512" w:right="1657"/>
      </w:pPr>
      <w:r>
        <w:t xml:space="preserve">The nonclinical safety program included safety pharmacology studies in human cells, guinea pigs, rats and dogs: the potential to affect </w:t>
      </w:r>
      <w:proofErr w:type="spellStart"/>
      <w:r>
        <w:t>hERG</w:t>
      </w:r>
      <w:proofErr w:type="spellEnd"/>
      <w:r>
        <w:t xml:space="preserve"> current on channel-transfected HEK293 cells; potential effects on action potential duration (APD); and potential effects on the central nervous, cardiovascular and respiratory systems.</w:t>
      </w:r>
    </w:p>
    <w:p w:rsidR="001D1E2C" w:rsidRDefault="00263D75">
      <w:pPr>
        <w:pStyle w:val="a3"/>
        <w:spacing w:before="116"/>
        <w:ind w:left="512"/>
      </w:pPr>
      <w:r>
        <w:t>Results of the nonclinical safety pharmacology studies indicate the following:</w:t>
      </w:r>
    </w:p>
    <w:p w:rsidR="001D1E2C" w:rsidRDefault="00F65007">
      <w:pPr>
        <w:pStyle w:val="a4"/>
        <w:numPr>
          <w:ilvl w:val="0"/>
          <w:numId w:val="40"/>
        </w:numPr>
        <w:tabs>
          <w:tab w:val="left" w:pos="937"/>
          <w:tab w:val="left" w:pos="938"/>
        </w:tabs>
        <w:spacing w:before="144" w:line="261" w:lineRule="auto"/>
        <w:ind w:right="1789"/>
        <w:rPr>
          <w:sz w:val="24"/>
        </w:rPr>
      </w:pPr>
      <w:r>
        <w:rPr>
          <w:sz w:val="24"/>
        </w:rPr>
        <w:t>Project S</w:t>
      </w:r>
      <w:r w:rsidR="00263D75">
        <w:rPr>
          <w:sz w:val="24"/>
        </w:rPr>
        <w:t xml:space="preserve"> did not affect the </w:t>
      </w:r>
      <w:proofErr w:type="spellStart"/>
      <w:r w:rsidR="00263D75">
        <w:rPr>
          <w:sz w:val="24"/>
        </w:rPr>
        <w:t>hERG</w:t>
      </w:r>
      <w:proofErr w:type="spellEnd"/>
      <w:r w:rsidR="00263D75">
        <w:rPr>
          <w:sz w:val="24"/>
        </w:rPr>
        <w:t xml:space="preserve"> current in </w:t>
      </w:r>
      <w:proofErr w:type="spellStart"/>
      <w:r w:rsidR="00263D75">
        <w:rPr>
          <w:sz w:val="24"/>
        </w:rPr>
        <w:t>hERG</w:t>
      </w:r>
      <w:proofErr w:type="spellEnd"/>
      <w:r w:rsidR="00263D75">
        <w:rPr>
          <w:sz w:val="24"/>
        </w:rPr>
        <w:t xml:space="preserve"> transfected HEK293 cells at concentrations up to 1 µmol/L. At 10 µmol/L, </w:t>
      </w:r>
      <w:r>
        <w:rPr>
          <w:sz w:val="24"/>
        </w:rPr>
        <w:t>Project S</w:t>
      </w:r>
      <w:r w:rsidR="00263D75">
        <w:rPr>
          <w:sz w:val="24"/>
        </w:rPr>
        <w:t xml:space="preserve"> suppressed the </w:t>
      </w:r>
      <w:proofErr w:type="spellStart"/>
      <w:r w:rsidR="00263D75">
        <w:rPr>
          <w:sz w:val="24"/>
        </w:rPr>
        <w:t>hERG</w:t>
      </w:r>
      <w:proofErr w:type="spellEnd"/>
      <w:r w:rsidR="00263D75">
        <w:rPr>
          <w:sz w:val="24"/>
        </w:rPr>
        <w:t xml:space="preserve"> current by approximately 44% (Study</w:t>
      </w:r>
      <w:r w:rsidR="00263D75">
        <w:rPr>
          <w:spacing w:val="-17"/>
          <w:sz w:val="24"/>
        </w:rPr>
        <w:t xml:space="preserve"> </w:t>
      </w:r>
      <w:r>
        <w:rPr>
          <w:sz w:val="24"/>
        </w:rPr>
        <w:t>Project S</w:t>
      </w:r>
      <w:r w:rsidR="00263D75">
        <w:rPr>
          <w:sz w:val="24"/>
        </w:rPr>
        <w:t>-PT-0002).</w:t>
      </w:r>
    </w:p>
    <w:p w:rsidR="001D1E2C" w:rsidRDefault="00F65007">
      <w:pPr>
        <w:pStyle w:val="a4"/>
        <w:numPr>
          <w:ilvl w:val="0"/>
          <w:numId w:val="40"/>
        </w:numPr>
        <w:tabs>
          <w:tab w:val="left" w:pos="937"/>
          <w:tab w:val="left" w:pos="938"/>
        </w:tabs>
        <w:spacing w:before="58" w:line="261" w:lineRule="auto"/>
        <w:ind w:right="1672"/>
        <w:rPr>
          <w:sz w:val="24"/>
        </w:rPr>
      </w:pPr>
      <w:r>
        <w:rPr>
          <w:sz w:val="24"/>
        </w:rPr>
        <w:t>Project S</w:t>
      </w:r>
      <w:r w:rsidR="00263D75">
        <w:rPr>
          <w:sz w:val="24"/>
        </w:rPr>
        <w:t xml:space="preserve"> did not affect the action potentials in isolated guinea pig papillary muscles at concentrations up to 1 µmol/L. </w:t>
      </w:r>
      <w:r>
        <w:rPr>
          <w:sz w:val="24"/>
        </w:rPr>
        <w:t>Project S</w:t>
      </w:r>
      <w:r w:rsidR="00263D75">
        <w:rPr>
          <w:sz w:val="24"/>
        </w:rPr>
        <w:t xml:space="preserve"> shortened the action potential duration at 30% repolarization (APD</w:t>
      </w:r>
      <w:r w:rsidR="00263D75">
        <w:rPr>
          <w:sz w:val="24"/>
          <w:vertAlign w:val="subscript"/>
        </w:rPr>
        <w:t>30</w:t>
      </w:r>
      <w:r w:rsidR="00263D75">
        <w:rPr>
          <w:sz w:val="24"/>
        </w:rPr>
        <w:t>) and prolonged the action potential duration between 90% and 30% repolarization (APD</w:t>
      </w:r>
      <w:r w:rsidR="00263D75">
        <w:rPr>
          <w:sz w:val="24"/>
          <w:vertAlign w:val="subscript"/>
        </w:rPr>
        <w:t>30-90</w:t>
      </w:r>
      <w:r w:rsidR="00263D75">
        <w:rPr>
          <w:sz w:val="24"/>
        </w:rPr>
        <w:t xml:space="preserve">) at 10 µmol/L (Study </w:t>
      </w:r>
      <w:r>
        <w:rPr>
          <w:sz w:val="24"/>
        </w:rPr>
        <w:t>Project S</w:t>
      </w:r>
      <w:r w:rsidR="00263D75">
        <w:rPr>
          <w:sz w:val="24"/>
        </w:rPr>
        <w:t>-PT- 0003).</w:t>
      </w:r>
    </w:p>
    <w:p w:rsidR="001D1E2C" w:rsidRDefault="00263D75" w:rsidP="00263D75">
      <w:pPr>
        <w:pStyle w:val="a4"/>
        <w:numPr>
          <w:ilvl w:val="0"/>
          <w:numId w:val="40"/>
        </w:numPr>
        <w:tabs>
          <w:tab w:val="left" w:pos="937"/>
          <w:tab w:val="left" w:pos="938"/>
        </w:tabs>
        <w:spacing w:before="129" w:line="261" w:lineRule="auto"/>
        <w:ind w:right="1609"/>
      </w:pPr>
      <w:r w:rsidRPr="00263D75">
        <w:rPr>
          <w:sz w:val="24"/>
        </w:rPr>
        <w:t xml:space="preserve">In dogs, </w:t>
      </w:r>
      <w:r w:rsidR="00F65007">
        <w:rPr>
          <w:sz w:val="24"/>
        </w:rPr>
        <w:t>Project S</w:t>
      </w:r>
      <w:r w:rsidRPr="00263D75">
        <w:rPr>
          <w:sz w:val="24"/>
        </w:rPr>
        <w:t xml:space="preserve"> had no effect on the central nervous, cardiovascular or respiratory systems at 3 or 10 mg/kg. At 30 mg/kg, decreases in group mean values</w:t>
      </w:r>
      <w:r w:rsidRPr="00263D75">
        <w:rPr>
          <w:spacing w:val="-17"/>
          <w:sz w:val="24"/>
        </w:rPr>
        <w:t xml:space="preserve"> </w:t>
      </w:r>
      <w:r w:rsidRPr="00263D75">
        <w:rPr>
          <w:sz w:val="24"/>
        </w:rPr>
        <w:t>of</w:t>
      </w:r>
      <w:r>
        <w:rPr>
          <w:rFonts w:ascii="ＭＳ 明朝" w:eastAsia="ＭＳ 明朝" w:hAnsi="ＭＳ 明朝" w:cs="ＭＳ 明朝" w:hint="eastAsia"/>
          <w:sz w:val="24"/>
          <w:lang w:eastAsia="ja-JP"/>
        </w:rPr>
        <w:t xml:space="preserve">　</w:t>
      </w:r>
      <w:r>
        <w:t>blood concentrations of K</w:t>
      </w:r>
      <w:r w:rsidRPr="00263D75">
        <w:rPr>
          <w:vertAlign w:val="superscript"/>
        </w:rPr>
        <w:t>+</w:t>
      </w:r>
      <w:r>
        <w:t xml:space="preserve"> and Ca</w:t>
      </w:r>
      <w:r w:rsidRPr="00263D75">
        <w:rPr>
          <w:vertAlign w:val="superscript"/>
        </w:rPr>
        <w:t>2+</w:t>
      </w:r>
      <w:r>
        <w:t xml:space="preserve"> were noted. The animal with the highest plasma drug concentration showed vomiting, inability to stand, analgesia, </w:t>
      </w:r>
      <w:proofErr w:type="spellStart"/>
      <w:r>
        <w:t>clonic</w:t>
      </w:r>
      <w:proofErr w:type="spellEnd"/>
      <w:r>
        <w:t xml:space="preserve"> convulsion, loss of righting reflex, leaning, loose stool, staggering, increases in body temperature, blood pressure, heart rate and respiration rate, prolongation in QTc interval and decreased blood pH and blood gas of PaCO</w:t>
      </w:r>
      <w:r w:rsidRPr="00263D75">
        <w:rPr>
          <w:vertAlign w:val="subscript"/>
        </w:rPr>
        <w:t>2</w:t>
      </w:r>
      <w:r>
        <w:t>. The animal with the second highest plasma drug concentration showed vomiting (Study</w:t>
      </w:r>
      <w:r w:rsidRPr="00263D75">
        <w:rPr>
          <w:spacing w:val="-7"/>
        </w:rPr>
        <w:t xml:space="preserve"> </w:t>
      </w:r>
      <w:r w:rsidR="00F65007">
        <w:t>Project S</w:t>
      </w:r>
      <w:r>
        <w:t>-PT-0004).</w:t>
      </w:r>
    </w:p>
    <w:p w:rsidR="001D1E2C" w:rsidRDefault="00263D75">
      <w:pPr>
        <w:pStyle w:val="a4"/>
        <w:numPr>
          <w:ilvl w:val="0"/>
          <w:numId w:val="40"/>
        </w:numPr>
        <w:tabs>
          <w:tab w:val="left" w:pos="937"/>
          <w:tab w:val="left" w:pos="938"/>
        </w:tabs>
        <w:spacing w:before="55" w:line="261" w:lineRule="auto"/>
        <w:ind w:right="2275"/>
        <w:rPr>
          <w:sz w:val="24"/>
        </w:rPr>
      </w:pPr>
      <w:r>
        <w:rPr>
          <w:sz w:val="24"/>
        </w:rPr>
        <w:t xml:space="preserve">In rats, </w:t>
      </w:r>
      <w:r w:rsidR="00F65007">
        <w:rPr>
          <w:sz w:val="24"/>
        </w:rPr>
        <w:t>Project S</w:t>
      </w:r>
      <w:r>
        <w:rPr>
          <w:sz w:val="24"/>
        </w:rPr>
        <w:t xml:space="preserve"> had no effect on the CNS up to 100 mg/kg. Decreased spontaneous activity, body tone, abdominal tone and salivation were observed at 300 mg/kg (Study</w:t>
      </w:r>
      <w:r>
        <w:rPr>
          <w:spacing w:val="-7"/>
          <w:sz w:val="24"/>
        </w:rPr>
        <w:t xml:space="preserve"> </w:t>
      </w:r>
      <w:r w:rsidR="00F65007">
        <w:rPr>
          <w:sz w:val="24"/>
        </w:rPr>
        <w:t>Project S</w:t>
      </w:r>
      <w:r>
        <w:rPr>
          <w:sz w:val="24"/>
        </w:rPr>
        <w:t>-PT-0001).</w:t>
      </w:r>
    </w:p>
    <w:p w:rsidR="001D1E2C" w:rsidRDefault="00263D75">
      <w:pPr>
        <w:pStyle w:val="3"/>
        <w:numPr>
          <w:ilvl w:val="2"/>
          <w:numId w:val="41"/>
        </w:numPr>
        <w:tabs>
          <w:tab w:val="left" w:pos="1364"/>
          <w:tab w:val="left" w:pos="1365"/>
        </w:tabs>
        <w:spacing w:before="123"/>
      </w:pPr>
      <w:bookmarkStart w:id="2" w:name="4.3.1_Anticonvulsive_Effect_in_Animal_Mo"/>
      <w:bookmarkStart w:id="3" w:name="_bookmark21"/>
      <w:bookmarkEnd w:id="2"/>
      <w:bookmarkEnd w:id="3"/>
      <w:r>
        <w:t>Anticonvulsive Effect in Animal Model of</w:t>
      </w:r>
      <w:r>
        <w:rPr>
          <w:spacing w:val="-6"/>
        </w:rPr>
        <w:t xml:space="preserve"> </w:t>
      </w:r>
      <w:r>
        <w:t>Seizure</w:t>
      </w:r>
    </w:p>
    <w:p w:rsidR="001D1E2C" w:rsidRDefault="00263D75">
      <w:pPr>
        <w:pStyle w:val="a3"/>
        <w:spacing w:before="139" w:line="261" w:lineRule="auto"/>
        <w:ind w:left="512" w:right="1667"/>
        <w:jc w:val="both"/>
      </w:pPr>
      <w:r>
        <w:t xml:space="preserve">The effect of </w:t>
      </w:r>
      <w:r w:rsidR="00F65007">
        <w:t xml:space="preserve">PROJECT </w:t>
      </w:r>
      <w:proofErr w:type="spellStart"/>
      <w:r w:rsidR="00F65007">
        <w:t>S</w:t>
      </w:r>
      <w:r>
        <w:t xml:space="preserve"> on</w:t>
      </w:r>
      <w:proofErr w:type="spellEnd"/>
      <w:r>
        <w:t xml:space="preserve"> PTZ-induced seizure threshold in rats was evaluated to assess pro- and/or anti-convulsant activities. Subcutaneous injection of PTZ at 50 mg/kg induced </w:t>
      </w:r>
      <w:proofErr w:type="spellStart"/>
      <w:r>
        <w:t>clonic</w:t>
      </w:r>
      <w:proofErr w:type="spellEnd"/>
      <w:r>
        <w:t xml:space="preserve"> convulsions in 90% of the treated rats. Pretreatment with </w:t>
      </w:r>
      <w:r w:rsidR="00F65007">
        <w:t>PROJECT S</w:t>
      </w:r>
      <w:r>
        <w:t xml:space="preserve"> (0.3 to 30 mg/kg, po)</w:t>
      </w:r>
    </w:p>
    <w:p w:rsidR="001D1E2C" w:rsidRDefault="00263D75">
      <w:pPr>
        <w:pStyle w:val="a3"/>
        <w:spacing w:line="261" w:lineRule="auto"/>
        <w:ind w:left="512" w:right="1677"/>
        <w:jc w:val="both"/>
      </w:pPr>
      <w:r>
        <w:t>30 minutes before the injection of PTZ reduced the rate of seizure incidence (</w:t>
      </w:r>
      <w:r w:rsidR="00F65007">
        <w:t>Project S</w:t>
      </w:r>
      <w:r>
        <w:t>-PH-1006) [</w:t>
      </w:r>
      <w:hyperlink w:anchor="_bookmark22" w:history="1">
        <w:r>
          <w:t>Table 1</w:t>
        </w:r>
      </w:hyperlink>
      <w:r>
        <w:t xml:space="preserve">]. </w:t>
      </w:r>
      <w:r w:rsidR="00F65007">
        <w:t>PROJECT S</w:t>
      </w:r>
      <w:r>
        <w:t xml:space="preserve"> at doses of 0.3, 3 and 30 mg/kg did not induce proconvulsant activity at </w:t>
      </w:r>
      <w:proofErr w:type="spellStart"/>
      <w:r>
        <w:t>subconvulsant</w:t>
      </w:r>
      <w:proofErr w:type="spellEnd"/>
      <w:r>
        <w:t xml:space="preserve"> doses of PTZ (30 mg/kg).</w:t>
      </w:r>
    </w:p>
    <w:p w:rsidR="001D1E2C" w:rsidRDefault="006C0602">
      <w:pPr>
        <w:pStyle w:val="3"/>
        <w:tabs>
          <w:tab w:val="left" w:pos="1923"/>
        </w:tabs>
        <w:spacing w:before="94" w:line="242" w:lineRule="auto"/>
        <w:ind w:left="1923" w:right="1694" w:hanging="1412"/>
      </w:pPr>
      <w:r>
        <w:pict>
          <v:shapetype id="_x0000_t202" coordsize="21600,21600" o:spt="202" path="m,l,21600r21600,l21600,xe">
            <v:stroke joinstyle="miter"/>
            <v:path gradientshapeok="t" o:connecttype="rect"/>
          </v:shapetype>
          <v:shape id="_x0000_s1085" type="#_x0000_t202" style="position:absolute;left:0;text-align:left;margin-left:77.75pt;margin-top:28.25pt;width:456.75pt;height:140.2pt;z-index:251621888;mso-position-horizontal-relative:page" filled="f" stroked="f">
            <v:textbox inset="0,0,0,0">
              <w:txbxContent>
                <w:tbl>
                  <w:tblPr>
                    <w:tblStyle w:val="TableNormal"/>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80"/>
                    <w:gridCol w:w="2280"/>
                    <w:gridCol w:w="265"/>
                    <w:gridCol w:w="550"/>
                    <w:gridCol w:w="1465"/>
                    <w:gridCol w:w="2280"/>
                  </w:tblGrid>
                  <w:tr w:rsidR="001D1E2C">
                    <w:trPr>
                      <w:trHeight w:val="83"/>
                    </w:trPr>
                    <w:tc>
                      <w:tcPr>
                        <w:tcW w:w="4825" w:type="dxa"/>
                        <w:gridSpan w:val="3"/>
                        <w:tcBorders>
                          <w:top w:val="nil"/>
                          <w:left w:val="nil"/>
                          <w:right w:val="single" w:sz="8" w:space="0" w:color="0000FF"/>
                        </w:tcBorders>
                      </w:tcPr>
                      <w:p w:rsidR="001D1E2C" w:rsidRDefault="001D1E2C">
                        <w:pPr>
                          <w:pStyle w:val="TableParagraph"/>
                          <w:spacing w:line="240" w:lineRule="auto"/>
                          <w:jc w:val="left"/>
                          <w:rPr>
                            <w:sz w:val="2"/>
                          </w:rPr>
                        </w:pPr>
                      </w:p>
                    </w:tc>
                    <w:tc>
                      <w:tcPr>
                        <w:tcW w:w="550" w:type="dxa"/>
                        <w:tcBorders>
                          <w:top w:val="single" w:sz="8" w:space="0" w:color="0000FF"/>
                          <w:left w:val="single" w:sz="8" w:space="0" w:color="0000FF"/>
                          <w:right w:val="single" w:sz="8" w:space="0" w:color="0000FF"/>
                        </w:tcBorders>
                      </w:tcPr>
                      <w:p w:rsidR="001D1E2C" w:rsidRDefault="001D1E2C">
                        <w:pPr>
                          <w:pStyle w:val="TableParagraph"/>
                          <w:spacing w:line="240" w:lineRule="auto"/>
                          <w:jc w:val="left"/>
                          <w:rPr>
                            <w:sz w:val="2"/>
                          </w:rPr>
                        </w:pPr>
                      </w:p>
                    </w:tc>
                    <w:tc>
                      <w:tcPr>
                        <w:tcW w:w="3745" w:type="dxa"/>
                        <w:gridSpan w:val="2"/>
                        <w:tcBorders>
                          <w:top w:val="nil"/>
                          <w:left w:val="single" w:sz="8" w:space="0" w:color="0000FF"/>
                          <w:right w:val="nil"/>
                        </w:tcBorders>
                      </w:tcPr>
                      <w:p w:rsidR="001D1E2C" w:rsidRDefault="001D1E2C">
                        <w:pPr>
                          <w:pStyle w:val="TableParagraph"/>
                          <w:spacing w:line="240" w:lineRule="auto"/>
                          <w:jc w:val="left"/>
                          <w:rPr>
                            <w:sz w:val="2"/>
                          </w:rPr>
                        </w:pPr>
                      </w:p>
                    </w:tc>
                  </w:tr>
                  <w:tr w:rsidR="001D1E2C">
                    <w:trPr>
                      <w:trHeight w:val="346"/>
                    </w:trPr>
                    <w:tc>
                      <w:tcPr>
                        <w:tcW w:w="2280" w:type="dxa"/>
                        <w:vMerge w:val="restart"/>
                      </w:tcPr>
                      <w:p w:rsidR="001D1E2C" w:rsidRDefault="001D1E2C">
                        <w:pPr>
                          <w:pStyle w:val="TableParagraph"/>
                          <w:spacing w:before="7" w:line="240" w:lineRule="auto"/>
                          <w:jc w:val="left"/>
                          <w:rPr>
                            <w:sz w:val="20"/>
                          </w:rPr>
                        </w:pPr>
                      </w:p>
                      <w:p w:rsidR="001D1E2C" w:rsidRDefault="00263D75">
                        <w:pPr>
                          <w:pStyle w:val="TableParagraph"/>
                          <w:spacing w:before="1" w:line="240" w:lineRule="auto"/>
                          <w:ind w:left="650" w:right="510" w:hanging="116"/>
                          <w:jc w:val="left"/>
                          <w:rPr>
                            <w:b/>
                            <w:sz w:val="20"/>
                          </w:rPr>
                        </w:pPr>
                        <w:r>
                          <w:rPr>
                            <w:b/>
                            <w:sz w:val="20"/>
                          </w:rPr>
                          <w:t>ASP9226 dose (mg/kg, po)</w:t>
                        </w:r>
                      </w:p>
                    </w:tc>
                    <w:tc>
                      <w:tcPr>
                        <w:tcW w:w="2280" w:type="dxa"/>
                        <w:vMerge w:val="restart"/>
                      </w:tcPr>
                      <w:p w:rsidR="001D1E2C" w:rsidRDefault="001D1E2C">
                        <w:pPr>
                          <w:pStyle w:val="TableParagraph"/>
                          <w:spacing w:before="7" w:line="240" w:lineRule="auto"/>
                          <w:jc w:val="left"/>
                          <w:rPr>
                            <w:sz w:val="20"/>
                          </w:rPr>
                        </w:pPr>
                      </w:p>
                      <w:p w:rsidR="001D1E2C" w:rsidRDefault="00263D75">
                        <w:pPr>
                          <w:pStyle w:val="TableParagraph"/>
                          <w:spacing w:before="1" w:line="240" w:lineRule="auto"/>
                          <w:ind w:left="671" w:right="645" w:firstLine="60"/>
                          <w:jc w:val="left"/>
                          <w:rPr>
                            <w:b/>
                            <w:sz w:val="20"/>
                          </w:rPr>
                        </w:pPr>
                        <w:r>
                          <w:rPr>
                            <w:b/>
                            <w:sz w:val="20"/>
                          </w:rPr>
                          <w:t>PTZ dose (mg/kg, sc)</w:t>
                        </w:r>
                      </w:p>
                    </w:tc>
                    <w:tc>
                      <w:tcPr>
                        <w:tcW w:w="265" w:type="dxa"/>
                        <w:tcBorders>
                          <w:bottom w:val="nil"/>
                          <w:right w:val="single" w:sz="8" w:space="0" w:color="0000FF"/>
                        </w:tcBorders>
                      </w:tcPr>
                      <w:p w:rsidR="001D1E2C" w:rsidRDefault="001D1E2C">
                        <w:pPr>
                          <w:pStyle w:val="TableParagraph"/>
                          <w:spacing w:line="240" w:lineRule="auto"/>
                          <w:jc w:val="left"/>
                        </w:pPr>
                      </w:p>
                    </w:tc>
                    <w:tc>
                      <w:tcPr>
                        <w:tcW w:w="550" w:type="dxa"/>
                        <w:tcBorders>
                          <w:left w:val="single" w:sz="8" w:space="0" w:color="0000FF"/>
                          <w:bottom w:val="single" w:sz="8" w:space="0" w:color="0000FF"/>
                          <w:right w:val="single" w:sz="8" w:space="0" w:color="0000FF"/>
                        </w:tcBorders>
                      </w:tcPr>
                      <w:p w:rsidR="001D1E2C" w:rsidRDefault="001D1E2C">
                        <w:pPr>
                          <w:pStyle w:val="TableParagraph"/>
                          <w:spacing w:line="240" w:lineRule="auto"/>
                          <w:jc w:val="left"/>
                        </w:pPr>
                      </w:p>
                    </w:tc>
                    <w:tc>
                      <w:tcPr>
                        <w:tcW w:w="1465" w:type="dxa"/>
                        <w:tcBorders>
                          <w:left w:val="single" w:sz="8" w:space="0" w:color="0000FF"/>
                          <w:bottom w:val="nil"/>
                        </w:tcBorders>
                      </w:tcPr>
                      <w:p w:rsidR="001D1E2C" w:rsidRDefault="001D1E2C">
                        <w:pPr>
                          <w:pStyle w:val="TableParagraph"/>
                          <w:spacing w:line="240" w:lineRule="auto"/>
                          <w:jc w:val="left"/>
                        </w:pPr>
                      </w:p>
                    </w:tc>
                    <w:tc>
                      <w:tcPr>
                        <w:tcW w:w="2280" w:type="dxa"/>
                        <w:vMerge w:val="restart"/>
                      </w:tcPr>
                      <w:p w:rsidR="001D1E2C" w:rsidRDefault="001D1E2C">
                        <w:pPr>
                          <w:pStyle w:val="TableParagraph"/>
                          <w:spacing w:before="10" w:line="240" w:lineRule="auto"/>
                          <w:jc w:val="left"/>
                          <w:rPr>
                            <w:sz w:val="25"/>
                          </w:rPr>
                        </w:pPr>
                      </w:p>
                      <w:p w:rsidR="001D1E2C" w:rsidRDefault="00263D75">
                        <w:pPr>
                          <w:pStyle w:val="TableParagraph"/>
                          <w:spacing w:line="230" w:lineRule="atLeast"/>
                          <w:ind w:left="971" w:right="701" w:hanging="245"/>
                          <w:jc w:val="left"/>
                          <w:rPr>
                            <w:b/>
                            <w:sz w:val="20"/>
                          </w:rPr>
                        </w:pPr>
                        <w:r>
                          <w:rPr>
                            <w:b/>
                            <w:sz w:val="20"/>
                          </w:rPr>
                          <w:t>Incidence</w:t>
                        </w:r>
                        <w:r>
                          <w:rPr>
                            <w:b/>
                            <w:w w:val="99"/>
                            <w:sz w:val="20"/>
                          </w:rPr>
                          <w:t xml:space="preserve"> </w:t>
                        </w:r>
                        <w:r>
                          <w:rPr>
                            <w:b/>
                            <w:sz w:val="20"/>
                          </w:rPr>
                          <w:t>(%)</w:t>
                        </w:r>
                      </w:p>
                    </w:tc>
                  </w:tr>
                  <w:tr w:rsidR="001D1E2C">
                    <w:trPr>
                      <w:trHeight w:val="393"/>
                    </w:trPr>
                    <w:tc>
                      <w:tcPr>
                        <w:tcW w:w="2280" w:type="dxa"/>
                        <w:vMerge/>
                        <w:tcBorders>
                          <w:top w:val="nil"/>
                        </w:tcBorders>
                      </w:tcPr>
                      <w:p w:rsidR="001D1E2C" w:rsidRDefault="001D1E2C">
                        <w:pPr>
                          <w:rPr>
                            <w:sz w:val="2"/>
                            <w:szCs w:val="2"/>
                          </w:rPr>
                        </w:pPr>
                      </w:p>
                    </w:tc>
                    <w:tc>
                      <w:tcPr>
                        <w:tcW w:w="2280" w:type="dxa"/>
                        <w:vMerge/>
                        <w:tcBorders>
                          <w:top w:val="nil"/>
                        </w:tcBorders>
                      </w:tcPr>
                      <w:p w:rsidR="001D1E2C" w:rsidRDefault="001D1E2C">
                        <w:pPr>
                          <w:rPr>
                            <w:sz w:val="2"/>
                            <w:szCs w:val="2"/>
                          </w:rPr>
                        </w:pPr>
                      </w:p>
                    </w:tc>
                    <w:tc>
                      <w:tcPr>
                        <w:tcW w:w="2280" w:type="dxa"/>
                        <w:gridSpan w:val="3"/>
                        <w:tcBorders>
                          <w:top w:val="nil"/>
                        </w:tcBorders>
                      </w:tcPr>
                      <w:p w:rsidR="001D1E2C" w:rsidRDefault="00263D75">
                        <w:pPr>
                          <w:pStyle w:val="TableParagraph"/>
                          <w:spacing w:line="161" w:lineRule="exact"/>
                          <w:ind w:left="525"/>
                          <w:jc w:val="left"/>
                          <w:rPr>
                            <w:b/>
                            <w:sz w:val="20"/>
                          </w:rPr>
                        </w:pPr>
                        <w:r>
                          <w:rPr>
                            <w:b/>
                            <w:sz w:val="20"/>
                          </w:rPr>
                          <w:t>No. of animals</w:t>
                        </w:r>
                      </w:p>
                      <w:p w:rsidR="001D1E2C" w:rsidRDefault="00263D75">
                        <w:pPr>
                          <w:pStyle w:val="TableParagraph"/>
                          <w:spacing w:line="212" w:lineRule="exact"/>
                          <w:ind w:left="443"/>
                          <w:jc w:val="left"/>
                          <w:rPr>
                            <w:b/>
                            <w:sz w:val="20"/>
                          </w:rPr>
                        </w:pPr>
                        <w:r>
                          <w:rPr>
                            <w:b/>
                            <w:sz w:val="20"/>
                          </w:rPr>
                          <w:t>(evoked / tested)</w:t>
                        </w:r>
                      </w:p>
                    </w:tc>
                    <w:tc>
                      <w:tcPr>
                        <w:tcW w:w="2280" w:type="dxa"/>
                        <w:vMerge/>
                        <w:tcBorders>
                          <w:top w:val="nil"/>
                        </w:tcBorders>
                      </w:tcPr>
                      <w:p w:rsidR="001D1E2C" w:rsidRDefault="001D1E2C">
                        <w:pPr>
                          <w:rPr>
                            <w:sz w:val="2"/>
                            <w:szCs w:val="2"/>
                          </w:rPr>
                        </w:pPr>
                      </w:p>
                    </w:tc>
                  </w:tr>
                  <w:tr w:rsidR="001D1E2C">
                    <w:trPr>
                      <w:trHeight w:val="230"/>
                    </w:trPr>
                    <w:tc>
                      <w:tcPr>
                        <w:tcW w:w="2280" w:type="dxa"/>
                      </w:tcPr>
                      <w:p w:rsidR="001D1E2C" w:rsidRDefault="00263D75">
                        <w:pPr>
                          <w:pStyle w:val="TableParagraph"/>
                          <w:spacing w:line="210" w:lineRule="exact"/>
                          <w:ind w:left="8"/>
                          <w:rPr>
                            <w:sz w:val="20"/>
                          </w:rPr>
                        </w:pPr>
                        <w:r>
                          <w:rPr>
                            <w:w w:val="99"/>
                            <w:sz w:val="20"/>
                          </w:rPr>
                          <w:t>0</w:t>
                        </w:r>
                      </w:p>
                    </w:tc>
                    <w:tc>
                      <w:tcPr>
                        <w:tcW w:w="2280" w:type="dxa"/>
                      </w:tcPr>
                      <w:p w:rsidR="001D1E2C" w:rsidRDefault="00263D75">
                        <w:pPr>
                          <w:pStyle w:val="TableParagraph"/>
                          <w:spacing w:line="210" w:lineRule="exact"/>
                          <w:ind w:left="890" w:right="881"/>
                          <w:rPr>
                            <w:sz w:val="20"/>
                          </w:rPr>
                        </w:pPr>
                        <w:r>
                          <w:rPr>
                            <w:sz w:val="20"/>
                          </w:rPr>
                          <w:t>30</w:t>
                        </w:r>
                      </w:p>
                    </w:tc>
                    <w:tc>
                      <w:tcPr>
                        <w:tcW w:w="2280" w:type="dxa"/>
                        <w:gridSpan w:val="3"/>
                      </w:tcPr>
                      <w:p w:rsidR="001D1E2C" w:rsidRDefault="00263D75">
                        <w:pPr>
                          <w:pStyle w:val="TableParagraph"/>
                          <w:spacing w:line="210" w:lineRule="exact"/>
                          <w:ind w:left="892" w:right="881"/>
                          <w:rPr>
                            <w:sz w:val="20"/>
                          </w:rPr>
                        </w:pPr>
                        <w:r>
                          <w:rPr>
                            <w:sz w:val="20"/>
                          </w:rPr>
                          <w:t>0 / 10</w:t>
                        </w:r>
                      </w:p>
                    </w:tc>
                    <w:tc>
                      <w:tcPr>
                        <w:tcW w:w="2280" w:type="dxa"/>
                      </w:tcPr>
                      <w:p w:rsidR="001D1E2C" w:rsidRDefault="00263D75">
                        <w:pPr>
                          <w:pStyle w:val="TableParagraph"/>
                          <w:spacing w:line="210" w:lineRule="exact"/>
                          <w:ind w:left="8"/>
                          <w:rPr>
                            <w:sz w:val="20"/>
                          </w:rPr>
                        </w:pPr>
                        <w:r>
                          <w:rPr>
                            <w:w w:val="99"/>
                            <w:sz w:val="20"/>
                          </w:rPr>
                          <w:t>0</w:t>
                        </w:r>
                      </w:p>
                    </w:tc>
                  </w:tr>
                  <w:tr w:rsidR="001D1E2C">
                    <w:trPr>
                      <w:trHeight w:val="230"/>
                    </w:trPr>
                    <w:tc>
                      <w:tcPr>
                        <w:tcW w:w="2280" w:type="dxa"/>
                      </w:tcPr>
                      <w:p w:rsidR="001D1E2C" w:rsidRDefault="00263D75">
                        <w:pPr>
                          <w:pStyle w:val="TableParagraph"/>
                          <w:spacing w:line="210" w:lineRule="exact"/>
                          <w:ind w:left="892" w:right="881"/>
                          <w:rPr>
                            <w:sz w:val="20"/>
                          </w:rPr>
                        </w:pPr>
                        <w:r>
                          <w:rPr>
                            <w:sz w:val="20"/>
                          </w:rPr>
                          <w:t>0.3</w:t>
                        </w:r>
                      </w:p>
                    </w:tc>
                    <w:tc>
                      <w:tcPr>
                        <w:tcW w:w="2280" w:type="dxa"/>
                      </w:tcPr>
                      <w:p w:rsidR="001D1E2C" w:rsidRDefault="001D1E2C">
                        <w:pPr>
                          <w:pStyle w:val="TableParagraph"/>
                          <w:spacing w:line="240" w:lineRule="auto"/>
                          <w:jc w:val="left"/>
                          <w:rPr>
                            <w:sz w:val="16"/>
                          </w:rPr>
                        </w:pPr>
                      </w:p>
                    </w:tc>
                    <w:tc>
                      <w:tcPr>
                        <w:tcW w:w="2280" w:type="dxa"/>
                        <w:gridSpan w:val="3"/>
                      </w:tcPr>
                      <w:p w:rsidR="001D1E2C" w:rsidRDefault="00263D75">
                        <w:pPr>
                          <w:pStyle w:val="TableParagraph"/>
                          <w:spacing w:line="210" w:lineRule="exact"/>
                          <w:ind w:left="892" w:right="881"/>
                          <w:rPr>
                            <w:sz w:val="20"/>
                          </w:rPr>
                        </w:pPr>
                        <w:r>
                          <w:rPr>
                            <w:sz w:val="20"/>
                          </w:rPr>
                          <w:t>0 / 10</w:t>
                        </w:r>
                      </w:p>
                    </w:tc>
                    <w:tc>
                      <w:tcPr>
                        <w:tcW w:w="2280" w:type="dxa"/>
                      </w:tcPr>
                      <w:p w:rsidR="001D1E2C" w:rsidRDefault="00263D75">
                        <w:pPr>
                          <w:pStyle w:val="TableParagraph"/>
                          <w:spacing w:line="210" w:lineRule="exact"/>
                          <w:ind w:left="8"/>
                          <w:rPr>
                            <w:sz w:val="20"/>
                          </w:rPr>
                        </w:pPr>
                        <w:r>
                          <w:rPr>
                            <w:w w:val="99"/>
                            <w:sz w:val="20"/>
                          </w:rPr>
                          <w:t>0</w:t>
                        </w:r>
                      </w:p>
                    </w:tc>
                  </w:tr>
                  <w:tr w:rsidR="001D1E2C">
                    <w:trPr>
                      <w:trHeight w:val="230"/>
                    </w:trPr>
                    <w:tc>
                      <w:tcPr>
                        <w:tcW w:w="2280" w:type="dxa"/>
                      </w:tcPr>
                      <w:p w:rsidR="001D1E2C" w:rsidRDefault="00263D75">
                        <w:pPr>
                          <w:pStyle w:val="TableParagraph"/>
                          <w:spacing w:line="210" w:lineRule="exact"/>
                          <w:ind w:left="8"/>
                          <w:rPr>
                            <w:sz w:val="20"/>
                          </w:rPr>
                        </w:pPr>
                        <w:r>
                          <w:rPr>
                            <w:w w:val="99"/>
                            <w:sz w:val="20"/>
                          </w:rPr>
                          <w:t>3</w:t>
                        </w:r>
                      </w:p>
                    </w:tc>
                    <w:tc>
                      <w:tcPr>
                        <w:tcW w:w="2280" w:type="dxa"/>
                      </w:tcPr>
                      <w:p w:rsidR="001D1E2C" w:rsidRDefault="001D1E2C">
                        <w:pPr>
                          <w:pStyle w:val="TableParagraph"/>
                          <w:spacing w:line="240" w:lineRule="auto"/>
                          <w:jc w:val="left"/>
                          <w:rPr>
                            <w:sz w:val="16"/>
                          </w:rPr>
                        </w:pPr>
                      </w:p>
                    </w:tc>
                    <w:tc>
                      <w:tcPr>
                        <w:tcW w:w="2280" w:type="dxa"/>
                        <w:gridSpan w:val="3"/>
                      </w:tcPr>
                      <w:p w:rsidR="001D1E2C" w:rsidRDefault="00263D75">
                        <w:pPr>
                          <w:pStyle w:val="TableParagraph"/>
                          <w:spacing w:line="210" w:lineRule="exact"/>
                          <w:ind w:left="892" w:right="881"/>
                          <w:rPr>
                            <w:sz w:val="20"/>
                          </w:rPr>
                        </w:pPr>
                        <w:r>
                          <w:rPr>
                            <w:sz w:val="20"/>
                          </w:rPr>
                          <w:t>0 / 10</w:t>
                        </w:r>
                      </w:p>
                    </w:tc>
                    <w:tc>
                      <w:tcPr>
                        <w:tcW w:w="2280" w:type="dxa"/>
                      </w:tcPr>
                      <w:p w:rsidR="001D1E2C" w:rsidRDefault="00263D75">
                        <w:pPr>
                          <w:pStyle w:val="TableParagraph"/>
                          <w:spacing w:line="210" w:lineRule="exact"/>
                          <w:ind w:left="8"/>
                          <w:rPr>
                            <w:sz w:val="20"/>
                          </w:rPr>
                        </w:pPr>
                        <w:r>
                          <w:rPr>
                            <w:w w:val="99"/>
                            <w:sz w:val="20"/>
                          </w:rPr>
                          <w:t>0</w:t>
                        </w:r>
                      </w:p>
                    </w:tc>
                  </w:tr>
                  <w:tr w:rsidR="001D1E2C">
                    <w:trPr>
                      <w:trHeight w:val="230"/>
                    </w:trPr>
                    <w:tc>
                      <w:tcPr>
                        <w:tcW w:w="2280" w:type="dxa"/>
                      </w:tcPr>
                      <w:p w:rsidR="001D1E2C" w:rsidRDefault="00263D75">
                        <w:pPr>
                          <w:pStyle w:val="TableParagraph"/>
                          <w:spacing w:line="210" w:lineRule="exact"/>
                          <w:ind w:left="890" w:right="881"/>
                          <w:rPr>
                            <w:sz w:val="20"/>
                          </w:rPr>
                        </w:pPr>
                        <w:r>
                          <w:rPr>
                            <w:sz w:val="20"/>
                          </w:rPr>
                          <w:t>30</w:t>
                        </w:r>
                      </w:p>
                    </w:tc>
                    <w:tc>
                      <w:tcPr>
                        <w:tcW w:w="2280" w:type="dxa"/>
                      </w:tcPr>
                      <w:p w:rsidR="001D1E2C" w:rsidRDefault="001D1E2C">
                        <w:pPr>
                          <w:pStyle w:val="TableParagraph"/>
                          <w:spacing w:line="240" w:lineRule="auto"/>
                          <w:jc w:val="left"/>
                          <w:rPr>
                            <w:sz w:val="16"/>
                          </w:rPr>
                        </w:pPr>
                      </w:p>
                    </w:tc>
                    <w:tc>
                      <w:tcPr>
                        <w:tcW w:w="2280" w:type="dxa"/>
                        <w:gridSpan w:val="3"/>
                      </w:tcPr>
                      <w:p w:rsidR="001D1E2C" w:rsidRDefault="00263D75">
                        <w:pPr>
                          <w:pStyle w:val="TableParagraph"/>
                          <w:spacing w:line="210" w:lineRule="exact"/>
                          <w:ind w:left="892" w:right="881"/>
                          <w:rPr>
                            <w:sz w:val="20"/>
                          </w:rPr>
                        </w:pPr>
                        <w:r>
                          <w:rPr>
                            <w:sz w:val="20"/>
                          </w:rPr>
                          <w:t>0 / 10</w:t>
                        </w:r>
                      </w:p>
                    </w:tc>
                    <w:tc>
                      <w:tcPr>
                        <w:tcW w:w="2280" w:type="dxa"/>
                      </w:tcPr>
                      <w:p w:rsidR="001D1E2C" w:rsidRDefault="00263D75">
                        <w:pPr>
                          <w:pStyle w:val="TableParagraph"/>
                          <w:spacing w:line="210" w:lineRule="exact"/>
                          <w:ind w:left="8"/>
                          <w:rPr>
                            <w:sz w:val="20"/>
                          </w:rPr>
                        </w:pPr>
                        <w:r>
                          <w:rPr>
                            <w:w w:val="99"/>
                            <w:sz w:val="20"/>
                          </w:rPr>
                          <w:t>0</w:t>
                        </w:r>
                      </w:p>
                    </w:tc>
                  </w:tr>
                  <w:tr w:rsidR="001D1E2C">
                    <w:trPr>
                      <w:trHeight w:val="230"/>
                    </w:trPr>
                    <w:tc>
                      <w:tcPr>
                        <w:tcW w:w="2280" w:type="dxa"/>
                      </w:tcPr>
                      <w:p w:rsidR="001D1E2C" w:rsidRDefault="00263D75">
                        <w:pPr>
                          <w:pStyle w:val="TableParagraph"/>
                          <w:spacing w:line="210" w:lineRule="exact"/>
                          <w:ind w:left="8"/>
                          <w:rPr>
                            <w:sz w:val="20"/>
                          </w:rPr>
                        </w:pPr>
                        <w:r>
                          <w:rPr>
                            <w:w w:val="99"/>
                            <w:sz w:val="20"/>
                          </w:rPr>
                          <w:t>0</w:t>
                        </w:r>
                      </w:p>
                    </w:tc>
                    <w:tc>
                      <w:tcPr>
                        <w:tcW w:w="2280" w:type="dxa"/>
                      </w:tcPr>
                      <w:p w:rsidR="001D1E2C" w:rsidRDefault="00263D75">
                        <w:pPr>
                          <w:pStyle w:val="TableParagraph"/>
                          <w:spacing w:line="210" w:lineRule="exact"/>
                          <w:ind w:left="890" w:right="881"/>
                          <w:rPr>
                            <w:sz w:val="20"/>
                          </w:rPr>
                        </w:pPr>
                        <w:r>
                          <w:rPr>
                            <w:sz w:val="20"/>
                          </w:rPr>
                          <w:t>50</w:t>
                        </w:r>
                      </w:p>
                    </w:tc>
                    <w:tc>
                      <w:tcPr>
                        <w:tcW w:w="2280" w:type="dxa"/>
                        <w:gridSpan w:val="3"/>
                      </w:tcPr>
                      <w:p w:rsidR="001D1E2C" w:rsidRDefault="00263D75">
                        <w:pPr>
                          <w:pStyle w:val="TableParagraph"/>
                          <w:spacing w:line="210" w:lineRule="exact"/>
                          <w:ind w:left="892" w:right="881"/>
                          <w:rPr>
                            <w:sz w:val="20"/>
                          </w:rPr>
                        </w:pPr>
                        <w:r>
                          <w:rPr>
                            <w:sz w:val="20"/>
                          </w:rPr>
                          <w:t>9 / 10</w:t>
                        </w:r>
                      </w:p>
                    </w:tc>
                    <w:tc>
                      <w:tcPr>
                        <w:tcW w:w="2280" w:type="dxa"/>
                      </w:tcPr>
                      <w:p w:rsidR="001D1E2C" w:rsidRDefault="00263D75">
                        <w:pPr>
                          <w:pStyle w:val="TableParagraph"/>
                          <w:spacing w:line="210" w:lineRule="exact"/>
                          <w:ind w:left="890" w:right="881"/>
                          <w:rPr>
                            <w:sz w:val="20"/>
                          </w:rPr>
                        </w:pPr>
                        <w:r>
                          <w:rPr>
                            <w:sz w:val="20"/>
                          </w:rPr>
                          <w:t>90</w:t>
                        </w:r>
                      </w:p>
                    </w:tc>
                  </w:tr>
                  <w:tr w:rsidR="001D1E2C">
                    <w:trPr>
                      <w:trHeight w:val="230"/>
                    </w:trPr>
                    <w:tc>
                      <w:tcPr>
                        <w:tcW w:w="2280" w:type="dxa"/>
                      </w:tcPr>
                      <w:p w:rsidR="001D1E2C" w:rsidRDefault="00263D75">
                        <w:pPr>
                          <w:pStyle w:val="TableParagraph"/>
                          <w:spacing w:line="210" w:lineRule="exact"/>
                          <w:ind w:left="892" w:right="881"/>
                          <w:rPr>
                            <w:sz w:val="20"/>
                          </w:rPr>
                        </w:pPr>
                        <w:r>
                          <w:rPr>
                            <w:sz w:val="20"/>
                          </w:rPr>
                          <w:t>0.3</w:t>
                        </w:r>
                      </w:p>
                    </w:tc>
                    <w:tc>
                      <w:tcPr>
                        <w:tcW w:w="2280" w:type="dxa"/>
                      </w:tcPr>
                      <w:p w:rsidR="001D1E2C" w:rsidRDefault="001D1E2C">
                        <w:pPr>
                          <w:pStyle w:val="TableParagraph"/>
                          <w:spacing w:line="240" w:lineRule="auto"/>
                          <w:jc w:val="left"/>
                          <w:rPr>
                            <w:sz w:val="16"/>
                          </w:rPr>
                        </w:pPr>
                      </w:p>
                    </w:tc>
                    <w:tc>
                      <w:tcPr>
                        <w:tcW w:w="2280" w:type="dxa"/>
                        <w:gridSpan w:val="3"/>
                      </w:tcPr>
                      <w:p w:rsidR="001D1E2C" w:rsidRDefault="00263D75">
                        <w:pPr>
                          <w:pStyle w:val="TableParagraph"/>
                          <w:spacing w:line="210" w:lineRule="exact"/>
                          <w:ind w:left="892" w:right="881"/>
                          <w:rPr>
                            <w:sz w:val="20"/>
                          </w:rPr>
                        </w:pPr>
                        <w:r>
                          <w:rPr>
                            <w:sz w:val="20"/>
                          </w:rPr>
                          <w:t>8 / 10</w:t>
                        </w:r>
                      </w:p>
                    </w:tc>
                    <w:tc>
                      <w:tcPr>
                        <w:tcW w:w="2280" w:type="dxa"/>
                      </w:tcPr>
                      <w:p w:rsidR="001D1E2C" w:rsidRDefault="00263D75">
                        <w:pPr>
                          <w:pStyle w:val="TableParagraph"/>
                          <w:spacing w:line="210" w:lineRule="exact"/>
                          <w:ind w:left="890" w:right="881"/>
                          <w:rPr>
                            <w:sz w:val="20"/>
                          </w:rPr>
                        </w:pPr>
                        <w:r>
                          <w:rPr>
                            <w:sz w:val="20"/>
                          </w:rPr>
                          <w:t>80</w:t>
                        </w:r>
                      </w:p>
                    </w:tc>
                  </w:tr>
                  <w:tr w:rsidR="001D1E2C">
                    <w:trPr>
                      <w:trHeight w:val="230"/>
                    </w:trPr>
                    <w:tc>
                      <w:tcPr>
                        <w:tcW w:w="2280" w:type="dxa"/>
                      </w:tcPr>
                      <w:p w:rsidR="001D1E2C" w:rsidRDefault="00263D75">
                        <w:pPr>
                          <w:pStyle w:val="TableParagraph"/>
                          <w:spacing w:line="210" w:lineRule="exact"/>
                          <w:ind w:left="8"/>
                          <w:rPr>
                            <w:sz w:val="20"/>
                          </w:rPr>
                        </w:pPr>
                        <w:r>
                          <w:rPr>
                            <w:w w:val="99"/>
                            <w:sz w:val="20"/>
                          </w:rPr>
                          <w:t>3</w:t>
                        </w:r>
                      </w:p>
                    </w:tc>
                    <w:tc>
                      <w:tcPr>
                        <w:tcW w:w="2280" w:type="dxa"/>
                      </w:tcPr>
                      <w:p w:rsidR="001D1E2C" w:rsidRDefault="001D1E2C">
                        <w:pPr>
                          <w:pStyle w:val="TableParagraph"/>
                          <w:spacing w:line="240" w:lineRule="auto"/>
                          <w:jc w:val="left"/>
                          <w:rPr>
                            <w:sz w:val="16"/>
                          </w:rPr>
                        </w:pPr>
                      </w:p>
                    </w:tc>
                    <w:tc>
                      <w:tcPr>
                        <w:tcW w:w="2280" w:type="dxa"/>
                        <w:gridSpan w:val="3"/>
                      </w:tcPr>
                      <w:p w:rsidR="001D1E2C" w:rsidRDefault="00263D75">
                        <w:pPr>
                          <w:pStyle w:val="TableParagraph"/>
                          <w:spacing w:line="210" w:lineRule="exact"/>
                          <w:ind w:left="892" w:right="881"/>
                          <w:rPr>
                            <w:sz w:val="20"/>
                          </w:rPr>
                        </w:pPr>
                        <w:r>
                          <w:rPr>
                            <w:sz w:val="20"/>
                          </w:rPr>
                          <w:t>6 / 10</w:t>
                        </w:r>
                      </w:p>
                    </w:tc>
                    <w:tc>
                      <w:tcPr>
                        <w:tcW w:w="2280" w:type="dxa"/>
                      </w:tcPr>
                      <w:p w:rsidR="001D1E2C" w:rsidRDefault="00263D75">
                        <w:pPr>
                          <w:pStyle w:val="TableParagraph"/>
                          <w:spacing w:line="210" w:lineRule="exact"/>
                          <w:ind w:left="890" w:right="881"/>
                          <w:rPr>
                            <w:sz w:val="20"/>
                          </w:rPr>
                        </w:pPr>
                        <w:r>
                          <w:rPr>
                            <w:sz w:val="20"/>
                          </w:rPr>
                          <w:t>60</w:t>
                        </w:r>
                      </w:p>
                    </w:tc>
                  </w:tr>
                  <w:tr w:rsidR="001D1E2C">
                    <w:trPr>
                      <w:trHeight w:val="230"/>
                    </w:trPr>
                    <w:tc>
                      <w:tcPr>
                        <w:tcW w:w="2280" w:type="dxa"/>
                      </w:tcPr>
                      <w:p w:rsidR="001D1E2C" w:rsidRDefault="00263D75">
                        <w:pPr>
                          <w:pStyle w:val="TableParagraph"/>
                          <w:spacing w:line="210" w:lineRule="exact"/>
                          <w:ind w:left="890" w:right="881"/>
                          <w:rPr>
                            <w:sz w:val="20"/>
                          </w:rPr>
                        </w:pPr>
                        <w:r>
                          <w:rPr>
                            <w:sz w:val="20"/>
                          </w:rPr>
                          <w:t>30</w:t>
                        </w:r>
                      </w:p>
                    </w:tc>
                    <w:tc>
                      <w:tcPr>
                        <w:tcW w:w="2280" w:type="dxa"/>
                      </w:tcPr>
                      <w:p w:rsidR="001D1E2C" w:rsidRDefault="001D1E2C">
                        <w:pPr>
                          <w:pStyle w:val="TableParagraph"/>
                          <w:spacing w:line="240" w:lineRule="auto"/>
                          <w:jc w:val="left"/>
                          <w:rPr>
                            <w:sz w:val="16"/>
                          </w:rPr>
                        </w:pPr>
                      </w:p>
                    </w:tc>
                    <w:tc>
                      <w:tcPr>
                        <w:tcW w:w="2280" w:type="dxa"/>
                        <w:gridSpan w:val="3"/>
                      </w:tcPr>
                      <w:p w:rsidR="001D1E2C" w:rsidRDefault="00263D75">
                        <w:pPr>
                          <w:pStyle w:val="TableParagraph"/>
                          <w:spacing w:line="210" w:lineRule="exact"/>
                          <w:ind w:left="892" w:right="881"/>
                          <w:rPr>
                            <w:sz w:val="20"/>
                          </w:rPr>
                        </w:pPr>
                        <w:r>
                          <w:rPr>
                            <w:sz w:val="20"/>
                          </w:rPr>
                          <w:t>6 / 10</w:t>
                        </w:r>
                      </w:p>
                    </w:tc>
                    <w:tc>
                      <w:tcPr>
                        <w:tcW w:w="2280" w:type="dxa"/>
                      </w:tcPr>
                      <w:p w:rsidR="001D1E2C" w:rsidRDefault="00263D75">
                        <w:pPr>
                          <w:pStyle w:val="TableParagraph"/>
                          <w:spacing w:line="210" w:lineRule="exact"/>
                          <w:ind w:left="890" w:right="881"/>
                          <w:rPr>
                            <w:sz w:val="20"/>
                          </w:rPr>
                        </w:pPr>
                        <w:r>
                          <w:rPr>
                            <w:sz w:val="20"/>
                          </w:rPr>
                          <w:t>60</w:t>
                        </w:r>
                      </w:p>
                    </w:tc>
                  </w:tr>
                </w:tbl>
                <w:p w:rsidR="001D1E2C" w:rsidRDefault="001D1E2C">
                  <w:pPr>
                    <w:pStyle w:val="a3"/>
                  </w:pPr>
                </w:p>
              </w:txbxContent>
            </v:textbox>
            <w10:wrap anchorx="page"/>
          </v:shape>
        </w:pict>
      </w:r>
      <w:bookmarkStart w:id="4" w:name="_bookmark22"/>
      <w:bookmarkEnd w:id="4"/>
      <w:r w:rsidR="00263D75">
        <w:t>Table 1</w:t>
      </w:r>
      <w:r w:rsidR="00263D75">
        <w:tab/>
        <w:t>Assessment of Pro- and/or Anti-convulsant Activities in Rat PTZ-induced Seizure</w:t>
      </w:r>
      <w:r w:rsidR="00263D75">
        <w:rPr>
          <w:spacing w:val="-2"/>
        </w:rPr>
        <w:t xml:space="preserve"> </w:t>
      </w:r>
      <w:r w:rsidR="00263D75">
        <w:t>Test</w:t>
      </w:r>
    </w:p>
    <w:p w:rsidR="001D1E2C" w:rsidRDefault="001D1E2C">
      <w:pPr>
        <w:pStyle w:val="a3"/>
        <w:rPr>
          <w:b/>
          <w:sz w:val="26"/>
        </w:rPr>
      </w:pPr>
    </w:p>
    <w:p w:rsidR="001D1E2C" w:rsidRDefault="001D1E2C">
      <w:pPr>
        <w:pStyle w:val="a3"/>
        <w:rPr>
          <w:b/>
          <w:sz w:val="26"/>
        </w:rPr>
      </w:pPr>
    </w:p>
    <w:p w:rsidR="001D1E2C" w:rsidRDefault="001D1E2C">
      <w:pPr>
        <w:pStyle w:val="a3"/>
        <w:rPr>
          <w:b/>
          <w:sz w:val="26"/>
        </w:rPr>
      </w:pPr>
    </w:p>
    <w:p w:rsidR="001D1E2C" w:rsidRDefault="001D1E2C">
      <w:pPr>
        <w:pStyle w:val="a3"/>
        <w:rPr>
          <w:b/>
          <w:sz w:val="26"/>
        </w:rPr>
      </w:pPr>
    </w:p>
    <w:p w:rsidR="001D1E2C" w:rsidRDefault="001D1E2C">
      <w:pPr>
        <w:pStyle w:val="a3"/>
        <w:rPr>
          <w:b/>
          <w:sz w:val="26"/>
        </w:rPr>
      </w:pPr>
    </w:p>
    <w:p w:rsidR="001D1E2C" w:rsidRDefault="001D1E2C">
      <w:pPr>
        <w:pStyle w:val="a3"/>
        <w:rPr>
          <w:b/>
          <w:sz w:val="26"/>
        </w:rPr>
      </w:pPr>
    </w:p>
    <w:p w:rsidR="001D1E2C" w:rsidRDefault="001D1E2C">
      <w:pPr>
        <w:pStyle w:val="a3"/>
        <w:rPr>
          <w:b/>
          <w:sz w:val="26"/>
        </w:rPr>
      </w:pPr>
    </w:p>
    <w:p w:rsidR="001D1E2C" w:rsidRDefault="001D1E2C">
      <w:pPr>
        <w:pStyle w:val="a3"/>
        <w:rPr>
          <w:b/>
          <w:sz w:val="26"/>
        </w:rPr>
      </w:pPr>
    </w:p>
    <w:p w:rsidR="001D1E2C" w:rsidRDefault="001D1E2C">
      <w:pPr>
        <w:pStyle w:val="a3"/>
        <w:rPr>
          <w:b/>
          <w:sz w:val="33"/>
        </w:rPr>
      </w:pPr>
    </w:p>
    <w:p w:rsidR="001D1E2C" w:rsidRDefault="00263D75">
      <w:pPr>
        <w:spacing w:line="207" w:lineRule="exact"/>
        <w:ind w:left="568"/>
        <w:rPr>
          <w:sz w:val="18"/>
        </w:rPr>
      </w:pPr>
      <w:r>
        <w:rPr>
          <w:sz w:val="18"/>
        </w:rPr>
        <w:t xml:space="preserve">PTZ: </w:t>
      </w:r>
      <w:proofErr w:type="spellStart"/>
      <w:r>
        <w:rPr>
          <w:sz w:val="18"/>
        </w:rPr>
        <w:t>pentylenetetrazole</w:t>
      </w:r>
      <w:proofErr w:type="spellEnd"/>
      <w:r>
        <w:rPr>
          <w:sz w:val="18"/>
        </w:rPr>
        <w:t xml:space="preserve">; po: by mouth; </w:t>
      </w:r>
      <w:proofErr w:type="spellStart"/>
      <w:r>
        <w:rPr>
          <w:sz w:val="18"/>
        </w:rPr>
        <w:t>sc</w:t>
      </w:r>
      <w:proofErr w:type="spellEnd"/>
      <w:r>
        <w:rPr>
          <w:sz w:val="18"/>
        </w:rPr>
        <w:t>: subcutaneous.</w:t>
      </w:r>
    </w:p>
    <w:p w:rsidR="001D1E2C" w:rsidRDefault="00263D75">
      <w:pPr>
        <w:ind w:left="568" w:right="1643"/>
        <w:rPr>
          <w:sz w:val="18"/>
        </w:rPr>
      </w:pPr>
      <w:r>
        <w:rPr>
          <w:sz w:val="18"/>
        </w:rPr>
        <w:t>Seizures were evoked by 30 or 50 mg/kg (</w:t>
      </w:r>
      <w:proofErr w:type="spellStart"/>
      <w:r>
        <w:rPr>
          <w:sz w:val="18"/>
        </w:rPr>
        <w:t>sc</w:t>
      </w:r>
      <w:proofErr w:type="spellEnd"/>
      <w:r>
        <w:rPr>
          <w:sz w:val="18"/>
        </w:rPr>
        <w:t xml:space="preserve">) PTZ in rats. </w:t>
      </w:r>
      <w:r w:rsidR="00F65007">
        <w:rPr>
          <w:sz w:val="18"/>
        </w:rPr>
        <w:t>PROJECT S</w:t>
      </w:r>
      <w:r>
        <w:rPr>
          <w:sz w:val="18"/>
        </w:rPr>
        <w:t xml:space="preserve"> or vehicle was administered orally 30 minutes before the injection of PTZ.</w:t>
      </w:r>
    </w:p>
    <w:p w:rsidR="001D1E2C" w:rsidRDefault="001D1E2C">
      <w:pPr>
        <w:pStyle w:val="a3"/>
        <w:spacing w:line="261" w:lineRule="auto"/>
        <w:ind w:left="512" w:right="1906"/>
      </w:pPr>
      <w:bookmarkStart w:id="5" w:name="4.4_Pharmacodynamic_Drug_Interactions"/>
      <w:bookmarkStart w:id="6" w:name="_bookmark23"/>
      <w:bookmarkEnd w:id="5"/>
      <w:bookmarkEnd w:id="6"/>
    </w:p>
    <w:p w:rsidR="001D1E2C" w:rsidRDefault="00263D75">
      <w:pPr>
        <w:pStyle w:val="2"/>
        <w:numPr>
          <w:ilvl w:val="1"/>
          <w:numId w:val="38"/>
        </w:numPr>
        <w:tabs>
          <w:tab w:val="left" w:pos="1364"/>
          <w:tab w:val="left" w:pos="1365"/>
        </w:tabs>
        <w:spacing w:before="93"/>
      </w:pPr>
      <w:bookmarkStart w:id="7" w:name="4.6_Toxicology"/>
      <w:bookmarkStart w:id="8" w:name="_bookmark38"/>
      <w:bookmarkEnd w:id="7"/>
      <w:bookmarkEnd w:id="8"/>
      <w:r>
        <w:t>Toxicology</w:t>
      </w:r>
    </w:p>
    <w:p w:rsidR="001D1E2C" w:rsidRDefault="00263D75" w:rsidP="00263D75">
      <w:pPr>
        <w:pStyle w:val="a3"/>
        <w:spacing w:before="140" w:line="261" w:lineRule="auto"/>
        <w:ind w:left="512" w:right="1786"/>
      </w:pPr>
      <w:r>
        <w:t xml:space="preserve">A toxicology program was conducted to support the use of </w:t>
      </w:r>
      <w:r w:rsidR="00F65007">
        <w:t>PROJECT S</w:t>
      </w:r>
      <w:r>
        <w:t xml:space="preserve"> in clinical studies with treatment for up to 13 weeks. The toxicology program included single- and repeat-dose studies in rats and dogs, genotoxicity studies, male and female fertility studies in rats, and embryo-fetal developmental toxicity studies in rats and rabbits. In addition, intravenous infusion studies were conducted in rats and dogs in order to investigate conditions when</w:t>
      </w:r>
      <w:r>
        <w:rPr>
          <w:rFonts w:ascii="ＭＳ 明朝" w:eastAsia="ＭＳ 明朝" w:hAnsi="ＭＳ 明朝" w:cs="ＭＳ 明朝" w:hint="eastAsia"/>
          <w:lang w:eastAsia="ja-JP"/>
        </w:rPr>
        <w:t xml:space="preserve">　</w:t>
      </w:r>
      <w:r>
        <w:t>convulsions occur. There were also some preliminary non-pivotal (not definitive) studies performed; in some of these, AS203</w:t>
      </w:r>
      <w:r w:rsidR="00F65007">
        <w:t>Project S</w:t>
      </w:r>
      <w:r>
        <w:t xml:space="preserve">-TA (D-tartrate of </w:t>
      </w:r>
      <w:r w:rsidR="00F65007">
        <w:t>PROJECT S</w:t>
      </w:r>
      <w:r>
        <w:t>) was used because the studies were performed before the final salt form (L-tartrate) was fixed.</w:t>
      </w:r>
    </w:p>
    <w:p w:rsidR="001D1E2C" w:rsidRDefault="00263D75">
      <w:pPr>
        <w:pStyle w:val="a3"/>
        <w:spacing w:before="118"/>
        <w:ind w:left="512"/>
      </w:pPr>
      <w:r>
        <w:t>A tabulated overview of these studies may be found in EOTT 3.1.</w:t>
      </w:r>
    </w:p>
    <w:p w:rsidR="001D1E2C" w:rsidRDefault="00263D75">
      <w:pPr>
        <w:pStyle w:val="3"/>
        <w:numPr>
          <w:ilvl w:val="2"/>
          <w:numId w:val="38"/>
        </w:numPr>
        <w:tabs>
          <w:tab w:val="left" w:pos="1364"/>
          <w:tab w:val="left" w:pos="1365"/>
        </w:tabs>
        <w:spacing w:before="149"/>
      </w:pPr>
      <w:bookmarkStart w:id="9" w:name="4.6.1_Single-dose_Toxicity"/>
      <w:bookmarkStart w:id="10" w:name="_bookmark39"/>
      <w:bookmarkEnd w:id="9"/>
      <w:bookmarkEnd w:id="10"/>
      <w:r>
        <w:t>Single-dose</w:t>
      </w:r>
      <w:r>
        <w:rPr>
          <w:spacing w:val="-1"/>
        </w:rPr>
        <w:t xml:space="preserve"> </w:t>
      </w:r>
      <w:r>
        <w:t>Toxicity</w:t>
      </w:r>
    </w:p>
    <w:p w:rsidR="001D1E2C" w:rsidRDefault="00263D75">
      <w:pPr>
        <w:pStyle w:val="a3"/>
        <w:spacing w:before="139" w:line="261" w:lineRule="auto"/>
        <w:ind w:left="512" w:right="1770"/>
      </w:pPr>
      <w:r>
        <w:t xml:space="preserve">Tabulated overviews of single-dose toxicity studies may be found in EOTTs 3.1 and 3.5. In addition, single oral dose toxicokinetic bridging studies with </w:t>
      </w:r>
      <w:r w:rsidR="00F65007">
        <w:t>PROJECT S</w:t>
      </w:r>
      <w:r>
        <w:t xml:space="preserve"> were conducted in rats and dogs, to bridge the two salt forms and a bolus iv study in dogs was conducted to evaluate clinical signs. These studies are tabulated in EOTT 3.1, and not described here.</w:t>
      </w:r>
    </w:p>
    <w:p w:rsidR="001D1E2C" w:rsidRDefault="00263D75">
      <w:pPr>
        <w:pStyle w:val="3"/>
        <w:numPr>
          <w:ilvl w:val="3"/>
          <w:numId w:val="38"/>
        </w:numPr>
        <w:tabs>
          <w:tab w:val="left" w:pos="1365"/>
        </w:tabs>
        <w:spacing w:before="122"/>
      </w:pPr>
      <w:bookmarkStart w:id="11" w:name="4.6.1.1_Rats"/>
      <w:bookmarkStart w:id="12" w:name="_bookmark40"/>
      <w:bookmarkEnd w:id="11"/>
      <w:bookmarkEnd w:id="12"/>
      <w:r>
        <w:t>Rats</w:t>
      </w:r>
    </w:p>
    <w:p w:rsidR="001D1E2C" w:rsidRDefault="00263D75">
      <w:pPr>
        <w:pStyle w:val="a3"/>
        <w:spacing w:before="139"/>
        <w:ind w:left="512"/>
      </w:pPr>
      <w:r>
        <w:t xml:space="preserve">In a study in rats (Study </w:t>
      </w:r>
      <w:r w:rsidR="00F65007">
        <w:t>Project S</w:t>
      </w:r>
      <w:r>
        <w:t>-TX-0001; EOTTs 3.1 and 3.5), major symptoms in males at</w:t>
      </w:r>
    </w:p>
    <w:p w:rsidR="001D1E2C" w:rsidRDefault="00263D75">
      <w:pPr>
        <w:pStyle w:val="a3"/>
        <w:spacing w:before="24" w:line="261" w:lineRule="auto"/>
        <w:ind w:left="512" w:right="1732"/>
      </w:pPr>
      <w:r>
        <w:t xml:space="preserve">≥ 1000 mg/kg and in females at ≥ 100 mg/kg were </w:t>
      </w:r>
      <w:proofErr w:type="spellStart"/>
      <w:r>
        <w:t>clonic</w:t>
      </w:r>
      <w:proofErr w:type="spellEnd"/>
      <w:r>
        <w:t xml:space="preserve"> convulsion and abnormal position, as well as a decrease in spontaneous activity and ataxic gait in males at ≥ 300 mg/kg and in females at ≥ 100 mg/kg. The approximate lethal dose (LD) level in rats was 1000 mg/kg of </w:t>
      </w:r>
      <w:r w:rsidR="00F65007">
        <w:t>PROJECT S</w:t>
      </w:r>
      <w:r>
        <w:t xml:space="preserve"> for males and 300 mg/kg for females.</w:t>
      </w:r>
    </w:p>
    <w:p w:rsidR="001D1E2C" w:rsidRDefault="00263D75">
      <w:pPr>
        <w:pStyle w:val="3"/>
        <w:numPr>
          <w:ilvl w:val="3"/>
          <w:numId w:val="38"/>
        </w:numPr>
        <w:tabs>
          <w:tab w:val="left" w:pos="1365"/>
        </w:tabs>
        <w:spacing w:before="121"/>
      </w:pPr>
      <w:bookmarkStart w:id="13" w:name="4.6.1.2_Dogs"/>
      <w:bookmarkStart w:id="14" w:name="_bookmark41"/>
      <w:bookmarkEnd w:id="13"/>
      <w:bookmarkEnd w:id="14"/>
      <w:r>
        <w:t>Dogs</w:t>
      </w:r>
    </w:p>
    <w:p w:rsidR="001D1E2C" w:rsidRDefault="00263D75">
      <w:pPr>
        <w:pStyle w:val="a3"/>
        <w:spacing w:before="140" w:line="261" w:lineRule="auto"/>
        <w:ind w:left="512" w:right="1660"/>
      </w:pPr>
      <w:r>
        <w:t xml:space="preserve">In a study in dogs (Study </w:t>
      </w:r>
      <w:r w:rsidR="00F65007">
        <w:t>Project S</w:t>
      </w:r>
      <w:r>
        <w:t xml:space="preserve">-TX-0002; EOTTs 3.1 and 3.5), there was no toxicologically significant finding at 30 mg/kg. At 100 and 200 mg/kg, all animals showed tonic convulsion, resulting in death in 1 male at 100 mg/kg and in 1 female at 200 mg/kg. The other surviving male and female also showed vomiting, decrease in locomotor activity, staggering gait, lateral position or salivation. </w:t>
      </w:r>
      <w:r>
        <w:rPr>
          <w:spacing w:val="-3"/>
        </w:rPr>
        <w:t xml:space="preserve">In </w:t>
      </w:r>
      <w:r>
        <w:t>the 100 mg/kg female, prolongation of QT and QTc was noted. The approximate LD level in dogs was 100</w:t>
      </w:r>
      <w:r>
        <w:rPr>
          <w:spacing w:val="-4"/>
        </w:rPr>
        <w:t xml:space="preserve"> </w:t>
      </w:r>
      <w:r>
        <w:t>mg/kg.</w:t>
      </w:r>
    </w:p>
    <w:p w:rsidR="001D1E2C" w:rsidRDefault="00263D75">
      <w:pPr>
        <w:pStyle w:val="a3"/>
        <w:spacing w:before="115" w:line="261" w:lineRule="auto"/>
        <w:ind w:left="512" w:right="1889"/>
      </w:pPr>
      <w:r>
        <w:t xml:space="preserve">After a single intravenous administration at 3 mg/kg to dogs (Study </w:t>
      </w:r>
      <w:r w:rsidR="00F65007">
        <w:t>Project S</w:t>
      </w:r>
      <w:r>
        <w:t>-TX-0018; EOTT 3.1, and 3.5), no vomiting occurred and no abnormalities were found. The plasma concentration at 0.1 hour after dosing (C</w:t>
      </w:r>
      <w:r>
        <w:rPr>
          <w:vertAlign w:val="subscript"/>
        </w:rPr>
        <w:t>0.l</w:t>
      </w:r>
      <w:r>
        <w:t xml:space="preserve"> </w:t>
      </w:r>
      <w:r>
        <w:rPr>
          <w:vertAlign w:val="subscript"/>
        </w:rPr>
        <w:t>h</w:t>
      </w:r>
      <w:r>
        <w:t>) ranged from 664.3 to 984.6 ng/mL.</w:t>
      </w:r>
    </w:p>
    <w:p w:rsidR="001D1E2C" w:rsidRDefault="00263D75">
      <w:pPr>
        <w:pStyle w:val="3"/>
        <w:numPr>
          <w:ilvl w:val="2"/>
          <w:numId w:val="38"/>
        </w:numPr>
        <w:tabs>
          <w:tab w:val="left" w:pos="1364"/>
          <w:tab w:val="left" w:pos="1365"/>
        </w:tabs>
        <w:spacing w:before="122"/>
      </w:pPr>
      <w:bookmarkStart w:id="15" w:name="4.6.2_Repeat-dose_Toxicity"/>
      <w:bookmarkStart w:id="16" w:name="_bookmark42"/>
      <w:bookmarkEnd w:id="15"/>
      <w:bookmarkEnd w:id="16"/>
      <w:r>
        <w:t>Repeat-dose</w:t>
      </w:r>
      <w:r>
        <w:rPr>
          <w:spacing w:val="-2"/>
        </w:rPr>
        <w:t xml:space="preserve"> </w:t>
      </w:r>
      <w:r>
        <w:t>Toxicity</w:t>
      </w:r>
    </w:p>
    <w:p w:rsidR="001D1E2C" w:rsidRDefault="00263D75">
      <w:pPr>
        <w:pStyle w:val="a3"/>
        <w:spacing w:before="139" w:line="261" w:lineRule="auto"/>
        <w:ind w:left="512" w:right="1696"/>
      </w:pPr>
      <w:r>
        <w:t>Exploratory oral repeated dose range-finding studies were conducted with AS203</w:t>
      </w:r>
      <w:r w:rsidR="00F65007">
        <w:t>Project S</w:t>
      </w:r>
      <w:r>
        <w:t>-</w:t>
      </w:r>
      <w:r>
        <w:lastRenderedPageBreak/>
        <w:t xml:space="preserve">TA (D-tartrate of </w:t>
      </w:r>
      <w:r w:rsidR="00F65007">
        <w:t>PROJECT S</w:t>
      </w:r>
      <w:r>
        <w:t xml:space="preserve">) in rats and dogs. At the start of Good Laboratory Practices (GLP) toxicity studies, the salt form was changed from D-tartrate to L-tartrate, and definitive 4- and 13-week oral repeated dose toxicity studies in both rats and dogs were conducted with </w:t>
      </w:r>
      <w:r w:rsidR="00F65007">
        <w:t>Project S</w:t>
      </w:r>
      <w:r>
        <w:t>.</w:t>
      </w:r>
    </w:p>
    <w:p w:rsidR="001D1E2C" w:rsidRDefault="00263D75">
      <w:pPr>
        <w:pStyle w:val="3"/>
        <w:numPr>
          <w:ilvl w:val="3"/>
          <w:numId w:val="38"/>
        </w:numPr>
        <w:tabs>
          <w:tab w:val="left" w:pos="1365"/>
        </w:tabs>
        <w:spacing w:before="121"/>
      </w:pPr>
      <w:bookmarkStart w:id="17" w:name="4.6.2.1_Repeat-dose_Toxicity_in_Rats"/>
      <w:bookmarkStart w:id="18" w:name="_bookmark43"/>
      <w:bookmarkEnd w:id="17"/>
      <w:bookmarkEnd w:id="18"/>
      <w:r>
        <w:t>Repeat-dose Toxicity in</w:t>
      </w:r>
      <w:r>
        <w:rPr>
          <w:spacing w:val="-1"/>
        </w:rPr>
        <w:t xml:space="preserve"> </w:t>
      </w:r>
      <w:r>
        <w:t>Rats</w:t>
      </w:r>
    </w:p>
    <w:p w:rsidR="001D1E2C" w:rsidRDefault="00263D75">
      <w:pPr>
        <w:pStyle w:val="3"/>
        <w:numPr>
          <w:ilvl w:val="4"/>
          <w:numId w:val="38"/>
        </w:numPr>
        <w:tabs>
          <w:tab w:val="left" w:pos="1645"/>
          <w:tab w:val="left" w:pos="1646"/>
        </w:tabs>
      </w:pPr>
      <w:bookmarkStart w:id="19" w:name="4.6.2.1.1_Exploratory_1-week_Oral_Dose_R"/>
      <w:bookmarkStart w:id="20" w:name="_bookmark44"/>
      <w:bookmarkEnd w:id="19"/>
      <w:bookmarkEnd w:id="20"/>
      <w:r>
        <w:t>Exploratory 1-week Oral Dose Range Finding</w:t>
      </w:r>
      <w:r>
        <w:rPr>
          <w:spacing w:val="-3"/>
        </w:rPr>
        <w:t xml:space="preserve"> </w:t>
      </w:r>
      <w:r>
        <w:t>Study</w:t>
      </w:r>
    </w:p>
    <w:p w:rsidR="001D1E2C" w:rsidRDefault="00263D75" w:rsidP="00263D75">
      <w:pPr>
        <w:pStyle w:val="a3"/>
        <w:spacing w:before="139" w:line="261" w:lineRule="auto"/>
        <w:ind w:left="512" w:right="1798"/>
      </w:pPr>
      <w:r>
        <w:t xml:space="preserve">In a 1-week oral dose range finding (exploratory) study in rats (Study </w:t>
      </w:r>
      <w:r w:rsidR="00F65007">
        <w:t>Project S</w:t>
      </w:r>
      <w:r>
        <w:t xml:space="preserve">-TX-0015; EOTT 3.1 and 3.6), symptoms at 100 mg/kg were salivation, prone position, </w:t>
      </w:r>
      <w:proofErr w:type="spellStart"/>
      <w:r>
        <w:t>blepharophimosis</w:t>
      </w:r>
      <w:proofErr w:type="spellEnd"/>
      <w:r>
        <w:t xml:space="preserve"> and ataxic gait. In males, there was </w:t>
      </w:r>
      <w:proofErr w:type="spellStart"/>
      <w:r>
        <w:t>hypomyotonia</w:t>
      </w:r>
      <w:proofErr w:type="spellEnd"/>
      <w:r>
        <w:t>; in females, there was decreased locomotor activity, increased aspartate aminotransferase (AST) and increased mucus secretion in the fundus of stomach. At 300 mg/kg, 2 females died 0.5 or 1.5 hours</w:t>
      </w:r>
      <w:r>
        <w:rPr>
          <w:rFonts w:ascii="ＭＳ 明朝" w:eastAsia="ＭＳ 明朝" w:hAnsi="ＭＳ 明朝" w:cs="ＭＳ 明朝" w:hint="eastAsia"/>
          <w:lang w:eastAsia="ja-JP"/>
        </w:rPr>
        <w:t xml:space="preserve">　</w:t>
      </w:r>
      <w:r>
        <w:t xml:space="preserve">after dosing on day 1; the remaining 2 females were sacrificed in extremis 3 hours after dosing. In addition to the observations made at 100 mg/kg, the following were observed: In both sexes, there was mydriasis. </w:t>
      </w:r>
      <w:r>
        <w:rPr>
          <w:spacing w:val="-3"/>
        </w:rPr>
        <w:t xml:space="preserve">In </w:t>
      </w:r>
      <w:r>
        <w:t xml:space="preserve">males, suppression of body weight gain, decrease in total protein and increased relative weight of the liver and centrilobular hypertrophy of hepatocytes were observed. In females, </w:t>
      </w:r>
      <w:proofErr w:type="spellStart"/>
      <w:r>
        <w:t>hypomyotonia</w:t>
      </w:r>
      <w:proofErr w:type="spellEnd"/>
      <w:r>
        <w:t xml:space="preserve">, lateral position, bradypnea, rigidity of limbs, lacrimation, gnawing motion, trauma (nose), increases in alanine aminotransferase (ALT) and glucose, decreases in sodium and chloride, </w:t>
      </w:r>
      <w:proofErr w:type="spellStart"/>
      <w:r>
        <w:t>sporadical</w:t>
      </w:r>
      <w:proofErr w:type="spellEnd"/>
      <w:r>
        <w:t xml:space="preserve"> red spot in the fundus of stomach, shortening of villi in the duodenum and atrophy in the red and white pulp of the spleen were observed. The plasma unchanged drug concentrations after single and 1-week dosing regimens reached </w:t>
      </w:r>
      <w:proofErr w:type="spellStart"/>
      <w:r>
        <w:t>C</w:t>
      </w:r>
      <w:r>
        <w:rPr>
          <w:vertAlign w:val="subscript"/>
        </w:rPr>
        <w:t>max</w:t>
      </w:r>
      <w:proofErr w:type="spellEnd"/>
      <w:r>
        <w:t xml:space="preserve"> rapidly and showed a tendency to increase with increased dose except for the 300 mg/kg male on single dosing; plasma unchanged drug concentration was higher in females than in males. No differences were observed between single and repeated dosing.</w:t>
      </w:r>
    </w:p>
    <w:p w:rsidR="001D1E2C" w:rsidRDefault="00263D75">
      <w:pPr>
        <w:pStyle w:val="3"/>
        <w:numPr>
          <w:ilvl w:val="4"/>
          <w:numId w:val="38"/>
        </w:numPr>
        <w:tabs>
          <w:tab w:val="left" w:pos="1645"/>
          <w:tab w:val="left" w:pos="1646"/>
        </w:tabs>
        <w:spacing w:before="115"/>
      </w:pPr>
      <w:bookmarkStart w:id="21" w:name="4.6.2.1.2_Definitive_4-week_Oral_Toxicit"/>
      <w:bookmarkStart w:id="22" w:name="_bookmark45"/>
      <w:bookmarkEnd w:id="21"/>
      <w:bookmarkEnd w:id="22"/>
      <w:r>
        <w:t>Definitive 4-week Oral Toxicity</w:t>
      </w:r>
      <w:r>
        <w:rPr>
          <w:spacing w:val="-4"/>
        </w:rPr>
        <w:t xml:space="preserve"> </w:t>
      </w:r>
      <w:r>
        <w:t>Study</w:t>
      </w:r>
    </w:p>
    <w:p w:rsidR="001D1E2C" w:rsidRDefault="00263D75">
      <w:pPr>
        <w:pStyle w:val="a3"/>
        <w:spacing w:before="139" w:line="261" w:lineRule="auto"/>
        <w:ind w:left="512" w:right="1596"/>
      </w:pPr>
      <w:r>
        <w:t xml:space="preserve">In a 4-week repeat-dose oral toxicity study in rats (Study </w:t>
      </w:r>
      <w:r w:rsidR="00F65007">
        <w:t>Project S</w:t>
      </w:r>
      <w:r>
        <w:t>-TX-0004</w:t>
      </w:r>
      <w:r>
        <w:rPr>
          <w:b/>
        </w:rPr>
        <w:t xml:space="preserve">; </w:t>
      </w:r>
      <w:r>
        <w:t xml:space="preserve">EOTTs 3.1, 3.3, 3.4 and 3.7.1), </w:t>
      </w:r>
      <w:proofErr w:type="spellStart"/>
      <w:r>
        <w:t>clonic</w:t>
      </w:r>
      <w:proofErr w:type="spellEnd"/>
      <w:r>
        <w:t xml:space="preserve"> convulsion, ataxic gait, abnormal position (prone or lateral position), decreased spontaneous activity, salivation, mydriasis, suppression of body weight gain, low food consumption, high urine volume with low specific gravity, high leukocyte count (mainly due to lymphocyte count), high total cholesterol and high kidney weight were observed in both sexes at 300 mg/kg. In males at 300 mg/kg, there was shortened prothrombin time and activated partial thromboplastin time and elevated serum inorganic phosphorus, calcium and potassium; in females at 300 mg/kg, 3 animals died within 2 hours after dosing on day 1,</w:t>
      </w:r>
    </w:p>
    <w:p w:rsidR="001D1E2C" w:rsidRDefault="00263D75">
      <w:pPr>
        <w:pStyle w:val="a3"/>
        <w:spacing w:line="269" w:lineRule="exact"/>
        <w:ind w:left="512"/>
      </w:pPr>
      <w:r>
        <w:t>20 or 22 of dosing; high adrenal and ovary weights were observed in survivors.</w:t>
      </w:r>
      <w:r>
        <w:rPr>
          <w:spacing w:val="52"/>
        </w:rPr>
        <w:t xml:space="preserve"> </w:t>
      </w:r>
      <w:r>
        <w:t>At</w:t>
      </w:r>
    </w:p>
    <w:p w:rsidR="001D1E2C" w:rsidRDefault="00263D75">
      <w:pPr>
        <w:pStyle w:val="a3"/>
        <w:spacing w:before="24" w:line="261" w:lineRule="auto"/>
        <w:ind w:left="512" w:right="1775"/>
      </w:pPr>
      <w:r>
        <w:t xml:space="preserve">1000 mg/kg, almost all animals died, mainly within 2 hours after dosing by day 8 of dosing. </w:t>
      </w:r>
      <w:proofErr w:type="spellStart"/>
      <w:r>
        <w:t>Clonic</w:t>
      </w:r>
      <w:proofErr w:type="spellEnd"/>
      <w:r>
        <w:t xml:space="preserve"> convulsion, ataxic gait, abnormal position (prone or lateral position), decrease in spontaneous activity, salivation, mydriasis, emaciation, decrease in stool volume, trace of reddish rhinorrhea, perineal region soiled by urine, decrease in body weight and low food consumption were observed.</w:t>
      </w:r>
    </w:p>
    <w:p w:rsidR="001D1E2C" w:rsidRDefault="00263D75" w:rsidP="00263D75">
      <w:pPr>
        <w:pStyle w:val="a3"/>
        <w:spacing w:before="116" w:line="261" w:lineRule="auto"/>
        <w:ind w:left="512" w:right="1674"/>
      </w:pPr>
      <w:r>
        <w:t xml:space="preserve">Changes considered related to drug metabolizing enzyme induction included hypertrophy of the centrilobular hepatocytes in ≥ 30 mg/kg males and in ≥ 100 mg/kg females; high liver weight in ≥ 100 mg/kg males and in 300 mg/kg females; high total cholesterol observed in males and females at 300 mg/kg and high inorganic phosphorous, calcium and potassium in </w:t>
      </w:r>
      <w:r>
        <w:lastRenderedPageBreak/>
        <w:t xml:space="preserve">males. All findings noted during the dosing period in 300 mg/kg females resolved after drug withdrawal. The NOAEL was 100 mg/kg/day </w:t>
      </w:r>
      <w:r w:rsidR="00F65007">
        <w:t>PROJECT S</w:t>
      </w:r>
      <w:r>
        <w:t xml:space="preserve">. In toxicokinetics, </w:t>
      </w:r>
      <w:proofErr w:type="spellStart"/>
      <w:r>
        <w:t>C</w:t>
      </w:r>
      <w:r>
        <w:rPr>
          <w:vertAlign w:val="subscript"/>
        </w:rPr>
        <w:t>max</w:t>
      </w:r>
      <w:proofErr w:type="spellEnd"/>
      <w:r>
        <w:t xml:space="preserve"> increased less than dose-proportionally in both sexes on days 1, 14 and 28 of dosing, except at 30, 100 and 1000 mg/kg on day 1 of dosing. </w:t>
      </w:r>
      <w:proofErr w:type="spellStart"/>
      <w:r>
        <w:t>C</w:t>
      </w:r>
      <w:r>
        <w:rPr>
          <w:vertAlign w:val="subscript"/>
        </w:rPr>
        <w:t>max</w:t>
      </w:r>
      <w:proofErr w:type="spellEnd"/>
      <w:r>
        <w:t xml:space="preserve"> at 30 and 100 mg/kg on day 1 of dosing increased more than dose-proportionally and </w:t>
      </w:r>
      <w:proofErr w:type="spellStart"/>
      <w:r>
        <w:t>C</w:t>
      </w:r>
      <w:r>
        <w:rPr>
          <w:vertAlign w:val="subscript"/>
        </w:rPr>
        <w:t>max</w:t>
      </w:r>
      <w:proofErr w:type="spellEnd"/>
      <w:r>
        <w:t xml:space="preserve"> at 1000 mg/kg on day 1 of dosing was similar to that at 300 mg/kg. Area under the plasma concentration-time curve from 0 to 24 hours after dosing (AUC</w:t>
      </w:r>
      <w:r>
        <w:rPr>
          <w:vertAlign w:val="subscript"/>
        </w:rPr>
        <w:t>24</w:t>
      </w:r>
      <w:r>
        <w:t xml:space="preserve">) increased more than dose-proportionally in both sexes on days 1, 14 and 28 of dosing. </w:t>
      </w:r>
      <w:proofErr w:type="spellStart"/>
      <w:r>
        <w:t>C</w:t>
      </w:r>
      <w:r>
        <w:rPr>
          <w:vertAlign w:val="subscript"/>
        </w:rPr>
        <w:t>max</w:t>
      </w:r>
      <w:proofErr w:type="spellEnd"/>
      <w:r>
        <w:t xml:space="preserve"> and AUC</w:t>
      </w:r>
      <w:r>
        <w:rPr>
          <w:vertAlign w:val="subscript"/>
        </w:rPr>
        <w:t>24</w:t>
      </w:r>
      <w:r>
        <w:t xml:space="preserve"> were higher in females than in males on days 1, 14 and 28 of dosing, except for the </w:t>
      </w:r>
      <w:proofErr w:type="spellStart"/>
      <w:r>
        <w:t>C</w:t>
      </w:r>
      <w:r>
        <w:rPr>
          <w:vertAlign w:val="subscript"/>
        </w:rPr>
        <w:t>max</w:t>
      </w:r>
      <w:proofErr w:type="spellEnd"/>
      <w:r>
        <w:t xml:space="preserve"> at 300 mg/kg on day 1 of dosing, which was similar in males and</w:t>
      </w:r>
      <w:r>
        <w:rPr>
          <w:rFonts w:ascii="ＭＳ 明朝" w:eastAsia="ＭＳ 明朝" w:hAnsi="ＭＳ 明朝" w:cs="ＭＳ 明朝" w:hint="eastAsia"/>
          <w:lang w:eastAsia="ja-JP"/>
        </w:rPr>
        <w:t xml:space="preserve">　</w:t>
      </w:r>
      <w:r>
        <w:t xml:space="preserve">females. </w:t>
      </w:r>
      <w:proofErr w:type="spellStart"/>
      <w:r>
        <w:t>C</w:t>
      </w:r>
      <w:r>
        <w:rPr>
          <w:vertAlign w:val="subscript"/>
        </w:rPr>
        <w:t>max</w:t>
      </w:r>
      <w:proofErr w:type="spellEnd"/>
      <w:r>
        <w:t xml:space="preserve"> and AUC</w:t>
      </w:r>
      <w:r>
        <w:rPr>
          <w:vertAlign w:val="subscript"/>
        </w:rPr>
        <w:t>24</w:t>
      </w:r>
      <w:r>
        <w:t xml:space="preserve"> were almost constant or slightly decreased during the dosing period (EOTT 3.5).</w:t>
      </w:r>
    </w:p>
    <w:p w:rsidR="001D1E2C" w:rsidRDefault="00263D75">
      <w:pPr>
        <w:pStyle w:val="3"/>
        <w:numPr>
          <w:ilvl w:val="4"/>
          <w:numId w:val="38"/>
        </w:numPr>
        <w:tabs>
          <w:tab w:val="left" w:pos="1645"/>
          <w:tab w:val="left" w:pos="1646"/>
        </w:tabs>
        <w:spacing w:before="124"/>
      </w:pPr>
      <w:bookmarkStart w:id="23" w:name="4.6.2.1.3_Definitive_13-week_Oral_Toxici"/>
      <w:bookmarkStart w:id="24" w:name="_bookmark46"/>
      <w:bookmarkEnd w:id="23"/>
      <w:bookmarkEnd w:id="24"/>
      <w:r>
        <w:t>Definitive 13-week Oral Toxicity</w:t>
      </w:r>
      <w:r>
        <w:rPr>
          <w:spacing w:val="-2"/>
        </w:rPr>
        <w:t xml:space="preserve"> </w:t>
      </w:r>
      <w:r>
        <w:t>Study</w:t>
      </w:r>
    </w:p>
    <w:p w:rsidR="001D1E2C" w:rsidRDefault="00263D75">
      <w:pPr>
        <w:pStyle w:val="a3"/>
        <w:spacing w:before="139" w:line="261" w:lineRule="auto"/>
        <w:ind w:left="512" w:right="1927"/>
        <w:jc w:val="both"/>
      </w:pPr>
      <w:r>
        <w:t xml:space="preserve">When </w:t>
      </w:r>
      <w:r w:rsidR="00F65007">
        <w:t>PROJECT S</w:t>
      </w:r>
      <w:r>
        <w:t xml:space="preserve"> was administered to rats for 13 weeks (Study </w:t>
      </w:r>
      <w:r w:rsidR="00F65007">
        <w:t>Project S</w:t>
      </w:r>
      <w:r>
        <w:t>-TX-0021; EOTTs 3.1, 3.3, 3.4 and 3.7.3) no test article-related changes were observed in males at 10 mg/kg or in females at 10 or 30 mg/kg.</w:t>
      </w:r>
    </w:p>
    <w:p w:rsidR="001D1E2C" w:rsidRDefault="00263D75">
      <w:pPr>
        <w:pStyle w:val="a3"/>
        <w:spacing w:before="117"/>
        <w:ind w:left="512"/>
      </w:pPr>
      <w:r>
        <w:t>At 30 mg/kg, low triglycerides were observed in males.</w:t>
      </w:r>
    </w:p>
    <w:p w:rsidR="001D1E2C" w:rsidRDefault="00263D75">
      <w:pPr>
        <w:pStyle w:val="a3"/>
        <w:spacing w:before="144" w:line="261" w:lineRule="auto"/>
        <w:ind w:left="512" w:right="1690"/>
      </w:pPr>
      <w:r>
        <w:t xml:space="preserve">At 100 mg/kg, low triglycerides, high total cholesterol and calcium, dark discoloration of the lacrimal gland, atrophy of the acinar cells in the lacrimal gland, and increased vacuolation in the adrenal zona fasciculata cells were observed in males, and a decrease in spontaneous activity and ataxic gait in 1 female and </w:t>
      </w:r>
      <w:proofErr w:type="spellStart"/>
      <w:r>
        <w:t>clonic</w:t>
      </w:r>
      <w:proofErr w:type="spellEnd"/>
      <w:r>
        <w:t xml:space="preserve"> convulsion in another female (satellite group) were observed on 1 day.</w:t>
      </w:r>
    </w:p>
    <w:p w:rsidR="001D1E2C" w:rsidRDefault="00263D75">
      <w:pPr>
        <w:pStyle w:val="a3"/>
        <w:spacing w:before="116" w:line="261" w:lineRule="auto"/>
        <w:ind w:left="512" w:right="1690"/>
      </w:pPr>
      <w:r>
        <w:t xml:space="preserve">At 300 mg/kg (males) and 200 mg/kg (females), 1 male and 4 females died within 2 hours of dosing on Day 2, 17, 39, 65, or 86 of dosing, and </w:t>
      </w:r>
      <w:proofErr w:type="spellStart"/>
      <w:r>
        <w:t>clonic</w:t>
      </w:r>
      <w:proofErr w:type="spellEnd"/>
      <w:r>
        <w:t xml:space="preserve"> convulsion was observed in these animals before death. For the animals that died and survived, </w:t>
      </w:r>
      <w:proofErr w:type="spellStart"/>
      <w:r>
        <w:t>clonic</w:t>
      </w:r>
      <w:proofErr w:type="spellEnd"/>
      <w:r>
        <w:t xml:space="preserve"> convulsion, ataxic gait, abnormal position (prone or lateral position), a decrease in spontaneous activity, salivation, and high total cholesterol were observed in both sexes. In males, a decrease in stool volume, emaciation, and trace of reddish rhinorrhea in 1 male and mydriasis in another male were observed, and low body weight, low food consumption, low triglycerides, high calcium and inorganic phosphorus, dark discoloration of the lacrimal gland with atrophy of the acinar cells in the lacrimal gland, and increased vacuolation in the adrenal zona fasciculata cells were observed. In females, high adrenal and kidney weights were observed.</w:t>
      </w:r>
    </w:p>
    <w:p w:rsidR="001D1E2C" w:rsidRDefault="00263D75">
      <w:pPr>
        <w:pStyle w:val="a3"/>
        <w:spacing w:before="112" w:line="261" w:lineRule="auto"/>
        <w:ind w:left="512" w:right="1648"/>
      </w:pPr>
      <w:r>
        <w:t>Other than those stated above, the following changes considered to be related to drug metabolizing enzyme induction were observed: high liver weight in males and females at  100 mg/kg and more, and hypertrophy of the centrilobular hepatocytes in males at 300 mg/kg and females at 200</w:t>
      </w:r>
      <w:r>
        <w:rPr>
          <w:spacing w:val="-5"/>
        </w:rPr>
        <w:t xml:space="preserve"> </w:t>
      </w:r>
      <w:r>
        <w:t>mg/kg.</w:t>
      </w:r>
    </w:p>
    <w:p w:rsidR="001D1E2C" w:rsidRDefault="00263D75">
      <w:pPr>
        <w:pStyle w:val="a3"/>
        <w:spacing w:before="117" w:line="261" w:lineRule="auto"/>
        <w:ind w:left="512" w:right="1597"/>
      </w:pPr>
      <w:r>
        <w:t>The changes noted during the dosing period recovered or tended to recover during the 4-week recovery period.</w:t>
      </w:r>
    </w:p>
    <w:p w:rsidR="001D1E2C" w:rsidRDefault="00263D75">
      <w:pPr>
        <w:pStyle w:val="a3"/>
        <w:spacing w:before="118" w:line="261" w:lineRule="auto"/>
        <w:ind w:left="512" w:right="1677"/>
      </w:pPr>
      <w:r>
        <w:t xml:space="preserve">In toxicokinetics, </w:t>
      </w:r>
      <w:proofErr w:type="spellStart"/>
      <w:r>
        <w:t>C</w:t>
      </w:r>
      <w:r>
        <w:rPr>
          <w:vertAlign w:val="subscript"/>
        </w:rPr>
        <w:t>max</w:t>
      </w:r>
      <w:proofErr w:type="spellEnd"/>
      <w:r>
        <w:t xml:space="preserve"> increased dose-dependently in both sexes on Days 1, 49, and 91 of dosing, except at 100 to 300 mg/kg for males and at 30 to 100 mg/kg for females on Day 49 of dosing. There was no difference in </w:t>
      </w:r>
      <w:proofErr w:type="spellStart"/>
      <w:r>
        <w:t>C</w:t>
      </w:r>
      <w:r>
        <w:rPr>
          <w:vertAlign w:val="subscript"/>
        </w:rPr>
        <w:t>max</w:t>
      </w:r>
      <w:proofErr w:type="spellEnd"/>
      <w:r>
        <w:t xml:space="preserve"> between 100 and 300 mg/kg for males or between 30 and 100 mg/kg for females on Day 49 of dosing. AUC</w:t>
      </w:r>
      <w:r>
        <w:rPr>
          <w:vertAlign w:val="subscript"/>
        </w:rPr>
        <w:t>24</w:t>
      </w:r>
      <w:r>
        <w:t xml:space="preserve"> generally increased more than dose-proportionally in both sexes on Days 1, 49, and 91 of dosing. </w:t>
      </w:r>
      <w:proofErr w:type="spellStart"/>
      <w:r>
        <w:t>C</w:t>
      </w:r>
      <w:r>
        <w:rPr>
          <w:vertAlign w:val="subscript"/>
        </w:rPr>
        <w:t>max</w:t>
      </w:r>
      <w:proofErr w:type="spellEnd"/>
      <w:r>
        <w:t xml:space="preserve"> and AUC</w:t>
      </w:r>
      <w:r>
        <w:rPr>
          <w:vertAlign w:val="subscript"/>
        </w:rPr>
        <w:t>24</w:t>
      </w:r>
      <w:r>
        <w:t xml:space="preserve"> between </w:t>
      </w:r>
      <w:r>
        <w:lastRenderedPageBreak/>
        <w:t>the same dose levels and between the highest dose levels (males 300 mg/kg and females</w:t>
      </w:r>
    </w:p>
    <w:p w:rsidR="001D1E2C" w:rsidRDefault="00263D75" w:rsidP="00263D75">
      <w:pPr>
        <w:pStyle w:val="a3"/>
        <w:spacing w:line="261" w:lineRule="auto"/>
        <w:ind w:left="512" w:right="1660"/>
      </w:pPr>
      <w:r>
        <w:t xml:space="preserve">200 mg/kg) were higher in females than in males on Days 1, 49, and 91 of dosing, except the </w:t>
      </w:r>
      <w:proofErr w:type="spellStart"/>
      <w:r>
        <w:t>C</w:t>
      </w:r>
      <w:r>
        <w:rPr>
          <w:vertAlign w:val="subscript"/>
        </w:rPr>
        <w:t>max</w:t>
      </w:r>
      <w:proofErr w:type="spellEnd"/>
      <w:r>
        <w:t xml:space="preserve"> at 100 mg/kg on Day 49 of dosing (comparable in both sexes). </w:t>
      </w:r>
      <w:proofErr w:type="spellStart"/>
      <w:r>
        <w:t>C</w:t>
      </w:r>
      <w:r>
        <w:rPr>
          <w:vertAlign w:val="subscript"/>
        </w:rPr>
        <w:t>max</w:t>
      </w:r>
      <w:proofErr w:type="spellEnd"/>
      <w:r>
        <w:t xml:space="preserve"> and AUC</w:t>
      </w:r>
      <w:r>
        <w:rPr>
          <w:vertAlign w:val="subscript"/>
        </w:rPr>
        <w:t>24</w:t>
      </w:r>
      <w:r>
        <w:t xml:space="preserve"> were almost constant in the lowest and the second lowest dose groups and slightly decreased in the other dose groups after repeated dosing. Plasma concentrations of </w:t>
      </w:r>
      <w:r w:rsidR="00F65007">
        <w:t>PROJECT S</w:t>
      </w:r>
      <w:r>
        <w:t xml:space="preserve"> just after death in the male and females in the highest dose groups that died after showing convulsion</w:t>
      </w:r>
      <w:r>
        <w:rPr>
          <w:spacing w:val="-28"/>
        </w:rPr>
        <w:t xml:space="preserve"> </w:t>
      </w:r>
      <w:r>
        <w:t>were</w:t>
      </w:r>
      <w:r>
        <w:rPr>
          <w:rFonts w:ascii="ＭＳ 明朝" w:eastAsia="ＭＳ 明朝" w:hAnsi="ＭＳ 明朝" w:cs="ＭＳ 明朝" w:hint="eastAsia"/>
          <w:lang w:eastAsia="ja-JP"/>
        </w:rPr>
        <w:t xml:space="preserve">　</w:t>
      </w:r>
      <w:r>
        <w:t xml:space="preserve">approximately 2 to 4 times higher than </w:t>
      </w:r>
      <w:proofErr w:type="spellStart"/>
      <w:r>
        <w:t>C</w:t>
      </w:r>
      <w:r>
        <w:rPr>
          <w:vertAlign w:val="subscript"/>
        </w:rPr>
        <w:t>max</w:t>
      </w:r>
      <w:proofErr w:type="spellEnd"/>
      <w:r>
        <w:t xml:space="preserve"> values in corresponding dose groups during the dosing period.</w:t>
      </w:r>
    </w:p>
    <w:p w:rsidR="001D1E2C" w:rsidRDefault="00263D75">
      <w:pPr>
        <w:pStyle w:val="a3"/>
        <w:spacing w:before="119" w:line="261" w:lineRule="auto"/>
        <w:ind w:left="512" w:right="2195"/>
      </w:pPr>
      <w:r>
        <w:t xml:space="preserve">It was concluded that, under the conditions of this study, the NOAEL for </w:t>
      </w:r>
      <w:r w:rsidR="00F65007">
        <w:t>PROJECT S</w:t>
      </w:r>
      <w:r>
        <w:t xml:space="preserve"> was 10 mg/kg/day for males and 30 mg/kg/day for females because low triglycerides were</w:t>
      </w:r>
    </w:p>
    <w:p w:rsidR="001D1E2C" w:rsidRDefault="00263D75">
      <w:pPr>
        <w:pStyle w:val="a3"/>
        <w:spacing w:line="261" w:lineRule="auto"/>
        <w:ind w:left="512" w:right="1676"/>
        <w:jc w:val="both"/>
      </w:pPr>
      <w:r>
        <w:t>observed in males at 30 mg/kg and convulsion, a decrease in spontaneous activity, and ataxic gait were each observed once in 1 female at 100 mg/kg. The changes noted during the dosing period were reversible.</w:t>
      </w:r>
    </w:p>
    <w:p w:rsidR="001D1E2C" w:rsidRDefault="00263D75">
      <w:pPr>
        <w:pStyle w:val="3"/>
        <w:numPr>
          <w:ilvl w:val="3"/>
          <w:numId w:val="37"/>
        </w:numPr>
        <w:tabs>
          <w:tab w:val="left" w:pos="1365"/>
        </w:tabs>
        <w:spacing w:before="120"/>
      </w:pPr>
      <w:bookmarkStart w:id="25" w:name="4.6.2.2_Repeat-dose_Toxicity_in_Dogs"/>
      <w:bookmarkStart w:id="26" w:name="_bookmark47"/>
      <w:bookmarkEnd w:id="25"/>
      <w:bookmarkEnd w:id="26"/>
      <w:r>
        <w:t>Repeat-dose Toxicity in</w:t>
      </w:r>
      <w:r>
        <w:rPr>
          <w:spacing w:val="-2"/>
        </w:rPr>
        <w:t xml:space="preserve"> </w:t>
      </w:r>
      <w:r>
        <w:t>Dogs</w:t>
      </w:r>
    </w:p>
    <w:p w:rsidR="001D1E2C" w:rsidRDefault="00263D75">
      <w:pPr>
        <w:pStyle w:val="3"/>
        <w:numPr>
          <w:ilvl w:val="4"/>
          <w:numId w:val="37"/>
        </w:numPr>
        <w:tabs>
          <w:tab w:val="left" w:pos="1645"/>
          <w:tab w:val="left" w:pos="1646"/>
        </w:tabs>
      </w:pPr>
      <w:bookmarkStart w:id="27" w:name="4.6.2.2.1_Exploratory_1-week_Oral_Dose_R"/>
      <w:bookmarkStart w:id="28" w:name="_bookmark48"/>
      <w:bookmarkEnd w:id="27"/>
      <w:bookmarkEnd w:id="28"/>
      <w:r>
        <w:t>Exploratory 1-week Oral Dose Range Finding</w:t>
      </w:r>
      <w:r>
        <w:rPr>
          <w:spacing w:val="-3"/>
        </w:rPr>
        <w:t xml:space="preserve"> </w:t>
      </w:r>
      <w:r>
        <w:t>Studies</w:t>
      </w:r>
    </w:p>
    <w:p w:rsidR="001D1E2C" w:rsidRDefault="00263D75">
      <w:pPr>
        <w:pStyle w:val="a3"/>
        <w:spacing w:before="140" w:line="261" w:lineRule="auto"/>
        <w:ind w:left="512" w:right="1669"/>
      </w:pPr>
      <w:r>
        <w:t xml:space="preserve">In the 1-week oral dose range-finding study in dogs (Study </w:t>
      </w:r>
      <w:r w:rsidR="00F65007">
        <w:t>Project S</w:t>
      </w:r>
      <w:r>
        <w:t xml:space="preserve">-TX-0016; EOTT 3.1), vomiting was observed from the lowest dose of 5 mg/kg onward. Salivation, ataxic gait, decreased locomotor activity, tonic convulsion, prone position, lateral position, increased heart rate and elevated ALT were found at ≥ 30 mg/kg. At 30 mg/kg, tremor, decreased food consumption and increased white blood cells (neutrophil) were also detected. The female at 100 mg/kg was sacrificed in extremis at approximately 1 hour after dosing on day 1 and showed loss of locomotor activity, inability to stand, bradypnea, increases in reticulocyte, AST and glucose and decreases in K and Cl. </w:t>
      </w:r>
      <w:proofErr w:type="spellStart"/>
      <w:r>
        <w:t>C</w:t>
      </w:r>
      <w:r>
        <w:rPr>
          <w:vertAlign w:val="subscript"/>
        </w:rPr>
        <w:t>max</w:t>
      </w:r>
      <w:proofErr w:type="spellEnd"/>
      <w:r>
        <w:t xml:space="preserve"> and AUC</w:t>
      </w:r>
      <w:r>
        <w:rPr>
          <w:vertAlign w:val="subscript"/>
        </w:rPr>
        <w:t>24</w:t>
      </w:r>
      <w:r>
        <w:t xml:space="preserve"> values on days 1 and 7 increased in a dose-dependent manner in most animals. There were no apparent differences between 5 and 10 mg/kg doses in males. </w:t>
      </w:r>
      <w:proofErr w:type="spellStart"/>
      <w:r>
        <w:t>C</w:t>
      </w:r>
      <w:r>
        <w:rPr>
          <w:vertAlign w:val="subscript"/>
        </w:rPr>
        <w:t>max</w:t>
      </w:r>
      <w:proofErr w:type="spellEnd"/>
      <w:r>
        <w:t xml:space="preserve"> and AUC</w:t>
      </w:r>
      <w:r>
        <w:rPr>
          <w:vertAlign w:val="subscript"/>
        </w:rPr>
        <w:t>24</w:t>
      </w:r>
      <w:r>
        <w:t xml:space="preserve"> values increased slightly after repeat dosing; no gender differences were observed in these parameters.</w:t>
      </w:r>
    </w:p>
    <w:p w:rsidR="001D1E2C" w:rsidRDefault="00263D75">
      <w:pPr>
        <w:pStyle w:val="a3"/>
        <w:spacing w:before="111" w:line="261" w:lineRule="auto"/>
        <w:ind w:left="512" w:right="1643"/>
      </w:pPr>
      <w:r>
        <w:t xml:space="preserve">In the 1-week oral dose range-finding study at 0.5 and 2 mg/kg in dogs (Study </w:t>
      </w:r>
      <w:r w:rsidR="00F65007">
        <w:t>Project S</w:t>
      </w:r>
      <w:r>
        <w:t xml:space="preserve">-TX- 0017; EOTT 3.1), plasma drug concentrations after single and 1-week dosing regimens reached </w:t>
      </w:r>
      <w:proofErr w:type="spellStart"/>
      <w:r>
        <w:t>C</w:t>
      </w:r>
      <w:r>
        <w:rPr>
          <w:vertAlign w:val="subscript"/>
        </w:rPr>
        <w:t>max</w:t>
      </w:r>
      <w:proofErr w:type="spellEnd"/>
      <w:r>
        <w:t xml:space="preserve"> rapidly and increased with increasing dose. No differences were observed between single and repeated dosing and no clear differences between the sexes in plasma unchanged drug concentrations were observed. No treatment-related vomiting was observed up to 2 mg/kg.</w:t>
      </w:r>
    </w:p>
    <w:p w:rsidR="001D1E2C" w:rsidRPr="00F65007" w:rsidRDefault="00263D75">
      <w:pPr>
        <w:pStyle w:val="3"/>
        <w:numPr>
          <w:ilvl w:val="4"/>
          <w:numId w:val="37"/>
        </w:numPr>
        <w:tabs>
          <w:tab w:val="left" w:pos="1645"/>
          <w:tab w:val="left" w:pos="1646"/>
        </w:tabs>
        <w:spacing w:before="120"/>
        <w:rPr>
          <w:highlight w:val="cyan"/>
        </w:rPr>
      </w:pPr>
      <w:bookmarkStart w:id="29" w:name="4.6.2.2.2_Definitive_4-week_Oral_Toxicit"/>
      <w:bookmarkStart w:id="30" w:name="_bookmark49"/>
      <w:bookmarkEnd w:id="29"/>
      <w:bookmarkEnd w:id="30"/>
      <w:r w:rsidRPr="00F65007">
        <w:rPr>
          <w:highlight w:val="cyan"/>
        </w:rPr>
        <w:t>Definitive 4-week Oral Toxicity</w:t>
      </w:r>
      <w:r w:rsidRPr="00F65007">
        <w:rPr>
          <w:spacing w:val="-2"/>
          <w:highlight w:val="cyan"/>
        </w:rPr>
        <w:t xml:space="preserve"> </w:t>
      </w:r>
      <w:r w:rsidRPr="00F65007">
        <w:rPr>
          <w:highlight w:val="cyan"/>
        </w:rPr>
        <w:t>Study</w:t>
      </w:r>
    </w:p>
    <w:p w:rsidR="001D1E2C" w:rsidRPr="00F65007" w:rsidRDefault="00263D75">
      <w:pPr>
        <w:pStyle w:val="a3"/>
        <w:spacing w:before="139"/>
        <w:ind w:left="512"/>
        <w:rPr>
          <w:highlight w:val="cyan"/>
        </w:rPr>
      </w:pPr>
      <w:r w:rsidRPr="00F65007">
        <w:rPr>
          <w:highlight w:val="cyan"/>
        </w:rPr>
        <w:t xml:space="preserve">In the 4-week repeat dose oral toxicity study in dogs (Study </w:t>
      </w:r>
      <w:r w:rsidR="00F65007" w:rsidRPr="00F65007">
        <w:rPr>
          <w:highlight w:val="cyan"/>
        </w:rPr>
        <w:t>Project S</w:t>
      </w:r>
      <w:r w:rsidRPr="00F65007">
        <w:rPr>
          <w:highlight w:val="cyan"/>
        </w:rPr>
        <w:t>-TX-0006; EOTTs 3.1, 3.3,</w:t>
      </w:r>
      <w:r w:rsidR="00F65007">
        <w:rPr>
          <w:highlight w:val="cyan"/>
        </w:rPr>
        <w:t xml:space="preserve"> </w:t>
      </w:r>
    </w:p>
    <w:p w:rsidR="001D1E2C" w:rsidRPr="00F65007" w:rsidRDefault="00263D75">
      <w:pPr>
        <w:pStyle w:val="a3"/>
        <w:spacing w:before="24" w:line="261" w:lineRule="auto"/>
        <w:ind w:left="512" w:right="2308"/>
        <w:jc w:val="both"/>
        <w:rPr>
          <w:highlight w:val="cyan"/>
        </w:rPr>
      </w:pPr>
      <w:r w:rsidRPr="00F65007">
        <w:rPr>
          <w:highlight w:val="cyan"/>
        </w:rPr>
        <w:t>3.4 and 3.7.2), at 30 mg/kg, convulsion was observed on days 16 and 26 of dosing in a female. In the female, staggering gait (on days 1, 2, 3, 8 and 28), decreased locomotor activity (on days 15, 16, 21 and 26), vomiting (21 days/4 weeks), salivation</w:t>
      </w:r>
    </w:p>
    <w:p w:rsidR="001D1E2C" w:rsidRPr="00F65007" w:rsidRDefault="00263D75">
      <w:pPr>
        <w:pStyle w:val="a3"/>
        <w:spacing w:line="261" w:lineRule="auto"/>
        <w:ind w:left="512" w:right="1596"/>
        <w:rPr>
          <w:highlight w:val="cyan"/>
        </w:rPr>
      </w:pPr>
      <w:r w:rsidRPr="00F65007">
        <w:rPr>
          <w:highlight w:val="cyan"/>
        </w:rPr>
        <w:t>(25 days/4 weeks), lower body weight and changes in electrocardiogram (ECG) (prolongations of QT and QTc intervals and an extension of QRS, at pre-dosing and/or 1 hour after dosing in week 4) were also noted. In the other animals, the following signs were observed within 1 hour after dosing on each day: staggering gait in 2 males and 1 female</w:t>
      </w:r>
    </w:p>
    <w:p w:rsidR="001D1E2C" w:rsidRDefault="00263D75" w:rsidP="00263D75">
      <w:pPr>
        <w:pStyle w:val="a3"/>
        <w:spacing w:line="261" w:lineRule="auto"/>
        <w:ind w:left="512" w:right="1603"/>
      </w:pPr>
      <w:r w:rsidRPr="00F65007">
        <w:rPr>
          <w:highlight w:val="cyan"/>
        </w:rPr>
        <w:lastRenderedPageBreak/>
        <w:t xml:space="preserve">(1 day/4 weeks), decreased locomotor activity in 1 male and 1 female (1 day/4 weeks), inability to stand in 1 male and 1 female (1 day/4 weeks), vomiting in all males and 5 females (5 to 23 days/4 weeks) and salivation in 4 males and 3 females (1 to 25 days/4 weeks) were noted. Relative liver weights were increased in 1 male and 1 female. All findings resolved after drug withdrawal. </w:t>
      </w:r>
      <w:proofErr w:type="spellStart"/>
      <w:r w:rsidRPr="00F65007">
        <w:rPr>
          <w:highlight w:val="cyan"/>
        </w:rPr>
        <w:t>C</w:t>
      </w:r>
      <w:r w:rsidRPr="00F65007">
        <w:rPr>
          <w:highlight w:val="cyan"/>
          <w:vertAlign w:val="subscript"/>
        </w:rPr>
        <w:t>max</w:t>
      </w:r>
      <w:proofErr w:type="spellEnd"/>
      <w:r w:rsidRPr="00F65007">
        <w:rPr>
          <w:highlight w:val="cyan"/>
        </w:rPr>
        <w:t xml:space="preserve"> and AUC</w:t>
      </w:r>
      <w:r w:rsidRPr="00F65007">
        <w:rPr>
          <w:highlight w:val="cyan"/>
          <w:vertAlign w:val="subscript"/>
        </w:rPr>
        <w:t>24</w:t>
      </w:r>
      <w:r w:rsidRPr="00F65007">
        <w:rPr>
          <w:highlight w:val="cyan"/>
        </w:rPr>
        <w:t xml:space="preserve"> values increased more than dose-proportionally at all</w:t>
      </w:r>
      <w:r w:rsidRPr="00F65007">
        <w:rPr>
          <w:rFonts w:ascii="ＭＳ 明朝" w:eastAsia="ＭＳ 明朝" w:hAnsi="ＭＳ 明朝" w:cs="ＭＳ 明朝" w:hint="eastAsia"/>
          <w:highlight w:val="cyan"/>
          <w:lang w:eastAsia="ja-JP"/>
        </w:rPr>
        <w:t xml:space="preserve">　</w:t>
      </w:r>
      <w:r w:rsidRPr="00F65007">
        <w:rPr>
          <w:highlight w:val="cyan"/>
        </w:rPr>
        <w:t>sampling points in both sexes, except the 3 mg/kg group in which values increased almost dose-proportionally. There was no appreciable difference between sexes. Toxicokinetic parameters were almost constant regardless of the frequency of administration. The NOAEL was 10 mg/kg/day.</w:t>
      </w:r>
    </w:p>
    <w:p w:rsidR="001D1E2C" w:rsidRDefault="00263D75">
      <w:pPr>
        <w:pStyle w:val="3"/>
        <w:tabs>
          <w:tab w:val="left" w:pos="1645"/>
        </w:tabs>
        <w:spacing w:before="122"/>
        <w:ind w:left="512"/>
      </w:pPr>
      <w:bookmarkStart w:id="31" w:name="4.6.2.2.3_Definitive_13-week_Oral_Toxici"/>
      <w:bookmarkStart w:id="32" w:name="_bookmark50"/>
      <w:bookmarkEnd w:id="31"/>
      <w:bookmarkEnd w:id="32"/>
      <w:r>
        <w:t>4.6.2.2.3</w:t>
      </w:r>
      <w:r>
        <w:tab/>
        <w:t>Definitive 13-week Oral Toxicity</w:t>
      </w:r>
      <w:r>
        <w:rPr>
          <w:spacing w:val="-2"/>
        </w:rPr>
        <w:t xml:space="preserve"> </w:t>
      </w:r>
      <w:r>
        <w:t>Study</w:t>
      </w:r>
    </w:p>
    <w:p w:rsidR="001D1E2C" w:rsidRDefault="00263D75">
      <w:pPr>
        <w:pStyle w:val="a3"/>
        <w:spacing w:before="139" w:line="261" w:lineRule="auto"/>
        <w:ind w:left="512" w:right="1843"/>
      </w:pPr>
      <w:r>
        <w:t>In the 13-week repeat dose oral toxicity study in dogs [</w:t>
      </w:r>
      <w:r w:rsidR="00F65007">
        <w:t>Project S</w:t>
      </w:r>
      <w:r>
        <w:t>-TX-0022; EOTTs 3.1, 3.3, 3.4 and 3.7.4] no test article-related changes were observed at dose levels of 3 or 10 mg/kg.</w:t>
      </w:r>
    </w:p>
    <w:p w:rsidR="001D1E2C" w:rsidRDefault="00263D75">
      <w:pPr>
        <w:pStyle w:val="a3"/>
        <w:spacing w:before="119" w:line="261" w:lineRule="auto"/>
        <w:ind w:left="512" w:right="1596"/>
      </w:pPr>
      <w:r>
        <w:t>At 30 mg/kg, tonic convulsion was noted in 1 female on 7 occasions from Days 35 to 91 at about 20 or 25 minutes after dosing; each convulsion continued for 1 to 3 minutes. A convulsion was also noted once in another female about 20 minutes after dosing on Day 26 of dosing and the convulsion continued for 4 minutes. In addition, ananastasia in 1 male and</w:t>
      </w:r>
    </w:p>
    <w:p w:rsidR="001D1E2C" w:rsidRDefault="00263D75">
      <w:pPr>
        <w:pStyle w:val="a3"/>
        <w:spacing w:line="261" w:lineRule="auto"/>
        <w:ind w:left="512" w:right="2030"/>
      </w:pPr>
      <w:proofErr w:type="gramStart"/>
      <w:r>
        <w:t>4 females,</w:t>
      </w:r>
      <w:proofErr w:type="gramEnd"/>
      <w:r>
        <w:t xml:space="preserve"> decrease in locomotor activity in 2 males and 3 females, and staggering gait in 3 males and 4 females were noted within 1 hour after dosing. Vomiting in 5 males and</w:t>
      </w:r>
    </w:p>
    <w:p w:rsidR="001D1E2C" w:rsidRDefault="00263D75">
      <w:pPr>
        <w:pStyle w:val="a3"/>
        <w:spacing w:line="261" w:lineRule="auto"/>
        <w:ind w:left="512" w:right="1663"/>
      </w:pPr>
      <w:r>
        <w:t>6 females and salivation in 2 males and 3 females were also noted within 1 hour after dosing. Abnormal stools (soft or mucous stool) were sporadically noted in 1 male and 1 female during the dosing period.</w:t>
      </w:r>
    </w:p>
    <w:p w:rsidR="001D1E2C" w:rsidRDefault="00263D75">
      <w:pPr>
        <w:pStyle w:val="a3"/>
        <w:spacing w:before="112"/>
        <w:ind w:left="512"/>
      </w:pPr>
      <w:r>
        <w:t>The findings observed in the dosing period were not observed during the recovery period.</w:t>
      </w:r>
    </w:p>
    <w:p w:rsidR="001D1E2C" w:rsidRDefault="00263D75">
      <w:pPr>
        <w:pStyle w:val="a3"/>
        <w:spacing w:before="144" w:line="261" w:lineRule="auto"/>
        <w:ind w:left="512" w:right="1614"/>
      </w:pPr>
      <w:r>
        <w:t xml:space="preserve">In the toxicokinetics, the </w:t>
      </w:r>
      <w:proofErr w:type="spellStart"/>
      <w:r>
        <w:t>C</w:t>
      </w:r>
      <w:r>
        <w:rPr>
          <w:vertAlign w:val="subscript"/>
        </w:rPr>
        <w:t>max</w:t>
      </w:r>
      <w:proofErr w:type="spellEnd"/>
      <w:r>
        <w:t xml:space="preserve"> and AUC</w:t>
      </w:r>
      <w:r>
        <w:rPr>
          <w:vertAlign w:val="subscript"/>
        </w:rPr>
        <w:t>24</w:t>
      </w:r>
      <w:r>
        <w:t xml:space="preserve"> values increased more than dose-proportionally over the dose range of 3 to 30 mg/kg. These values were almost constant after repeated dosing. There were no appreciable sex differences. Plasma samples were collected immediately after the end of each convulsion, and concentrations of the compound were measured. Those plasma concentrations were approximately 1- to 3-times higher than the mean </w:t>
      </w:r>
      <w:proofErr w:type="spellStart"/>
      <w:r>
        <w:t>C</w:t>
      </w:r>
      <w:r>
        <w:rPr>
          <w:vertAlign w:val="subscript"/>
        </w:rPr>
        <w:t>max</w:t>
      </w:r>
      <w:proofErr w:type="spellEnd"/>
      <w:r>
        <w:t xml:space="preserve"> values in females at 30 mg/kg. Moreover, these plasma concentrations were generally &gt; 2400 ng/mL, which is defined as the NOEC for convulsions (see Sectio</w:t>
      </w:r>
      <w:hyperlink w:anchor="_bookmark68" w:history="1">
        <w:r>
          <w:t>n 4.6.7.2</w:t>
        </w:r>
      </w:hyperlink>
      <w:r>
        <w:t>). One dog showed multiple convulsions, and the plasma concentration following the last convulsion was 1719 ng/mL. The lower plasma concentration suggests that repeat convulsions in this dog increased the sensitivity for next convulsions, which was considered not to impact the overall NOEC for convulsions.</w:t>
      </w:r>
    </w:p>
    <w:p w:rsidR="001D1E2C" w:rsidRDefault="00263D75">
      <w:pPr>
        <w:pStyle w:val="a3"/>
        <w:spacing w:before="111" w:line="261" w:lineRule="auto"/>
        <w:ind w:left="512" w:right="1643"/>
      </w:pPr>
      <w:r>
        <w:t>From these results, it was concluded that the NOAEL under the conditions of this study was 10 mg/kg/day. The changes noted during the dosing period were reversible.</w:t>
      </w:r>
    </w:p>
    <w:p w:rsidR="001D1E2C" w:rsidRDefault="00263D75">
      <w:pPr>
        <w:pStyle w:val="3"/>
        <w:numPr>
          <w:ilvl w:val="2"/>
          <w:numId w:val="36"/>
        </w:numPr>
        <w:tabs>
          <w:tab w:val="left" w:pos="1364"/>
          <w:tab w:val="left" w:pos="1365"/>
        </w:tabs>
        <w:spacing w:before="123"/>
      </w:pPr>
      <w:bookmarkStart w:id="33" w:name="4.6.3_Genotoxicity"/>
      <w:bookmarkStart w:id="34" w:name="_bookmark51"/>
      <w:bookmarkEnd w:id="33"/>
      <w:bookmarkEnd w:id="34"/>
      <w:r>
        <w:t>Genotoxicity</w:t>
      </w:r>
    </w:p>
    <w:p w:rsidR="001D1E2C" w:rsidRDefault="00263D75">
      <w:pPr>
        <w:pStyle w:val="a3"/>
        <w:spacing w:before="140" w:line="261" w:lineRule="auto"/>
        <w:ind w:left="512" w:right="2062"/>
      </w:pPr>
      <w:r>
        <w:t xml:space="preserve">The potential genotoxicity of </w:t>
      </w:r>
      <w:r w:rsidR="00F65007">
        <w:t>PROJECT S</w:t>
      </w:r>
      <w:r>
        <w:t xml:space="preserve"> was evaluated in studies in vitro and in vivo with </w:t>
      </w:r>
      <w:r w:rsidR="00F65007">
        <w:t>PROJECT S</w:t>
      </w:r>
      <w:r>
        <w:t>.</w:t>
      </w:r>
    </w:p>
    <w:p w:rsidR="001D1E2C" w:rsidRPr="00F65007" w:rsidRDefault="00263D75">
      <w:pPr>
        <w:pStyle w:val="3"/>
        <w:numPr>
          <w:ilvl w:val="3"/>
          <w:numId w:val="36"/>
        </w:numPr>
        <w:tabs>
          <w:tab w:val="left" w:pos="1365"/>
        </w:tabs>
        <w:spacing w:before="123"/>
        <w:rPr>
          <w:highlight w:val="yellow"/>
        </w:rPr>
      </w:pPr>
      <w:bookmarkStart w:id="35" w:name="4.6.3.1_Reverse_Mutation_Test"/>
      <w:bookmarkStart w:id="36" w:name="_bookmark52"/>
      <w:bookmarkEnd w:id="35"/>
      <w:bookmarkEnd w:id="36"/>
      <w:r w:rsidRPr="00F65007">
        <w:rPr>
          <w:highlight w:val="yellow"/>
        </w:rPr>
        <w:t>Reverse Mutation</w:t>
      </w:r>
      <w:r w:rsidRPr="00F65007">
        <w:rPr>
          <w:spacing w:val="-3"/>
          <w:highlight w:val="yellow"/>
        </w:rPr>
        <w:t xml:space="preserve"> </w:t>
      </w:r>
      <w:r w:rsidRPr="00F65007">
        <w:rPr>
          <w:highlight w:val="yellow"/>
        </w:rPr>
        <w:t>Test</w:t>
      </w:r>
    </w:p>
    <w:p w:rsidR="001D1E2C" w:rsidRPr="00F65007" w:rsidRDefault="00263D75">
      <w:pPr>
        <w:pStyle w:val="a3"/>
        <w:spacing w:before="139" w:line="261" w:lineRule="auto"/>
        <w:ind w:left="512" w:right="1896"/>
        <w:rPr>
          <w:highlight w:val="yellow"/>
        </w:rPr>
      </w:pPr>
      <w:r w:rsidRPr="00F65007">
        <w:rPr>
          <w:highlight w:val="yellow"/>
        </w:rPr>
        <w:t xml:space="preserve">To assess the potential of </w:t>
      </w:r>
      <w:r w:rsidR="00F65007" w:rsidRPr="00F65007">
        <w:rPr>
          <w:highlight w:val="yellow"/>
        </w:rPr>
        <w:t>Project S</w:t>
      </w:r>
      <w:r w:rsidRPr="00F65007">
        <w:rPr>
          <w:highlight w:val="yellow"/>
        </w:rPr>
        <w:t xml:space="preserve"> to induce gene mutation, an in vivo bacterial reverse mutation test was performed (Study </w:t>
      </w:r>
      <w:r w:rsidR="00F65007" w:rsidRPr="00F65007">
        <w:rPr>
          <w:highlight w:val="yellow"/>
        </w:rPr>
        <w:t>Project S</w:t>
      </w:r>
      <w:r w:rsidRPr="00F65007">
        <w:rPr>
          <w:highlight w:val="yellow"/>
        </w:rPr>
        <w:t>-TX-0007; EOTTs 3.1, and 3.8) with</w:t>
      </w:r>
    </w:p>
    <w:p w:rsidR="001D1E2C" w:rsidRDefault="00263D75" w:rsidP="00263D75">
      <w:pPr>
        <w:pStyle w:val="a3"/>
        <w:spacing w:line="261" w:lineRule="auto"/>
        <w:ind w:left="512" w:right="2061"/>
        <w:jc w:val="both"/>
      </w:pPr>
      <w:r w:rsidRPr="00F65007">
        <w:rPr>
          <w:highlight w:val="yellow"/>
        </w:rPr>
        <w:lastRenderedPageBreak/>
        <w:t>5 strains of bacteria [</w:t>
      </w:r>
      <w:r w:rsidRPr="00F65007">
        <w:rPr>
          <w:i/>
          <w:highlight w:val="yellow"/>
        </w:rPr>
        <w:t xml:space="preserve">Salmonella typhimurium </w:t>
      </w:r>
      <w:r w:rsidRPr="00F65007">
        <w:rPr>
          <w:highlight w:val="yellow"/>
        </w:rPr>
        <w:t xml:space="preserve">(TA98, TA100, TA1535 and TA1537) and </w:t>
      </w:r>
      <w:r w:rsidRPr="00F65007">
        <w:rPr>
          <w:i/>
          <w:highlight w:val="yellow"/>
        </w:rPr>
        <w:t xml:space="preserve">Escherichia coli </w:t>
      </w:r>
      <w:r w:rsidRPr="00F65007">
        <w:rPr>
          <w:highlight w:val="yellow"/>
        </w:rPr>
        <w:t>(WP2</w:t>
      </w:r>
      <w:r w:rsidRPr="00F65007">
        <w:rPr>
          <w:i/>
          <w:highlight w:val="yellow"/>
        </w:rPr>
        <w:t>uvrA</w:t>
      </w:r>
      <w:r w:rsidRPr="00F65007">
        <w:rPr>
          <w:highlight w:val="yellow"/>
        </w:rPr>
        <w:t>)] with and without metabolic activation. Compared with the negative control, a 2-fold or greater increase in the number of revertant colonies was not</w:t>
      </w:r>
      <w:r w:rsidRPr="00F65007">
        <w:rPr>
          <w:rFonts w:ascii="ＭＳ 明朝" w:eastAsia="ＭＳ 明朝" w:hAnsi="ＭＳ 明朝" w:cs="ＭＳ 明朝" w:hint="eastAsia"/>
          <w:highlight w:val="yellow"/>
          <w:lang w:eastAsia="ja-JP"/>
        </w:rPr>
        <w:t xml:space="preserve">　</w:t>
      </w:r>
      <w:r w:rsidRPr="00F65007">
        <w:rPr>
          <w:highlight w:val="yellow"/>
        </w:rPr>
        <w:t xml:space="preserve">observed in any test strain in the dose-finding test or the main test. It was concluded that </w:t>
      </w:r>
      <w:r w:rsidR="00F65007" w:rsidRPr="00F65007">
        <w:rPr>
          <w:highlight w:val="yellow"/>
        </w:rPr>
        <w:t>Project S</w:t>
      </w:r>
      <w:r w:rsidRPr="00F65007">
        <w:rPr>
          <w:highlight w:val="yellow"/>
        </w:rPr>
        <w:t xml:space="preserve"> did not induce gene mutation in bacteria.</w:t>
      </w:r>
    </w:p>
    <w:p w:rsidR="001D1E2C" w:rsidRDefault="00263D75">
      <w:pPr>
        <w:pStyle w:val="3"/>
        <w:numPr>
          <w:ilvl w:val="3"/>
          <w:numId w:val="36"/>
        </w:numPr>
        <w:tabs>
          <w:tab w:val="left" w:pos="1365"/>
        </w:tabs>
        <w:spacing w:before="124"/>
      </w:pPr>
      <w:bookmarkStart w:id="37" w:name="4.6.3.2_Chromosomal_Aberration_Test"/>
      <w:bookmarkStart w:id="38" w:name="_bookmark53"/>
      <w:bookmarkEnd w:id="37"/>
      <w:bookmarkEnd w:id="38"/>
      <w:r>
        <w:t>Chromosomal Aberration</w:t>
      </w:r>
      <w:r>
        <w:rPr>
          <w:spacing w:val="-1"/>
        </w:rPr>
        <w:t xml:space="preserve"> </w:t>
      </w:r>
      <w:r>
        <w:t>Test</w:t>
      </w:r>
    </w:p>
    <w:p w:rsidR="001D1E2C" w:rsidRDefault="00263D75">
      <w:pPr>
        <w:pStyle w:val="a3"/>
        <w:spacing w:before="139" w:line="261" w:lineRule="auto"/>
        <w:ind w:left="512" w:right="1736"/>
      </w:pPr>
      <w:r>
        <w:t xml:space="preserve">A study was performed in vitro (Study </w:t>
      </w:r>
      <w:r w:rsidR="00F65007">
        <w:t>Project S</w:t>
      </w:r>
      <w:r>
        <w:t xml:space="preserve">-TX-0008; EOTT 3.1, and 3.9) to assess the potential of </w:t>
      </w:r>
      <w:r w:rsidR="00F65007">
        <w:t>Project S</w:t>
      </w:r>
      <w:r>
        <w:t xml:space="preserve"> to induce chromosomal aberrations in Chinese hamster lung (CHL/IU) cells with short-term treatment with and without metabolic activation and with continuous treatment without metabolic activation. A statistically significant increase</w:t>
      </w:r>
    </w:p>
    <w:p w:rsidR="001D1E2C" w:rsidRDefault="00263D75">
      <w:pPr>
        <w:pStyle w:val="a3"/>
        <w:spacing w:line="261" w:lineRule="auto"/>
        <w:ind w:left="512" w:right="1704"/>
      </w:pPr>
      <w:r>
        <w:t>(p &lt; 0.05) in the incidence of cells having structural chromosomal aberrations in short-term treatment without metabolic activation was noted; however, the increase was not particularly high (7.5%) and was observed only at 194 µg/mL, the highest observational dose, associated with 57.7% cytotoxicity. A statistically significant increase (p &lt; 0.05) in the incidence of cells having numerical chromosomal aberrations in continuous treatment for 24 hours was noted; however, the increase was low (4.0%) and observed only at 30.1 µg/mL. However, the potential to induce structural and numerical chromosomal aberrations was</w:t>
      </w:r>
      <w:r>
        <w:rPr>
          <w:spacing w:val="-24"/>
        </w:rPr>
        <w:t xml:space="preserve"> </w:t>
      </w:r>
      <w:r>
        <w:t>weak.</w:t>
      </w:r>
    </w:p>
    <w:p w:rsidR="001D1E2C" w:rsidRDefault="00263D75">
      <w:pPr>
        <w:pStyle w:val="3"/>
        <w:numPr>
          <w:ilvl w:val="3"/>
          <w:numId w:val="36"/>
        </w:numPr>
        <w:tabs>
          <w:tab w:val="left" w:pos="1365"/>
        </w:tabs>
        <w:spacing w:before="116"/>
      </w:pPr>
      <w:bookmarkStart w:id="39" w:name="4.6.3.3_Micronucleus_Test"/>
      <w:bookmarkStart w:id="40" w:name="_bookmark54"/>
      <w:bookmarkEnd w:id="39"/>
      <w:bookmarkEnd w:id="40"/>
      <w:r>
        <w:t>Micronucleus</w:t>
      </w:r>
      <w:r>
        <w:rPr>
          <w:spacing w:val="-1"/>
        </w:rPr>
        <w:t xml:space="preserve"> </w:t>
      </w:r>
      <w:r>
        <w:t>Test</w:t>
      </w:r>
    </w:p>
    <w:p w:rsidR="001D1E2C" w:rsidRDefault="00263D75">
      <w:pPr>
        <w:pStyle w:val="a3"/>
        <w:spacing w:before="139" w:line="261" w:lineRule="auto"/>
        <w:ind w:left="512" w:right="1610"/>
      </w:pPr>
      <w:r>
        <w:t xml:space="preserve">A micronucleus study was conducted in vivo (Study </w:t>
      </w:r>
      <w:r w:rsidR="00F65007">
        <w:t>Project S</w:t>
      </w:r>
      <w:r>
        <w:t xml:space="preserve">-TX-0009; EOTT 3.1, 3.3, 3.4, and 3.10) in ICR strain male and female mice (Crlj:CD1(ICR)) to examine the clastogenic potential of </w:t>
      </w:r>
      <w:r w:rsidR="00F65007">
        <w:t>Project S</w:t>
      </w:r>
      <w:r>
        <w:t xml:space="preserve">. There were no statistically significant increases in the incidence of </w:t>
      </w:r>
      <w:proofErr w:type="spellStart"/>
      <w:r>
        <w:t>micronucleated</w:t>
      </w:r>
      <w:proofErr w:type="spellEnd"/>
      <w:r>
        <w:t xml:space="preserve"> polychromatic erythrocytes in any </w:t>
      </w:r>
      <w:r w:rsidR="00F65007">
        <w:t>PROJECT S</w:t>
      </w:r>
      <w:r>
        <w:t xml:space="preserve"> administration group compared with the control group. In the incidence of polychromatic erythrocytes in total, there were no statistically significant decreases in the 31.25, 62.5 and 125 mg/kg/day (maximum non-lethal dose) groups compared with the control group. It was determined that </w:t>
      </w:r>
      <w:r w:rsidR="00F65007">
        <w:t>Project S</w:t>
      </w:r>
      <w:r>
        <w:t xml:space="preserve"> had no clastogenic potential in bone marrow cells in mice of either gender. In the toxicokinetic analysis at 125 mg/kg/day, the </w:t>
      </w:r>
      <w:proofErr w:type="spellStart"/>
      <w:r>
        <w:t>C</w:t>
      </w:r>
      <w:r>
        <w:rPr>
          <w:vertAlign w:val="subscript"/>
        </w:rPr>
        <w:t>max</w:t>
      </w:r>
      <w:proofErr w:type="spellEnd"/>
      <w:r>
        <w:t xml:space="preserve"> and AUC</w:t>
      </w:r>
      <w:r>
        <w:rPr>
          <w:vertAlign w:val="subscript"/>
        </w:rPr>
        <w:t>24</w:t>
      </w:r>
      <w:r>
        <w:t xml:space="preserve"> also showed no marked gender differences. In a dose-range-finding phase, at 500, 1000 and 2000 mg/kg/day, all males and females were found dead; one-third of the males and one-third of the females in the 250 mg/kg/day group were found dead. Decreased spontaneous movement, hypothermia and tremor had been observed in females in the 250 mg/kg/day group.</w:t>
      </w:r>
    </w:p>
    <w:p w:rsidR="001D1E2C" w:rsidRDefault="00263D75">
      <w:pPr>
        <w:pStyle w:val="3"/>
        <w:numPr>
          <w:ilvl w:val="3"/>
          <w:numId w:val="36"/>
        </w:numPr>
        <w:tabs>
          <w:tab w:val="left" w:pos="1365"/>
        </w:tabs>
        <w:spacing w:before="114"/>
      </w:pPr>
      <w:bookmarkStart w:id="41" w:name="4.6.3.4_Unscheduled_DNA_Synthesis_Test"/>
      <w:bookmarkStart w:id="42" w:name="_bookmark55"/>
      <w:bookmarkEnd w:id="41"/>
      <w:bookmarkEnd w:id="42"/>
      <w:r>
        <w:t>Unscheduled DNA Synthesis</w:t>
      </w:r>
      <w:r>
        <w:rPr>
          <w:spacing w:val="-4"/>
        </w:rPr>
        <w:t xml:space="preserve"> </w:t>
      </w:r>
      <w:r>
        <w:t>Test</w:t>
      </w:r>
    </w:p>
    <w:p w:rsidR="001D1E2C" w:rsidRDefault="00263D75">
      <w:pPr>
        <w:pStyle w:val="a3"/>
        <w:spacing w:before="139" w:line="261" w:lineRule="auto"/>
        <w:ind w:left="512" w:right="1793"/>
      </w:pPr>
      <w:r>
        <w:t xml:space="preserve">In an in vivo/in vitro Unscheduled DNA Synthesis (UDS) test (Study </w:t>
      </w:r>
      <w:r w:rsidR="00F65007">
        <w:t>Project S</w:t>
      </w:r>
      <w:r>
        <w:t xml:space="preserve">-TX-0010; EOTT 3.1, 3.3, 3.4, and 3.11), </w:t>
      </w:r>
      <w:r w:rsidR="00F65007">
        <w:t>Project S</w:t>
      </w:r>
      <w:r>
        <w:t xml:space="preserve"> was evaluated for the ability to induce UDS in male rat hepatocytes in order to evaluate the ability to induce DNA damage in vivo. The mean number of net grains and the percentages of cells in repair obtained from animals treated with </w:t>
      </w:r>
      <w:r w:rsidR="00F65007">
        <w:t>PROJECT S</w:t>
      </w:r>
      <w:r>
        <w:t xml:space="preserve"> at 500 and 1000 mg/kg were &lt; 5 and &lt; 20%, respectively, and no mortality was observed at these doses. It was concluded that </w:t>
      </w:r>
      <w:r w:rsidR="00F65007">
        <w:t>PROJECT S</w:t>
      </w:r>
      <w:r>
        <w:t xml:space="preserve"> showed no potential to induce DNA damage in</w:t>
      </w:r>
      <w:r>
        <w:rPr>
          <w:spacing w:val="-1"/>
        </w:rPr>
        <w:t xml:space="preserve"> </w:t>
      </w:r>
      <w:r>
        <w:t>vivo.</w:t>
      </w:r>
    </w:p>
    <w:p w:rsidR="001D1E2C" w:rsidRDefault="00263D75">
      <w:pPr>
        <w:pStyle w:val="a3"/>
        <w:spacing w:before="115" w:line="261" w:lineRule="auto"/>
        <w:ind w:left="512" w:right="1643"/>
      </w:pPr>
      <w:r>
        <w:t xml:space="preserve">At 250 mg/kg, 1 animal was in a prone position, had convulsion, salivation, then died between 0 and 1 hour after administration. Two of 3 animals in the 1000 mg/kg group were found in a lateral position, had </w:t>
      </w:r>
      <w:proofErr w:type="spellStart"/>
      <w:r>
        <w:t>clonic</w:t>
      </w:r>
      <w:proofErr w:type="spellEnd"/>
      <w:r>
        <w:t xml:space="preserve"> convulsion, irregular respiration and salivation; </w:t>
      </w:r>
      <w:r>
        <w:lastRenderedPageBreak/>
        <w:t>additionally, 1 showed a reddish tear at that time. Some other treated animals in the 2-hour</w:t>
      </w:r>
    </w:p>
    <w:p w:rsidR="001D1E2C" w:rsidRDefault="001D1E2C">
      <w:pPr>
        <w:spacing w:line="261" w:lineRule="auto"/>
        <w:sectPr w:rsidR="001D1E2C">
          <w:headerReference w:type="default" r:id="rId7"/>
          <w:pgSz w:w="12240" w:h="15840"/>
          <w:pgMar w:top="1240" w:right="0" w:bottom="940" w:left="1100" w:header="578" w:footer="748" w:gutter="0"/>
          <w:cols w:space="720"/>
        </w:sectPr>
      </w:pPr>
    </w:p>
    <w:p w:rsidR="001D1E2C" w:rsidRDefault="001D1E2C">
      <w:pPr>
        <w:pStyle w:val="a3"/>
        <w:rPr>
          <w:sz w:val="20"/>
        </w:rPr>
      </w:pPr>
    </w:p>
    <w:p w:rsidR="001D1E2C" w:rsidRDefault="00263D75">
      <w:pPr>
        <w:pStyle w:val="a3"/>
        <w:spacing w:before="227" w:line="261" w:lineRule="auto"/>
        <w:ind w:left="512" w:right="1930"/>
      </w:pPr>
      <w:r>
        <w:t>and 16-hour post-treatment groups showed decreased locomotor activity and/or ataxic gait between 0 and 1 hour after administration.</w:t>
      </w:r>
    </w:p>
    <w:p w:rsidR="001D1E2C" w:rsidRDefault="00263D75">
      <w:pPr>
        <w:pStyle w:val="3"/>
        <w:numPr>
          <w:ilvl w:val="2"/>
          <w:numId w:val="36"/>
        </w:numPr>
        <w:tabs>
          <w:tab w:val="left" w:pos="1364"/>
          <w:tab w:val="left" w:pos="1365"/>
        </w:tabs>
        <w:spacing w:before="124"/>
      </w:pPr>
      <w:bookmarkStart w:id="43" w:name="4.6.4_Carcinogenicity"/>
      <w:bookmarkStart w:id="44" w:name="_bookmark56"/>
      <w:bookmarkEnd w:id="43"/>
      <w:bookmarkEnd w:id="44"/>
      <w:r>
        <w:t>Carcinogenicity</w:t>
      </w:r>
    </w:p>
    <w:p w:rsidR="001D1E2C" w:rsidRDefault="00263D75">
      <w:pPr>
        <w:pStyle w:val="a3"/>
        <w:spacing w:before="139"/>
        <w:ind w:left="512"/>
      </w:pPr>
      <w:r>
        <w:t xml:space="preserve">Long-term carcinogenicity studies have not been conducted with </w:t>
      </w:r>
      <w:r w:rsidR="00F65007">
        <w:t>PROJECT S</w:t>
      </w:r>
      <w:r>
        <w:t>.</w:t>
      </w:r>
    </w:p>
    <w:p w:rsidR="001D1E2C" w:rsidRDefault="00263D75">
      <w:pPr>
        <w:pStyle w:val="3"/>
        <w:numPr>
          <w:ilvl w:val="2"/>
          <w:numId w:val="36"/>
        </w:numPr>
        <w:tabs>
          <w:tab w:val="left" w:pos="1364"/>
          <w:tab w:val="left" w:pos="1365"/>
        </w:tabs>
        <w:spacing w:before="149"/>
      </w:pPr>
      <w:bookmarkStart w:id="45" w:name="4.6.5_Reproductive_and_Developmental_Tox"/>
      <w:bookmarkStart w:id="46" w:name="_bookmark57"/>
      <w:bookmarkEnd w:id="45"/>
      <w:bookmarkEnd w:id="46"/>
      <w:r>
        <w:t>Reproductive and Developmental</w:t>
      </w:r>
      <w:r>
        <w:rPr>
          <w:spacing w:val="-2"/>
        </w:rPr>
        <w:t xml:space="preserve"> </w:t>
      </w:r>
      <w:r>
        <w:t>Toxicity</w:t>
      </w:r>
    </w:p>
    <w:p w:rsidR="001D1E2C" w:rsidRDefault="00263D75">
      <w:pPr>
        <w:pStyle w:val="a3"/>
        <w:spacing w:before="139" w:line="261" w:lineRule="auto"/>
        <w:ind w:left="512" w:right="1610"/>
        <w:jc w:val="both"/>
      </w:pPr>
      <w:r>
        <w:t xml:space="preserve">A study to assess the effects of </w:t>
      </w:r>
      <w:r w:rsidR="00F65007">
        <w:t xml:space="preserve">PROJECT </w:t>
      </w:r>
      <w:proofErr w:type="spellStart"/>
      <w:r w:rsidR="00F65007">
        <w:t>S</w:t>
      </w:r>
      <w:r>
        <w:t xml:space="preserve"> on</w:t>
      </w:r>
      <w:proofErr w:type="spellEnd"/>
      <w:r>
        <w:t xml:space="preserve"> male and female fertility and early embryonic development to implantation was conducted in rats [</w:t>
      </w:r>
      <w:r w:rsidR="00F65007">
        <w:t>Project S</w:t>
      </w:r>
      <w:r>
        <w:t xml:space="preserve">-TX-0023]. Studies to assess the effects of </w:t>
      </w:r>
      <w:r w:rsidR="00F65007">
        <w:t xml:space="preserve">PROJECT </w:t>
      </w:r>
      <w:proofErr w:type="spellStart"/>
      <w:r w:rsidR="00F65007">
        <w:t>S</w:t>
      </w:r>
      <w:r>
        <w:t xml:space="preserve"> on</w:t>
      </w:r>
      <w:proofErr w:type="spellEnd"/>
      <w:r>
        <w:t xml:space="preserve"> embryo-fetal development were conducted in rats and rabbits [</w:t>
      </w:r>
      <w:r w:rsidR="00F65007">
        <w:t>Project S</w:t>
      </w:r>
      <w:r>
        <w:t xml:space="preserve">- TX-0011, </w:t>
      </w:r>
      <w:r w:rsidR="00F65007">
        <w:t>Project S</w:t>
      </w:r>
      <w:r>
        <w:t xml:space="preserve">-TX-0012, </w:t>
      </w:r>
      <w:r w:rsidR="00F65007">
        <w:t>Project S</w:t>
      </w:r>
      <w:r>
        <w:t xml:space="preserve">-TX-0013, </w:t>
      </w:r>
      <w:r w:rsidR="00F65007">
        <w:t>Project S</w:t>
      </w:r>
      <w:r>
        <w:t>-TX-0014].</w:t>
      </w:r>
    </w:p>
    <w:p w:rsidR="001D1E2C" w:rsidRDefault="00263D75">
      <w:pPr>
        <w:pStyle w:val="3"/>
        <w:numPr>
          <w:ilvl w:val="3"/>
          <w:numId w:val="36"/>
        </w:numPr>
        <w:tabs>
          <w:tab w:val="left" w:pos="1365"/>
        </w:tabs>
        <w:spacing w:before="121"/>
      </w:pPr>
      <w:bookmarkStart w:id="47" w:name="4.6.5.1_Effects_on_Fertility_and_Early_E"/>
      <w:bookmarkStart w:id="48" w:name="_bookmark58"/>
      <w:bookmarkEnd w:id="47"/>
      <w:bookmarkEnd w:id="48"/>
      <w:r>
        <w:t>Effects on Fertility and Early Embryonic Development to</w:t>
      </w:r>
      <w:r>
        <w:rPr>
          <w:spacing w:val="-5"/>
        </w:rPr>
        <w:t xml:space="preserve"> </w:t>
      </w:r>
      <w:r>
        <w:t>Implantation</w:t>
      </w:r>
    </w:p>
    <w:p w:rsidR="001D1E2C" w:rsidRDefault="00263D75">
      <w:pPr>
        <w:pStyle w:val="a3"/>
        <w:spacing w:before="140" w:line="261" w:lineRule="auto"/>
        <w:ind w:left="512" w:right="1694"/>
      </w:pPr>
      <w:r>
        <w:t xml:space="preserve">To examine the toxicological effects on fertility of male and female rats and early embryonic development to implantation, </w:t>
      </w:r>
      <w:r w:rsidR="00F65007">
        <w:t>PROJECT S</w:t>
      </w:r>
      <w:r>
        <w:t xml:space="preserve"> was administered from 4 weeks before the commencement of mating until the day before gross pathological examination for males, and from 2 weeks before the commencement of mating through Day 7 of gestation for females [</w:t>
      </w:r>
      <w:r w:rsidR="00F65007">
        <w:t>Project S</w:t>
      </w:r>
      <w:r>
        <w:t>-TX-0023; EOTT 3.1, 3.3, 3.4, and 3.17].</w:t>
      </w:r>
    </w:p>
    <w:p w:rsidR="001D1E2C" w:rsidRDefault="00263D75">
      <w:pPr>
        <w:pStyle w:val="a3"/>
        <w:spacing w:before="116"/>
        <w:ind w:left="512"/>
      </w:pPr>
      <w:r>
        <w:t>No test-article related changes were observed in male and female rats at 10 or 30 mg/kg.</w:t>
      </w:r>
    </w:p>
    <w:p w:rsidR="001D1E2C" w:rsidRDefault="00263D75">
      <w:pPr>
        <w:pStyle w:val="a3"/>
        <w:spacing w:before="144" w:line="261" w:lineRule="auto"/>
        <w:ind w:left="512" w:right="1630"/>
      </w:pPr>
      <w:r>
        <w:t xml:space="preserve">In the 100 mg/kg group, lateral position with generalized weakness was observed in one male on Day 15 of dosing, and one female died on Day 22 of dosing. Additional findings observed for females in this group were as follows: </w:t>
      </w:r>
      <w:proofErr w:type="spellStart"/>
      <w:r>
        <w:t>clonic</w:t>
      </w:r>
      <w:proofErr w:type="spellEnd"/>
      <w:r>
        <w:t xml:space="preserve"> convulsion, lateral position, prone position, staggering gait, tremor, decreased spontaneous motility, and salivation. No test article-related abnormalities in general signs were observed at 10 or 30 mg/kg in males and females. One male in the 30 mg/kg toxicokinetic-satellite group was found dead before dosing on Day 13 of dosing. Since all deaths in rats (except for one after treatment at 1000 mg/kg in the 4-week toxicity study) were preceded by convulsions, and convulsions are extremely unlikely to occur at the plasma exposures reached at 30 mg/kg, the death was considered not related to treatment with </w:t>
      </w:r>
      <w:r w:rsidR="00F65007">
        <w:t>PROJECT S</w:t>
      </w:r>
      <w:r>
        <w:t>. No test article-related effects on body weight or food consumption were noted. No test article-related effects on the estrous cycle, numbers of corpora lutea, copulation index, fertility index, or days until copulation were noted in males or females. No test article-related abnormalities were observed on gross pathology at any dosages in either sex.</w:t>
      </w:r>
    </w:p>
    <w:p w:rsidR="001D1E2C" w:rsidRDefault="00263D75">
      <w:pPr>
        <w:pStyle w:val="a3"/>
        <w:spacing w:before="108" w:line="261" w:lineRule="auto"/>
        <w:ind w:left="512" w:right="1823"/>
      </w:pPr>
      <w:r>
        <w:t xml:space="preserve">At necropsy on Day 14 of gestation, no </w:t>
      </w:r>
      <w:proofErr w:type="gramStart"/>
      <w:r>
        <w:t>statistical</w:t>
      </w:r>
      <w:proofErr w:type="gramEnd"/>
      <w:r>
        <w:t xml:space="preserve"> significant differences in the number of implantations, live embryos, or embryo-fetal deaths, pre- or </w:t>
      </w:r>
      <w:proofErr w:type="spellStart"/>
      <w:r>
        <w:t>postimplantation</w:t>
      </w:r>
      <w:proofErr w:type="spellEnd"/>
      <w:r>
        <w:t xml:space="preserve"> loss rate were observed between the treated and control groups.</w:t>
      </w:r>
    </w:p>
    <w:p w:rsidR="001D1E2C" w:rsidRDefault="00263D75">
      <w:pPr>
        <w:pStyle w:val="a3"/>
        <w:spacing w:before="118" w:line="261" w:lineRule="auto"/>
        <w:ind w:left="512" w:right="1637"/>
        <w:jc w:val="both"/>
      </w:pPr>
      <w:r>
        <w:t xml:space="preserve">The </w:t>
      </w:r>
      <w:proofErr w:type="spellStart"/>
      <w:r>
        <w:t>t</w:t>
      </w:r>
      <w:r>
        <w:rPr>
          <w:vertAlign w:val="subscript"/>
        </w:rPr>
        <w:t>max</w:t>
      </w:r>
      <w:proofErr w:type="spellEnd"/>
      <w:r>
        <w:t xml:space="preserve"> values were 0.5 h on Days 1 (both sexes), 14 (females), and 28 (males) of dosing in all dosing groups except for the 100 mg/kg group in females on Day 1 (1 h). The </w:t>
      </w:r>
      <w:proofErr w:type="spellStart"/>
      <w:r>
        <w:t>C</w:t>
      </w:r>
      <w:r>
        <w:rPr>
          <w:vertAlign w:val="subscript"/>
        </w:rPr>
        <w:t>max</w:t>
      </w:r>
      <w:proofErr w:type="spellEnd"/>
      <w:r>
        <w:t xml:space="preserve"> values in males increased more than dose-proportionally on Day 1 but almost dose proportionally</w:t>
      </w:r>
      <w:r>
        <w:rPr>
          <w:spacing w:val="-18"/>
        </w:rPr>
        <w:t xml:space="preserve"> </w:t>
      </w:r>
      <w:r>
        <w:t>on Day 28. AUC</w:t>
      </w:r>
      <w:r>
        <w:rPr>
          <w:vertAlign w:val="subscript"/>
        </w:rPr>
        <w:t>24</w:t>
      </w:r>
      <w:r>
        <w:t xml:space="preserve"> values in males increased more than dose-proportionally on both Days 1</w:t>
      </w:r>
      <w:r>
        <w:rPr>
          <w:spacing w:val="-30"/>
        </w:rPr>
        <w:t xml:space="preserve"> </w:t>
      </w:r>
      <w:r>
        <w:t>and</w:t>
      </w:r>
    </w:p>
    <w:p w:rsidR="001D1E2C" w:rsidRDefault="00263D75">
      <w:pPr>
        <w:pStyle w:val="a3"/>
        <w:spacing w:line="261" w:lineRule="auto"/>
        <w:ind w:left="512" w:right="1825"/>
      </w:pPr>
      <w:r>
        <w:t xml:space="preserve">28. Values of </w:t>
      </w:r>
      <w:proofErr w:type="spellStart"/>
      <w:r>
        <w:t>C</w:t>
      </w:r>
      <w:r>
        <w:rPr>
          <w:vertAlign w:val="subscript"/>
        </w:rPr>
        <w:t>max</w:t>
      </w:r>
      <w:proofErr w:type="spellEnd"/>
      <w:r>
        <w:t xml:space="preserve"> and AUC</w:t>
      </w:r>
      <w:r>
        <w:rPr>
          <w:vertAlign w:val="subscript"/>
        </w:rPr>
        <w:t>24</w:t>
      </w:r>
      <w:r>
        <w:t xml:space="preserve"> on Day 28 were low compared with Day 1, except for the 10 mg/kg group. Those in the 10 mg/kg group on Day 28 were high compared with those on</w:t>
      </w:r>
    </w:p>
    <w:p w:rsidR="001D1E2C" w:rsidRDefault="001D1E2C">
      <w:pPr>
        <w:spacing w:line="261" w:lineRule="auto"/>
        <w:sectPr w:rsidR="001D1E2C">
          <w:pgSz w:w="12240" w:h="15840"/>
          <w:pgMar w:top="1240" w:right="0" w:bottom="940" w:left="1100" w:header="578" w:footer="748" w:gutter="0"/>
          <w:cols w:space="720"/>
        </w:sectPr>
      </w:pPr>
    </w:p>
    <w:p w:rsidR="001D1E2C" w:rsidRDefault="001D1E2C">
      <w:pPr>
        <w:pStyle w:val="a3"/>
        <w:rPr>
          <w:sz w:val="20"/>
        </w:rPr>
      </w:pPr>
    </w:p>
    <w:p w:rsidR="001D1E2C" w:rsidRDefault="00263D75">
      <w:pPr>
        <w:pStyle w:val="a3"/>
        <w:spacing w:before="227" w:line="261" w:lineRule="auto"/>
        <w:ind w:left="512" w:right="1720"/>
      </w:pPr>
      <w:r>
        <w:t xml:space="preserve">Day 1. </w:t>
      </w:r>
      <w:proofErr w:type="spellStart"/>
      <w:r>
        <w:t>C</w:t>
      </w:r>
      <w:r>
        <w:rPr>
          <w:vertAlign w:val="subscript"/>
        </w:rPr>
        <w:t>max</w:t>
      </w:r>
      <w:proofErr w:type="spellEnd"/>
      <w:r>
        <w:t xml:space="preserve"> values in females increased dose-proportionally on Day 1 and less than dose- proportionally on Day 14. AUC</w:t>
      </w:r>
      <w:r>
        <w:rPr>
          <w:vertAlign w:val="subscript"/>
        </w:rPr>
        <w:t>24</w:t>
      </w:r>
      <w:r>
        <w:t xml:space="preserve"> values in females increased more than dose-proportionally on Day 1 and almost dose proportionally on Day 14. Values of </w:t>
      </w:r>
      <w:proofErr w:type="spellStart"/>
      <w:r>
        <w:t>C</w:t>
      </w:r>
      <w:r>
        <w:rPr>
          <w:vertAlign w:val="subscript"/>
        </w:rPr>
        <w:t>max</w:t>
      </w:r>
      <w:proofErr w:type="spellEnd"/>
      <w:r>
        <w:t xml:space="preserve"> and AUC</w:t>
      </w:r>
      <w:r>
        <w:rPr>
          <w:vertAlign w:val="subscript"/>
        </w:rPr>
        <w:t>24</w:t>
      </w:r>
      <w:r>
        <w:t xml:space="preserve"> on Day 14 were low compared with those on Day 1, except for </w:t>
      </w:r>
      <w:proofErr w:type="spellStart"/>
      <w:r>
        <w:t>C</w:t>
      </w:r>
      <w:r>
        <w:rPr>
          <w:vertAlign w:val="subscript"/>
        </w:rPr>
        <w:t>max</w:t>
      </w:r>
      <w:proofErr w:type="spellEnd"/>
      <w:r>
        <w:t xml:space="preserve"> in the 10 mg/kg group, which were almost the same as those on Day 14. </w:t>
      </w:r>
      <w:r w:rsidR="00F65007">
        <w:t>PROJECT S</w:t>
      </w:r>
      <w:r>
        <w:t xml:space="preserve"> was not detected in plasma of the control group for either sex. On Day 1, </w:t>
      </w:r>
      <w:proofErr w:type="spellStart"/>
      <w:r>
        <w:t>C</w:t>
      </w:r>
      <w:r>
        <w:rPr>
          <w:vertAlign w:val="subscript"/>
        </w:rPr>
        <w:t>max</w:t>
      </w:r>
      <w:proofErr w:type="spellEnd"/>
      <w:r>
        <w:t xml:space="preserve"> and AUC</w:t>
      </w:r>
      <w:r>
        <w:rPr>
          <w:vertAlign w:val="subscript"/>
        </w:rPr>
        <w:t>24</w:t>
      </w:r>
      <w:r>
        <w:t xml:space="preserve"> values in females were higher than those in males in all groups.</w:t>
      </w:r>
    </w:p>
    <w:p w:rsidR="001D1E2C" w:rsidRDefault="00263D75">
      <w:pPr>
        <w:pStyle w:val="a3"/>
        <w:spacing w:before="115" w:line="261" w:lineRule="auto"/>
        <w:ind w:left="512" w:right="1663"/>
      </w:pPr>
      <w:r>
        <w:t>In summary, in the 100 mg/kg group, clinical signs were noted in one male and most females and one female died. From these results, it was concluded that, under the conditions of this study, the NOAEL for parental general toxicity was 30 mg/kg/day for males and females.</w:t>
      </w:r>
    </w:p>
    <w:p w:rsidR="001D1E2C" w:rsidRDefault="00263D75">
      <w:pPr>
        <w:pStyle w:val="a3"/>
        <w:spacing w:line="261" w:lineRule="auto"/>
        <w:ind w:left="512" w:right="1818"/>
      </w:pPr>
      <w:r>
        <w:t>The NOAELs for male and female reproductive function and early embryonic development were judged to be 100 mg/kg/day.</w:t>
      </w:r>
    </w:p>
    <w:p w:rsidR="001D1E2C" w:rsidRDefault="00263D75">
      <w:pPr>
        <w:pStyle w:val="3"/>
        <w:numPr>
          <w:ilvl w:val="3"/>
          <w:numId w:val="36"/>
        </w:numPr>
        <w:tabs>
          <w:tab w:val="left" w:pos="1365"/>
        </w:tabs>
        <w:spacing w:before="120"/>
      </w:pPr>
      <w:bookmarkStart w:id="49" w:name="4.6.5.2_Effects_on_Embryo-fetal_Developm"/>
      <w:bookmarkStart w:id="50" w:name="_bookmark59"/>
      <w:bookmarkEnd w:id="49"/>
      <w:bookmarkEnd w:id="50"/>
      <w:r>
        <w:t>Effects on Embryo-fetal</w:t>
      </w:r>
      <w:r>
        <w:rPr>
          <w:spacing w:val="-3"/>
        </w:rPr>
        <w:t xml:space="preserve"> </w:t>
      </w:r>
      <w:r>
        <w:t>Development</w:t>
      </w:r>
    </w:p>
    <w:p w:rsidR="001D1E2C" w:rsidRDefault="00263D75">
      <w:pPr>
        <w:pStyle w:val="3"/>
        <w:numPr>
          <w:ilvl w:val="4"/>
          <w:numId w:val="36"/>
        </w:numPr>
        <w:tabs>
          <w:tab w:val="left" w:pos="1645"/>
          <w:tab w:val="left" w:pos="1646"/>
        </w:tabs>
      </w:pPr>
      <w:bookmarkStart w:id="51" w:name="4.6.5.2.1_Exploratory_Study_in_Rats"/>
      <w:bookmarkStart w:id="52" w:name="_bookmark60"/>
      <w:bookmarkEnd w:id="51"/>
      <w:bookmarkEnd w:id="52"/>
      <w:r>
        <w:t>Exploratory Study in</w:t>
      </w:r>
      <w:r>
        <w:rPr>
          <w:spacing w:val="-2"/>
        </w:rPr>
        <w:t xml:space="preserve"> </w:t>
      </w:r>
      <w:r>
        <w:t>Rats</w:t>
      </w:r>
    </w:p>
    <w:p w:rsidR="001D1E2C" w:rsidRDefault="00263D75">
      <w:pPr>
        <w:pStyle w:val="a3"/>
        <w:spacing w:before="140" w:line="261" w:lineRule="auto"/>
        <w:ind w:left="512" w:right="2119"/>
      </w:pPr>
      <w:r>
        <w:t xml:space="preserve">An exploratory study was performed to investigate the effects on dams and embryo-fetal development and to set the dose levels for the subsequent main study of the effects on embryo-fetal development in rats (Study </w:t>
      </w:r>
      <w:r w:rsidR="00F65007">
        <w:t>Project S</w:t>
      </w:r>
      <w:r>
        <w:t>-TX-0011; EOTTs 3.1, and 3.13). At</w:t>
      </w:r>
    </w:p>
    <w:p w:rsidR="001D1E2C" w:rsidRDefault="00263D75">
      <w:pPr>
        <w:pStyle w:val="a3"/>
        <w:spacing w:line="261" w:lineRule="auto"/>
        <w:ind w:left="512" w:right="1675"/>
      </w:pPr>
      <w:r>
        <w:t xml:space="preserve">100 mg/kg, mydriasis was found in pregnant rats. No test article-related abnormalities were observed in body weight, body weight gain, food consumption or gross pathological findings in any group. No study drug-related changes were noted in the number of live fetuses, number of embryo-fetal deaths, </w:t>
      </w:r>
      <w:proofErr w:type="spellStart"/>
      <w:r>
        <w:t>postimplantation</w:t>
      </w:r>
      <w:proofErr w:type="spellEnd"/>
      <w:r>
        <w:t xml:space="preserve"> loss rate, fetal body weight, placental weight, sex ratio or external or placental findings in any group. It was determined that</w:t>
      </w:r>
    </w:p>
    <w:p w:rsidR="001D1E2C" w:rsidRDefault="00263D75">
      <w:pPr>
        <w:pStyle w:val="a3"/>
        <w:spacing w:line="261" w:lineRule="auto"/>
        <w:ind w:left="512" w:right="1789"/>
      </w:pPr>
      <w:r>
        <w:t>300 mg/kg would be appropriate for the high-dose level in the subsequent main study of the effects on embryo-fetal development in rats.</w:t>
      </w:r>
    </w:p>
    <w:p w:rsidR="001D1E2C" w:rsidRDefault="00263D75">
      <w:pPr>
        <w:pStyle w:val="3"/>
        <w:numPr>
          <w:ilvl w:val="4"/>
          <w:numId w:val="36"/>
        </w:numPr>
        <w:tabs>
          <w:tab w:val="left" w:pos="1645"/>
          <w:tab w:val="left" w:pos="1646"/>
        </w:tabs>
        <w:spacing w:before="116"/>
      </w:pPr>
      <w:bookmarkStart w:id="53" w:name="4.6.5.2.2_Definitive_Study_in_Rats"/>
      <w:bookmarkStart w:id="54" w:name="_bookmark61"/>
      <w:bookmarkEnd w:id="53"/>
      <w:bookmarkEnd w:id="54"/>
      <w:r>
        <w:t>Definitive Study in</w:t>
      </w:r>
      <w:r>
        <w:rPr>
          <w:spacing w:val="-3"/>
        </w:rPr>
        <w:t xml:space="preserve"> </w:t>
      </w:r>
      <w:r>
        <w:t>Rats</w:t>
      </w:r>
    </w:p>
    <w:p w:rsidR="001D1E2C" w:rsidRDefault="00263D75">
      <w:pPr>
        <w:pStyle w:val="a3"/>
        <w:spacing w:before="140" w:line="261" w:lineRule="auto"/>
        <w:ind w:left="512" w:right="1620"/>
      </w:pPr>
      <w:r>
        <w:t xml:space="preserve">A definitive study of embryo-fetal development was performed in rats (Study </w:t>
      </w:r>
      <w:r w:rsidR="00F65007">
        <w:t>Project S</w:t>
      </w:r>
      <w:r>
        <w:t xml:space="preserve">-TX-0012; EOTTs 3.1, 3.3, 3.4, and 3.14) to investigate the effects of </w:t>
      </w:r>
      <w:r w:rsidR="00F65007">
        <w:t xml:space="preserve">PROJECT </w:t>
      </w:r>
      <w:proofErr w:type="spellStart"/>
      <w:r w:rsidR="00F65007">
        <w:t>S</w:t>
      </w:r>
      <w:r>
        <w:t xml:space="preserve"> on</w:t>
      </w:r>
      <w:proofErr w:type="spellEnd"/>
      <w:r>
        <w:t xml:space="preserve"> pregnant females and embryo-fetal development and to assess systemic exposure to </w:t>
      </w:r>
      <w:r w:rsidR="00F65007">
        <w:t>PROJECT S</w:t>
      </w:r>
      <w:r>
        <w:t xml:space="preserve">. No effects were seen at 30 mg/kg and minimal suppression of body weight gain was seen during the dosing period in the 100 mg/kg group. In the 300 mg/kg group, no dams died in the toxicity group; however, 1 dam in the satellite group died after first dosing. In this group, a decrease in spontaneous activity, prone position and ataxic gait were observed. Loss of fur and dirty lower belly by urine were also observed during the late gestation period. Body weights on days 12 to 20 of gestation and food consumption during the dosing period (days 7-17) were significantly lower than those in the control group and body weight gains were significantly suppressed throughout the dosing period. No </w:t>
      </w:r>
      <w:r w:rsidR="00F65007">
        <w:t>PROJECT S</w:t>
      </w:r>
      <w:r>
        <w:t xml:space="preserve">-related changes were observed in the number of corpora lutea or implantations in any </w:t>
      </w:r>
      <w:r w:rsidR="00F65007">
        <w:t>PROJECT S</w:t>
      </w:r>
      <w:r>
        <w:t xml:space="preserve"> group. In the 300 mg/kg group, low fetal and placental weights, significant increases in external and skeletal abnormalities, visceral variations and delayed skeletal ossifications in </w:t>
      </w:r>
      <w:proofErr w:type="spellStart"/>
      <w:r>
        <w:t>sternebrae</w:t>
      </w:r>
      <w:proofErr w:type="spellEnd"/>
      <w:r>
        <w:t>, sacral and caudal vertebrae, metacarpi and metatarsi were observed. The frequency of external</w:t>
      </w:r>
      <w:r>
        <w:rPr>
          <w:spacing w:val="-19"/>
        </w:rPr>
        <w:t xml:space="preserve"> </w:t>
      </w:r>
      <w:r>
        <w:t>abnormalities</w:t>
      </w:r>
    </w:p>
    <w:p w:rsidR="001D1E2C" w:rsidRDefault="001D1E2C">
      <w:pPr>
        <w:spacing w:line="261" w:lineRule="auto"/>
        <w:sectPr w:rsidR="001D1E2C">
          <w:pgSz w:w="12240" w:h="15840"/>
          <w:pgMar w:top="1240" w:right="0" w:bottom="940" w:left="1100" w:header="578" w:footer="748" w:gutter="0"/>
          <w:cols w:space="720"/>
        </w:sectPr>
      </w:pPr>
    </w:p>
    <w:p w:rsidR="001D1E2C" w:rsidRDefault="001D1E2C">
      <w:pPr>
        <w:pStyle w:val="a3"/>
        <w:rPr>
          <w:sz w:val="20"/>
        </w:rPr>
      </w:pPr>
    </w:p>
    <w:p w:rsidR="001D1E2C" w:rsidRDefault="00263D75">
      <w:pPr>
        <w:pStyle w:val="a3"/>
        <w:spacing w:before="227" w:line="261" w:lineRule="auto"/>
        <w:ind w:left="512" w:right="1635"/>
      </w:pPr>
      <w:r>
        <w:t>in the 300 mg/kg group was 78.8%; the main phenotypes for these were local edema</w:t>
      </w:r>
      <w:r>
        <w:rPr>
          <w:spacing w:val="-38"/>
        </w:rPr>
        <w:t xml:space="preserve"> </w:t>
      </w:r>
      <w:r>
        <w:t xml:space="preserve">(64.7%), cleft palate (61.0%), mandibular micrognathia (52.0%) and adhesion of the maxilla and tongue (17.5%). Among skeletal abnormalities, in addition to findings associated with cleft palate and mandibular micrognathia, misshapen scapula (52.7%), unossified vertebral centrum (37.2%) and kyphosis of vertebral column (25.3%) were observed with high frequencies. As a visceral variation, the frequency of thymic remnant in the neck (17.2%) was significantly higher than in the control group. </w:t>
      </w:r>
      <w:r>
        <w:rPr>
          <w:spacing w:val="-3"/>
        </w:rPr>
        <w:t xml:space="preserve">In </w:t>
      </w:r>
      <w:r>
        <w:t xml:space="preserve">the 300 mg/kg group, no test article- related changes were noted in the number of live fetuses, number of embryo-fetal deaths, </w:t>
      </w:r>
      <w:proofErr w:type="spellStart"/>
      <w:r>
        <w:t>postimplantation</w:t>
      </w:r>
      <w:proofErr w:type="spellEnd"/>
      <w:r>
        <w:t xml:space="preserve"> loss rate, frequency of placental or visceral abnormalities or frequency of skeletal</w:t>
      </w:r>
      <w:r>
        <w:rPr>
          <w:spacing w:val="-2"/>
        </w:rPr>
        <w:t xml:space="preserve"> </w:t>
      </w:r>
      <w:r>
        <w:t>variations.</w:t>
      </w:r>
    </w:p>
    <w:p w:rsidR="001D1E2C" w:rsidRDefault="00263D75">
      <w:pPr>
        <w:pStyle w:val="a3"/>
        <w:spacing w:before="112" w:line="261" w:lineRule="auto"/>
        <w:ind w:left="512" w:right="2041"/>
      </w:pPr>
      <w:proofErr w:type="spellStart"/>
      <w:r>
        <w:t>C</w:t>
      </w:r>
      <w:r>
        <w:rPr>
          <w:vertAlign w:val="subscript"/>
        </w:rPr>
        <w:t>max</w:t>
      </w:r>
      <w:proofErr w:type="spellEnd"/>
      <w:r>
        <w:t xml:space="preserve"> values on days 7 and 17 of gestation increased less than dose-proportionally up to 300 mg/kg, except at the 100 mg/kg dose on day 7; at that point, the </w:t>
      </w:r>
      <w:proofErr w:type="spellStart"/>
      <w:r>
        <w:t>C</w:t>
      </w:r>
      <w:r>
        <w:rPr>
          <w:vertAlign w:val="subscript"/>
        </w:rPr>
        <w:t>max</w:t>
      </w:r>
      <w:proofErr w:type="spellEnd"/>
      <w:r>
        <w:t xml:space="preserve"> value increased more than dose-proportionally. AUC</w:t>
      </w:r>
      <w:r>
        <w:rPr>
          <w:vertAlign w:val="subscript"/>
        </w:rPr>
        <w:t>24</w:t>
      </w:r>
      <w:r>
        <w:t xml:space="preserve"> values in both stages increased more than</w:t>
      </w:r>
    </w:p>
    <w:p w:rsidR="001D1E2C" w:rsidRDefault="00263D75">
      <w:pPr>
        <w:pStyle w:val="a3"/>
        <w:spacing w:line="261" w:lineRule="auto"/>
        <w:ind w:left="512" w:right="1906"/>
      </w:pPr>
      <w:r>
        <w:t xml:space="preserve">dose-proportionally up to 300 mg/kg. In the 300 mg/kg group, </w:t>
      </w:r>
      <w:proofErr w:type="spellStart"/>
      <w:r>
        <w:t>t</w:t>
      </w:r>
      <w:r>
        <w:rPr>
          <w:vertAlign w:val="subscript"/>
        </w:rPr>
        <w:t>max</w:t>
      </w:r>
      <w:proofErr w:type="spellEnd"/>
      <w:r>
        <w:t xml:space="preserve"> values were delayed in both stages.</w:t>
      </w:r>
    </w:p>
    <w:p w:rsidR="001D1E2C" w:rsidRDefault="00263D75">
      <w:pPr>
        <w:pStyle w:val="a3"/>
        <w:spacing w:before="116" w:line="261" w:lineRule="auto"/>
        <w:ind w:left="512" w:right="2429"/>
      </w:pPr>
      <w:r>
        <w:t xml:space="preserve">It was determined that the NOAEL of </w:t>
      </w:r>
      <w:r w:rsidR="00F65007">
        <w:t>PROJECT S</w:t>
      </w:r>
      <w:r>
        <w:t xml:space="preserve"> was 30 mg/kg/day for dams (general toxicity) and 100 mg/kg/day for embryo fetal development.</w:t>
      </w:r>
    </w:p>
    <w:p w:rsidR="001D1E2C" w:rsidRDefault="00263D75">
      <w:pPr>
        <w:pStyle w:val="3"/>
        <w:numPr>
          <w:ilvl w:val="4"/>
          <w:numId w:val="36"/>
        </w:numPr>
        <w:tabs>
          <w:tab w:val="left" w:pos="1645"/>
          <w:tab w:val="left" w:pos="1646"/>
        </w:tabs>
        <w:spacing w:before="123"/>
      </w:pPr>
      <w:bookmarkStart w:id="55" w:name="4.6.5.2.3_Exploratory_Study_in_Rabbits"/>
      <w:bookmarkStart w:id="56" w:name="_bookmark62"/>
      <w:bookmarkEnd w:id="55"/>
      <w:bookmarkEnd w:id="56"/>
      <w:r>
        <w:t>Exploratory Study in</w:t>
      </w:r>
      <w:r>
        <w:rPr>
          <w:spacing w:val="-2"/>
        </w:rPr>
        <w:t xml:space="preserve"> </w:t>
      </w:r>
      <w:r>
        <w:t>Rabbits</w:t>
      </w:r>
    </w:p>
    <w:p w:rsidR="001D1E2C" w:rsidRDefault="00263D75">
      <w:pPr>
        <w:pStyle w:val="a3"/>
        <w:spacing w:before="140" w:line="261" w:lineRule="auto"/>
        <w:ind w:left="512" w:right="1742"/>
      </w:pPr>
      <w:r>
        <w:t xml:space="preserve">An exploratory study was performed in rabbits (Study </w:t>
      </w:r>
      <w:r w:rsidR="00F65007">
        <w:t>Project S</w:t>
      </w:r>
      <w:r>
        <w:t xml:space="preserve">-TX-0013; EOTTs 3.1, 3.3, 3.4 and 3.15) to examine the general toxicological effects of </w:t>
      </w:r>
      <w:r w:rsidR="00F65007">
        <w:t xml:space="preserve">PROJECT </w:t>
      </w:r>
      <w:proofErr w:type="spellStart"/>
      <w:r w:rsidR="00F65007">
        <w:t>S</w:t>
      </w:r>
      <w:r>
        <w:t xml:space="preserve"> on</w:t>
      </w:r>
      <w:proofErr w:type="spellEnd"/>
      <w:r>
        <w:t xml:space="preserve"> </w:t>
      </w:r>
      <w:proofErr w:type="spellStart"/>
      <w:r>
        <w:t>nonpregnants</w:t>
      </w:r>
      <w:proofErr w:type="spellEnd"/>
      <w:r>
        <w:t>, then</w:t>
      </w:r>
      <w:r>
        <w:rPr>
          <w:spacing w:val="-27"/>
        </w:rPr>
        <w:t xml:space="preserve"> </w:t>
      </w:r>
      <w:r>
        <w:t xml:space="preserve">on dams and on embryo-fetal development. Doses used were 30, 100 or 300 mg/kg/day in the preliminary trial using </w:t>
      </w:r>
      <w:proofErr w:type="spellStart"/>
      <w:r>
        <w:t>nonpregnants</w:t>
      </w:r>
      <w:proofErr w:type="spellEnd"/>
      <w:r>
        <w:t xml:space="preserve"> and the animals were orally treated for 1 or 5 days. At 300 mg/kg/day, animals were in a lateral position and exhibited </w:t>
      </w:r>
      <w:proofErr w:type="spellStart"/>
      <w:r>
        <w:t>opisthotonus</w:t>
      </w:r>
      <w:proofErr w:type="spellEnd"/>
      <w:r>
        <w:t xml:space="preserve"> and </w:t>
      </w:r>
      <w:proofErr w:type="spellStart"/>
      <w:r>
        <w:t>clonic</w:t>
      </w:r>
      <w:proofErr w:type="spellEnd"/>
      <w:r>
        <w:t xml:space="preserve"> convulsion immediately after the first dosing then died; the remaining survivor was found in a lateral position transiently and was sacrificed on day 1 of administration.  Treatment at 100 mg/kg/day for 5 days induced clinical signs of CNS involvement including lateral position, </w:t>
      </w:r>
      <w:proofErr w:type="spellStart"/>
      <w:r>
        <w:t>opisthotonus</w:t>
      </w:r>
      <w:proofErr w:type="spellEnd"/>
      <w:r>
        <w:t xml:space="preserve">, </w:t>
      </w:r>
      <w:proofErr w:type="spellStart"/>
      <w:r>
        <w:t>clonic</w:t>
      </w:r>
      <w:proofErr w:type="spellEnd"/>
      <w:r>
        <w:t xml:space="preserve"> convulsion, staggering gait and salivation, as well as slightly decreased body weight and food consumption. At 30 mg/kg/day, there were no changes in general condition. On days 1 and 5, </w:t>
      </w:r>
      <w:proofErr w:type="spellStart"/>
      <w:r>
        <w:t>C</w:t>
      </w:r>
      <w:r>
        <w:rPr>
          <w:vertAlign w:val="subscript"/>
        </w:rPr>
        <w:t>max</w:t>
      </w:r>
      <w:proofErr w:type="spellEnd"/>
      <w:r>
        <w:t xml:space="preserve"> and AUC</w:t>
      </w:r>
      <w:r>
        <w:rPr>
          <w:vertAlign w:val="subscript"/>
        </w:rPr>
        <w:t>24</w:t>
      </w:r>
      <w:r>
        <w:t xml:space="preserve"> values increased more than</w:t>
      </w:r>
      <w:r>
        <w:rPr>
          <w:spacing w:val="-24"/>
        </w:rPr>
        <w:t xml:space="preserve"> </w:t>
      </w:r>
      <w:r>
        <w:t>dose-</w:t>
      </w:r>
    </w:p>
    <w:p w:rsidR="001D1E2C" w:rsidRDefault="00263D75">
      <w:pPr>
        <w:pStyle w:val="a3"/>
        <w:spacing w:line="261" w:lineRule="auto"/>
        <w:ind w:left="512" w:right="1618"/>
      </w:pPr>
      <w:r>
        <w:t xml:space="preserve">proportionally up to 100 mg/kg/day, except for </w:t>
      </w:r>
      <w:proofErr w:type="spellStart"/>
      <w:r>
        <w:t>C</w:t>
      </w:r>
      <w:r>
        <w:rPr>
          <w:vertAlign w:val="subscript"/>
        </w:rPr>
        <w:t>max</w:t>
      </w:r>
      <w:proofErr w:type="spellEnd"/>
      <w:r>
        <w:t xml:space="preserve"> values on day 5, which increased almost dose-proportionally. </w:t>
      </w:r>
      <w:proofErr w:type="spellStart"/>
      <w:r>
        <w:t>C</w:t>
      </w:r>
      <w:r>
        <w:rPr>
          <w:vertAlign w:val="subscript"/>
        </w:rPr>
        <w:t>max</w:t>
      </w:r>
      <w:proofErr w:type="spellEnd"/>
      <w:r>
        <w:t xml:space="preserve"> and AUC</w:t>
      </w:r>
      <w:r>
        <w:rPr>
          <w:vertAlign w:val="subscript"/>
        </w:rPr>
        <w:t>24</w:t>
      </w:r>
      <w:r>
        <w:t xml:space="preserve"> values did not change with dosing time. </w:t>
      </w:r>
      <w:r>
        <w:rPr>
          <w:spacing w:val="-3"/>
        </w:rPr>
        <w:t xml:space="preserve">In </w:t>
      </w:r>
      <w:r>
        <w:t>the preliminary study with pregnant rabbits, treatment at 100 mg/kg/day induced slightly decreased fecal output, body weight and food consumption, as well as transient staggering gait and one abortion. At ≤ 30 mg/kg/day, no treatment-related findings were observed. No treatment-related effects, such as embryo-fetal death or change in fetal body weight,</w:t>
      </w:r>
      <w:r>
        <w:rPr>
          <w:spacing w:val="-31"/>
        </w:rPr>
        <w:t xml:space="preserve"> </w:t>
      </w:r>
      <w:r>
        <w:t>placental weight and sex ratio, including external and macroscopic abnormalities in the fetuses and placentae were observed at any dose employed. In addition, no significant increases were seen in visceral abnormalities and variations at any dose. In summary, no treatment-related effects such as fetal lethality, inhibition of fetal growth or teratogenicity were observed at any dose</w:t>
      </w:r>
      <w:r>
        <w:rPr>
          <w:spacing w:val="-1"/>
        </w:rPr>
        <w:t xml:space="preserve"> </w:t>
      </w:r>
      <w:r>
        <w:t>employed.</w:t>
      </w:r>
    </w:p>
    <w:p w:rsidR="001D1E2C" w:rsidRDefault="001D1E2C">
      <w:pPr>
        <w:spacing w:line="261" w:lineRule="auto"/>
        <w:sectPr w:rsidR="001D1E2C">
          <w:pgSz w:w="12240" w:h="15840"/>
          <w:pgMar w:top="1240" w:right="0" w:bottom="940" w:left="1100" w:header="578" w:footer="748" w:gutter="0"/>
          <w:cols w:space="720"/>
        </w:sectPr>
      </w:pPr>
    </w:p>
    <w:p w:rsidR="001D1E2C" w:rsidRDefault="001D1E2C">
      <w:pPr>
        <w:pStyle w:val="a3"/>
        <w:rPr>
          <w:sz w:val="20"/>
        </w:rPr>
      </w:pPr>
    </w:p>
    <w:p w:rsidR="001D1E2C" w:rsidRDefault="00263D75">
      <w:pPr>
        <w:pStyle w:val="3"/>
        <w:numPr>
          <w:ilvl w:val="4"/>
          <w:numId w:val="36"/>
        </w:numPr>
        <w:tabs>
          <w:tab w:val="left" w:pos="1645"/>
          <w:tab w:val="left" w:pos="1646"/>
        </w:tabs>
        <w:spacing w:before="232"/>
      </w:pPr>
      <w:bookmarkStart w:id="57" w:name="4.6.5.2.4_Definitive_Study_in_Rabbits"/>
      <w:bookmarkStart w:id="58" w:name="_bookmark63"/>
      <w:bookmarkEnd w:id="57"/>
      <w:bookmarkEnd w:id="58"/>
      <w:r>
        <w:t>Definitive Study in</w:t>
      </w:r>
      <w:r>
        <w:rPr>
          <w:spacing w:val="-3"/>
        </w:rPr>
        <w:t xml:space="preserve"> </w:t>
      </w:r>
      <w:r>
        <w:t>Rabbits</w:t>
      </w:r>
    </w:p>
    <w:p w:rsidR="001D1E2C" w:rsidRDefault="00263D75">
      <w:pPr>
        <w:pStyle w:val="a3"/>
        <w:spacing w:before="139"/>
        <w:ind w:left="512"/>
      </w:pPr>
      <w:r>
        <w:t>A definitive study of embryo-fetal development was performed in pregnant rabbits</w:t>
      </w:r>
    </w:p>
    <w:p w:rsidR="001D1E2C" w:rsidRDefault="00263D75">
      <w:pPr>
        <w:pStyle w:val="a3"/>
        <w:spacing w:before="24" w:line="261" w:lineRule="auto"/>
        <w:ind w:left="512" w:right="1629"/>
      </w:pPr>
      <w:r>
        <w:t xml:space="preserve">(Study </w:t>
      </w:r>
      <w:r w:rsidR="00F65007">
        <w:t>Project S</w:t>
      </w:r>
      <w:r>
        <w:t xml:space="preserve">-TX-0014; EOTTs 3.1, 3.3, 3.4, and 3.16) to investigate the effects of </w:t>
      </w:r>
      <w:r w:rsidR="00F65007">
        <w:t xml:space="preserve">PROJECT </w:t>
      </w:r>
      <w:proofErr w:type="spellStart"/>
      <w:r w:rsidR="00F65007">
        <w:t>S</w:t>
      </w:r>
      <w:r>
        <w:t xml:space="preserve"> on</w:t>
      </w:r>
      <w:proofErr w:type="spellEnd"/>
      <w:r>
        <w:t xml:space="preserve"> pregnant females and on embryo-fetal development at oral doses of 0, 10, 30 and 100 mg/kg and to assess systemic exposure to </w:t>
      </w:r>
      <w:r w:rsidR="00F65007">
        <w:t>PROJECT S</w:t>
      </w:r>
      <w:r>
        <w:t xml:space="preserve">. Treatment at 100 mg/kg/day induced CNS involvement including lateral position, </w:t>
      </w:r>
      <w:proofErr w:type="spellStart"/>
      <w:r>
        <w:t>clonic</w:t>
      </w:r>
      <w:proofErr w:type="spellEnd"/>
      <w:r>
        <w:t xml:space="preserve"> convulsion and/or </w:t>
      </w:r>
      <w:proofErr w:type="spellStart"/>
      <w:r>
        <w:t>opisthotonus</w:t>
      </w:r>
      <w:proofErr w:type="spellEnd"/>
      <w:r>
        <w:t xml:space="preserve">, slightly decreased body weight and food consumption and death. At ≤ 30 mg/kg/day, there were no treatment-related findings. There were no significant differences in the number of corpora lutea or implantations between the control group and any </w:t>
      </w:r>
      <w:r w:rsidR="00F65007">
        <w:t>PROJECT S</w:t>
      </w:r>
      <w:r>
        <w:t xml:space="preserve"> group. Suppression of fetal growth, as expressed by reduced fetal body weight and reduced skeletal ossification of sacral and caudal vertebrae, was observed at 100 mg/kg/day but not at ≤ 30 mg/kg/day. No treatment-related effects, such as embryo-fetal death or changes in placental weight or sex ratio including external and macroscopic abnormalities in the fetuses and placentae, were observed at any dose employed. In addition, no significant increases were seen in visceral or skeletal abnormalities or variations, skeletal abnormalities or variations, including placental abnormalities, in any treated group.  In summary, no treatment-related findings were recorded on embryo-fetal development, such as fetal lethality and teratogenicity, under these conditions at any doses employed, although treatment at 100 mg/kg/day induced inhibition of fetal growth. </w:t>
      </w:r>
      <w:proofErr w:type="spellStart"/>
      <w:r>
        <w:t>C</w:t>
      </w:r>
      <w:r>
        <w:rPr>
          <w:vertAlign w:val="subscript"/>
        </w:rPr>
        <w:t>max</w:t>
      </w:r>
      <w:proofErr w:type="spellEnd"/>
      <w:r>
        <w:t xml:space="preserve"> and AUC</w:t>
      </w:r>
      <w:r>
        <w:rPr>
          <w:vertAlign w:val="subscript"/>
        </w:rPr>
        <w:t>24</w:t>
      </w:r>
      <w:r>
        <w:t xml:space="preserve"> values in both stages increased more than dose-proportionally up to 100 mg/kg/day; however, </w:t>
      </w:r>
      <w:proofErr w:type="spellStart"/>
      <w:r>
        <w:t>C</w:t>
      </w:r>
      <w:r>
        <w:rPr>
          <w:vertAlign w:val="subscript"/>
        </w:rPr>
        <w:t>max</w:t>
      </w:r>
      <w:proofErr w:type="spellEnd"/>
      <w:r>
        <w:t xml:space="preserve"> values on gestation day 18 increased less than dose- proportionally from 30 to 100 mg/kg/day. Toxicokinetic parameters were mostly</w:t>
      </w:r>
      <w:r>
        <w:rPr>
          <w:spacing w:val="-20"/>
        </w:rPr>
        <w:t xml:space="preserve"> </w:t>
      </w:r>
      <w:r>
        <w:t xml:space="preserve">comparable after the first and final dosing. The NOAEL of </w:t>
      </w:r>
      <w:r w:rsidR="00F65007">
        <w:t>PROJECT S</w:t>
      </w:r>
      <w:r>
        <w:t xml:space="preserve"> was 30 mg/kg/day for general toxicological and reproductive effect in dams and embryo-fetal</w:t>
      </w:r>
      <w:r>
        <w:rPr>
          <w:spacing w:val="-5"/>
        </w:rPr>
        <w:t xml:space="preserve"> </w:t>
      </w:r>
      <w:r>
        <w:t>development.</w:t>
      </w:r>
    </w:p>
    <w:p w:rsidR="001D1E2C" w:rsidRDefault="00263D75">
      <w:pPr>
        <w:pStyle w:val="3"/>
        <w:numPr>
          <w:ilvl w:val="2"/>
          <w:numId w:val="35"/>
        </w:numPr>
        <w:tabs>
          <w:tab w:val="left" w:pos="1364"/>
          <w:tab w:val="left" w:pos="1365"/>
        </w:tabs>
        <w:spacing w:before="108"/>
      </w:pPr>
      <w:bookmarkStart w:id="59" w:name="4.6.6_Local_Tolerance"/>
      <w:bookmarkStart w:id="60" w:name="_bookmark64"/>
      <w:bookmarkEnd w:id="59"/>
      <w:bookmarkEnd w:id="60"/>
      <w:r>
        <w:t>Local</w:t>
      </w:r>
      <w:r>
        <w:rPr>
          <w:spacing w:val="-2"/>
        </w:rPr>
        <w:t xml:space="preserve"> </w:t>
      </w:r>
      <w:r>
        <w:t>Tolerance</w:t>
      </w:r>
    </w:p>
    <w:p w:rsidR="001D1E2C" w:rsidRDefault="00263D75">
      <w:pPr>
        <w:pStyle w:val="a3"/>
        <w:spacing w:before="139" w:line="259" w:lineRule="auto"/>
        <w:ind w:left="512" w:right="1637"/>
      </w:pPr>
      <w:r>
        <w:t xml:space="preserve">Local tolerance studies (eye irritation, hemolytic action in human peripheral blood, or venous and perivascular irritancy) with </w:t>
      </w:r>
      <w:r w:rsidR="00F65007">
        <w:t>PROJECT S</w:t>
      </w:r>
      <w:r>
        <w:t xml:space="preserve"> were not performed.</w:t>
      </w:r>
    </w:p>
    <w:p w:rsidR="001D1E2C" w:rsidRDefault="00263D75">
      <w:pPr>
        <w:pStyle w:val="3"/>
        <w:numPr>
          <w:ilvl w:val="2"/>
          <w:numId w:val="35"/>
        </w:numPr>
        <w:tabs>
          <w:tab w:val="left" w:pos="1364"/>
          <w:tab w:val="left" w:pos="1365"/>
        </w:tabs>
        <w:spacing w:before="129"/>
      </w:pPr>
      <w:bookmarkStart w:id="61" w:name="4.6.7_Other_Toxicity_Studies"/>
      <w:bookmarkStart w:id="62" w:name="_bookmark65"/>
      <w:bookmarkEnd w:id="61"/>
      <w:bookmarkEnd w:id="62"/>
      <w:r>
        <w:t>Other Toxicity</w:t>
      </w:r>
      <w:r>
        <w:rPr>
          <w:spacing w:val="-1"/>
        </w:rPr>
        <w:t xml:space="preserve"> </w:t>
      </w:r>
      <w:r>
        <w:t>Studies</w:t>
      </w:r>
    </w:p>
    <w:p w:rsidR="001D1E2C" w:rsidRDefault="006C0602">
      <w:pPr>
        <w:pStyle w:val="a3"/>
        <w:spacing w:before="139" w:line="259" w:lineRule="auto"/>
        <w:ind w:left="512" w:right="1756"/>
      </w:pPr>
      <w:r>
        <w:pict>
          <v:rect id="_x0000_s1084" style="position:absolute;left:0;text-align:left;margin-left:413.2pt;margin-top:19.45pt;width:39.8pt;height:20pt;z-index:-251614720;mso-position-horizontal-relative:page" filled="f" strokecolor="blue" strokeweight="1pt">
            <w10:wrap anchorx="page"/>
          </v:rect>
        </w:pict>
      </w:r>
      <w:r w:rsidR="00263D75">
        <w:t>Additional studies were performed in rats and dogs to examine the relationship between occurrence of clinical signs including convulsion and plasma drug concentration [</w:t>
      </w:r>
      <w:r w:rsidR="00F65007">
        <w:t>Project S</w:t>
      </w:r>
      <w:r w:rsidR="00263D75">
        <w:t xml:space="preserve">-TX- 0025 and </w:t>
      </w:r>
      <w:r w:rsidR="00F65007">
        <w:t>Project S</w:t>
      </w:r>
      <w:r w:rsidR="00263D75">
        <w:t>-TX-0020]. These studies were preceded by exploratory studies in rats and dogs to define the escalating dose steps for the continuous infusion and are described in the EOTT only [</w:t>
      </w:r>
      <w:r w:rsidR="00F65007">
        <w:t>Project S</w:t>
      </w:r>
      <w:r w:rsidR="00263D75">
        <w:t xml:space="preserve">-TX-0024; EOTT 3.1 and 3.22 and </w:t>
      </w:r>
      <w:r w:rsidR="00F65007">
        <w:t>Project S</w:t>
      </w:r>
      <w:r w:rsidR="00263D75">
        <w:t>-TX-0019; EOTTs 3.1, and 3.20].</w:t>
      </w:r>
    </w:p>
    <w:p w:rsidR="001D1E2C" w:rsidRDefault="00263D75">
      <w:pPr>
        <w:pStyle w:val="3"/>
        <w:numPr>
          <w:ilvl w:val="3"/>
          <w:numId w:val="35"/>
        </w:numPr>
        <w:tabs>
          <w:tab w:val="left" w:pos="1365"/>
        </w:tabs>
        <w:spacing w:before="135"/>
      </w:pPr>
      <w:bookmarkStart w:id="63" w:name="4.6.7.1_Definitive_Study_in_Rats_by_Cont"/>
      <w:bookmarkStart w:id="64" w:name="_bookmark66"/>
      <w:bookmarkEnd w:id="63"/>
      <w:bookmarkEnd w:id="64"/>
      <w:r>
        <w:t>Definitive Study in Rats by Continuous Intravenous</w:t>
      </w:r>
      <w:r>
        <w:rPr>
          <w:spacing w:val="-4"/>
        </w:rPr>
        <w:t xml:space="preserve"> </w:t>
      </w:r>
      <w:r>
        <w:t>Infusion</w:t>
      </w:r>
    </w:p>
    <w:p w:rsidR="001D1E2C" w:rsidRDefault="00263D75">
      <w:pPr>
        <w:pStyle w:val="a3"/>
        <w:spacing w:before="139" w:line="261" w:lineRule="auto"/>
        <w:ind w:left="512" w:right="1669"/>
      </w:pPr>
      <w:r>
        <w:t>In the definite study in rats [</w:t>
      </w:r>
      <w:r w:rsidR="00F65007">
        <w:t>Project S</w:t>
      </w:r>
      <w:r>
        <w:t xml:space="preserve">-TX-0025; EOTT 3.1 and 3.23] </w:t>
      </w:r>
      <w:r w:rsidR="00F65007">
        <w:t>PROJECT S</w:t>
      </w:r>
      <w:r>
        <w:t xml:space="preserve"> was administered by continuous intravenous infusion to rats. Dosing solution was administered according to the schedule described in </w:t>
      </w:r>
      <w:hyperlink w:anchor="_bookmark67" w:history="1">
        <w:r>
          <w:t>(Table 2</w:t>
        </w:r>
      </w:hyperlink>
      <w:r>
        <w:t>).</w:t>
      </w:r>
    </w:p>
    <w:p w:rsidR="001D1E2C" w:rsidRDefault="001D1E2C">
      <w:pPr>
        <w:spacing w:line="261" w:lineRule="auto"/>
        <w:sectPr w:rsidR="001D1E2C">
          <w:pgSz w:w="12240" w:h="15840"/>
          <w:pgMar w:top="1240" w:right="0" w:bottom="940" w:left="1100" w:header="578" w:footer="748" w:gutter="0"/>
          <w:cols w:space="720"/>
        </w:sectPr>
      </w:pPr>
    </w:p>
    <w:p w:rsidR="001D1E2C" w:rsidRDefault="001D1E2C">
      <w:pPr>
        <w:pStyle w:val="a3"/>
        <w:rPr>
          <w:sz w:val="20"/>
        </w:rPr>
      </w:pPr>
    </w:p>
    <w:p w:rsidR="001D1E2C" w:rsidRDefault="00263D75">
      <w:pPr>
        <w:pStyle w:val="3"/>
        <w:tabs>
          <w:tab w:val="left" w:pos="1923"/>
        </w:tabs>
        <w:spacing w:before="208" w:after="21"/>
        <w:ind w:left="512"/>
      </w:pPr>
      <w:bookmarkStart w:id="65" w:name="_bookmark67"/>
      <w:bookmarkEnd w:id="65"/>
      <w:r>
        <w:t>Table 2</w:t>
      </w:r>
      <w:r>
        <w:tab/>
        <w:t>Administration</w:t>
      </w:r>
      <w:r>
        <w:rPr>
          <w:spacing w:val="-1"/>
        </w:rPr>
        <w:t xml:space="preserve"> </w:t>
      </w:r>
      <w:r>
        <w:t>Manner</w:t>
      </w:r>
    </w:p>
    <w:tbl>
      <w:tblPr>
        <w:tblStyle w:val="TableNormal"/>
        <w:tblW w:w="0" w:type="auto"/>
        <w:tblInd w:w="5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25"/>
        <w:gridCol w:w="2127"/>
        <w:gridCol w:w="2125"/>
        <w:gridCol w:w="2490"/>
      </w:tblGrid>
      <w:tr w:rsidR="001D1E2C">
        <w:trPr>
          <w:trHeight w:val="460"/>
        </w:trPr>
        <w:tc>
          <w:tcPr>
            <w:tcW w:w="1625" w:type="dxa"/>
            <w:tcBorders>
              <w:bottom w:val="single" w:sz="2" w:space="0" w:color="000000"/>
              <w:right w:val="single" w:sz="2" w:space="0" w:color="000000"/>
            </w:tcBorders>
          </w:tcPr>
          <w:p w:rsidR="001D1E2C" w:rsidRDefault="00263D75">
            <w:pPr>
              <w:pStyle w:val="TableParagraph"/>
              <w:spacing w:before="113" w:line="240" w:lineRule="auto"/>
              <w:ind w:left="349" w:right="343"/>
              <w:rPr>
                <w:b/>
                <w:sz w:val="20"/>
              </w:rPr>
            </w:pPr>
            <w:r>
              <w:rPr>
                <w:b/>
                <w:sz w:val="20"/>
              </w:rPr>
              <w:t>Phase</w:t>
            </w:r>
          </w:p>
        </w:tc>
        <w:tc>
          <w:tcPr>
            <w:tcW w:w="2127" w:type="dxa"/>
            <w:tcBorders>
              <w:left w:val="single" w:sz="2" w:space="0" w:color="000000"/>
              <w:bottom w:val="single" w:sz="2" w:space="0" w:color="000000"/>
              <w:right w:val="single" w:sz="2" w:space="0" w:color="000000"/>
            </w:tcBorders>
          </w:tcPr>
          <w:p w:rsidR="001D1E2C" w:rsidRDefault="00263D75">
            <w:pPr>
              <w:pStyle w:val="TableParagraph"/>
              <w:spacing w:line="230" w:lineRule="exact"/>
              <w:ind w:left="537" w:right="456" w:hanging="53"/>
              <w:jc w:val="left"/>
              <w:rPr>
                <w:b/>
                <w:sz w:val="20"/>
              </w:rPr>
            </w:pPr>
            <w:r>
              <w:rPr>
                <w:b/>
                <w:sz w:val="20"/>
              </w:rPr>
              <w:t>Infusion Rate (mg/kg/min)</w:t>
            </w:r>
          </w:p>
        </w:tc>
        <w:tc>
          <w:tcPr>
            <w:tcW w:w="2125" w:type="dxa"/>
            <w:tcBorders>
              <w:left w:val="single" w:sz="2" w:space="0" w:color="000000"/>
              <w:bottom w:val="single" w:sz="2" w:space="0" w:color="000000"/>
              <w:right w:val="single" w:sz="2" w:space="0" w:color="000000"/>
            </w:tcBorders>
          </w:tcPr>
          <w:p w:rsidR="001D1E2C" w:rsidRDefault="00263D75">
            <w:pPr>
              <w:pStyle w:val="TableParagraph"/>
              <w:spacing w:line="230" w:lineRule="exact"/>
              <w:ind w:left="519" w:right="455" w:hanging="36"/>
              <w:jc w:val="left"/>
              <w:rPr>
                <w:b/>
                <w:sz w:val="20"/>
              </w:rPr>
            </w:pPr>
            <w:r>
              <w:rPr>
                <w:b/>
                <w:sz w:val="20"/>
              </w:rPr>
              <w:t>Infusion Rate (mL/kg/min)</w:t>
            </w:r>
          </w:p>
        </w:tc>
        <w:tc>
          <w:tcPr>
            <w:tcW w:w="2490" w:type="dxa"/>
            <w:tcBorders>
              <w:left w:val="single" w:sz="2" w:space="0" w:color="000000"/>
              <w:bottom w:val="single" w:sz="2" w:space="0" w:color="000000"/>
            </w:tcBorders>
          </w:tcPr>
          <w:p w:rsidR="001D1E2C" w:rsidRDefault="00263D75">
            <w:pPr>
              <w:pStyle w:val="TableParagraph"/>
              <w:spacing w:before="113" w:line="240" w:lineRule="auto"/>
              <w:ind w:left="124" w:right="110"/>
              <w:rPr>
                <w:b/>
                <w:sz w:val="20"/>
              </w:rPr>
            </w:pPr>
            <w:r>
              <w:rPr>
                <w:b/>
                <w:sz w:val="20"/>
              </w:rPr>
              <w:t>Infusion Duration (min) †</w:t>
            </w:r>
          </w:p>
        </w:tc>
      </w:tr>
      <w:tr w:rsidR="001D1E2C">
        <w:trPr>
          <w:trHeight w:val="230"/>
        </w:trPr>
        <w:tc>
          <w:tcPr>
            <w:tcW w:w="1625" w:type="dxa"/>
            <w:tcBorders>
              <w:top w:val="single" w:sz="2" w:space="0" w:color="000000"/>
              <w:bottom w:val="single" w:sz="2" w:space="0" w:color="000000"/>
              <w:right w:val="single" w:sz="2" w:space="0" w:color="000000"/>
            </w:tcBorders>
          </w:tcPr>
          <w:p w:rsidR="001D1E2C" w:rsidRDefault="00263D75">
            <w:pPr>
              <w:pStyle w:val="TableParagraph"/>
              <w:spacing w:line="210" w:lineRule="exact"/>
              <w:ind w:left="349" w:right="343"/>
              <w:rPr>
                <w:sz w:val="20"/>
              </w:rPr>
            </w:pPr>
            <w:r>
              <w:rPr>
                <w:sz w:val="20"/>
              </w:rPr>
              <w:t>Loading</w:t>
            </w:r>
          </w:p>
        </w:tc>
        <w:tc>
          <w:tcPr>
            <w:tcW w:w="2127" w:type="dxa"/>
            <w:tcBorders>
              <w:top w:val="single" w:sz="2" w:space="0" w:color="000000"/>
              <w:left w:val="single" w:sz="2" w:space="0" w:color="000000"/>
              <w:bottom w:val="single" w:sz="2" w:space="0" w:color="000000"/>
              <w:right w:val="single" w:sz="2" w:space="0" w:color="000000"/>
            </w:tcBorders>
          </w:tcPr>
          <w:p w:rsidR="001D1E2C" w:rsidRDefault="00263D75">
            <w:pPr>
              <w:pStyle w:val="TableParagraph"/>
              <w:spacing w:line="210" w:lineRule="exact"/>
              <w:ind w:left="871" w:right="861"/>
              <w:rPr>
                <w:sz w:val="20"/>
              </w:rPr>
            </w:pPr>
            <w:r>
              <w:rPr>
                <w:sz w:val="20"/>
              </w:rPr>
              <w:t>0.4</w:t>
            </w:r>
          </w:p>
        </w:tc>
        <w:tc>
          <w:tcPr>
            <w:tcW w:w="2125" w:type="dxa"/>
            <w:tcBorders>
              <w:top w:val="single" w:sz="2" w:space="0" w:color="000000"/>
              <w:left w:val="single" w:sz="2" w:space="0" w:color="000000"/>
              <w:bottom w:val="single" w:sz="2" w:space="0" w:color="000000"/>
              <w:right w:val="single" w:sz="2" w:space="0" w:color="000000"/>
            </w:tcBorders>
          </w:tcPr>
          <w:p w:rsidR="001D1E2C" w:rsidRDefault="00263D75">
            <w:pPr>
              <w:pStyle w:val="TableParagraph"/>
              <w:spacing w:line="210" w:lineRule="exact"/>
              <w:ind w:right="875"/>
              <w:jc w:val="right"/>
              <w:rPr>
                <w:sz w:val="20"/>
              </w:rPr>
            </w:pPr>
            <w:r>
              <w:rPr>
                <w:sz w:val="20"/>
              </w:rPr>
              <w:t>0.04</w:t>
            </w:r>
          </w:p>
        </w:tc>
        <w:tc>
          <w:tcPr>
            <w:tcW w:w="2490" w:type="dxa"/>
            <w:tcBorders>
              <w:top w:val="single" w:sz="2" w:space="0" w:color="000000"/>
              <w:left w:val="single" w:sz="2" w:space="0" w:color="000000"/>
              <w:bottom w:val="single" w:sz="2" w:space="0" w:color="000000"/>
            </w:tcBorders>
          </w:tcPr>
          <w:p w:rsidR="001D1E2C" w:rsidRDefault="00263D75">
            <w:pPr>
              <w:pStyle w:val="TableParagraph"/>
              <w:spacing w:line="210" w:lineRule="exact"/>
              <w:ind w:left="124" w:right="108"/>
              <w:rPr>
                <w:sz w:val="20"/>
              </w:rPr>
            </w:pPr>
            <w:r>
              <w:rPr>
                <w:sz w:val="20"/>
              </w:rPr>
              <w:t>30 (30)</w:t>
            </w:r>
          </w:p>
        </w:tc>
      </w:tr>
      <w:tr w:rsidR="001D1E2C">
        <w:trPr>
          <w:trHeight w:val="230"/>
        </w:trPr>
        <w:tc>
          <w:tcPr>
            <w:tcW w:w="1625" w:type="dxa"/>
            <w:tcBorders>
              <w:top w:val="single" w:sz="2" w:space="0" w:color="000000"/>
              <w:bottom w:val="single" w:sz="2" w:space="0" w:color="000000"/>
              <w:right w:val="single" w:sz="2" w:space="0" w:color="000000"/>
            </w:tcBorders>
          </w:tcPr>
          <w:p w:rsidR="001D1E2C" w:rsidRDefault="00263D75">
            <w:pPr>
              <w:pStyle w:val="TableParagraph"/>
              <w:spacing w:line="210" w:lineRule="exact"/>
              <w:ind w:left="348" w:right="343"/>
              <w:rPr>
                <w:sz w:val="20"/>
              </w:rPr>
            </w:pPr>
            <w:r>
              <w:rPr>
                <w:sz w:val="20"/>
              </w:rPr>
              <w:t>Infusion 1</w:t>
            </w:r>
          </w:p>
        </w:tc>
        <w:tc>
          <w:tcPr>
            <w:tcW w:w="2127" w:type="dxa"/>
            <w:tcBorders>
              <w:top w:val="single" w:sz="2" w:space="0" w:color="000000"/>
              <w:left w:val="single" w:sz="2" w:space="0" w:color="000000"/>
              <w:bottom w:val="single" w:sz="2" w:space="0" w:color="000000"/>
              <w:right w:val="single" w:sz="2" w:space="0" w:color="000000"/>
            </w:tcBorders>
          </w:tcPr>
          <w:p w:rsidR="001D1E2C" w:rsidRDefault="00263D75">
            <w:pPr>
              <w:pStyle w:val="TableParagraph"/>
              <w:spacing w:line="210" w:lineRule="exact"/>
              <w:ind w:left="871" w:right="861"/>
              <w:rPr>
                <w:sz w:val="20"/>
              </w:rPr>
            </w:pPr>
            <w:r>
              <w:rPr>
                <w:sz w:val="20"/>
              </w:rPr>
              <w:t>0.16</w:t>
            </w:r>
          </w:p>
        </w:tc>
        <w:tc>
          <w:tcPr>
            <w:tcW w:w="2125" w:type="dxa"/>
            <w:tcBorders>
              <w:top w:val="single" w:sz="2" w:space="0" w:color="000000"/>
              <w:left w:val="single" w:sz="2" w:space="0" w:color="000000"/>
              <w:bottom w:val="single" w:sz="2" w:space="0" w:color="000000"/>
              <w:right w:val="single" w:sz="2" w:space="0" w:color="000000"/>
            </w:tcBorders>
          </w:tcPr>
          <w:p w:rsidR="001D1E2C" w:rsidRDefault="00263D75">
            <w:pPr>
              <w:pStyle w:val="TableParagraph"/>
              <w:spacing w:line="210" w:lineRule="exact"/>
              <w:ind w:right="825"/>
              <w:jc w:val="right"/>
              <w:rPr>
                <w:sz w:val="20"/>
              </w:rPr>
            </w:pPr>
            <w:r>
              <w:rPr>
                <w:sz w:val="20"/>
              </w:rPr>
              <w:t>0.016</w:t>
            </w:r>
          </w:p>
        </w:tc>
        <w:tc>
          <w:tcPr>
            <w:tcW w:w="2490" w:type="dxa"/>
            <w:tcBorders>
              <w:top w:val="single" w:sz="2" w:space="0" w:color="000000"/>
              <w:left w:val="single" w:sz="2" w:space="0" w:color="000000"/>
              <w:bottom w:val="single" w:sz="2" w:space="0" w:color="000000"/>
            </w:tcBorders>
          </w:tcPr>
          <w:p w:rsidR="001D1E2C" w:rsidRDefault="00263D75">
            <w:pPr>
              <w:pStyle w:val="TableParagraph"/>
              <w:spacing w:line="210" w:lineRule="exact"/>
              <w:ind w:left="124" w:right="108"/>
              <w:rPr>
                <w:sz w:val="20"/>
              </w:rPr>
            </w:pPr>
            <w:r>
              <w:rPr>
                <w:sz w:val="20"/>
              </w:rPr>
              <w:t>35 (65)</w:t>
            </w:r>
          </w:p>
        </w:tc>
      </w:tr>
      <w:tr w:rsidR="001D1E2C">
        <w:trPr>
          <w:trHeight w:val="230"/>
        </w:trPr>
        <w:tc>
          <w:tcPr>
            <w:tcW w:w="1625" w:type="dxa"/>
            <w:tcBorders>
              <w:top w:val="single" w:sz="2" w:space="0" w:color="000000"/>
              <w:bottom w:val="single" w:sz="2" w:space="0" w:color="000000"/>
              <w:right w:val="single" w:sz="2" w:space="0" w:color="000000"/>
            </w:tcBorders>
          </w:tcPr>
          <w:p w:rsidR="001D1E2C" w:rsidRDefault="00263D75">
            <w:pPr>
              <w:pStyle w:val="TableParagraph"/>
              <w:spacing w:line="210" w:lineRule="exact"/>
              <w:ind w:left="348" w:right="343"/>
              <w:rPr>
                <w:sz w:val="20"/>
              </w:rPr>
            </w:pPr>
            <w:r>
              <w:rPr>
                <w:sz w:val="20"/>
              </w:rPr>
              <w:t>Infusion 2</w:t>
            </w:r>
          </w:p>
        </w:tc>
        <w:tc>
          <w:tcPr>
            <w:tcW w:w="2127" w:type="dxa"/>
            <w:tcBorders>
              <w:top w:val="single" w:sz="2" w:space="0" w:color="000000"/>
              <w:left w:val="single" w:sz="2" w:space="0" w:color="000000"/>
              <w:bottom w:val="single" w:sz="2" w:space="0" w:color="000000"/>
              <w:right w:val="single" w:sz="2" w:space="0" w:color="000000"/>
            </w:tcBorders>
          </w:tcPr>
          <w:p w:rsidR="001D1E2C" w:rsidRDefault="00263D75">
            <w:pPr>
              <w:pStyle w:val="TableParagraph"/>
              <w:spacing w:line="210" w:lineRule="exact"/>
              <w:ind w:left="871" w:right="861"/>
              <w:rPr>
                <w:sz w:val="20"/>
              </w:rPr>
            </w:pPr>
            <w:r>
              <w:rPr>
                <w:sz w:val="20"/>
              </w:rPr>
              <w:t>0.52</w:t>
            </w:r>
          </w:p>
        </w:tc>
        <w:tc>
          <w:tcPr>
            <w:tcW w:w="2125" w:type="dxa"/>
            <w:tcBorders>
              <w:top w:val="single" w:sz="2" w:space="0" w:color="000000"/>
              <w:left w:val="single" w:sz="2" w:space="0" w:color="000000"/>
              <w:bottom w:val="single" w:sz="2" w:space="0" w:color="000000"/>
              <w:right w:val="single" w:sz="2" w:space="0" w:color="000000"/>
            </w:tcBorders>
          </w:tcPr>
          <w:p w:rsidR="001D1E2C" w:rsidRDefault="00263D75">
            <w:pPr>
              <w:pStyle w:val="TableParagraph"/>
              <w:spacing w:line="210" w:lineRule="exact"/>
              <w:ind w:right="825"/>
              <w:jc w:val="right"/>
              <w:rPr>
                <w:sz w:val="20"/>
              </w:rPr>
            </w:pPr>
            <w:r>
              <w:rPr>
                <w:sz w:val="20"/>
              </w:rPr>
              <w:t>0.052</w:t>
            </w:r>
          </w:p>
        </w:tc>
        <w:tc>
          <w:tcPr>
            <w:tcW w:w="2490" w:type="dxa"/>
            <w:tcBorders>
              <w:top w:val="single" w:sz="2" w:space="0" w:color="000000"/>
              <w:left w:val="single" w:sz="2" w:space="0" w:color="000000"/>
              <w:bottom w:val="single" w:sz="2" w:space="0" w:color="000000"/>
            </w:tcBorders>
          </w:tcPr>
          <w:p w:rsidR="001D1E2C" w:rsidRDefault="00263D75">
            <w:pPr>
              <w:pStyle w:val="TableParagraph"/>
              <w:spacing w:line="210" w:lineRule="exact"/>
              <w:ind w:left="124" w:right="108"/>
              <w:rPr>
                <w:sz w:val="20"/>
              </w:rPr>
            </w:pPr>
            <w:r>
              <w:rPr>
                <w:sz w:val="20"/>
              </w:rPr>
              <w:t>60 (125)</w:t>
            </w:r>
          </w:p>
        </w:tc>
      </w:tr>
      <w:tr w:rsidR="001D1E2C">
        <w:trPr>
          <w:trHeight w:val="230"/>
        </w:trPr>
        <w:tc>
          <w:tcPr>
            <w:tcW w:w="1625" w:type="dxa"/>
            <w:tcBorders>
              <w:top w:val="single" w:sz="2" w:space="0" w:color="000000"/>
              <w:right w:val="single" w:sz="2" w:space="0" w:color="000000"/>
            </w:tcBorders>
          </w:tcPr>
          <w:p w:rsidR="001D1E2C" w:rsidRDefault="00263D75">
            <w:pPr>
              <w:pStyle w:val="TableParagraph"/>
              <w:spacing w:line="210" w:lineRule="exact"/>
              <w:ind w:left="348" w:right="343"/>
              <w:rPr>
                <w:sz w:val="20"/>
              </w:rPr>
            </w:pPr>
            <w:r>
              <w:rPr>
                <w:sz w:val="20"/>
              </w:rPr>
              <w:t>Infusion 3</w:t>
            </w:r>
          </w:p>
        </w:tc>
        <w:tc>
          <w:tcPr>
            <w:tcW w:w="2127" w:type="dxa"/>
            <w:tcBorders>
              <w:top w:val="single" w:sz="2" w:space="0" w:color="000000"/>
              <w:left w:val="single" w:sz="2" w:space="0" w:color="000000"/>
              <w:right w:val="single" w:sz="2" w:space="0" w:color="000000"/>
            </w:tcBorders>
          </w:tcPr>
          <w:p w:rsidR="001D1E2C" w:rsidRDefault="00263D75">
            <w:pPr>
              <w:pStyle w:val="TableParagraph"/>
              <w:spacing w:line="210" w:lineRule="exact"/>
              <w:ind w:left="871" w:right="861"/>
              <w:rPr>
                <w:sz w:val="20"/>
              </w:rPr>
            </w:pPr>
            <w:r>
              <w:rPr>
                <w:sz w:val="20"/>
              </w:rPr>
              <w:t>1.04</w:t>
            </w:r>
          </w:p>
        </w:tc>
        <w:tc>
          <w:tcPr>
            <w:tcW w:w="2125" w:type="dxa"/>
            <w:tcBorders>
              <w:top w:val="single" w:sz="2" w:space="0" w:color="000000"/>
              <w:left w:val="single" w:sz="2" w:space="0" w:color="000000"/>
              <w:right w:val="single" w:sz="2" w:space="0" w:color="000000"/>
            </w:tcBorders>
          </w:tcPr>
          <w:p w:rsidR="001D1E2C" w:rsidRDefault="00263D75">
            <w:pPr>
              <w:pStyle w:val="TableParagraph"/>
              <w:spacing w:line="210" w:lineRule="exact"/>
              <w:ind w:right="825"/>
              <w:jc w:val="right"/>
              <w:rPr>
                <w:sz w:val="20"/>
              </w:rPr>
            </w:pPr>
            <w:r>
              <w:rPr>
                <w:sz w:val="20"/>
              </w:rPr>
              <w:t>0.104</w:t>
            </w:r>
          </w:p>
        </w:tc>
        <w:tc>
          <w:tcPr>
            <w:tcW w:w="2490" w:type="dxa"/>
            <w:tcBorders>
              <w:top w:val="single" w:sz="2" w:space="0" w:color="000000"/>
              <w:left w:val="single" w:sz="2" w:space="0" w:color="000000"/>
            </w:tcBorders>
          </w:tcPr>
          <w:p w:rsidR="001D1E2C" w:rsidRDefault="00263D75">
            <w:pPr>
              <w:pStyle w:val="TableParagraph"/>
              <w:spacing w:line="210" w:lineRule="exact"/>
              <w:ind w:left="124" w:right="108"/>
              <w:rPr>
                <w:sz w:val="20"/>
              </w:rPr>
            </w:pPr>
            <w:r>
              <w:rPr>
                <w:sz w:val="20"/>
              </w:rPr>
              <w:t>60 (185)</w:t>
            </w:r>
          </w:p>
        </w:tc>
      </w:tr>
    </w:tbl>
    <w:p w:rsidR="001D1E2C" w:rsidRDefault="00263D75">
      <w:pPr>
        <w:spacing w:before="53"/>
        <w:ind w:left="512"/>
        <w:rPr>
          <w:sz w:val="20"/>
        </w:rPr>
      </w:pPr>
      <w:r>
        <w:rPr>
          <w:sz w:val="20"/>
        </w:rPr>
        <w:t>†: Time in the parenthesis shows total time after start of administration.</w:t>
      </w:r>
    </w:p>
    <w:p w:rsidR="001D1E2C" w:rsidRDefault="00263D75">
      <w:pPr>
        <w:pStyle w:val="a3"/>
        <w:spacing w:before="145"/>
        <w:ind w:left="512"/>
      </w:pPr>
      <w:r>
        <w:t>During the loading and infusion 1 phases, no abnormalities were observed in any rat.</w:t>
      </w:r>
    </w:p>
    <w:p w:rsidR="001D1E2C" w:rsidRDefault="00263D75">
      <w:pPr>
        <w:pStyle w:val="a3"/>
        <w:spacing w:before="144" w:line="261" w:lineRule="auto"/>
        <w:ind w:left="512" w:right="1943"/>
      </w:pPr>
      <w:r>
        <w:t>During the infusion 2 phase, a decrease in locomotor activity was observed in 5 males and 6 females. During the infusion 3 phase, a decrease in locomotor activity was observed in</w:t>
      </w:r>
    </w:p>
    <w:p w:rsidR="001D1E2C" w:rsidRDefault="00263D75">
      <w:pPr>
        <w:pStyle w:val="a3"/>
        <w:spacing w:line="261" w:lineRule="auto"/>
        <w:ind w:left="512" w:right="1334"/>
      </w:pPr>
      <w:r>
        <w:t xml:space="preserve">5 males and 6 females, and prone and lateral position were observed in 4 males and 4 females. Convulsion (tonic and/or </w:t>
      </w:r>
      <w:proofErr w:type="spellStart"/>
      <w:r>
        <w:t>clonic</w:t>
      </w:r>
      <w:proofErr w:type="spellEnd"/>
      <w:r>
        <w:t>) was observed in all male and female rats from 128 to</w:t>
      </w:r>
    </w:p>
    <w:p w:rsidR="001D1E2C" w:rsidRDefault="00263D75">
      <w:pPr>
        <w:pStyle w:val="a3"/>
        <w:spacing w:line="261" w:lineRule="auto"/>
        <w:ind w:left="512" w:right="1804"/>
      </w:pPr>
      <w:r>
        <w:t>146 minutes after the start of administration. There was no appreciable sex difference in the clinical signs.</w:t>
      </w:r>
    </w:p>
    <w:p w:rsidR="001D1E2C" w:rsidRDefault="00263D75">
      <w:pPr>
        <w:pStyle w:val="a3"/>
        <w:spacing w:before="116" w:line="261" w:lineRule="auto"/>
        <w:ind w:left="512" w:right="1651"/>
      </w:pPr>
      <w:r>
        <w:t xml:space="preserve">The plasma drug concentrations generally increased with the higher infusion rate. There was no appreciable sex difference in plasma drug concentrations. The mean plasma concentrations of </w:t>
      </w:r>
      <w:r w:rsidR="00F65007">
        <w:t>PROJECT S</w:t>
      </w:r>
      <w:r>
        <w:t xml:space="preserve"> at the end of the infusion 1 phase were 4031.60 ng/mL in males and 4202.84 ng/mL in females. The mean plasma drug concentrations at the end of the infusion 2 phase were 13151.03 ng/mL in males and 11931.47 ng/mL in females. The mean plasma drug concentrations immediately after the end of convulsion were 17039.40 ng/mL in males and 16972.27 ng/mL in females. The lowest individual plasma concentration</w:t>
      </w:r>
    </w:p>
    <w:p w:rsidR="001D1E2C" w:rsidRDefault="00263D75">
      <w:pPr>
        <w:pStyle w:val="a3"/>
        <w:spacing w:line="261" w:lineRule="auto"/>
        <w:ind w:left="512" w:right="1334"/>
      </w:pPr>
      <w:r>
        <w:t>immediately after the end of convulsion was 9745.53 ng/mL which was defined as the LOEC. The lowest individual plasma concentration at the end of the infusion 2 phase (phase without convulsions in any rat) was 7636.86 ng/mL, which was considered the NOEC.</w:t>
      </w:r>
    </w:p>
    <w:p w:rsidR="001D1E2C" w:rsidRDefault="00263D75">
      <w:pPr>
        <w:pStyle w:val="3"/>
        <w:numPr>
          <w:ilvl w:val="3"/>
          <w:numId w:val="35"/>
        </w:numPr>
        <w:tabs>
          <w:tab w:val="left" w:pos="1365"/>
        </w:tabs>
        <w:spacing w:before="116"/>
      </w:pPr>
      <w:bookmarkStart w:id="66" w:name="4.6.7.2_Definitive_Study_in_Dogs_by_Cont"/>
      <w:bookmarkStart w:id="67" w:name="_bookmark68"/>
      <w:bookmarkEnd w:id="66"/>
      <w:bookmarkEnd w:id="67"/>
      <w:r>
        <w:t>Definitive Study in Dogs by Continuous Intravenous</w:t>
      </w:r>
      <w:r>
        <w:rPr>
          <w:spacing w:val="-8"/>
        </w:rPr>
        <w:t xml:space="preserve"> </w:t>
      </w:r>
      <w:r>
        <w:t>Infusion</w:t>
      </w:r>
    </w:p>
    <w:p w:rsidR="001D1E2C" w:rsidRDefault="00263D75">
      <w:pPr>
        <w:pStyle w:val="a3"/>
        <w:spacing w:before="139" w:line="261" w:lineRule="auto"/>
        <w:ind w:left="512" w:right="1906"/>
      </w:pPr>
      <w:r>
        <w:t xml:space="preserve">In a definitive study with continuous intravenous infusion in dogs (Study </w:t>
      </w:r>
      <w:r w:rsidR="00F65007">
        <w:t>Project S</w:t>
      </w:r>
      <w:r>
        <w:t xml:space="preserve">-TX-0020; EOTTs 3.1 and 3.21), </w:t>
      </w:r>
      <w:r w:rsidR="00F65007">
        <w:t>Project S</w:t>
      </w:r>
      <w:r>
        <w:t xml:space="preserve"> was administered by continuous intravenous infusion to both male and female beagle dogs using an implanted catheter. At the onset of clinical signs, drug concentration in plasma were examined. The dosing solution at</w:t>
      </w:r>
    </w:p>
    <w:p w:rsidR="001D1E2C" w:rsidRDefault="00263D75">
      <w:pPr>
        <w:pStyle w:val="a3"/>
        <w:spacing w:line="261" w:lineRule="auto"/>
        <w:ind w:left="512" w:right="1795"/>
      </w:pPr>
      <w:r>
        <w:t xml:space="preserve">2.5 mg/min </w:t>
      </w:r>
      <w:r w:rsidR="00F65007">
        <w:t>PROJECT S</w:t>
      </w:r>
      <w:r>
        <w:t xml:space="preserve"> was loaded for 5 minutes. The dosing solution was then administered at 1 mg/min </w:t>
      </w:r>
      <w:r w:rsidR="00F65007">
        <w:t>PROJECT S</w:t>
      </w:r>
      <w:r>
        <w:t xml:space="preserve"> for 4 hours; subsequent infusion rate was 2 mg/min </w:t>
      </w:r>
      <w:r w:rsidR="00F65007">
        <w:t>PROJECT S</w:t>
      </w:r>
      <w:r>
        <w:t xml:space="preserve"> for 180 minutes and 3 mg/min </w:t>
      </w:r>
      <w:r w:rsidR="00F65007">
        <w:t>PROJECT S</w:t>
      </w:r>
      <w:r>
        <w:t xml:space="preserve"> for 37 minutes. In dogs showing convulsions during the 2 mg/min infusion period (3 males and all females) and during the 3 mg/min infusion period (1 male), infusion was stopped after blood sampling for toxicokinetic</w:t>
      </w:r>
      <w:r>
        <w:rPr>
          <w:spacing w:val="-29"/>
        </w:rPr>
        <w:t xml:space="preserve"> </w:t>
      </w:r>
      <w:r>
        <w:t>analysis.</w:t>
      </w:r>
    </w:p>
    <w:p w:rsidR="001D1E2C" w:rsidRDefault="00263D75">
      <w:pPr>
        <w:pStyle w:val="a3"/>
        <w:spacing w:before="113" w:line="261" w:lineRule="auto"/>
        <w:ind w:left="512" w:right="1596"/>
      </w:pPr>
      <w:r>
        <w:t xml:space="preserve">Clinical signs occurring prior to the convulsions were limited to vomiting, staggering gait and decreased locomotor activity. Immediately after manifestation of convulsion, the plasma concentration of </w:t>
      </w:r>
      <w:r w:rsidR="00F65007">
        <w:t>PROJECT S</w:t>
      </w:r>
      <w:r>
        <w:t xml:space="preserve"> of those animals ranged from 3179.74 to 4856.29 ng/mL. The lowest individual plasma concentration associated with a convulsion was defined as the LOEC and was about 3200 ng/mL. The plasma exposure at the end of the period with an infusion rate that did not induce convulsions (generally 1 mg/min, with one exception at</w:t>
      </w:r>
    </w:p>
    <w:p w:rsidR="001D1E2C" w:rsidRDefault="00263D75">
      <w:pPr>
        <w:pStyle w:val="a3"/>
        <w:spacing w:line="271" w:lineRule="exact"/>
        <w:ind w:left="512"/>
      </w:pPr>
      <w:r>
        <w:t>2 mg/min) ranged from 2392 to 3905 ng/mL. The NOEC was determined to be 2400 ng/mL.</w:t>
      </w:r>
    </w:p>
    <w:p w:rsidR="001D1E2C" w:rsidRDefault="001D1E2C">
      <w:pPr>
        <w:spacing w:line="271" w:lineRule="exact"/>
        <w:sectPr w:rsidR="001D1E2C">
          <w:pgSz w:w="12240" w:h="15840"/>
          <w:pgMar w:top="1240" w:right="0" w:bottom="940" w:left="1100" w:header="578" w:footer="748" w:gutter="0"/>
          <w:cols w:space="720"/>
        </w:sectPr>
      </w:pPr>
    </w:p>
    <w:p w:rsidR="001D1E2C" w:rsidRDefault="001D1E2C">
      <w:pPr>
        <w:pStyle w:val="a3"/>
        <w:rPr>
          <w:sz w:val="20"/>
        </w:rPr>
      </w:pPr>
    </w:p>
    <w:p w:rsidR="001D1E2C" w:rsidRDefault="00263D75">
      <w:pPr>
        <w:pStyle w:val="2"/>
        <w:tabs>
          <w:tab w:val="left" w:pos="1364"/>
        </w:tabs>
        <w:spacing w:before="207"/>
        <w:ind w:right="2698"/>
      </w:pPr>
      <w:bookmarkStart w:id="68" w:name="4.7_Integrated_Nonclinical_Overview_and_"/>
      <w:bookmarkStart w:id="69" w:name="_bookmark69"/>
      <w:bookmarkEnd w:id="68"/>
      <w:bookmarkEnd w:id="69"/>
      <w:r>
        <w:t>4.7</w:t>
      </w:r>
      <w:r>
        <w:tab/>
        <w:t>Integrated Nonclinical Overview and Conclusion: Potential Clinical Relevance</w:t>
      </w:r>
    </w:p>
    <w:p w:rsidR="001D1E2C" w:rsidRDefault="00F65007">
      <w:pPr>
        <w:pStyle w:val="a3"/>
        <w:spacing w:before="140" w:line="261" w:lineRule="auto"/>
        <w:ind w:left="512" w:right="1649"/>
      </w:pPr>
      <w:r>
        <w:t>PROJECT S</w:t>
      </w:r>
      <w:r w:rsidR="00263D75">
        <w:t xml:space="preserve"> is a state-dependent inhibitor of the N-VDCC, which is the predominant subtype in the DRG neuron and the superficial lamina of the spinal dorsal horn, suggesting they are located </w:t>
      </w:r>
      <w:proofErr w:type="spellStart"/>
      <w:r w:rsidR="00263D75">
        <w:t>presynaptically</w:t>
      </w:r>
      <w:proofErr w:type="spellEnd"/>
      <w:r w:rsidR="00263D75">
        <w:t xml:space="preserve"> in afferent C- and </w:t>
      </w:r>
      <w:proofErr w:type="spellStart"/>
      <w:r w:rsidR="00263D75">
        <w:t>Aδ</w:t>
      </w:r>
      <w:proofErr w:type="spellEnd"/>
      <w:r w:rsidR="00263D75">
        <w:t xml:space="preserve">-fiber terminals, where they control the release of neurotransmitters such as glutamate and substance P. Essentially, the function of N- VDCC is a “triggers” for nociceptive signal transmission; </w:t>
      </w:r>
      <w:r>
        <w:t>PROJECT S</w:t>
      </w:r>
      <w:r w:rsidR="00263D75">
        <w:t xml:space="preserve"> inhibits nociceptive signal transmission by blocking N-VDCC. </w:t>
      </w:r>
      <w:r>
        <w:t>PROJECT S</w:t>
      </w:r>
      <w:r w:rsidR="00263D75">
        <w:t xml:space="preserve"> demonstrated efficacy in neuropathic and visceral pain models that was not confounded by effects on locomotor activity or sedation.</w:t>
      </w:r>
    </w:p>
    <w:p w:rsidR="001D1E2C" w:rsidRDefault="00263D75">
      <w:pPr>
        <w:pStyle w:val="a3"/>
        <w:spacing w:before="113" w:line="261" w:lineRule="auto"/>
        <w:ind w:left="512" w:right="1643"/>
      </w:pPr>
      <w:r>
        <w:t xml:space="preserve">In in vitro studies, </w:t>
      </w:r>
      <w:r w:rsidR="00F65007">
        <w:t>PROJECT S</w:t>
      </w:r>
      <w:r>
        <w:t xml:space="preserve"> inhibited N-VDCC in the FLIPR Ca</w:t>
      </w:r>
      <w:r>
        <w:rPr>
          <w:vertAlign w:val="superscript"/>
        </w:rPr>
        <w:t>2+</w:t>
      </w:r>
      <w:r>
        <w:t xml:space="preserve"> imaging assay and inhibited the inactivated state in this channel approximately 36 times more potently than the resting state in the electrophysiological assay. These data indicate </w:t>
      </w:r>
      <w:r w:rsidR="00F65007">
        <w:t>PROJECT S</w:t>
      </w:r>
      <w:r>
        <w:t xml:space="preserve"> is a state- dependent inhibitor of N-VDCC.</w:t>
      </w:r>
    </w:p>
    <w:p w:rsidR="001D1E2C" w:rsidRDefault="00263D75">
      <w:pPr>
        <w:pStyle w:val="a3"/>
        <w:spacing w:before="117" w:line="261" w:lineRule="auto"/>
        <w:ind w:left="512" w:right="1616"/>
      </w:pPr>
      <w:r>
        <w:t xml:space="preserve">In in vivo studies, </w:t>
      </w:r>
      <w:r w:rsidR="00F65007">
        <w:t>PROJECT S</w:t>
      </w:r>
      <w:r>
        <w:t xml:space="preserve"> exerts a significant analgesic effect in models of neuropathic and visceral pain at a dose range from 0.3 to 3.0 mg/kg in the rat. The effects of </w:t>
      </w:r>
      <w:r w:rsidR="00F65007">
        <w:t>PROJECT S</w:t>
      </w:r>
      <w:r>
        <w:t xml:space="preserve"> at the pharmacologically active dose range were not confounded by toxicity effects. Tolerance or sensitization to the analgesic effect did not occur, as demonstrated in a repeat-dose pharmacology study that examined mechanical allodynia in the SNL model.</w:t>
      </w:r>
    </w:p>
    <w:p w:rsidR="001D1E2C" w:rsidRDefault="00263D75">
      <w:pPr>
        <w:pStyle w:val="a3"/>
        <w:spacing w:before="116" w:line="261" w:lineRule="auto"/>
        <w:ind w:left="512" w:right="1604"/>
      </w:pPr>
      <w:r>
        <w:t xml:space="preserve">Overall, </w:t>
      </w:r>
      <w:r w:rsidR="00F65007">
        <w:t>PROJECT S</w:t>
      </w:r>
      <w:r>
        <w:t xml:space="preserve"> demonstrated activity in animal models sensitive to both neuropathic pain and nociceptive pain. In addition, </w:t>
      </w:r>
      <w:r w:rsidR="00F65007">
        <w:t>PROJECT S</w:t>
      </w:r>
      <w:r>
        <w:t xml:space="preserve"> may be useful as a drug for concomitant administration with morphine for treatment of refractory chronic pain such as cancer pain and chronic postoperative pain.</w:t>
      </w:r>
    </w:p>
    <w:p w:rsidR="001D1E2C" w:rsidRDefault="00263D75">
      <w:pPr>
        <w:pStyle w:val="a3"/>
        <w:spacing w:before="117"/>
        <w:ind w:left="512"/>
      </w:pPr>
      <w:r>
        <w:t xml:space="preserve">Following single administration to rats and dogs, </w:t>
      </w:r>
      <w:r w:rsidR="00F65007">
        <w:t>PROJECT S</w:t>
      </w:r>
      <w:r>
        <w:t xml:space="preserve"> had a relatively short t</w:t>
      </w:r>
      <w:r>
        <w:rPr>
          <w:vertAlign w:val="subscript"/>
        </w:rPr>
        <w:t>½</w:t>
      </w:r>
      <w:r>
        <w:t xml:space="preserve"> (1.0 to</w:t>
      </w:r>
    </w:p>
    <w:p w:rsidR="001D1E2C" w:rsidRDefault="00263D75">
      <w:pPr>
        <w:pStyle w:val="a3"/>
        <w:spacing w:before="24" w:line="261" w:lineRule="auto"/>
        <w:ind w:left="512" w:right="1651"/>
      </w:pPr>
      <w:r>
        <w:t xml:space="preserve">5.3 hours) and low oral bioavailability, which ranged from 2.9% to 9.3%. </w:t>
      </w:r>
      <w:r w:rsidR="00F65007">
        <w:t>PROJECT S</w:t>
      </w:r>
      <w:r>
        <w:t xml:space="preserve"> has a relatively high brain-to-plasma ratio, indicating it penetrates into the brain relatively easily. Furthermore, maximum brain concentrations in rats are reached at the same time as maximum plasma concentrations, suggesting that </w:t>
      </w:r>
      <w:r w:rsidR="00F65007">
        <w:t>PROJECT S</w:t>
      </w:r>
      <w:r>
        <w:t xml:space="preserve"> enters into the brain rapidly without any delay. A correlation study using human liver microsomes indicated that </w:t>
      </w:r>
      <w:r w:rsidR="00F65007">
        <w:t>PROJECT S</w:t>
      </w:r>
      <w:r>
        <w:t xml:space="preserve"> is mainly metabolized by CYP3A4/5, although CYP2B6 and CYP2D6 may also be involved in the metabolism of </w:t>
      </w:r>
      <w:r w:rsidR="00F65007">
        <w:t>PROJECT S</w:t>
      </w:r>
      <w:r>
        <w:t xml:space="preserve">. In vitro metabolic fingerprinting was conducted using liver microsomes and hepatocytes. Although more than 25 metabolites were observed in human hepatocytes, no human-specific metabolites were detected </w:t>
      </w:r>
      <w:hyperlink w:anchor="_bookmark51" w:history="1">
        <w:r>
          <w:t>[Section 4.6.3</w:t>
        </w:r>
      </w:hyperlink>
      <w:r>
        <w:t>].</w:t>
      </w:r>
    </w:p>
    <w:p w:rsidR="001D1E2C" w:rsidRPr="00F65007" w:rsidRDefault="00263D75">
      <w:pPr>
        <w:pStyle w:val="a3"/>
        <w:spacing w:before="112" w:line="261" w:lineRule="auto"/>
        <w:ind w:left="512" w:right="1697"/>
        <w:rPr>
          <w:highlight w:val="magenta"/>
        </w:rPr>
      </w:pPr>
      <w:r>
        <w:t xml:space="preserve">In toxicology and safety pharmacology studies, </w:t>
      </w:r>
      <w:r w:rsidRPr="00F65007">
        <w:rPr>
          <w:highlight w:val="magenta"/>
        </w:rPr>
        <w:t>the major findings at high doses were CNS clinical signs, including convulsion across species and cardiovascular and respiratory system changes in conjunction with convulsions in dogs [Section</w:t>
      </w:r>
      <w:hyperlink w:anchor="_bookmark20" w:history="1">
        <w:r w:rsidRPr="00F65007">
          <w:rPr>
            <w:highlight w:val="magenta"/>
          </w:rPr>
          <w:t>s 4.3,</w:t>
        </w:r>
      </w:hyperlink>
      <w:r w:rsidRPr="00F65007">
        <w:rPr>
          <w:highlight w:val="magenta"/>
        </w:rPr>
        <w:t xml:space="preserve"> </w:t>
      </w:r>
      <w:hyperlink w:anchor="_bookmark39" w:history="1">
        <w:r w:rsidRPr="00F65007">
          <w:rPr>
            <w:highlight w:val="magenta"/>
          </w:rPr>
          <w:t>4.6.1,</w:t>
        </w:r>
      </w:hyperlink>
      <w:r w:rsidRPr="00F65007">
        <w:rPr>
          <w:highlight w:val="magenta"/>
        </w:rPr>
        <w:t xml:space="preserve"> </w:t>
      </w:r>
      <w:hyperlink w:anchor="_bookmark42" w:history="1">
        <w:r w:rsidRPr="00F65007">
          <w:rPr>
            <w:highlight w:val="magenta"/>
          </w:rPr>
          <w:t>4.6.2</w:t>
        </w:r>
      </w:hyperlink>
      <w:r w:rsidRPr="00F65007">
        <w:rPr>
          <w:highlight w:val="magenta"/>
        </w:rPr>
        <w:t xml:space="preserve"> and </w:t>
      </w:r>
      <w:hyperlink w:anchor="_bookmark57" w:history="1">
        <w:r w:rsidRPr="00F65007">
          <w:rPr>
            <w:highlight w:val="magenta"/>
          </w:rPr>
          <w:t>4.6.5</w:t>
        </w:r>
      </w:hyperlink>
      <w:r w:rsidRPr="00F65007">
        <w:rPr>
          <w:highlight w:val="magenta"/>
        </w:rPr>
        <w:t>].</w:t>
      </w:r>
    </w:p>
    <w:p w:rsidR="001D1E2C" w:rsidRDefault="00263D75">
      <w:pPr>
        <w:pStyle w:val="a3"/>
        <w:spacing w:line="274" w:lineRule="exact"/>
        <w:ind w:left="512"/>
      </w:pPr>
      <w:r w:rsidRPr="00F65007">
        <w:rPr>
          <w:highlight w:val="magenta"/>
        </w:rPr>
        <w:t xml:space="preserve">Plasma potassium and calcium concentrations were reduced in dogs </w:t>
      </w:r>
      <w:hyperlink w:anchor="_bookmark20" w:history="1">
        <w:r w:rsidRPr="00F65007">
          <w:rPr>
            <w:highlight w:val="magenta"/>
          </w:rPr>
          <w:t>[Section 4.3</w:t>
        </w:r>
      </w:hyperlink>
      <w:r w:rsidRPr="00F65007">
        <w:rPr>
          <w:highlight w:val="magenta"/>
        </w:rPr>
        <w:t>]</w:t>
      </w:r>
      <w:r>
        <w:t>.</w:t>
      </w:r>
    </w:p>
    <w:p w:rsidR="001D1E2C" w:rsidRDefault="00263D75">
      <w:pPr>
        <w:pStyle w:val="a3"/>
        <w:spacing w:before="144" w:line="261" w:lineRule="auto"/>
        <w:ind w:left="512" w:right="1778"/>
      </w:pPr>
      <w:r>
        <w:t>Total cholesterol was increased in rats and a decrease in triglycerides and shortened clotting t</w:t>
      </w:r>
      <w:bookmarkStart w:id="70" w:name="_GoBack"/>
      <w:bookmarkEnd w:id="70"/>
      <w:r>
        <w:t>ime were noted in male rats without evidence of histopathological changes in the liver.</w:t>
      </w:r>
    </w:p>
    <w:p w:rsidR="001D1E2C" w:rsidRDefault="00263D75">
      <w:pPr>
        <w:pStyle w:val="a3"/>
        <w:spacing w:line="274" w:lineRule="exact"/>
        <w:ind w:left="512"/>
      </w:pPr>
      <w:r>
        <w:t>Histopathological changes were observed in adrenal and lacrimal glands of male rats. The</w:t>
      </w:r>
    </w:p>
    <w:p w:rsidR="001D1E2C" w:rsidRDefault="001D1E2C">
      <w:pPr>
        <w:spacing w:line="274" w:lineRule="exact"/>
        <w:sectPr w:rsidR="001D1E2C">
          <w:pgSz w:w="12240" w:h="15840"/>
          <w:pgMar w:top="1240" w:right="0" w:bottom="940" w:left="1100" w:header="578" w:footer="748" w:gutter="0"/>
          <w:cols w:space="720"/>
        </w:sectPr>
      </w:pPr>
    </w:p>
    <w:p w:rsidR="001D1E2C" w:rsidRDefault="001D1E2C">
      <w:pPr>
        <w:pStyle w:val="a3"/>
        <w:rPr>
          <w:sz w:val="20"/>
        </w:rPr>
      </w:pPr>
    </w:p>
    <w:p w:rsidR="001D1E2C" w:rsidRDefault="00263D75">
      <w:pPr>
        <w:pStyle w:val="a3"/>
        <w:spacing w:before="227" w:line="261" w:lineRule="auto"/>
        <w:ind w:left="512" w:right="1611"/>
      </w:pPr>
      <w:r>
        <w:t>increased vacuolation in the adrenal zona fasciculata was very slight and therefore considered of low toxicological significance. Atrophic findings in the lacrimal gland were not accompanied by changes in the eye or other exocrine gland (submandibular or sublingual gland) and the toxicological significance was unclear. All changes were reversible</w:t>
      </w:r>
    </w:p>
    <w:p w:rsidR="001D1E2C" w:rsidRDefault="006C0602">
      <w:pPr>
        <w:pStyle w:val="a3"/>
        <w:spacing w:line="273" w:lineRule="exact"/>
        <w:ind w:left="512"/>
      </w:pPr>
      <w:hyperlink w:anchor="_bookmark42" w:history="1">
        <w:r w:rsidR="00263D75">
          <w:t>[Section 4.6.2</w:t>
        </w:r>
      </w:hyperlink>
      <w:r w:rsidR="00263D75">
        <w:t>].</w:t>
      </w:r>
    </w:p>
    <w:p w:rsidR="001D1E2C" w:rsidRDefault="00F65007">
      <w:pPr>
        <w:pStyle w:val="a3"/>
        <w:spacing w:before="144" w:line="261" w:lineRule="auto"/>
        <w:ind w:left="512" w:right="1663"/>
      </w:pPr>
      <w:r>
        <w:t>PROJECT S</w:t>
      </w:r>
      <w:r w:rsidR="00263D75">
        <w:t xml:space="preserve"> did not affect male or female rat fertility, but was shown to be teratogenic in rats at maternal toxic doses [Section </w:t>
      </w:r>
      <w:hyperlink w:anchor="_bookmark57" w:history="1">
        <w:r w:rsidR="00263D75">
          <w:t>4.6.5</w:t>
        </w:r>
      </w:hyperlink>
      <w:r w:rsidR="00263D75">
        <w:t xml:space="preserve">]. </w:t>
      </w:r>
      <w:r>
        <w:t>PROJECT S</w:t>
      </w:r>
      <w:r w:rsidR="00263D75">
        <w:t xml:space="preserve"> had no genotoxic potential in vivo</w:t>
      </w:r>
    </w:p>
    <w:p w:rsidR="001D1E2C" w:rsidRDefault="006C0602">
      <w:pPr>
        <w:pStyle w:val="a3"/>
        <w:spacing w:line="274" w:lineRule="exact"/>
        <w:ind w:left="512"/>
      </w:pPr>
      <w:hyperlink w:anchor="_bookmark51" w:history="1">
        <w:r w:rsidR="00263D75">
          <w:t>[Section 4.6.3</w:t>
        </w:r>
      </w:hyperlink>
      <w:r w:rsidR="00263D75">
        <w:t>].</w:t>
      </w:r>
    </w:p>
    <w:p w:rsidR="001D1E2C" w:rsidRDefault="00263D75">
      <w:pPr>
        <w:pStyle w:val="a3"/>
        <w:spacing w:before="144" w:line="261" w:lineRule="auto"/>
        <w:ind w:left="512" w:right="1649"/>
      </w:pPr>
      <w:r>
        <w:t xml:space="preserve">Due to the lack of clear preceding signs for convulsions in the animal studies, an exposure cap is set for clinical studies. Since convulsions were seen in rat and dog following acute dosing, and the incidence did not increase with repeat dosing, the convulsions are regarded to be related to plasma concentration and not AUC. Continuous infusion studies were conducted in rats and dogs to establish the threshold plasma concentration of </w:t>
      </w:r>
      <w:r w:rsidR="00F65007">
        <w:t>PROJECT S</w:t>
      </w:r>
      <w:r>
        <w:t xml:space="preserve"> associated with convulsions. Dogs were found to be the most sensitive species and the NOEC for convulsions was defined at 2400 ng/mL. This method revealed more precisely</w:t>
      </w:r>
      <w:r>
        <w:rPr>
          <w:spacing w:val="-25"/>
        </w:rPr>
        <w:t xml:space="preserve"> </w:t>
      </w:r>
      <w:r>
        <w:t xml:space="preserve">the plasma concentration associated with convulsions compared to the standard </w:t>
      </w:r>
      <w:proofErr w:type="spellStart"/>
      <w:r>
        <w:t>C</w:t>
      </w:r>
      <w:r>
        <w:rPr>
          <w:vertAlign w:val="subscript"/>
        </w:rPr>
        <w:t>max</w:t>
      </w:r>
      <w:proofErr w:type="spellEnd"/>
      <w:r>
        <w:t xml:space="preserve"> levels obtained in the 4- and 13-week repeated dose toxicity studies. In the dog 13-week oral dose toxicity study, the plasma concentrations of </w:t>
      </w:r>
      <w:r w:rsidR="00F65007">
        <w:t>PROJECT S</w:t>
      </w:r>
      <w:r>
        <w:t xml:space="preserve"> were also measured following each observation of a convulsion and were typically &gt; 2400</w:t>
      </w:r>
      <w:r>
        <w:rPr>
          <w:spacing w:val="-12"/>
        </w:rPr>
        <w:t xml:space="preserve"> </w:t>
      </w:r>
      <w:r>
        <w:t>ng/mL.</w:t>
      </w:r>
    </w:p>
    <w:p w:rsidR="001D1E2C" w:rsidRDefault="00263D75">
      <w:pPr>
        <w:pStyle w:val="a3"/>
        <w:spacing w:before="111" w:line="261" w:lineRule="auto"/>
        <w:ind w:left="512" w:right="1609"/>
      </w:pPr>
      <w:r>
        <w:t>It was concluded that the NOEC of 2400 ng/mL obtained in the dog by continuous infusion is applicable for exposure cap setting in both single and multiple dose clinical studies.</w:t>
      </w:r>
    </w:p>
    <w:p w:rsidR="001D1E2C" w:rsidRDefault="00263D75">
      <w:pPr>
        <w:pStyle w:val="a3"/>
        <w:spacing w:before="119"/>
        <w:ind w:left="512"/>
      </w:pPr>
      <w:r>
        <w:t>Exposures obtained during the 4- and 13-week toxicity studies are provided in [</w:t>
      </w:r>
      <w:hyperlink w:anchor="_bookmark70" w:history="1">
        <w:r>
          <w:t>Table 3</w:t>
        </w:r>
      </w:hyperlink>
      <w:r>
        <w:t>].</w:t>
      </w:r>
    </w:p>
    <w:p w:rsidR="001D1E2C" w:rsidRDefault="00263D75">
      <w:pPr>
        <w:pStyle w:val="3"/>
        <w:tabs>
          <w:tab w:val="left" w:pos="1923"/>
        </w:tabs>
        <w:spacing w:before="122" w:after="20" w:line="242" w:lineRule="auto"/>
        <w:ind w:left="1923" w:right="1740" w:hanging="1412"/>
      </w:pPr>
      <w:bookmarkStart w:id="71" w:name="_bookmark70"/>
      <w:bookmarkEnd w:id="71"/>
      <w:r>
        <w:t>Table 3</w:t>
      </w:r>
      <w:r>
        <w:tab/>
        <w:t xml:space="preserve">Summary of Exposures Obtained in Repeated Dose Toxicity Studies with </w:t>
      </w:r>
      <w:r w:rsidR="00F65007">
        <w:t>PROJECT S</w:t>
      </w:r>
    </w:p>
    <w:tbl>
      <w:tblPr>
        <w:tblStyle w:val="TableNormal"/>
        <w:tblW w:w="0" w:type="auto"/>
        <w:tblInd w:w="5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42"/>
        <w:gridCol w:w="2268"/>
        <w:gridCol w:w="1512"/>
        <w:gridCol w:w="1512"/>
        <w:gridCol w:w="918"/>
        <w:gridCol w:w="593"/>
        <w:gridCol w:w="322"/>
      </w:tblGrid>
      <w:tr w:rsidR="001D1E2C">
        <w:trPr>
          <w:trHeight w:val="450"/>
        </w:trPr>
        <w:tc>
          <w:tcPr>
            <w:tcW w:w="2242" w:type="dxa"/>
            <w:tcBorders>
              <w:left w:val="single" w:sz="6" w:space="0" w:color="000000"/>
            </w:tcBorders>
          </w:tcPr>
          <w:p w:rsidR="001D1E2C" w:rsidRDefault="00263D75">
            <w:pPr>
              <w:pStyle w:val="TableParagraph"/>
              <w:spacing w:line="228" w:lineRule="exact"/>
              <w:ind w:left="114"/>
              <w:jc w:val="left"/>
              <w:rPr>
                <w:b/>
                <w:sz w:val="20"/>
              </w:rPr>
            </w:pPr>
            <w:r>
              <w:rPr>
                <w:b/>
                <w:sz w:val="20"/>
              </w:rPr>
              <w:t>Species/</w:t>
            </w:r>
          </w:p>
          <w:p w:rsidR="001D1E2C" w:rsidRDefault="00263D75">
            <w:pPr>
              <w:pStyle w:val="TableParagraph"/>
              <w:spacing w:line="202" w:lineRule="exact"/>
              <w:ind w:left="114"/>
              <w:jc w:val="left"/>
              <w:rPr>
                <w:b/>
                <w:sz w:val="20"/>
              </w:rPr>
            </w:pPr>
            <w:r>
              <w:rPr>
                <w:b/>
                <w:sz w:val="20"/>
              </w:rPr>
              <w:t>Study Duration</w:t>
            </w:r>
          </w:p>
        </w:tc>
        <w:tc>
          <w:tcPr>
            <w:tcW w:w="2268" w:type="dxa"/>
          </w:tcPr>
          <w:p w:rsidR="001D1E2C" w:rsidRDefault="00263D75">
            <w:pPr>
              <w:pStyle w:val="TableParagraph"/>
              <w:spacing w:before="113" w:line="240" w:lineRule="auto"/>
              <w:ind w:left="245" w:right="232"/>
              <w:rPr>
                <w:b/>
                <w:sz w:val="20"/>
              </w:rPr>
            </w:pPr>
            <w:r>
              <w:rPr>
                <w:b/>
                <w:sz w:val="20"/>
              </w:rPr>
              <w:t>Dose</w:t>
            </w:r>
          </w:p>
        </w:tc>
        <w:tc>
          <w:tcPr>
            <w:tcW w:w="1512" w:type="dxa"/>
          </w:tcPr>
          <w:p w:rsidR="001D1E2C" w:rsidRDefault="00263D75">
            <w:pPr>
              <w:pStyle w:val="TableParagraph"/>
              <w:spacing w:before="113" w:line="240" w:lineRule="auto"/>
              <w:ind w:left="289" w:right="274"/>
              <w:rPr>
                <w:b/>
                <w:sz w:val="20"/>
              </w:rPr>
            </w:pPr>
            <w:r>
              <w:rPr>
                <w:b/>
                <w:sz w:val="20"/>
              </w:rPr>
              <w:t>Sex (M/F)</w:t>
            </w:r>
          </w:p>
        </w:tc>
        <w:tc>
          <w:tcPr>
            <w:tcW w:w="1512" w:type="dxa"/>
          </w:tcPr>
          <w:p w:rsidR="001D1E2C" w:rsidRDefault="00263D75">
            <w:pPr>
              <w:pStyle w:val="TableParagraph"/>
              <w:spacing w:line="228" w:lineRule="exact"/>
              <w:ind w:left="289" w:right="276"/>
              <w:rPr>
                <w:b/>
                <w:sz w:val="20"/>
              </w:rPr>
            </w:pPr>
            <w:r>
              <w:rPr>
                <w:b/>
                <w:sz w:val="20"/>
              </w:rPr>
              <w:t>AUC</w:t>
            </w:r>
            <w:r>
              <w:rPr>
                <w:b/>
                <w:sz w:val="20"/>
                <w:vertAlign w:val="subscript"/>
              </w:rPr>
              <w:t>24</w:t>
            </w:r>
          </w:p>
          <w:p w:rsidR="001D1E2C" w:rsidRDefault="00263D75">
            <w:pPr>
              <w:pStyle w:val="TableParagraph"/>
              <w:spacing w:line="202" w:lineRule="exact"/>
              <w:ind w:left="288" w:right="278"/>
              <w:rPr>
                <w:b/>
                <w:sz w:val="20"/>
              </w:rPr>
            </w:pPr>
            <w:r>
              <w:rPr>
                <w:b/>
                <w:sz w:val="20"/>
              </w:rPr>
              <w:t>(</w:t>
            </w:r>
            <w:proofErr w:type="spellStart"/>
            <w:r>
              <w:rPr>
                <w:b/>
                <w:sz w:val="20"/>
              </w:rPr>
              <w:t>ng·h</w:t>
            </w:r>
            <w:proofErr w:type="spellEnd"/>
            <w:r>
              <w:rPr>
                <w:b/>
                <w:sz w:val="20"/>
              </w:rPr>
              <w:t>/mL)</w:t>
            </w:r>
          </w:p>
        </w:tc>
        <w:tc>
          <w:tcPr>
            <w:tcW w:w="1511" w:type="dxa"/>
            <w:gridSpan w:val="2"/>
            <w:tcBorders>
              <w:right w:val="single" w:sz="6" w:space="0" w:color="000000"/>
            </w:tcBorders>
          </w:tcPr>
          <w:p w:rsidR="001D1E2C" w:rsidRDefault="00263D75">
            <w:pPr>
              <w:pStyle w:val="TableParagraph"/>
              <w:spacing w:before="56" w:line="200" w:lineRule="exact"/>
              <w:ind w:left="409" w:firstLine="158"/>
              <w:jc w:val="left"/>
              <w:rPr>
                <w:b/>
                <w:sz w:val="20"/>
              </w:rPr>
            </w:pPr>
            <w:r>
              <w:rPr>
                <w:b/>
                <w:position w:val="3"/>
                <w:sz w:val="20"/>
              </w:rPr>
              <w:t>C</w:t>
            </w:r>
            <w:r>
              <w:rPr>
                <w:b/>
                <w:sz w:val="13"/>
              </w:rPr>
              <w:t xml:space="preserve">max </w:t>
            </w:r>
            <w:r>
              <w:rPr>
                <w:b/>
                <w:w w:val="95"/>
                <w:sz w:val="20"/>
              </w:rPr>
              <w:t>(ng/mL)</w:t>
            </w:r>
          </w:p>
        </w:tc>
        <w:tc>
          <w:tcPr>
            <w:tcW w:w="322" w:type="dxa"/>
            <w:vMerge w:val="restart"/>
            <w:tcBorders>
              <w:top w:val="nil"/>
              <w:left w:val="single" w:sz="6" w:space="0" w:color="000000"/>
              <w:bottom w:val="single" w:sz="8" w:space="0" w:color="0000FF"/>
              <w:right w:val="nil"/>
            </w:tcBorders>
          </w:tcPr>
          <w:p w:rsidR="001D1E2C" w:rsidRDefault="001D1E2C">
            <w:pPr>
              <w:pStyle w:val="TableParagraph"/>
              <w:spacing w:line="240" w:lineRule="auto"/>
              <w:jc w:val="left"/>
            </w:pPr>
          </w:p>
        </w:tc>
      </w:tr>
      <w:tr w:rsidR="001D1E2C">
        <w:trPr>
          <w:trHeight w:val="188"/>
        </w:trPr>
        <w:tc>
          <w:tcPr>
            <w:tcW w:w="2242" w:type="dxa"/>
            <w:vMerge w:val="restart"/>
            <w:tcBorders>
              <w:left w:val="single" w:sz="6" w:space="0" w:color="000000"/>
            </w:tcBorders>
          </w:tcPr>
          <w:p w:rsidR="001D1E2C" w:rsidRDefault="00263D75">
            <w:pPr>
              <w:pStyle w:val="TableParagraph"/>
              <w:spacing w:line="189" w:lineRule="exact"/>
              <w:ind w:left="114"/>
              <w:jc w:val="left"/>
              <w:rPr>
                <w:sz w:val="18"/>
              </w:rPr>
            </w:pPr>
            <w:r>
              <w:rPr>
                <w:sz w:val="18"/>
              </w:rPr>
              <w:t>Rat/</w:t>
            </w:r>
          </w:p>
          <w:p w:rsidR="001D1E2C" w:rsidRDefault="00263D75">
            <w:pPr>
              <w:pStyle w:val="TableParagraph"/>
              <w:spacing w:before="2" w:line="240" w:lineRule="auto"/>
              <w:ind w:left="114"/>
              <w:jc w:val="left"/>
              <w:rPr>
                <w:sz w:val="18"/>
              </w:rPr>
            </w:pPr>
            <w:r>
              <w:rPr>
                <w:sz w:val="18"/>
              </w:rPr>
              <w:t>13-week po</w:t>
            </w:r>
          </w:p>
        </w:tc>
        <w:tc>
          <w:tcPr>
            <w:tcW w:w="2268" w:type="dxa"/>
          </w:tcPr>
          <w:p w:rsidR="001D1E2C" w:rsidRDefault="00263D75">
            <w:pPr>
              <w:pStyle w:val="TableParagraph"/>
              <w:spacing w:line="168" w:lineRule="exact"/>
              <w:ind w:left="240" w:right="232"/>
              <w:rPr>
                <w:sz w:val="18"/>
              </w:rPr>
            </w:pPr>
            <w:r>
              <w:rPr>
                <w:sz w:val="18"/>
              </w:rPr>
              <w:t>10 mg/kg (NOAEL)</w:t>
            </w:r>
          </w:p>
        </w:tc>
        <w:tc>
          <w:tcPr>
            <w:tcW w:w="1512" w:type="dxa"/>
          </w:tcPr>
          <w:p w:rsidR="001D1E2C" w:rsidRDefault="00263D75">
            <w:pPr>
              <w:pStyle w:val="TableParagraph"/>
              <w:spacing w:line="168" w:lineRule="exact"/>
              <w:ind w:left="10"/>
              <w:rPr>
                <w:sz w:val="18"/>
              </w:rPr>
            </w:pPr>
            <w:r>
              <w:rPr>
                <w:sz w:val="18"/>
              </w:rPr>
              <w:t>M</w:t>
            </w:r>
          </w:p>
        </w:tc>
        <w:tc>
          <w:tcPr>
            <w:tcW w:w="1512" w:type="dxa"/>
          </w:tcPr>
          <w:p w:rsidR="001D1E2C" w:rsidRDefault="00263D75">
            <w:pPr>
              <w:pStyle w:val="TableParagraph"/>
              <w:spacing w:line="168" w:lineRule="exact"/>
              <w:ind w:left="289" w:right="276"/>
              <w:rPr>
                <w:sz w:val="18"/>
              </w:rPr>
            </w:pPr>
            <w:r>
              <w:rPr>
                <w:sz w:val="18"/>
              </w:rPr>
              <w:t>537</w:t>
            </w:r>
          </w:p>
        </w:tc>
        <w:tc>
          <w:tcPr>
            <w:tcW w:w="1511" w:type="dxa"/>
            <w:gridSpan w:val="2"/>
            <w:tcBorders>
              <w:right w:val="single" w:sz="6" w:space="0" w:color="000000"/>
            </w:tcBorders>
          </w:tcPr>
          <w:p w:rsidR="001D1E2C" w:rsidRDefault="00263D75">
            <w:pPr>
              <w:pStyle w:val="TableParagraph"/>
              <w:spacing w:line="168" w:lineRule="exact"/>
              <w:ind w:left="559" w:right="540"/>
              <w:rPr>
                <w:sz w:val="18"/>
              </w:rPr>
            </w:pPr>
            <w:r>
              <w:rPr>
                <w:sz w:val="18"/>
              </w:rPr>
              <w:t>312</w:t>
            </w:r>
          </w:p>
        </w:tc>
        <w:tc>
          <w:tcPr>
            <w:tcW w:w="322" w:type="dxa"/>
            <w:vMerge/>
            <w:tcBorders>
              <w:top w:val="nil"/>
              <w:left w:val="single" w:sz="6" w:space="0" w:color="000000"/>
              <w:bottom w:val="single" w:sz="8" w:space="0" w:color="0000FF"/>
              <w:right w:val="nil"/>
            </w:tcBorders>
          </w:tcPr>
          <w:p w:rsidR="001D1E2C" w:rsidRDefault="001D1E2C">
            <w:pPr>
              <w:rPr>
                <w:sz w:val="2"/>
                <w:szCs w:val="2"/>
              </w:rPr>
            </w:pPr>
          </w:p>
        </w:tc>
      </w:tr>
      <w:tr w:rsidR="001D1E2C">
        <w:trPr>
          <w:trHeight w:val="191"/>
        </w:trPr>
        <w:tc>
          <w:tcPr>
            <w:tcW w:w="2242" w:type="dxa"/>
            <w:vMerge/>
            <w:tcBorders>
              <w:top w:val="nil"/>
              <w:left w:val="single" w:sz="6" w:space="0" w:color="000000"/>
            </w:tcBorders>
          </w:tcPr>
          <w:p w:rsidR="001D1E2C" w:rsidRDefault="001D1E2C">
            <w:pPr>
              <w:rPr>
                <w:sz w:val="2"/>
                <w:szCs w:val="2"/>
              </w:rPr>
            </w:pPr>
          </w:p>
        </w:tc>
        <w:tc>
          <w:tcPr>
            <w:tcW w:w="2268" w:type="dxa"/>
          </w:tcPr>
          <w:p w:rsidR="001D1E2C" w:rsidRDefault="00263D75">
            <w:pPr>
              <w:pStyle w:val="TableParagraph"/>
              <w:spacing w:line="171" w:lineRule="exact"/>
              <w:ind w:left="240" w:right="232"/>
              <w:rPr>
                <w:sz w:val="18"/>
              </w:rPr>
            </w:pPr>
            <w:r>
              <w:rPr>
                <w:sz w:val="18"/>
              </w:rPr>
              <w:t>30 mg/kg (NOAEL)</w:t>
            </w:r>
          </w:p>
        </w:tc>
        <w:tc>
          <w:tcPr>
            <w:tcW w:w="1512" w:type="dxa"/>
          </w:tcPr>
          <w:p w:rsidR="001D1E2C" w:rsidRDefault="00263D75">
            <w:pPr>
              <w:pStyle w:val="TableParagraph"/>
              <w:spacing w:line="171" w:lineRule="exact"/>
              <w:ind w:left="12"/>
              <w:rPr>
                <w:sz w:val="18"/>
              </w:rPr>
            </w:pPr>
            <w:r>
              <w:rPr>
                <w:sz w:val="18"/>
              </w:rPr>
              <w:t>F</w:t>
            </w:r>
          </w:p>
        </w:tc>
        <w:tc>
          <w:tcPr>
            <w:tcW w:w="1512" w:type="dxa"/>
          </w:tcPr>
          <w:p w:rsidR="001D1E2C" w:rsidRDefault="00263D75">
            <w:pPr>
              <w:pStyle w:val="TableParagraph"/>
              <w:spacing w:line="171" w:lineRule="exact"/>
              <w:ind w:left="289" w:right="274"/>
              <w:rPr>
                <w:sz w:val="18"/>
              </w:rPr>
            </w:pPr>
            <w:r>
              <w:rPr>
                <w:sz w:val="18"/>
              </w:rPr>
              <w:t>7948</w:t>
            </w:r>
          </w:p>
        </w:tc>
        <w:tc>
          <w:tcPr>
            <w:tcW w:w="1511" w:type="dxa"/>
            <w:gridSpan w:val="2"/>
            <w:tcBorders>
              <w:right w:val="single" w:sz="6" w:space="0" w:color="000000"/>
            </w:tcBorders>
          </w:tcPr>
          <w:p w:rsidR="001D1E2C" w:rsidRDefault="00263D75">
            <w:pPr>
              <w:pStyle w:val="TableParagraph"/>
              <w:spacing w:line="171" w:lineRule="exact"/>
              <w:ind w:left="561" w:right="540"/>
              <w:rPr>
                <w:sz w:val="18"/>
              </w:rPr>
            </w:pPr>
            <w:r>
              <w:rPr>
                <w:sz w:val="18"/>
              </w:rPr>
              <w:t>4824</w:t>
            </w:r>
          </w:p>
        </w:tc>
        <w:tc>
          <w:tcPr>
            <w:tcW w:w="322" w:type="dxa"/>
            <w:vMerge/>
            <w:tcBorders>
              <w:top w:val="nil"/>
              <w:left w:val="single" w:sz="6" w:space="0" w:color="000000"/>
              <w:bottom w:val="single" w:sz="8" w:space="0" w:color="0000FF"/>
              <w:right w:val="nil"/>
            </w:tcBorders>
          </w:tcPr>
          <w:p w:rsidR="001D1E2C" w:rsidRDefault="001D1E2C">
            <w:pPr>
              <w:rPr>
                <w:sz w:val="2"/>
                <w:szCs w:val="2"/>
              </w:rPr>
            </w:pPr>
          </w:p>
        </w:tc>
      </w:tr>
      <w:tr w:rsidR="001D1E2C">
        <w:trPr>
          <w:trHeight w:val="191"/>
        </w:trPr>
        <w:tc>
          <w:tcPr>
            <w:tcW w:w="2242" w:type="dxa"/>
            <w:vMerge/>
            <w:tcBorders>
              <w:top w:val="nil"/>
              <w:left w:val="single" w:sz="6" w:space="0" w:color="000000"/>
            </w:tcBorders>
          </w:tcPr>
          <w:p w:rsidR="001D1E2C" w:rsidRDefault="001D1E2C">
            <w:pPr>
              <w:rPr>
                <w:sz w:val="2"/>
                <w:szCs w:val="2"/>
              </w:rPr>
            </w:pPr>
          </w:p>
        </w:tc>
        <w:tc>
          <w:tcPr>
            <w:tcW w:w="2268" w:type="dxa"/>
          </w:tcPr>
          <w:p w:rsidR="001D1E2C" w:rsidRDefault="00263D75">
            <w:pPr>
              <w:pStyle w:val="TableParagraph"/>
              <w:spacing w:line="171" w:lineRule="exact"/>
              <w:ind w:left="240" w:right="232"/>
              <w:rPr>
                <w:sz w:val="18"/>
              </w:rPr>
            </w:pPr>
            <w:r>
              <w:rPr>
                <w:sz w:val="18"/>
              </w:rPr>
              <w:t>30 mg/kg (LOAEL)</w:t>
            </w:r>
          </w:p>
        </w:tc>
        <w:tc>
          <w:tcPr>
            <w:tcW w:w="1512" w:type="dxa"/>
          </w:tcPr>
          <w:p w:rsidR="001D1E2C" w:rsidRDefault="00263D75">
            <w:pPr>
              <w:pStyle w:val="TableParagraph"/>
              <w:spacing w:line="171" w:lineRule="exact"/>
              <w:ind w:left="10"/>
              <w:rPr>
                <w:sz w:val="18"/>
              </w:rPr>
            </w:pPr>
            <w:r>
              <w:rPr>
                <w:sz w:val="18"/>
              </w:rPr>
              <w:t>M</w:t>
            </w:r>
          </w:p>
        </w:tc>
        <w:tc>
          <w:tcPr>
            <w:tcW w:w="1512" w:type="dxa"/>
          </w:tcPr>
          <w:p w:rsidR="001D1E2C" w:rsidRDefault="00263D75">
            <w:pPr>
              <w:pStyle w:val="TableParagraph"/>
              <w:spacing w:line="171" w:lineRule="exact"/>
              <w:ind w:left="289" w:right="274"/>
              <w:rPr>
                <w:sz w:val="18"/>
              </w:rPr>
            </w:pPr>
            <w:r>
              <w:rPr>
                <w:sz w:val="18"/>
              </w:rPr>
              <w:t>2899</w:t>
            </w:r>
          </w:p>
        </w:tc>
        <w:tc>
          <w:tcPr>
            <w:tcW w:w="1511" w:type="dxa"/>
            <w:gridSpan w:val="2"/>
            <w:tcBorders>
              <w:right w:val="single" w:sz="6" w:space="0" w:color="000000"/>
            </w:tcBorders>
          </w:tcPr>
          <w:p w:rsidR="001D1E2C" w:rsidRDefault="00263D75">
            <w:pPr>
              <w:pStyle w:val="TableParagraph"/>
              <w:spacing w:line="171" w:lineRule="exact"/>
              <w:ind w:left="561" w:right="540"/>
              <w:rPr>
                <w:sz w:val="18"/>
              </w:rPr>
            </w:pPr>
            <w:r>
              <w:rPr>
                <w:sz w:val="18"/>
              </w:rPr>
              <w:t>1183</w:t>
            </w:r>
          </w:p>
        </w:tc>
        <w:tc>
          <w:tcPr>
            <w:tcW w:w="322" w:type="dxa"/>
            <w:vMerge/>
            <w:tcBorders>
              <w:top w:val="nil"/>
              <w:left w:val="single" w:sz="6" w:space="0" w:color="000000"/>
              <w:bottom w:val="single" w:sz="8" w:space="0" w:color="0000FF"/>
              <w:right w:val="nil"/>
            </w:tcBorders>
          </w:tcPr>
          <w:p w:rsidR="001D1E2C" w:rsidRDefault="001D1E2C">
            <w:pPr>
              <w:rPr>
                <w:sz w:val="2"/>
                <w:szCs w:val="2"/>
              </w:rPr>
            </w:pPr>
          </w:p>
        </w:tc>
      </w:tr>
      <w:tr w:rsidR="001D1E2C">
        <w:trPr>
          <w:trHeight w:val="193"/>
        </w:trPr>
        <w:tc>
          <w:tcPr>
            <w:tcW w:w="2242" w:type="dxa"/>
            <w:vMerge/>
            <w:tcBorders>
              <w:top w:val="nil"/>
              <w:left w:val="single" w:sz="6" w:space="0" w:color="000000"/>
            </w:tcBorders>
          </w:tcPr>
          <w:p w:rsidR="001D1E2C" w:rsidRDefault="001D1E2C">
            <w:pPr>
              <w:rPr>
                <w:sz w:val="2"/>
                <w:szCs w:val="2"/>
              </w:rPr>
            </w:pPr>
          </w:p>
        </w:tc>
        <w:tc>
          <w:tcPr>
            <w:tcW w:w="2268" w:type="dxa"/>
          </w:tcPr>
          <w:p w:rsidR="001D1E2C" w:rsidRDefault="00263D75">
            <w:pPr>
              <w:pStyle w:val="TableParagraph"/>
              <w:spacing w:line="174" w:lineRule="exact"/>
              <w:ind w:left="243" w:right="232"/>
              <w:rPr>
                <w:sz w:val="18"/>
              </w:rPr>
            </w:pPr>
            <w:r>
              <w:rPr>
                <w:sz w:val="18"/>
              </w:rPr>
              <w:t>100 mg/kg (LOAEL)</w:t>
            </w:r>
          </w:p>
        </w:tc>
        <w:tc>
          <w:tcPr>
            <w:tcW w:w="1512" w:type="dxa"/>
          </w:tcPr>
          <w:p w:rsidR="001D1E2C" w:rsidRDefault="00263D75">
            <w:pPr>
              <w:pStyle w:val="TableParagraph"/>
              <w:spacing w:line="174" w:lineRule="exact"/>
              <w:ind w:left="12"/>
              <w:rPr>
                <w:sz w:val="18"/>
              </w:rPr>
            </w:pPr>
            <w:r>
              <w:rPr>
                <w:sz w:val="18"/>
              </w:rPr>
              <w:t>F</w:t>
            </w:r>
          </w:p>
        </w:tc>
        <w:tc>
          <w:tcPr>
            <w:tcW w:w="1512" w:type="dxa"/>
          </w:tcPr>
          <w:p w:rsidR="001D1E2C" w:rsidRDefault="00263D75">
            <w:pPr>
              <w:pStyle w:val="TableParagraph"/>
              <w:spacing w:line="174" w:lineRule="exact"/>
              <w:ind w:left="289" w:right="274"/>
              <w:rPr>
                <w:sz w:val="18"/>
              </w:rPr>
            </w:pPr>
            <w:r>
              <w:rPr>
                <w:sz w:val="18"/>
              </w:rPr>
              <w:t>22500</w:t>
            </w:r>
          </w:p>
        </w:tc>
        <w:tc>
          <w:tcPr>
            <w:tcW w:w="1511" w:type="dxa"/>
            <w:gridSpan w:val="2"/>
            <w:tcBorders>
              <w:right w:val="single" w:sz="6" w:space="0" w:color="000000"/>
            </w:tcBorders>
          </w:tcPr>
          <w:p w:rsidR="001D1E2C" w:rsidRDefault="00263D75">
            <w:pPr>
              <w:pStyle w:val="TableParagraph"/>
              <w:spacing w:line="174" w:lineRule="exact"/>
              <w:ind w:left="561" w:right="540"/>
              <w:rPr>
                <w:sz w:val="18"/>
              </w:rPr>
            </w:pPr>
            <w:r>
              <w:rPr>
                <w:sz w:val="18"/>
              </w:rPr>
              <w:t>7116</w:t>
            </w:r>
          </w:p>
        </w:tc>
        <w:tc>
          <w:tcPr>
            <w:tcW w:w="322" w:type="dxa"/>
            <w:vMerge/>
            <w:tcBorders>
              <w:top w:val="nil"/>
              <w:left w:val="single" w:sz="6" w:space="0" w:color="000000"/>
              <w:bottom w:val="single" w:sz="8" w:space="0" w:color="0000FF"/>
              <w:right w:val="nil"/>
            </w:tcBorders>
          </w:tcPr>
          <w:p w:rsidR="001D1E2C" w:rsidRDefault="001D1E2C">
            <w:pPr>
              <w:rPr>
                <w:sz w:val="2"/>
                <w:szCs w:val="2"/>
              </w:rPr>
            </w:pPr>
          </w:p>
        </w:tc>
      </w:tr>
      <w:tr w:rsidR="001D1E2C">
        <w:trPr>
          <w:trHeight w:val="414"/>
        </w:trPr>
        <w:tc>
          <w:tcPr>
            <w:tcW w:w="2242" w:type="dxa"/>
            <w:vMerge w:val="restart"/>
            <w:tcBorders>
              <w:left w:val="single" w:sz="6" w:space="0" w:color="000000"/>
            </w:tcBorders>
          </w:tcPr>
          <w:p w:rsidR="001D1E2C" w:rsidRDefault="00263D75">
            <w:pPr>
              <w:pStyle w:val="TableParagraph"/>
              <w:spacing w:line="194" w:lineRule="exact"/>
              <w:ind w:left="114"/>
              <w:jc w:val="left"/>
              <w:rPr>
                <w:sz w:val="18"/>
              </w:rPr>
            </w:pPr>
            <w:r>
              <w:rPr>
                <w:sz w:val="18"/>
              </w:rPr>
              <w:t>Rat Embryo-fetal</w:t>
            </w:r>
          </w:p>
          <w:p w:rsidR="001D1E2C" w:rsidRDefault="00263D75">
            <w:pPr>
              <w:pStyle w:val="TableParagraph"/>
              <w:spacing w:line="240" w:lineRule="auto"/>
              <w:ind w:left="114" w:right="443"/>
              <w:jc w:val="left"/>
              <w:rPr>
                <w:sz w:val="18"/>
              </w:rPr>
            </w:pPr>
            <w:r>
              <w:rPr>
                <w:sz w:val="18"/>
              </w:rPr>
              <w:t>developmental toxicity study</w:t>
            </w:r>
          </w:p>
        </w:tc>
        <w:tc>
          <w:tcPr>
            <w:tcW w:w="2268" w:type="dxa"/>
          </w:tcPr>
          <w:p w:rsidR="001D1E2C" w:rsidRDefault="00263D75">
            <w:pPr>
              <w:pStyle w:val="TableParagraph"/>
              <w:spacing w:line="201" w:lineRule="exact"/>
              <w:ind w:left="245" w:right="232"/>
              <w:rPr>
                <w:sz w:val="18"/>
              </w:rPr>
            </w:pPr>
            <w:r>
              <w:rPr>
                <w:sz w:val="18"/>
              </w:rPr>
              <w:t>100 mg/kg (NOAEL for</w:t>
            </w:r>
          </w:p>
          <w:p w:rsidR="001D1E2C" w:rsidRDefault="00263D75">
            <w:pPr>
              <w:pStyle w:val="TableParagraph"/>
              <w:spacing w:line="193" w:lineRule="exact"/>
              <w:ind w:left="243" w:right="232"/>
              <w:rPr>
                <w:sz w:val="18"/>
              </w:rPr>
            </w:pPr>
            <w:r>
              <w:rPr>
                <w:sz w:val="18"/>
              </w:rPr>
              <w:t>teratogenicity)</w:t>
            </w:r>
          </w:p>
        </w:tc>
        <w:tc>
          <w:tcPr>
            <w:tcW w:w="1512" w:type="dxa"/>
          </w:tcPr>
          <w:p w:rsidR="001D1E2C" w:rsidRDefault="001D1E2C">
            <w:pPr>
              <w:pStyle w:val="TableParagraph"/>
              <w:spacing w:before="5" w:line="240" w:lineRule="auto"/>
              <w:jc w:val="left"/>
              <w:rPr>
                <w:b/>
                <w:sz w:val="17"/>
              </w:rPr>
            </w:pPr>
          </w:p>
          <w:p w:rsidR="001D1E2C" w:rsidRDefault="00263D75">
            <w:pPr>
              <w:pStyle w:val="TableParagraph"/>
              <w:spacing w:line="193" w:lineRule="exact"/>
              <w:ind w:left="12"/>
              <w:rPr>
                <w:sz w:val="18"/>
              </w:rPr>
            </w:pPr>
            <w:r>
              <w:rPr>
                <w:sz w:val="18"/>
              </w:rPr>
              <w:t>F</w:t>
            </w:r>
          </w:p>
        </w:tc>
        <w:tc>
          <w:tcPr>
            <w:tcW w:w="1512" w:type="dxa"/>
          </w:tcPr>
          <w:p w:rsidR="001D1E2C" w:rsidRDefault="00263D75">
            <w:pPr>
              <w:pStyle w:val="TableParagraph"/>
              <w:spacing w:before="98" w:line="240" w:lineRule="auto"/>
              <w:ind w:left="289" w:right="274"/>
              <w:rPr>
                <w:sz w:val="18"/>
              </w:rPr>
            </w:pPr>
            <w:r>
              <w:rPr>
                <w:sz w:val="18"/>
              </w:rPr>
              <w:t>22434</w:t>
            </w:r>
          </w:p>
        </w:tc>
        <w:tc>
          <w:tcPr>
            <w:tcW w:w="1511" w:type="dxa"/>
            <w:gridSpan w:val="2"/>
            <w:tcBorders>
              <w:right w:val="single" w:sz="6" w:space="0" w:color="000000"/>
            </w:tcBorders>
          </w:tcPr>
          <w:p w:rsidR="001D1E2C" w:rsidRDefault="00263D75">
            <w:pPr>
              <w:pStyle w:val="TableParagraph"/>
              <w:spacing w:before="98" w:line="240" w:lineRule="auto"/>
              <w:ind w:left="561" w:right="540"/>
              <w:rPr>
                <w:sz w:val="18"/>
              </w:rPr>
            </w:pPr>
            <w:r>
              <w:rPr>
                <w:sz w:val="18"/>
              </w:rPr>
              <w:t>3759</w:t>
            </w:r>
          </w:p>
        </w:tc>
        <w:tc>
          <w:tcPr>
            <w:tcW w:w="322" w:type="dxa"/>
            <w:vMerge/>
            <w:tcBorders>
              <w:top w:val="nil"/>
              <w:left w:val="single" w:sz="6" w:space="0" w:color="000000"/>
              <w:bottom w:val="single" w:sz="8" w:space="0" w:color="0000FF"/>
              <w:right w:val="nil"/>
            </w:tcBorders>
          </w:tcPr>
          <w:p w:rsidR="001D1E2C" w:rsidRDefault="001D1E2C">
            <w:pPr>
              <w:rPr>
                <w:sz w:val="2"/>
                <w:szCs w:val="2"/>
              </w:rPr>
            </w:pPr>
          </w:p>
        </w:tc>
      </w:tr>
      <w:tr w:rsidR="001D1E2C">
        <w:trPr>
          <w:trHeight w:val="411"/>
        </w:trPr>
        <w:tc>
          <w:tcPr>
            <w:tcW w:w="2242" w:type="dxa"/>
            <w:vMerge/>
            <w:tcBorders>
              <w:top w:val="nil"/>
              <w:left w:val="single" w:sz="6" w:space="0" w:color="000000"/>
            </w:tcBorders>
          </w:tcPr>
          <w:p w:rsidR="001D1E2C" w:rsidRDefault="001D1E2C">
            <w:pPr>
              <w:rPr>
                <w:sz w:val="2"/>
                <w:szCs w:val="2"/>
              </w:rPr>
            </w:pPr>
          </w:p>
        </w:tc>
        <w:tc>
          <w:tcPr>
            <w:tcW w:w="2268" w:type="dxa"/>
          </w:tcPr>
          <w:p w:rsidR="001D1E2C" w:rsidRDefault="00263D75">
            <w:pPr>
              <w:pStyle w:val="TableParagraph"/>
              <w:spacing w:line="201" w:lineRule="exact"/>
              <w:ind w:left="243" w:right="232"/>
              <w:rPr>
                <w:sz w:val="18"/>
              </w:rPr>
            </w:pPr>
            <w:r>
              <w:rPr>
                <w:sz w:val="18"/>
              </w:rPr>
              <w:t>300 mg/kg (LOAEL for</w:t>
            </w:r>
          </w:p>
          <w:p w:rsidR="001D1E2C" w:rsidRDefault="00263D75">
            <w:pPr>
              <w:pStyle w:val="TableParagraph"/>
              <w:spacing w:line="191" w:lineRule="exact"/>
              <w:ind w:left="243" w:right="232"/>
              <w:rPr>
                <w:sz w:val="18"/>
              </w:rPr>
            </w:pPr>
            <w:r>
              <w:rPr>
                <w:sz w:val="18"/>
              </w:rPr>
              <w:t>teratogenicity)</w:t>
            </w:r>
          </w:p>
        </w:tc>
        <w:tc>
          <w:tcPr>
            <w:tcW w:w="1512" w:type="dxa"/>
          </w:tcPr>
          <w:p w:rsidR="001D1E2C" w:rsidRDefault="00263D75">
            <w:pPr>
              <w:pStyle w:val="TableParagraph"/>
              <w:spacing w:before="98" w:line="240" w:lineRule="auto"/>
              <w:ind w:left="12"/>
              <w:rPr>
                <w:sz w:val="18"/>
              </w:rPr>
            </w:pPr>
            <w:r>
              <w:rPr>
                <w:sz w:val="18"/>
              </w:rPr>
              <w:t>F</w:t>
            </w:r>
          </w:p>
        </w:tc>
        <w:tc>
          <w:tcPr>
            <w:tcW w:w="1512" w:type="dxa"/>
          </w:tcPr>
          <w:p w:rsidR="001D1E2C" w:rsidRDefault="00263D75">
            <w:pPr>
              <w:pStyle w:val="TableParagraph"/>
              <w:spacing w:before="98" w:line="240" w:lineRule="auto"/>
              <w:ind w:left="289" w:right="277"/>
              <w:rPr>
                <w:sz w:val="18"/>
              </w:rPr>
            </w:pPr>
            <w:r>
              <w:rPr>
                <w:sz w:val="18"/>
              </w:rPr>
              <w:t>104413</w:t>
            </w:r>
          </w:p>
        </w:tc>
        <w:tc>
          <w:tcPr>
            <w:tcW w:w="1511" w:type="dxa"/>
            <w:gridSpan w:val="2"/>
            <w:tcBorders>
              <w:right w:val="single" w:sz="6" w:space="0" w:color="000000"/>
            </w:tcBorders>
          </w:tcPr>
          <w:p w:rsidR="001D1E2C" w:rsidRDefault="00263D75">
            <w:pPr>
              <w:pStyle w:val="TableParagraph"/>
              <w:spacing w:before="98" w:line="240" w:lineRule="auto"/>
              <w:ind w:left="561" w:right="540"/>
              <w:rPr>
                <w:sz w:val="18"/>
              </w:rPr>
            </w:pPr>
            <w:r>
              <w:rPr>
                <w:sz w:val="18"/>
              </w:rPr>
              <w:t>9464</w:t>
            </w:r>
          </w:p>
        </w:tc>
        <w:tc>
          <w:tcPr>
            <w:tcW w:w="322" w:type="dxa"/>
            <w:vMerge/>
            <w:tcBorders>
              <w:top w:val="nil"/>
              <w:left w:val="single" w:sz="6" w:space="0" w:color="000000"/>
              <w:bottom w:val="single" w:sz="8" w:space="0" w:color="0000FF"/>
              <w:right w:val="nil"/>
            </w:tcBorders>
          </w:tcPr>
          <w:p w:rsidR="001D1E2C" w:rsidRDefault="001D1E2C">
            <w:pPr>
              <w:rPr>
                <w:sz w:val="2"/>
                <w:szCs w:val="2"/>
              </w:rPr>
            </w:pPr>
          </w:p>
        </w:tc>
      </w:tr>
      <w:tr w:rsidR="001D1E2C">
        <w:trPr>
          <w:trHeight w:val="193"/>
        </w:trPr>
        <w:tc>
          <w:tcPr>
            <w:tcW w:w="2242" w:type="dxa"/>
            <w:vMerge w:val="restart"/>
            <w:tcBorders>
              <w:left w:val="single" w:sz="6" w:space="0" w:color="000000"/>
            </w:tcBorders>
          </w:tcPr>
          <w:p w:rsidR="001D1E2C" w:rsidRDefault="00263D75">
            <w:pPr>
              <w:pStyle w:val="TableParagraph"/>
              <w:spacing w:line="195" w:lineRule="exact"/>
              <w:ind w:left="114"/>
              <w:jc w:val="left"/>
              <w:rPr>
                <w:sz w:val="18"/>
              </w:rPr>
            </w:pPr>
            <w:r>
              <w:rPr>
                <w:sz w:val="18"/>
              </w:rPr>
              <w:t>Dog/</w:t>
            </w:r>
          </w:p>
          <w:p w:rsidR="001D1E2C" w:rsidRDefault="00263D75">
            <w:pPr>
              <w:pStyle w:val="TableParagraph"/>
              <w:spacing w:before="2" w:line="240" w:lineRule="auto"/>
              <w:ind w:left="114"/>
              <w:jc w:val="left"/>
              <w:rPr>
                <w:sz w:val="18"/>
              </w:rPr>
            </w:pPr>
            <w:r>
              <w:rPr>
                <w:sz w:val="18"/>
              </w:rPr>
              <w:t>13-week po</w:t>
            </w:r>
          </w:p>
        </w:tc>
        <w:tc>
          <w:tcPr>
            <w:tcW w:w="2268" w:type="dxa"/>
            <w:vMerge w:val="restart"/>
          </w:tcPr>
          <w:p w:rsidR="001D1E2C" w:rsidRDefault="00263D75">
            <w:pPr>
              <w:pStyle w:val="TableParagraph"/>
              <w:spacing w:before="95" w:line="240" w:lineRule="auto"/>
              <w:ind w:left="407"/>
              <w:jc w:val="left"/>
              <w:rPr>
                <w:sz w:val="18"/>
              </w:rPr>
            </w:pPr>
            <w:r>
              <w:rPr>
                <w:sz w:val="18"/>
              </w:rPr>
              <w:t>10 mg/kg (NOAEL)</w:t>
            </w:r>
          </w:p>
        </w:tc>
        <w:tc>
          <w:tcPr>
            <w:tcW w:w="1512" w:type="dxa"/>
          </w:tcPr>
          <w:p w:rsidR="001D1E2C" w:rsidRDefault="00263D75">
            <w:pPr>
              <w:pStyle w:val="TableParagraph"/>
              <w:spacing w:line="174" w:lineRule="exact"/>
              <w:ind w:left="10"/>
              <w:rPr>
                <w:sz w:val="18"/>
              </w:rPr>
            </w:pPr>
            <w:r>
              <w:rPr>
                <w:sz w:val="18"/>
              </w:rPr>
              <w:t>M</w:t>
            </w:r>
          </w:p>
        </w:tc>
        <w:tc>
          <w:tcPr>
            <w:tcW w:w="1512" w:type="dxa"/>
          </w:tcPr>
          <w:p w:rsidR="001D1E2C" w:rsidRDefault="00263D75">
            <w:pPr>
              <w:pStyle w:val="TableParagraph"/>
              <w:spacing w:line="174" w:lineRule="exact"/>
              <w:ind w:left="289" w:right="276"/>
              <w:rPr>
                <w:sz w:val="18"/>
              </w:rPr>
            </w:pPr>
            <w:r>
              <w:rPr>
                <w:sz w:val="18"/>
              </w:rPr>
              <w:t>362</w:t>
            </w:r>
          </w:p>
        </w:tc>
        <w:tc>
          <w:tcPr>
            <w:tcW w:w="1511" w:type="dxa"/>
            <w:gridSpan w:val="2"/>
            <w:tcBorders>
              <w:right w:val="single" w:sz="6" w:space="0" w:color="000000"/>
            </w:tcBorders>
          </w:tcPr>
          <w:p w:rsidR="001D1E2C" w:rsidRDefault="00263D75">
            <w:pPr>
              <w:pStyle w:val="TableParagraph"/>
              <w:spacing w:line="174" w:lineRule="exact"/>
              <w:ind w:left="559" w:right="540"/>
              <w:rPr>
                <w:sz w:val="18"/>
              </w:rPr>
            </w:pPr>
            <w:r>
              <w:rPr>
                <w:sz w:val="18"/>
              </w:rPr>
              <w:t>165</w:t>
            </w:r>
          </w:p>
        </w:tc>
        <w:tc>
          <w:tcPr>
            <w:tcW w:w="322" w:type="dxa"/>
            <w:vMerge/>
            <w:tcBorders>
              <w:top w:val="nil"/>
              <w:left w:val="single" w:sz="6" w:space="0" w:color="000000"/>
              <w:bottom w:val="single" w:sz="8" w:space="0" w:color="0000FF"/>
              <w:right w:val="nil"/>
            </w:tcBorders>
          </w:tcPr>
          <w:p w:rsidR="001D1E2C" w:rsidRDefault="001D1E2C">
            <w:pPr>
              <w:rPr>
                <w:sz w:val="2"/>
                <w:szCs w:val="2"/>
              </w:rPr>
            </w:pPr>
          </w:p>
        </w:tc>
      </w:tr>
      <w:tr w:rsidR="001D1E2C">
        <w:trPr>
          <w:trHeight w:val="191"/>
        </w:trPr>
        <w:tc>
          <w:tcPr>
            <w:tcW w:w="2242" w:type="dxa"/>
            <w:vMerge/>
            <w:tcBorders>
              <w:top w:val="nil"/>
              <w:left w:val="single" w:sz="6" w:space="0" w:color="000000"/>
            </w:tcBorders>
          </w:tcPr>
          <w:p w:rsidR="001D1E2C" w:rsidRDefault="001D1E2C">
            <w:pPr>
              <w:rPr>
                <w:sz w:val="2"/>
                <w:szCs w:val="2"/>
              </w:rPr>
            </w:pPr>
          </w:p>
        </w:tc>
        <w:tc>
          <w:tcPr>
            <w:tcW w:w="2268" w:type="dxa"/>
            <w:vMerge/>
            <w:tcBorders>
              <w:top w:val="nil"/>
            </w:tcBorders>
          </w:tcPr>
          <w:p w:rsidR="001D1E2C" w:rsidRDefault="001D1E2C">
            <w:pPr>
              <w:rPr>
                <w:sz w:val="2"/>
                <w:szCs w:val="2"/>
              </w:rPr>
            </w:pPr>
          </w:p>
        </w:tc>
        <w:tc>
          <w:tcPr>
            <w:tcW w:w="1512" w:type="dxa"/>
          </w:tcPr>
          <w:p w:rsidR="001D1E2C" w:rsidRDefault="00263D75">
            <w:pPr>
              <w:pStyle w:val="TableParagraph"/>
              <w:spacing w:line="171" w:lineRule="exact"/>
              <w:ind w:left="12"/>
              <w:rPr>
                <w:sz w:val="18"/>
              </w:rPr>
            </w:pPr>
            <w:r>
              <w:rPr>
                <w:sz w:val="18"/>
              </w:rPr>
              <w:t>F</w:t>
            </w:r>
          </w:p>
        </w:tc>
        <w:tc>
          <w:tcPr>
            <w:tcW w:w="1512" w:type="dxa"/>
          </w:tcPr>
          <w:p w:rsidR="001D1E2C" w:rsidRDefault="00263D75">
            <w:pPr>
              <w:pStyle w:val="TableParagraph"/>
              <w:spacing w:line="171" w:lineRule="exact"/>
              <w:ind w:left="289" w:right="276"/>
              <w:rPr>
                <w:sz w:val="18"/>
              </w:rPr>
            </w:pPr>
            <w:r>
              <w:rPr>
                <w:sz w:val="18"/>
              </w:rPr>
              <w:t>263</w:t>
            </w:r>
          </w:p>
        </w:tc>
        <w:tc>
          <w:tcPr>
            <w:tcW w:w="1511" w:type="dxa"/>
            <w:gridSpan w:val="2"/>
            <w:tcBorders>
              <w:bottom w:val="single" w:sz="2" w:space="0" w:color="0000FF"/>
              <w:right w:val="single" w:sz="6" w:space="0" w:color="000000"/>
            </w:tcBorders>
          </w:tcPr>
          <w:p w:rsidR="001D1E2C" w:rsidRDefault="00263D75">
            <w:pPr>
              <w:pStyle w:val="TableParagraph"/>
              <w:spacing w:line="171" w:lineRule="exact"/>
              <w:ind w:left="559" w:right="540"/>
              <w:rPr>
                <w:sz w:val="18"/>
              </w:rPr>
            </w:pPr>
            <w:r>
              <w:rPr>
                <w:sz w:val="18"/>
              </w:rPr>
              <w:t>142</w:t>
            </w:r>
          </w:p>
        </w:tc>
        <w:tc>
          <w:tcPr>
            <w:tcW w:w="322" w:type="dxa"/>
            <w:vMerge/>
            <w:tcBorders>
              <w:top w:val="nil"/>
              <w:left w:val="single" w:sz="6" w:space="0" w:color="000000"/>
              <w:bottom w:val="single" w:sz="8" w:space="0" w:color="0000FF"/>
              <w:right w:val="nil"/>
            </w:tcBorders>
          </w:tcPr>
          <w:p w:rsidR="001D1E2C" w:rsidRDefault="001D1E2C">
            <w:pPr>
              <w:rPr>
                <w:sz w:val="2"/>
                <w:szCs w:val="2"/>
              </w:rPr>
            </w:pPr>
          </w:p>
        </w:tc>
      </w:tr>
      <w:tr w:rsidR="001D1E2C">
        <w:trPr>
          <w:trHeight w:val="191"/>
        </w:trPr>
        <w:tc>
          <w:tcPr>
            <w:tcW w:w="2242" w:type="dxa"/>
            <w:vMerge/>
            <w:tcBorders>
              <w:top w:val="nil"/>
              <w:left w:val="single" w:sz="6" w:space="0" w:color="000000"/>
            </w:tcBorders>
          </w:tcPr>
          <w:p w:rsidR="001D1E2C" w:rsidRDefault="001D1E2C">
            <w:pPr>
              <w:rPr>
                <w:sz w:val="2"/>
                <w:szCs w:val="2"/>
              </w:rPr>
            </w:pPr>
          </w:p>
        </w:tc>
        <w:tc>
          <w:tcPr>
            <w:tcW w:w="2268" w:type="dxa"/>
            <w:vMerge w:val="restart"/>
          </w:tcPr>
          <w:p w:rsidR="001D1E2C" w:rsidRDefault="00263D75">
            <w:pPr>
              <w:pStyle w:val="TableParagraph"/>
              <w:spacing w:before="93" w:line="240" w:lineRule="auto"/>
              <w:ind w:left="417"/>
              <w:jc w:val="left"/>
              <w:rPr>
                <w:sz w:val="18"/>
              </w:rPr>
            </w:pPr>
            <w:r>
              <w:rPr>
                <w:sz w:val="18"/>
              </w:rPr>
              <w:t>30 mg/kg (LOAEL)</w:t>
            </w:r>
          </w:p>
        </w:tc>
        <w:tc>
          <w:tcPr>
            <w:tcW w:w="1512" w:type="dxa"/>
          </w:tcPr>
          <w:p w:rsidR="001D1E2C" w:rsidRDefault="00263D75">
            <w:pPr>
              <w:pStyle w:val="TableParagraph"/>
              <w:spacing w:line="171" w:lineRule="exact"/>
              <w:ind w:left="10"/>
              <w:rPr>
                <w:sz w:val="18"/>
              </w:rPr>
            </w:pPr>
            <w:r>
              <w:rPr>
                <w:sz w:val="18"/>
              </w:rPr>
              <w:t>M</w:t>
            </w:r>
          </w:p>
        </w:tc>
        <w:tc>
          <w:tcPr>
            <w:tcW w:w="1512" w:type="dxa"/>
          </w:tcPr>
          <w:p w:rsidR="001D1E2C" w:rsidRDefault="00263D75">
            <w:pPr>
              <w:pStyle w:val="TableParagraph"/>
              <w:spacing w:line="171" w:lineRule="exact"/>
              <w:ind w:left="289" w:right="274"/>
              <w:rPr>
                <w:sz w:val="18"/>
              </w:rPr>
            </w:pPr>
            <w:r>
              <w:rPr>
                <w:sz w:val="18"/>
              </w:rPr>
              <w:t>2559</w:t>
            </w:r>
          </w:p>
        </w:tc>
        <w:tc>
          <w:tcPr>
            <w:tcW w:w="918" w:type="dxa"/>
            <w:tcBorders>
              <w:right w:val="single" w:sz="8" w:space="0" w:color="0000FF"/>
            </w:tcBorders>
          </w:tcPr>
          <w:p w:rsidR="001D1E2C" w:rsidRDefault="00263D75">
            <w:pPr>
              <w:pStyle w:val="TableParagraph"/>
              <w:spacing w:line="171" w:lineRule="exact"/>
              <w:ind w:right="6"/>
              <w:jc w:val="right"/>
              <w:rPr>
                <w:sz w:val="18"/>
              </w:rPr>
            </w:pPr>
            <w:r>
              <w:rPr>
                <w:sz w:val="18"/>
              </w:rPr>
              <w:t>996</w:t>
            </w:r>
          </w:p>
        </w:tc>
        <w:tc>
          <w:tcPr>
            <w:tcW w:w="593" w:type="dxa"/>
            <w:tcBorders>
              <w:top w:val="single" w:sz="2" w:space="0" w:color="0000FF"/>
              <w:left w:val="single" w:sz="8" w:space="0" w:color="0000FF"/>
              <w:right w:val="single" w:sz="6" w:space="0" w:color="000000"/>
            </w:tcBorders>
          </w:tcPr>
          <w:p w:rsidR="001D1E2C" w:rsidRDefault="001D1E2C">
            <w:pPr>
              <w:pStyle w:val="TableParagraph"/>
              <w:spacing w:line="240" w:lineRule="auto"/>
              <w:jc w:val="left"/>
              <w:rPr>
                <w:sz w:val="12"/>
              </w:rPr>
            </w:pPr>
          </w:p>
        </w:tc>
        <w:tc>
          <w:tcPr>
            <w:tcW w:w="322" w:type="dxa"/>
            <w:vMerge w:val="restart"/>
            <w:tcBorders>
              <w:top w:val="single" w:sz="8" w:space="0" w:color="0000FF"/>
              <w:left w:val="single" w:sz="6" w:space="0" w:color="000000"/>
              <w:bottom w:val="single" w:sz="8" w:space="0" w:color="0000FF"/>
              <w:right w:val="single" w:sz="8" w:space="0" w:color="0000FF"/>
            </w:tcBorders>
          </w:tcPr>
          <w:p w:rsidR="001D1E2C" w:rsidRDefault="001D1E2C">
            <w:pPr>
              <w:pStyle w:val="TableParagraph"/>
              <w:spacing w:line="240" w:lineRule="auto"/>
              <w:jc w:val="left"/>
            </w:pPr>
          </w:p>
        </w:tc>
      </w:tr>
      <w:tr w:rsidR="001D1E2C">
        <w:trPr>
          <w:trHeight w:val="193"/>
        </w:trPr>
        <w:tc>
          <w:tcPr>
            <w:tcW w:w="2242" w:type="dxa"/>
            <w:vMerge/>
            <w:tcBorders>
              <w:top w:val="nil"/>
              <w:left w:val="single" w:sz="6" w:space="0" w:color="000000"/>
            </w:tcBorders>
          </w:tcPr>
          <w:p w:rsidR="001D1E2C" w:rsidRDefault="001D1E2C">
            <w:pPr>
              <w:rPr>
                <w:sz w:val="2"/>
                <w:szCs w:val="2"/>
              </w:rPr>
            </w:pPr>
          </w:p>
        </w:tc>
        <w:tc>
          <w:tcPr>
            <w:tcW w:w="2268" w:type="dxa"/>
            <w:vMerge/>
            <w:tcBorders>
              <w:top w:val="nil"/>
            </w:tcBorders>
          </w:tcPr>
          <w:p w:rsidR="001D1E2C" w:rsidRDefault="001D1E2C">
            <w:pPr>
              <w:rPr>
                <w:sz w:val="2"/>
                <w:szCs w:val="2"/>
              </w:rPr>
            </w:pPr>
          </w:p>
        </w:tc>
        <w:tc>
          <w:tcPr>
            <w:tcW w:w="1512" w:type="dxa"/>
          </w:tcPr>
          <w:p w:rsidR="001D1E2C" w:rsidRDefault="00263D75">
            <w:pPr>
              <w:pStyle w:val="TableParagraph"/>
              <w:spacing w:line="174" w:lineRule="exact"/>
              <w:ind w:left="12"/>
              <w:rPr>
                <w:sz w:val="18"/>
              </w:rPr>
            </w:pPr>
            <w:r>
              <w:rPr>
                <w:sz w:val="18"/>
              </w:rPr>
              <w:t>F</w:t>
            </w:r>
          </w:p>
        </w:tc>
        <w:tc>
          <w:tcPr>
            <w:tcW w:w="1512" w:type="dxa"/>
          </w:tcPr>
          <w:p w:rsidR="001D1E2C" w:rsidRDefault="00263D75">
            <w:pPr>
              <w:pStyle w:val="TableParagraph"/>
              <w:spacing w:line="174" w:lineRule="exact"/>
              <w:ind w:left="289" w:right="274"/>
              <w:rPr>
                <w:sz w:val="18"/>
              </w:rPr>
            </w:pPr>
            <w:r>
              <w:rPr>
                <w:sz w:val="18"/>
              </w:rPr>
              <w:t>2963</w:t>
            </w:r>
          </w:p>
        </w:tc>
        <w:tc>
          <w:tcPr>
            <w:tcW w:w="918" w:type="dxa"/>
            <w:tcBorders>
              <w:right w:val="single" w:sz="8" w:space="0" w:color="0000FF"/>
            </w:tcBorders>
          </w:tcPr>
          <w:p w:rsidR="001D1E2C" w:rsidRDefault="00263D75">
            <w:pPr>
              <w:pStyle w:val="TableParagraph"/>
              <w:spacing w:line="174" w:lineRule="exact"/>
              <w:ind w:right="-44"/>
              <w:jc w:val="right"/>
              <w:rPr>
                <w:sz w:val="18"/>
              </w:rPr>
            </w:pPr>
            <w:r>
              <w:rPr>
                <w:sz w:val="18"/>
              </w:rPr>
              <w:t>1483</w:t>
            </w:r>
          </w:p>
        </w:tc>
        <w:tc>
          <w:tcPr>
            <w:tcW w:w="593" w:type="dxa"/>
            <w:tcBorders>
              <w:left w:val="single" w:sz="8" w:space="0" w:color="0000FF"/>
              <w:bottom w:val="single" w:sz="2" w:space="0" w:color="0000FF"/>
              <w:right w:val="single" w:sz="6" w:space="0" w:color="000000"/>
            </w:tcBorders>
          </w:tcPr>
          <w:p w:rsidR="001D1E2C" w:rsidRDefault="001D1E2C">
            <w:pPr>
              <w:pStyle w:val="TableParagraph"/>
              <w:spacing w:line="240" w:lineRule="auto"/>
              <w:jc w:val="left"/>
              <w:rPr>
                <w:sz w:val="12"/>
              </w:rPr>
            </w:pPr>
          </w:p>
        </w:tc>
        <w:tc>
          <w:tcPr>
            <w:tcW w:w="322" w:type="dxa"/>
            <w:vMerge/>
            <w:tcBorders>
              <w:top w:val="nil"/>
              <w:left w:val="single" w:sz="6" w:space="0" w:color="000000"/>
              <w:bottom w:val="single" w:sz="8" w:space="0" w:color="0000FF"/>
              <w:right w:val="single" w:sz="8" w:space="0" w:color="0000FF"/>
            </w:tcBorders>
          </w:tcPr>
          <w:p w:rsidR="001D1E2C" w:rsidRDefault="001D1E2C">
            <w:pPr>
              <w:rPr>
                <w:sz w:val="2"/>
                <w:szCs w:val="2"/>
              </w:rPr>
            </w:pPr>
          </w:p>
        </w:tc>
      </w:tr>
      <w:tr w:rsidR="001D1E2C">
        <w:trPr>
          <w:trHeight w:val="404"/>
        </w:trPr>
        <w:tc>
          <w:tcPr>
            <w:tcW w:w="2242" w:type="dxa"/>
            <w:tcBorders>
              <w:left w:val="single" w:sz="6" w:space="0" w:color="000000"/>
              <w:bottom w:val="single" w:sz="6" w:space="0" w:color="000000"/>
            </w:tcBorders>
          </w:tcPr>
          <w:p w:rsidR="001D1E2C" w:rsidRDefault="00263D75">
            <w:pPr>
              <w:pStyle w:val="TableParagraph"/>
              <w:spacing w:line="194" w:lineRule="exact"/>
              <w:ind w:left="114"/>
              <w:jc w:val="left"/>
              <w:rPr>
                <w:sz w:val="18"/>
              </w:rPr>
            </w:pPr>
            <w:r>
              <w:rPr>
                <w:sz w:val="18"/>
              </w:rPr>
              <w:t>Highest dose from SAD</w:t>
            </w:r>
          </w:p>
          <w:p w:rsidR="001D1E2C" w:rsidRDefault="00263D75">
            <w:pPr>
              <w:pStyle w:val="TableParagraph"/>
              <w:spacing w:line="191" w:lineRule="exact"/>
              <w:ind w:left="114"/>
              <w:jc w:val="left"/>
              <w:rPr>
                <w:sz w:val="18"/>
              </w:rPr>
            </w:pPr>
            <w:r>
              <w:rPr>
                <w:sz w:val="18"/>
              </w:rPr>
              <w:t>[</w:t>
            </w:r>
            <w:r w:rsidR="00F65007">
              <w:rPr>
                <w:sz w:val="18"/>
              </w:rPr>
              <w:t>Project S</w:t>
            </w:r>
            <w:r>
              <w:rPr>
                <w:sz w:val="18"/>
              </w:rPr>
              <w:t>-CL-0001]</w:t>
            </w:r>
          </w:p>
        </w:tc>
        <w:tc>
          <w:tcPr>
            <w:tcW w:w="2268" w:type="dxa"/>
            <w:tcBorders>
              <w:bottom w:val="single" w:sz="6" w:space="0" w:color="000000"/>
            </w:tcBorders>
          </w:tcPr>
          <w:p w:rsidR="001D1E2C" w:rsidRDefault="00263D75">
            <w:pPr>
              <w:pStyle w:val="TableParagraph"/>
              <w:spacing w:before="90" w:line="240" w:lineRule="auto"/>
              <w:ind w:left="242" w:right="232"/>
              <w:rPr>
                <w:sz w:val="18"/>
              </w:rPr>
            </w:pPr>
            <w:r>
              <w:rPr>
                <w:sz w:val="18"/>
              </w:rPr>
              <w:t>50 mg</w:t>
            </w:r>
          </w:p>
        </w:tc>
        <w:tc>
          <w:tcPr>
            <w:tcW w:w="1512" w:type="dxa"/>
            <w:tcBorders>
              <w:bottom w:val="single" w:sz="6" w:space="0" w:color="000000"/>
            </w:tcBorders>
          </w:tcPr>
          <w:p w:rsidR="001D1E2C" w:rsidRDefault="001D1E2C">
            <w:pPr>
              <w:pStyle w:val="TableParagraph"/>
              <w:spacing w:line="240" w:lineRule="auto"/>
              <w:jc w:val="left"/>
            </w:pPr>
          </w:p>
        </w:tc>
        <w:tc>
          <w:tcPr>
            <w:tcW w:w="1512" w:type="dxa"/>
            <w:tcBorders>
              <w:bottom w:val="single" w:sz="6" w:space="0" w:color="000000"/>
            </w:tcBorders>
          </w:tcPr>
          <w:p w:rsidR="001D1E2C" w:rsidRDefault="00263D75">
            <w:pPr>
              <w:pStyle w:val="TableParagraph"/>
              <w:spacing w:before="90" w:line="240" w:lineRule="auto"/>
              <w:ind w:left="289" w:right="278"/>
              <w:rPr>
                <w:sz w:val="18"/>
              </w:rPr>
            </w:pPr>
            <w:r>
              <w:rPr>
                <w:sz w:val="18"/>
              </w:rPr>
              <w:t>733(</w:t>
            </w:r>
            <w:proofErr w:type="spellStart"/>
            <w:r>
              <w:rPr>
                <w:sz w:val="18"/>
              </w:rPr>
              <w:t>AUC</w:t>
            </w:r>
            <w:r>
              <w:rPr>
                <w:sz w:val="18"/>
                <w:vertAlign w:val="subscript"/>
              </w:rPr>
              <w:t>inf</w:t>
            </w:r>
            <w:proofErr w:type="spellEnd"/>
            <w:r>
              <w:rPr>
                <w:sz w:val="18"/>
              </w:rPr>
              <w:t>)</w:t>
            </w:r>
          </w:p>
        </w:tc>
        <w:tc>
          <w:tcPr>
            <w:tcW w:w="1511" w:type="dxa"/>
            <w:gridSpan w:val="2"/>
            <w:tcBorders>
              <w:top w:val="single" w:sz="2" w:space="0" w:color="0000FF"/>
              <w:bottom w:val="single" w:sz="6" w:space="0" w:color="000000"/>
              <w:right w:val="single" w:sz="6" w:space="0" w:color="000000"/>
            </w:tcBorders>
          </w:tcPr>
          <w:p w:rsidR="001D1E2C" w:rsidRDefault="00263D75">
            <w:pPr>
              <w:pStyle w:val="TableParagraph"/>
              <w:spacing w:before="90" w:line="240" w:lineRule="auto"/>
              <w:ind w:left="559" w:right="540"/>
              <w:rPr>
                <w:sz w:val="18"/>
              </w:rPr>
            </w:pPr>
            <w:r>
              <w:rPr>
                <w:sz w:val="18"/>
              </w:rPr>
              <w:t>78</w:t>
            </w:r>
          </w:p>
        </w:tc>
        <w:tc>
          <w:tcPr>
            <w:tcW w:w="322" w:type="dxa"/>
            <w:tcBorders>
              <w:top w:val="single" w:sz="8" w:space="0" w:color="0000FF"/>
              <w:left w:val="single" w:sz="6" w:space="0" w:color="000000"/>
              <w:bottom w:val="nil"/>
              <w:right w:val="nil"/>
            </w:tcBorders>
          </w:tcPr>
          <w:p w:rsidR="001D1E2C" w:rsidRDefault="001D1E2C">
            <w:pPr>
              <w:pStyle w:val="TableParagraph"/>
              <w:spacing w:line="240" w:lineRule="auto"/>
              <w:jc w:val="left"/>
            </w:pPr>
          </w:p>
        </w:tc>
      </w:tr>
    </w:tbl>
    <w:p w:rsidR="001D1E2C" w:rsidRDefault="00263D75">
      <w:pPr>
        <w:ind w:left="512" w:right="1672"/>
        <w:rPr>
          <w:sz w:val="18"/>
        </w:rPr>
      </w:pPr>
      <w:r>
        <w:rPr>
          <w:sz w:val="18"/>
        </w:rPr>
        <w:t>AUC</w:t>
      </w:r>
      <w:r>
        <w:rPr>
          <w:sz w:val="18"/>
          <w:vertAlign w:val="subscript"/>
        </w:rPr>
        <w:t>24</w:t>
      </w:r>
      <w:r>
        <w:rPr>
          <w:sz w:val="18"/>
        </w:rPr>
        <w:t xml:space="preserve">: area under the concentration-time curve, from 0 to 24 hours after dosing; </w:t>
      </w:r>
      <w:proofErr w:type="spellStart"/>
      <w:r>
        <w:rPr>
          <w:sz w:val="18"/>
        </w:rPr>
        <w:t>C</w:t>
      </w:r>
      <w:r>
        <w:rPr>
          <w:sz w:val="18"/>
          <w:vertAlign w:val="subscript"/>
        </w:rPr>
        <w:t>max</w:t>
      </w:r>
      <w:proofErr w:type="spellEnd"/>
      <w:r>
        <w:rPr>
          <w:sz w:val="18"/>
        </w:rPr>
        <w:t>: maximum plasma concentration; po: by mouth; NOAEL: no-observed –adverse-effect level; LOAEL: lowest-observed adverse-effect level.</w:t>
      </w:r>
    </w:p>
    <w:p w:rsidR="001D1E2C" w:rsidRDefault="00263D75" w:rsidP="00263D75">
      <w:pPr>
        <w:pStyle w:val="a3"/>
        <w:spacing w:before="144" w:line="261" w:lineRule="auto"/>
        <w:ind w:left="512" w:right="2237"/>
        <w:rPr>
          <w:sz w:val="20"/>
        </w:rPr>
      </w:pPr>
      <w:r>
        <w:t xml:space="preserve">A summary of potential safety concerns for clinical trials, as well as recommended risk minimization actions is provided in </w:t>
      </w:r>
      <w:hyperlink w:anchor="_bookmark112" w:history="1">
        <w:r>
          <w:t>Table 12</w:t>
        </w:r>
      </w:hyperlink>
      <w:r>
        <w:t xml:space="preserve"> (Section </w:t>
      </w:r>
      <w:hyperlink w:anchor="_bookmark111" w:history="1">
        <w:r>
          <w:t>6.4</w:t>
        </w:r>
      </w:hyperlink>
      <w:r>
        <w:t>).</w:t>
      </w:r>
    </w:p>
    <w:sectPr w:rsidR="001D1E2C" w:rsidSect="00263D75">
      <w:headerReference w:type="default" r:id="rId8"/>
      <w:footerReference w:type="default" r:id="rId9"/>
      <w:pgSz w:w="12240" w:h="15840"/>
      <w:pgMar w:top="1240" w:right="0" w:bottom="940" w:left="1100" w:header="578" w:footer="7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602" w:rsidRDefault="006C0602">
      <w:r>
        <w:separator/>
      </w:r>
    </w:p>
  </w:endnote>
  <w:endnote w:type="continuationSeparator" w:id="0">
    <w:p w:rsidR="006C0602" w:rsidRDefault="006C0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1E2C" w:rsidRDefault="001D1E2C">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602" w:rsidRDefault="006C0602">
      <w:r>
        <w:separator/>
      </w:r>
    </w:p>
  </w:footnote>
  <w:footnote w:type="continuationSeparator" w:id="0">
    <w:p w:rsidR="006C0602" w:rsidRDefault="006C06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1E2C" w:rsidRDefault="001D1E2C">
    <w:pPr>
      <w:pStyle w:val="a3"/>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1E2C" w:rsidRDefault="001D1E2C">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199E"/>
    <w:multiLevelType w:val="multilevel"/>
    <w:tmpl w:val="CD0E2FA8"/>
    <w:lvl w:ilvl="0">
      <w:start w:val="5"/>
      <w:numFmt w:val="decimal"/>
      <w:lvlText w:val="%1"/>
      <w:lvlJc w:val="left"/>
      <w:pPr>
        <w:ind w:left="1664" w:hanging="864"/>
        <w:jc w:val="right"/>
      </w:pPr>
      <w:rPr>
        <w:rFonts w:hint="default"/>
      </w:rPr>
    </w:lvl>
    <w:lvl w:ilvl="1">
      <w:start w:val="1"/>
      <w:numFmt w:val="decimal"/>
      <w:lvlText w:val="%1.%2"/>
      <w:lvlJc w:val="left"/>
      <w:pPr>
        <w:ind w:left="1664" w:hanging="864"/>
        <w:jc w:val="left"/>
      </w:pPr>
      <w:rPr>
        <w:rFonts w:ascii="Times New Roman" w:eastAsia="Times New Roman" w:hAnsi="Times New Roman" w:cs="Times New Roman" w:hint="default"/>
        <w:w w:val="100"/>
        <w:sz w:val="22"/>
        <w:szCs w:val="22"/>
      </w:rPr>
    </w:lvl>
    <w:lvl w:ilvl="2">
      <w:start w:val="1"/>
      <w:numFmt w:val="decimal"/>
      <w:lvlText w:val="%1.%2.%3"/>
      <w:lvlJc w:val="left"/>
      <w:pPr>
        <w:ind w:left="2096" w:hanging="1008"/>
        <w:jc w:val="left"/>
      </w:pPr>
      <w:rPr>
        <w:rFonts w:ascii="Times New Roman" w:eastAsia="Times New Roman" w:hAnsi="Times New Roman" w:cs="Times New Roman" w:hint="default"/>
        <w:w w:val="100"/>
        <w:sz w:val="22"/>
        <w:szCs w:val="22"/>
      </w:rPr>
    </w:lvl>
    <w:lvl w:ilvl="3">
      <w:start w:val="1"/>
      <w:numFmt w:val="decimal"/>
      <w:lvlText w:val="%1.%2.%3.%4"/>
      <w:lvlJc w:val="left"/>
      <w:pPr>
        <w:ind w:left="2528" w:hanging="1152"/>
        <w:jc w:val="left"/>
      </w:pPr>
      <w:rPr>
        <w:rFonts w:ascii="Times New Roman" w:eastAsia="Times New Roman" w:hAnsi="Times New Roman" w:cs="Times New Roman" w:hint="default"/>
        <w:w w:val="100"/>
        <w:sz w:val="22"/>
        <w:szCs w:val="22"/>
      </w:rPr>
    </w:lvl>
    <w:lvl w:ilvl="4">
      <w:start w:val="1"/>
      <w:numFmt w:val="decimal"/>
      <w:lvlText w:val="%1.%2.%3.%4.%5"/>
      <w:lvlJc w:val="left"/>
      <w:pPr>
        <w:ind w:left="2816" w:hanging="1296"/>
        <w:jc w:val="left"/>
      </w:pPr>
      <w:rPr>
        <w:rFonts w:ascii="Times New Roman" w:eastAsia="Times New Roman" w:hAnsi="Times New Roman" w:cs="Times New Roman" w:hint="default"/>
        <w:w w:val="100"/>
        <w:sz w:val="22"/>
        <w:szCs w:val="22"/>
      </w:rPr>
    </w:lvl>
    <w:lvl w:ilvl="5">
      <w:start w:val="1"/>
      <w:numFmt w:val="decimal"/>
      <w:lvlText w:val="%1.%2.%3.%4.%5.%6"/>
      <w:lvlJc w:val="left"/>
      <w:pPr>
        <w:ind w:left="3061" w:hanging="1354"/>
        <w:jc w:val="left"/>
      </w:pPr>
      <w:rPr>
        <w:rFonts w:ascii="Times New Roman" w:eastAsia="Times New Roman" w:hAnsi="Times New Roman" w:cs="Times New Roman" w:hint="default"/>
        <w:w w:val="100"/>
        <w:sz w:val="22"/>
        <w:szCs w:val="22"/>
      </w:rPr>
    </w:lvl>
    <w:lvl w:ilvl="6">
      <w:numFmt w:val="bullet"/>
      <w:lvlText w:val="•"/>
      <w:lvlJc w:val="left"/>
      <w:pPr>
        <w:ind w:left="5753" w:hanging="1354"/>
      </w:pPr>
      <w:rPr>
        <w:rFonts w:hint="default"/>
      </w:rPr>
    </w:lvl>
    <w:lvl w:ilvl="7">
      <w:numFmt w:val="bullet"/>
      <w:lvlText w:val="•"/>
      <w:lvlJc w:val="left"/>
      <w:pPr>
        <w:ind w:left="7100" w:hanging="1354"/>
      </w:pPr>
      <w:rPr>
        <w:rFonts w:hint="default"/>
      </w:rPr>
    </w:lvl>
    <w:lvl w:ilvl="8">
      <w:numFmt w:val="bullet"/>
      <w:lvlText w:val="•"/>
      <w:lvlJc w:val="left"/>
      <w:pPr>
        <w:ind w:left="8446" w:hanging="1354"/>
      </w:pPr>
      <w:rPr>
        <w:rFonts w:hint="default"/>
      </w:rPr>
    </w:lvl>
  </w:abstractNum>
  <w:abstractNum w:abstractNumId="1" w15:restartNumberingAfterBreak="0">
    <w:nsid w:val="05B772F2"/>
    <w:multiLevelType w:val="multilevel"/>
    <w:tmpl w:val="BB2C11B0"/>
    <w:lvl w:ilvl="0">
      <w:start w:val="4"/>
      <w:numFmt w:val="decimal"/>
      <w:lvlText w:val="%1"/>
      <w:lvlJc w:val="left"/>
      <w:pPr>
        <w:ind w:left="2528" w:hanging="1152"/>
        <w:jc w:val="right"/>
      </w:pPr>
      <w:rPr>
        <w:rFonts w:hint="default"/>
      </w:rPr>
    </w:lvl>
    <w:lvl w:ilvl="1">
      <w:start w:val="6"/>
      <w:numFmt w:val="decimal"/>
      <w:lvlText w:val="%1.%2"/>
      <w:lvlJc w:val="left"/>
      <w:pPr>
        <w:ind w:left="2528" w:hanging="1152"/>
        <w:jc w:val="right"/>
      </w:pPr>
      <w:rPr>
        <w:rFonts w:hint="default"/>
      </w:rPr>
    </w:lvl>
    <w:lvl w:ilvl="2">
      <w:start w:val="2"/>
      <w:numFmt w:val="decimal"/>
      <w:lvlText w:val="%1.%2.%3"/>
      <w:lvlJc w:val="left"/>
      <w:pPr>
        <w:ind w:left="2528" w:hanging="1152"/>
        <w:jc w:val="right"/>
      </w:pPr>
      <w:rPr>
        <w:rFonts w:hint="default"/>
      </w:rPr>
    </w:lvl>
    <w:lvl w:ilvl="3">
      <w:start w:val="1"/>
      <w:numFmt w:val="decimal"/>
      <w:lvlText w:val="%1.%2.%3.%4"/>
      <w:lvlJc w:val="left"/>
      <w:pPr>
        <w:ind w:left="2528" w:hanging="1152"/>
        <w:jc w:val="left"/>
      </w:pPr>
      <w:rPr>
        <w:rFonts w:ascii="Times New Roman" w:eastAsia="Times New Roman" w:hAnsi="Times New Roman" w:cs="Times New Roman" w:hint="default"/>
        <w:w w:val="100"/>
        <w:sz w:val="22"/>
        <w:szCs w:val="22"/>
      </w:rPr>
    </w:lvl>
    <w:lvl w:ilvl="4">
      <w:start w:val="1"/>
      <w:numFmt w:val="decimal"/>
      <w:lvlText w:val="%1.%2.%3.%4.%5"/>
      <w:lvlJc w:val="left"/>
      <w:pPr>
        <w:ind w:left="2816" w:hanging="1296"/>
        <w:jc w:val="left"/>
      </w:pPr>
      <w:rPr>
        <w:rFonts w:ascii="Times New Roman" w:eastAsia="Times New Roman" w:hAnsi="Times New Roman" w:cs="Times New Roman" w:hint="default"/>
        <w:w w:val="100"/>
        <w:sz w:val="22"/>
        <w:szCs w:val="22"/>
      </w:rPr>
    </w:lvl>
    <w:lvl w:ilvl="5">
      <w:numFmt w:val="bullet"/>
      <w:lvlText w:val="•"/>
      <w:lvlJc w:val="left"/>
      <w:pPr>
        <w:ind w:left="6517" w:hanging="1296"/>
      </w:pPr>
      <w:rPr>
        <w:rFonts w:hint="default"/>
      </w:rPr>
    </w:lvl>
    <w:lvl w:ilvl="6">
      <w:numFmt w:val="bullet"/>
      <w:lvlText w:val="•"/>
      <w:lvlJc w:val="left"/>
      <w:pPr>
        <w:ind w:left="7442" w:hanging="1296"/>
      </w:pPr>
      <w:rPr>
        <w:rFonts w:hint="default"/>
      </w:rPr>
    </w:lvl>
    <w:lvl w:ilvl="7">
      <w:numFmt w:val="bullet"/>
      <w:lvlText w:val="•"/>
      <w:lvlJc w:val="left"/>
      <w:pPr>
        <w:ind w:left="8366" w:hanging="1296"/>
      </w:pPr>
      <w:rPr>
        <w:rFonts w:hint="default"/>
      </w:rPr>
    </w:lvl>
    <w:lvl w:ilvl="8">
      <w:numFmt w:val="bullet"/>
      <w:lvlText w:val="•"/>
      <w:lvlJc w:val="left"/>
      <w:pPr>
        <w:ind w:left="9291" w:hanging="1296"/>
      </w:pPr>
      <w:rPr>
        <w:rFonts w:hint="default"/>
      </w:rPr>
    </w:lvl>
  </w:abstractNum>
  <w:abstractNum w:abstractNumId="2" w15:restartNumberingAfterBreak="0">
    <w:nsid w:val="0D03643C"/>
    <w:multiLevelType w:val="hybridMultilevel"/>
    <w:tmpl w:val="17F8F4A2"/>
    <w:lvl w:ilvl="0" w:tplc="AA0AEBAE">
      <w:numFmt w:val="bullet"/>
      <w:lvlText w:val=""/>
      <w:lvlJc w:val="left"/>
      <w:pPr>
        <w:ind w:left="299" w:hanging="180"/>
      </w:pPr>
      <w:rPr>
        <w:rFonts w:ascii="Symbol" w:eastAsia="Symbol" w:hAnsi="Symbol" w:cs="Symbol" w:hint="default"/>
        <w:w w:val="100"/>
        <w:sz w:val="18"/>
        <w:szCs w:val="18"/>
      </w:rPr>
    </w:lvl>
    <w:lvl w:ilvl="1" w:tplc="FBF45478">
      <w:numFmt w:val="bullet"/>
      <w:lvlText w:val="•"/>
      <w:lvlJc w:val="left"/>
      <w:pPr>
        <w:ind w:left="557" w:hanging="180"/>
      </w:pPr>
      <w:rPr>
        <w:rFonts w:hint="default"/>
      </w:rPr>
    </w:lvl>
    <w:lvl w:ilvl="2" w:tplc="E3D87592">
      <w:numFmt w:val="bullet"/>
      <w:lvlText w:val="•"/>
      <w:lvlJc w:val="left"/>
      <w:pPr>
        <w:ind w:left="815" w:hanging="180"/>
      </w:pPr>
      <w:rPr>
        <w:rFonts w:hint="default"/>
      </w:rPr>
    </w:lvl>
    <w:lvl w:ilvl="3" w:tplc="D382D2F2">
      <w:numFmt w:val="bullet"/>
      <w:lvlText w:val="•"/>
      <w:lvlJc w:val="left"/>
      <w:pPr>
        <w:ind w:left="1072" w:hanging="180"/>
      </w:pPr>
      <w:rPr>
        <w:rFonts w:hint="default"/>
      </w:rPr>
    </w:lvl>
    <w:lvl w:ilvl="4" w:tplc="385207D6">
      <w:numFmt w:val="bullet"/>
      <w:lvlText w:val="•"/>
      <w:lvlJc w:val="left"/>
      <w:pPr>
        <w:ind w:left="1330" w:hanging="180"/>
      </w:pPr>
      <w:rPr>
        <w:rFonts w:hint="default"/>
      </w:rPr>
    </w:lvl>
    <w:lvl w:ilvl="5" w:tplc="1746360E">
      <w:numFmt w:val="bullet"/>
      <w:lvlText w:val="•"/>
      <w:lvlJc w:val="left"/>
      <w:pPr>
        <w:ind w:left="1587" w:hanging="180"/>
      </w:pPr>
      <w:rPr>
        <w:rFonts w:hint="default"/>
      </w:rPr>
    </w:lvl>
    <w:lvl w:ilvl="6" w:tplc="25404B1E">
      <w:numFmt w:val="bullet"/>
      <w:lvlText w:val="•"/>
      <w:lvlJc w:val="left"/>
      <w:pPr>
        <w:ind w:left="1845" w:hanging="180"/>
      </w:pPr>
      <w:rPr>
        <w:rFonts w:hint="default"/>
      </w:rPr>
    </w:lvl>
    <w:lvl w:ilvl="7" w:tplc="0D92DA96">
      <w:numFmt w:val="bullet"/>
      <w:lvlText w:val="•"/>
      <w:lvlJc w:val="left"/>
      <w:pPr>
        <w:ind w:left="2102" w:hanging="180"/>
      </w:pPr>
      <w:rPr>
        <w:rFonts w:hint="default"/>
      </w:rPr>
    </w:lvl>
    <w:lvl w:ilvl="8" w:tplc="64A229B2">
      <w:numFmt w:val="bullet"/>
      <w:lvlText w:val="•"/>
      <w:lvlJc w:val="left"/>
      <w:pPr>
        <w:ind w:left="2360" w:hanging="180"/>
      </w:pPr>
      <w:rPr>
        <w:rFonts w:hint="default"/>
      </w:rPr>
    </w:lvl>
  </w:abstractNum>
  <w:abstractNum w:abstractNumId="3" w15:restartNumberingAfterBreak="0">
    <w:nsid w:val="0F49220E"/>
    <w:multiLevelType w:val="hybridMultilevel"/>
    <w:tmpl w:val="41026A3E"/>
    <w:lvl w:ilvl="0" w:tplc="2D80DDA8">
      <w:numFmt w:val="bullet"/>
      <w:lvlText w:val="&gt;"/>
      <w:lvlJc w:val="left"/>
      <w:pPr>
        <w:ind w:left="2166" w:hanging="147"/>
      </w:pPr>
      <w:rPr>
        <w:rFonts w:ascii="Times New Roman" w:eastAsia="Times New Roman" w:hAnsi="Times New Roman" w:cs="Times New Roman" w:hint="default"/>
        <w:w w:val="100"/>
        <w:sz w:val="18"/>
        <w:szCs w:val="18"/>
      </w:rPr>
    </w:lvl>
    <w:lvl w:ilvl="1" w:tplc="292266A0">
      <w:numFmt w:val="bullet"/>
      <w:lvlText w:val="•"/>
      <w:lvlJc w:val="left"/>
      <w:pPr>
        <w:ind w:left="2388" w:hanging="147"/>
      </w:pPr>
      <w:rPr>
        <w:rFonts w:hint="default"/>
      </w:rPr>
    </w:lvl>
    <w:lvl w:ilvl="2" w:tplc="A0F20354">
      <w:numFmt w:val="bullet"/>
      <w:lvlText w:val="•"/>
      <w:lvlJc w:val="left"/>
      <w:pPr>
        <w:ind w:left="2617" w:hanging="147"/>
      </w:pPr>
      <w:rPr>
        <w:rFonts w:hint="default"/>
      </w:rPr>
    </w:lvl>
    <w:lvl w:ilvl="3" w:tplc="05863D04">
      <w:numFmt w:val="bullet"/>
      <w:lvlText w:val="•"/>
      <w:lvlJc w:val="left"/>
      <w:pPr>
        <w:ind w:left="2846" w:hanging="147"/>
      </w:pPr>
      <w:rPr>
        <w:rFonts w:hint="default"/>
      </w:rPr>
    </w:lvl>
    <w:lvl w:ilvl="4" w:tplc="2BFE2B4C">
      <w:numFmt w:val="bullet"/>
      <w:lvlText w:val="•"/>
      <w:lvlJc w:val="left"/>
      <w:pPr>
        <w:ind w:left="3074" w:hanging="147"/>
      </w:pPr>
      <w:rPr>
        <w:rFonts w:hint="default"/>
      </w:rPr>
    </w:lvl>
    <w:lvl w:ilvl="5" w:tplc="7E4A4DA2">
      <w:numFmt w:val="bullet"/>
      <w:lvlText w:val="•"/>
      <w:lvlJc w:val="left"/>
      <w:pPr>
        <w:ind w:left="3303" w:hanging="147"/>
      </w:pPr>
      <w:rPr>
        <w:rFonts w:hint="default"/>
      </w:rPr>
    </w:lvl>
    <w:lvl w:ilvl="6" w:tplc="C8BE96B0">
      <w:numFmt w:val="bullet"/>
      <w:lvlText w:val="•"/>
      <w:lvlJc w:val="left"/>
      <w:pPr>
        <w:ind w:left="3532" w:hanging="147"/>
      </w:pPr>
      <w:rPr>
        <w:rFonts w:hint="default"/>
      </w:rPr>
    </w:lvl>
    <w:lvl w:ilvl="7" w:tplc="656679C6">
      <w:numFmt w:val="bullet"/>
      <w:lvlText w:val="•"/>
      <w:lvlJc w:val="left"/>
      <w:pPr>
        <w:ind w:left="3760" w:hanging="147"/>
      </w:pPr>
      <w:rPr>
        <w:rFonts w:hint="default"/>
      </w:rPr>
    </w:lvl>
    <w:lvl w:ilvl="8" w:tplc="459E29EA">
      <w:numFmt w:val="bullet"/>
      <w:lvlText w:val="•"/>
      <w:lvlJc w:val="left"/>
      <w:pPr>
        <w:ind w:left="3989" w:hanging="147"/>
      </w:pPr>
      <w:rPr>
        <w:rFonts w:hint="default"/>
      </w:rPr>
    </w:lvl>
  </w:abstractNum>
  <w:abstractNum w:abstractNumId="4" w15:restartNumberingAfterBreak="0">
    <w:nsid w:val="12D10EC1"/>
    <w:multiLevelType w:val="multilevel"/>
    <w:tmpl w:val="DD0C9FCE"/>
    <w:lvl w:ilvl="0">
      <w:start w:val="4"/>
      <w:numFmt w:val="decimal"/>
      <w:lvlText w:val="%1"/>
      <w:lvlJc w:val="left"/>
      <w:pPr>
        <w:ind w:left="1364" w:hanging="852"/>
        <w:jc w:val="left"/>
      </w:pPr>
      <w:rPr>
        <w:rFonts w:hint="default"/>
      </w:rPr>
    </w:lvl>
    <w:lvl w:ilvl="1">
      <w:start w:val="6"/>
      <w:numFmt w:val="decimal"/>
      <w:lvlText w:val="%1.%2"/>
      <w:lvlJc w:val="left"/>
      <w:pPr>
        <w:ind w:left="1364" w:hanging="852"/>
        <w:jc w:val="left"/>
      </w:pPr>
      <w:rPr>
        <w:rFonts w:hint="default"/>
      </w:rPr>
    </w:lvl>
    <w:lvl w:ilvl="2">
      <w:start w:val="2"/>
      <w:numFmt w:val="decimal"/>
      <w:lvlText w:val="%1.%2.%3"/>
      <w:lvlJc w:val="left"/>
      <w:pPr>
        <w:ind w:left="1364" w:hanging="852"/>
        <w:jc w:val="left"/>
      </w:pPr>
      <w:rPr>
        <w:rFonts w:hint="default"/>
      </w:rPr>
    </w:lvl>
    <w:lvl w:ilvl="3">
      <w:start w:val="2"/>
      <w:numFmt w:val="decimal"/>
      <w:lvlText w:val="%1.%2.%3.%4"/>
      <w:lvlJc w:val="left"/>
      <w:pPr>
        <w:ind w:left="1364"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645"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5862" w:hanging="1133"/>
      </w:pPr>
      <w:rPr>
        <w:rFonts w:hint="default"/>
      </w:rPr>
    </w:lvl>
    <w:lvl w:ilvl="6">
      <w:numFmt w:val="bullet"/>
      <w:lvlText w:val="•"/>
      <w:lvlJc w:val="left"/>
      <w:pPr>
        <w:ind w:left="6917" w:hanging="1133"/>
      </w:pPr>
      <w:rPr>
        <w:rFonts w:hint="default"/>
      </w:rPr>
    </w:lvl>
    <w:lvl w:ilvl="7">
      <w:numFmt w:val="bullet"/>
      <w:lvlText w:val="•"/>
      <w:lvlJc w:val="left"/>
      <w:pPr>
        <w:ind w:left="7973" w:hanging="1133"/>
      </w:pPr>
      <w:rPr>
        <w:rFonts w:hint="default"/>
      </w:rPr>
    </w:lvl>
    <w:lvl w:ilvl="8">
      <w:numFmt w:val="bullet"/>
      <w:lvlText w:val="•"/>
      <w:lvlJc w:val="left"/>
      <w:pPr>
        <w:ind w:left="9028" w:hanging="1133"/>
      </w:pPr>
      <w:rPr>
        <w:rFonts w:hint="default"/>
      </w:rPr>
    </w:lvl>
  </w:abstractNum>
  <w:abstractNum w:abstractNumId="5" w15:restartNumberingAfterBreak="0">
    <w:nsid w:val="131009A3"/>
    <w:multiLevelType w:val="multilevel"/>
    <w:tmpl w:val="1B38ACE8"/>
    <w:lvl w:ilvl="0">
      <w:start w:val="1"/>
      <w:numFmt w:val="decimal"/>
      <w:lvlText w:val="%1"/>
      <w:lvlJc w:val="left"/>
      <w:pPr>
        <w:ind w:left="1087" w:hanging="852"/>
        <w:jc w:val="left"/>
      </w:pPr>
      <w:rPr>
        <w:rFonts w:hint="default"/>
      </w:rPr>
    </w:lvl>
    <w:lvl w:ilvl="1">
      <w:start w:val="1"/>
      <w:numFmt w:val="decimal"/>
      <w:lvlText w:val="%1.%2"/>
      <w:lvlJc w:val="left"/>
      <w:pPr>
        <w:ind w:left="1087" w:hanging="852"/>
        <w:jc w:val="left"/>
      </w:pPr>
      <w:rPr>
        <w:rFonts w:ascii="Times New Roman" w:eastAsia="Times New Roman" w:hAnsi="Times New Roman" w:cs="Times New Roman" w:hint="default"/>
        <w:b/>
        <w:bCs/>
        <w:w w:val="100"/>
        <w:sz w:val="28"/>
        <w:szCs w:val="28"/>
      </w:rPr>
    </w:lvl>
    <w:lvl w:ilvl="2">
      <w:numFmt w:val="bullet"/>
      <w:lvlText w:val="•"/>
      <w:lvlJc w:val="left"/>
      <w:pPr>
        <w:ind w:left="2760" w:hanging="852"/>
      </w:pPr>
      <w:rPr>
        <w:rFonts w:hint="default"/>
      </w:rPr>
    </w:lvl>
    <w:lvl w:ilvl="3">
      <w:numFmt w:val="bullet"/>
      <w:lvlText w:val="•"/>
      <w:lvlJc w:val="left"/>
      <w:pPr>
        <w:ind w:left="3600" w:hanging="852"/>
      </w:pPr>
      <w:rPr>
        <w:rFonts w:hint="default"/>
      </w:rPr>
    </w:lvl>
    <w:lvl w:ilvl="4">
      <w:numFmt w:val="bullet"/>
      <w:lvlText w:val="•"/>
      <w:lvlJc w:val="left"/>
      <w:pPr>
        <w:ind w:left="4440" w:hanging="852"/>
      </w:pPr>
      <w:rPr>
        <w:rFonts w:hint="default"/>
      </w:rPr>
    </w:lvl>
    <w:lvl w:ilvl="5">
      <w:numFmt w:val="bullet"/>
      <w:lvlText w:val="•"/>
      <w:lvlJc w:val="left"/>
      <w:pPr>
        <w:ind w:left="5280" w:hanging="852"/>
      </w:pPr>
      <w:rPr>
        <w:rFonts w:hint="default"/>
      </w:rPr>
    </w:lvl>
    <w:lvl w:ilvl="6">
      <w:numFmt w:val="bullet"/>
      <w:lvlText w:val="•"/>
      <w:lvlJc w:val="left"/>
      <w:pPr>
        <w:ind w:left="6120" w:hanging="852"/>
      </w:pPr>
      <w:rPr>
        <w:rFonts w:hint="default"/>
      </w:rPr>
    </w:lvl>
    <w:lvl w:ilvl="7">
      <w:numFmt w:val="bullet"/>
      <w:lvlText w:val="•"/>
      <w:lvlJc w:val="left"/>
      <w:pPr>
        <w:ind w:left="6960" w:hanging="852"/>
      </w:pPr>
      <w:rPr>
        <w:rFonts w:hint="default"/>
      </w:rPr>
    </w:lvl>
    <w:lvl w:ilvl="8">
      <w:numFmt w:val="bullet"/>
      <w:lvlText w:val="•"/>
      <w:lvlJc w:val="left"/>
      <w:pPr>
        <w:ind w:left="7800" w:hanging="852"/>
      </w:pPr>
      <w:rPr>
        <w:rFonts w:hint="default"/>
      </w:rPr>
    </w:lvl>
  </w:abstractNum>
  <w:abstractNum w:abstractNumId="6" w15:restartNumberingAfterBreak="0">
    <w:nsid w:val="136D032E"/>
    <w:multiLevelType w:val="hybridMultilevel"/>
    <w:tmpl w:val="77B496C6"/>
    <w:lvl w:ilvl="0" w:tplc="D6422300">
      <w:numFmt w:val="bullet"/>
      <w:lvlText w:val=""/>
      <w:lvlJc w:val="left"/>
      <w:pPr>
        <w:ind w:left="299" w:hanging="180"/>
      </w:pPr>
      <w:rPr>
        <w:rFonts w:ascii="Symbol" w:eastAsia="Symbol" w:hAnsi="Symbol" w:cs="Symbol" w:hint="default"/>
        <w:w w:val="100"/>
        <w:sz w:val="18"/>
        <w:szCs w:val="18"/>
      </w:rPr>
    </w:lvl>
    <w:lvl w:ilvl="1" w:tplc="3ED292BA">
      <w:numFmt w:val="bullet"/>
      <w:lvlText w:val="•"/>
      <w:lvlJc w:val="left"/>
      <w:pPr>
        <w:ind w:left="567" w:hanging="180"/>
      </w:pPr>
      <w:rPr>
        <w:rFonts w:hint="default"/>
      </w:rPr>
    </w:lvl>
    <w:lvl w:ilvl="2" w:tplc="5F5235B8">
      <w:numFmt w:val="bullet"/>
      <w:lvlText w:val="•"/>
      <w:lvlJc w:val="left"/>
      <w:pPr>
        <w:ind w:left="834" w:hanging="180"/>
      </w:pPr>
      <w:rPr>
        <w:rFonts w:hint="default"/>
      </w:rPr>
    </w:lvl>
    <w:lvl w:ilvl="3" w:tplc="4636E66A">
      <w:numFmt w:val="bullet"/>
      <w:lvlText w:val="•"/>
      <w:lvlJc w:val="left"/>
      <w:pPr>
        <w:ind w:left="1101" w:hanging="180"/>
      </w:pPr>
      <w:rPr>
        <w:rFonts w:hint="default"/>
      </w:rPr>
    </w:lvl>
    <w:lvl w:ilvl="4" w:tplc="F9085664">
      <w:numFmt w:val="bullet"/>
      <w:lvlText w:val="•"/>
      <w:lvlJc w:val="left"/>
      <w:pPr>
        <w:ind w:left="1368" w:hanging="180"/>
      </w:pPr>
      <w:rPr>
        <w:rFonts w:hint="default"/>
      </w:rPr>
    </w:lvl>
    <w:lvl w:ilvl="5" w:tplc="C8FC289A">
      <w:numFmt w:val="bullet"/>
      <w:lvlText w:val="•"/>
      <w:lvlJc w:val="left"/>
      <w:pPr>
        <w:ind w:left="1635" w:hanging="180"/>
      </w:pPr>
      <w:rPr>
        <w:rFonts w:hint="default"/>
      </w:rPr>
    </w:lvl>
    <w:lvl w:ilvl="6" w:tplc="18A24C7E">
      <w:numFmt w:val="bullet"/>
      <w:lvlText w:val="•"/>
      <w:lvlJc w:val="left"/>
      <w:pPr>
        <w:ind w:left="1902" w:hanging="180"/>
      </w:pPr>
      <w:rPr>
        <w:rFonts w:hint="default"/>
      </w:rPr>
    </w:lvl>
    <w:lvl w:ilvl="7" w:tplc="FDF2CE3C">
      <w:numFmt w:val="bullet"/>
      <w:lvlText w:val="•"/>
      <w:lvlJc w:val="left"/>
      <w:pPr>
        <w:ind w:left="2169" w:hanging="180"/>
      </w:pPr>
      <w:rPr>
        <w:rFonts w:hint="default"/>
      </w:rPr>
    </w:lvl>
    <w:lvl w:ilvl="8" w:tplc="59A0C922">
      <w:numFmt w:val="bullet"/>
      <w:lvlText w:val="•"/>
      <w:lvlJc w:val="left"/>
      <w:pPr>
        <w:ind w:left="2436" w:hanging="180"/>
      </w:pPr>
      <w:rPr>
        <w:rFonts w:hint="default"/>
      </w:rPr>
    </w:lvl>
  </w:abstractNum>
  <w:abstractNum w:abstractNumId="7" w15:restartNumberingAfterBreak="0">
    <w:nsid w:val="15633770"/>
    <w:multiLevelType w:val="hybridMultilevel"/>
    <w:tmpl w:val="12DCF402"/>
    <w:lvl w:ilvl="0" w:tplc="7C069216">
      <w:numFmt w:val="bullet"/>
      <w:lvlText w:val=""/>
      <w:lvlJc w:val="left"/>
      <w:pPr>
        <w:ind w:left="299" w:hanging="180"/>
      </w:pPr>
      <w:rPr>
        <w:rFonts w:ascii="Symbol" w:eastAsia="Symbol" w:hAnsi="Symbol" w:cs="Symbol" w:hint="default"/>
        <w:w w:val="100"/>
        <w:sz w:val="18"/>
        <w:szCs w:val="18"/>
      </w:rPr>
    </w:lvl>
    <w:lvl w:ilvl="1" w:tplc="EC4A92A0">
      <w:numFmt w:val="bullet"/>
      <w:lvlText w:val="•"/>
      <w:lvlJc w:val="left"/>
      <w:pPr>
        <w:ind w:left="557" w:hanging="180"/>
      </w:pPr>
      <w:rPr>
        <w:rFonts w:hint="default"/>
      </w:rPr>
    </w:lvl>
    <w:lvl w:ilvl="2" w:tplc="AA527BE2">
      <w:numFmt w:val="bullet"/>
      <w:lvlText w:val="•"/>
      <w:lvlJc w:val="left"/>
      <w:pPr>
        <w:ind w:left="815" w:hanging="180"/>
      </w:pPr>
      <w:rPr>
        <w:rFonts w:hint="default"/>
      </w:rPr>
    </w:lvl>
    <w:lvl w:ilvl="3" w:tplc="348C31B8">
      <w:numFmt w:val="bullet"/>
      <w:lvlText w:val="•"/>
      <w:lvlJc w:val="left"/>
      <w:pPr>
        <w:ind w:left="1072" w:hanging="180"/>
      </w:pPr>
      <w:rPr>
        <w:rFonts w:hint="default"/>
      </w:rPr>
    </w:lvl>
    <w:lvl w:ilvl="4" w:tplc="CDA0FD56">
      <w:numFmt w:val="bullet"/>
      <w:lvlText w:val="•"/>
      <w:lvlJc w:val="left"/>
      <w:pPr>
        <w:ind w:left="1330" w:hanging="180"/>
      </w:pPr>
      <w:rPr>
        <w:rFonts w:hint="default"/>
      </w:rPr>
    </w:lvl>
    <w:lvl w:ilvl="5" w:tplc="8C96F144">
      <w:numFmt w:val="bullet"/>
      <w:lvlText w:val="•"/>
      <w:lvlJc w:val="left"/>
      <w:pPr>
        <w:ind w:left="1587" w:hanging="180"/>
      </w:pPr>
      <w:rPr>
        <w:rFonts w:hint="default"/>
      </w:rPr>
    </w:lvl>
    <w:lvl w:ilvl="6" w:tplc="82986EF2">
      <w:numFmt w:val="bullet"/>
      <w:lvlText w:val="•"/>
      <w:lvlJc w:val="left"/>
      <w:pPr>
        <w:ind w:left="1845" w:hanging="180"/>
      </w:pPr>
      <w:rPr>
        <w:rFonts w:hint="default"/>
      </w:rPr>
    </w:lvl>
    <w:lvl w:ilvl="7" w:tplc="9420FC7C">
      <w:numFmt w:val="bullet"/>
      <w:lvlText w:val="•"/>
      <w:lvlJc w:val="left"/>
      <w:pPr>
        <w:ind w:left="2102" w:hanging="180"/>
      </w:pPr>
      <w:rPr>
        <w:rFonts w:hint="default"/>
      </w:rPr>
    </w:lvl>
    <w:lvl w:ilvl="8" w:tplc="C6D0B734">
      <w:numFmt w:val="bullet"/>
      <w:lvlText w:val="•"/>
      <w:lvlJc w:val="left"/>
      <w:pPr>
        <w:ind w:left="2360" w:hanging="180"/>
      </w:pPr>
      <w:rPr>
        <w:rFonts w:hint="default"/>
      </w:rPr>
    </w:lvl>
  </w:abstractNum>
  <w:abstractNum w:abstractNumId="8" w15:restartNumberingAfterBreak="0">
    <w:nsid w:val="182A2E56"/>
    <w:multiLevelType w:val="hybridMultilevel"/>
    <w:tmpl w:val="AE685128"/>
    <w:lvl w:ilvl="0" w:tplc="ED2439A4">
      <w:numFmt w:val="bullet"/>
      <w:lvlText w:val=""/>
      <w:lvlJc w:val="left"/>
      <w:pPr>
        <w:ind w:left="467" w:hanging="180"/>
      </w:pPr>
      <w:rPr>
        <w:rFonts w:ascii="Symbol" w:eastAsia="Symbol" w:hAnsi="Symbol" w:cs="Symbol" w:hint="default"/>
        <w:w w:val="100"/>
        <w:sz w:val="18"/>
        <w:szCs w:val="18"/>
      </w:rPr>
    </w:lvl>
    <w:lvl w:ilvl="1" w:tplc="CAB042DC">
      <w:numFmt w:val="bullet"/>
      <w:lvlText w:val="•"/>
      <w:lvlJc w:val="left"/>
      <w:pPr>
        <w:ind w:left="750" w:hanging="180"/>
      </w:pPr>
      <w:rPr>
        <w:rFonts w:hint="default"/>
      </w:rPr>
    </w:lvl>
    <w:lvl w:ilvl="2" w:tplc="4C2ECF26">
      <w:numFmt w:val="bullet"/>
      <w:lvlText w:val="•"/>
      <w:lvlJc w:val="left"/>
      <w:pPr>
        <w:ind w:left="1040" w:hanging="180"/>
      </w:pPr>
      <w:rPr>
        <w:rFonts w:hint="default"/>
      </w:rPr>
    </w:lvl>
    <w:lvl w:ilvl="3" w:tplc="9A2C2B72">
      <w:numFmt w:val="bullet"/>
      <w:lvlText w:val="•"/>
      <w:lvlJc w:val="left"/>
      <w:pPr>
        <w:ind w:left="1330" w:hanging="180"/>
      </w:pPr>
      <w:rPr>
        <w:rFonts w:hint="default"/>
      </w:rPr>
    </w:lvl>
    <w:lvl w:ilvl="4" w:tplc="36002D40">
      <w:numFmt w:val="bullet"/>
      <w:lvlText w:val="•"/>
      <w:lvlJc w:val="left"/>
      <w:pPr>
        <w:ind w:left="1620" w:hanging="180"/>
      </w:pPr>
      <w:rPr>
        <w:rFonts w:hint="default"/>
      </w:rPr>
    </w:lvl>
    <w:lvl w:ilvl="5" w:tplc="762E4DEC">
      <w:numFmt w:val="bullet"/>
      <w:lvlText w:val="•"/>
      <w:lvlJc w:val="left"/>
      <w:pPr>
        <w:ind w:left="1910" w:hanging="180"/>
      </w:pPr>
      <w:rPr>
        <w:rFonts w:hint="default"/>
      </w:rPr>
    </w:lvl>
    <w:lvl w:ilvl="6" w:tplc="EB0AA4A0">
      <w:numFmt w:val="bullet"/>
      <w:lvlText w:val="•"/>
      <w:lvlJc w:val="left"/>
      <w:pPr>
        <w:ind w:left="2200" w:hanging="180"/>
      </w:pPr>
      <w:rPr>
        <w:rFonts w:hint="default"/>
      </w:rPr>
    </w:lvl>
    <w:lvl w:ilvl="7" w:tplc="03789058">
      <w:numFmt w:val="bullet"/>
      <w:lvlText w:val="•"/>
      <w:lvlJc w:val="left"/>
      <w:pPr>
        <w:ind w:left="2490" w:hanging="180"/>
      </w:pPr>
      <w:rPr>
        <w:rFonts w:hint="default"/>
      </w:rPr>
    </w:lvl>
    <w:lvl w:ilvl="8" w:tplc="0814339C">
      <w:numFmt w:val="bullet"/>
      <w:lvlText w:val="•"/>
      <w:lvlJc w:val="left"/>
      <w:pPr>
        <w:ind w:left="2780" w:hanging="180"/>
      </w:pPr>
      <w:rPr>
        <w:rFonts w:hint="default"/>
      </w:rPr>
    </w:lvl>
  </w:abstractNum>
  <w:abstractNum w:abstractNumId="9" w15:restartNumberingAfterBreak="0">
    <w:nsid w:val="1CD714DA"/>
    <w:multiLevelType w:val="hybridMultilevel"/>
    <w:tmpl w:val="3C4465D4"/>
    <w:lvl w:ilvl="0" w:tplc="DFBAA6B2">
      <w:numFmt w:val="bullet"/>
      <w:lvlText w:val=""/>
      <w:lvlJc w:val="left"/>
      <w:pPr>
        <w:ind w:left="558" w:hanging="272"/>
      </w:pPr>
      <w:rPr>
        <w:rFonts w:ascii="Symbol" w:eastAsia="Symbol" w:hAnsi="Symbol" w:cs="Symbol" w:hint="default"/>
        <w:w w:val="100"/>
        <w:sz w:val="18"/>
        <w:szCs w:val="18"/>
      </w:rPr>
    </w:lvl>
    <w:lvl w:ilvl="1" w:tplc="A34AC0D6">
      <w:numFmt w:val="bullet"/>
      <w:lvlText w:val="•"/>
      <w:lvlJc w:val="left"/>
      <w:pPr>
        <w:ind w:left="840" w:hanging="272"/>
      </w:pPr>
      <w:rPr>
        <w:rFonts w:hint="default"/>
      </w:rPr>
    </w:lvl>
    <w:lvl w:ilvl="2" w:tplc="719A83A2">
      <w:numFmt w:val="bullet"/>
      <w:lvlText w:val="•"/>
      <w:lvlJc w:val="left"/>
      <w:pPr>
        <w:ind w:left="1120" w:hanging="272"/>
      </w:pPr>
      <w:rPr>
        <w:rFonts w:hint="default"/>
      </w:rPr>
    </w:lvl>
    <w:lvl w:ilvl="3" w:tplc="655E1C06">
      <w:numFmt w:val="bullet"/>
      <w:lvlText w:val="•"/>
      <w:lvlJc w:val="left"/>
      <w:pPr>
        <w:ind w:left="1400" w:hanging="272"/>
      </w:pPr>
      <w:rPr>
        <w:rFonts w:hint="default"/>
      </w:rPr>
    </w:lvl>
    <w:lvl w:ilvl="4" w:tplc="61160A9A">
      <w:numFmt w:val="bullet"/>
      <w:lvlText w:val="•"/>
      <w:lvlJc w:val="left"/>
      <w:pPr>
        <w:ind w:left="1680" w:hanging="272"/>
      </w:pPr>
      <w:rPr>
        <w:rFonts w:hint="default"/>
      </w:rPr>
    </w:lvl>
    <w:lvl w:ilvl="5" w:tplc="1C506B3C">
      <w:numFmt w:val="bullet"/>
      <w:lvlText w:val="•"/>
      <w:lvlJc w:val="left"/>
      <w:pPr>
        <w:ind w:left="1960" w:hanging="272"/>
      </w:pPr>
      <w:rPr>
        <w:rFonts w:hint="default"/>
      </w:rPr>
    </w:lvl>
    <w:lvl w:ilvl="6" w:tplc="442A7F86">
      <w:numFmt w:val="bullet"/>
      <w:lvlText w:val="•"/>
      <w:lvlJc w:val="left"/>
      <w:pPr>
        <w:ind w:left="2240" w:hanging="272"/>
      </w:pPr>
      <w:rPr>
        <w:rFonts w:hint="default"/>
      </w:rPr>
    </w:lvl>
    <w:lvl w:ilvl="7" w:tplc="BFB61A62">
      <w:numFmt w:val="bullet"/>
      <w:lvlText w:val="•"/>
      <w:lvlJc w:val="left"/>
      <w:pPr>
        <w:ind w:left="2520" w:hanging="272"/>
      </w:pPr>
      <w:rPr>
        <w:rFonts w:hint="default"/>
      </w:rPr>
    </w:lvl>
    <w:lvl w:ilvl="8" w:tplc="92B23582">
      <w:numFmt w:val="bullet"/>
      <w:lvlText w:val="•"/>
      <w:lvlJc w:val="left"/>
      <w:pPr>
        <w:ind w:left="2800" w:hanging="272"/>
      </w:pPr>
      <w:rPr>
        <w:rFonts w:hint="default"/>
      </w:rPr>
    </w:lvl>
  </w:abstractNum>
  <w:abstractNum w:abstractNumId="10" w15:restartNumberingAfterBreak="0">
    <w:nsid w:val="244F2BCC"/>
    <w:multiLevelType w:val="multilevel"/>
    <w:tmpl w:val="DBEA47F8"/>
    <w:lvl w:ilvl="0">
      <w:start w:val="4"/>
      <w:numFmt w:val="decimal"/>
      <w:lvlText w:val="%1"/>
      <w:lvlJc w:val="left"/>
      <w:pPr>
        <w:ind w:left="1364" w:hanging="852"/>
        <w:jc w:val="left"/>
      </w:pPr>
      <w:rPr>
        <w:rFonts w:hint="default"/>
      </w:rPr>
    </w:lvl>
    <w:lvl w:ilvl="1">
      <w:start w:val="5"/>
      <w:numFmt w:val="decimal"/>
      <w:lvlText w:val="%1.%2"/>
      <w:lvlJc w:val="left"/>
      <w:pPr>
        <w:ind w:left="1364" w:hanging="852"/>
        <w:jc w:val="left"/>
      </w:pPr>
      <w:rPr>
        <w:rFonts w:hint="default"/>
      </w:rPr>
    </w:lvl>
    <w:lvl w:ilvl="2">
      <w:start w:val="3"/>
      <w:numFmt w:val="decimal"/>
      <w:lvlText w:val="%1.%2.%3"/>
      <w:lvlJc w:val="left"/>
      <w:pPr>
        <w:ind w:left="1364" w:hanging="852"/>
        <w:jc w:val="left"/>
      </w:pPr>
      <w:rPr>
        <w:rFonts w:ascii="Times New Roman" w:eastAsia="Times New Roman" w:hAnsi="Times New Roman" w:cs="Times New Roman" w:hint="default"/>
        <w:b/>
        <w:bCs/>
        <w:w w:val="100"/>
        <w:sz w:val="24"/>
        <w:szCs w:val="24"/>
      </w:rPr>
    </w:lvl>
    <w:lvl w:ilvl="3">
      <w:start w:val="1"/>
      <w:numFmt w:val="decimal"/>
      <w:lvlText w:val="%1.%2.%3.%4"/>
      <w:lvlJc w:val="left"/>
      <w:pPr>
        <w:ind w:left="1364" w:hanging="852"/>
        <w:jc w:val="left"/>
      </w:pPr>
      <w:rPr>
        <w:rFonts w:ascii="Times New Roman" w:eastAsia="Times New Roman" w:hAnsi="Times New Roman" w:cs="Times New Roman" w:hint="default"/>
        <w:b/>
        <w:bCs/>
        <w:w w:val="100"/>
        <w:sz w:val="24"/>
        <w:szCs w:val="24"/>
      </w:rPr>
    </w:lvl>
    <w:lvl w:ilvl="4">
      <w:numFmt w:val="bullet"/>
      <w:lvlText w:val="•"/>
      <w:lvlJc w:val="left"/>
      <w:pPr>
        <w:ind w:left="5272" w:hanging="852"/>
      </w:pPr>
      <w:rPr>
        <w:rFonts w:hint="default"/>
      </w:rPr>
    </w:lvl>
    <w:lvl w:ilvl="5">
      <w:numFmt w:val="bullet"/>
      <w:lvlText w:val="•"/>
      <w:lvlJc w:val="left"/>
      <w:pPr>
        <w:ind w:left="6250" w:hanging="852"/>
      </w:pPr>
      <w:rPr>
        <w:rFonts w:hint="default"/>
      </w:rPr>
    </w:lvl>
    <w:lvl w:ilvl="6">
      <w:numFmt w:val="bullet"/>
      <w:lvlText w:val="•"/>
      <w:lvlJc w:val="left"/>
      <w:pPr>
        <w:ind w:left="7228" w:hanging="852"/>
      </w:pPr>
      <w:rPr>
        <w:rFonts w:hint="default"/>
      </w:rPr>
    </w:lvl>
    <w:lvl w:ilvl="7">
      <w:numFmt w:val="bullet"/>
      <w:lvlText w:val="•"/>
      <w:lvlJc w:val="left"/>
      <w:pPr>
        <w:ind w:left="8206" w:hanging="852"/>
      </w:pPr>
      <w:rPr>
        <w:rFonts w:hint="default"/>
      </w:rPr>
    </w:lvl>
    <w:lvl w:ilvl="8">
      <w:numFmt w:val="bullet"/>
      <w:lvlText w:val="•"/>
      <w:lvlJc w:val="left"/>
      <w:pPr>
        <w:ind w:left="9184" w:hanging="852"/>
      </w:pPr>
      <w:rPr>
        <w:rFonts w:hint="default"/>
      </w:rPr>
    </w:lvl>
  </w:abstractNum>
  <w:abstractNum w:abstractNumId="11" w15:restartNumberingAfterBreak="0">
    <w:nsid w:val="259633EC"/>
    <w:multiLevelType w:val="multilevel"/>
    <w:tmpl w:val="8C5873AE"/>
    <w:lvl w:ilvl="0">
      <w:start w:val="3"/>
      <w:numFmt w:val="decimal"/>
      <w:lvlText w:val="%1"/>
      <w:lvlJc w:val="left"/>
      <w:pPr>
        <w:ind w:left="1354" w:hanging="850"/>
        <w:jc w:val="left"/>
      </w:pPr>
      <w:rPr>
        <w:rFonts w:hint="default"/>
      </w:rPr>
    </w:lvl>
    <w:lvl w:ilvl="1">
      <w:start w:val="3"/>
      <w:numFmt w:val="decimal"/>
      <w:lvlText w:val="%1.%2"/>
      <w:lvlJc w:val="left"/>
      <w:pPr>
        <w:ind w:left="1354" w:hanging="850"/>
        <w:jc w:val="left"/>
      </w:pPr>
      <w:rPr>
        <w:rFonts w:ascii="Times New Roman" w:eastAsia="Times New Roman" w:hAnsi="Times New Roman" w:cs="Times New Roman" w:hint="default"/>
        <w:w w:val="100"/>
        <w:sz w:val="22"/>
        <w:szCs w:val="22"/>
      </w:rPr>
    </w:lvl>
    <w:lvl w:ilvl="2">
      <w:numFmt w:val="bullet"/>
      <w:lvlText w:val="•"/>
      <w:lvlJc w:val="left"/>
      <w:pPr>
        <w:ind w:left="3304" w:hanging="850"/>
      </w:pPr>
      <w:rPr>
        <w:rFonts w:hint="default"/>
      </w:rPr>
    </w:lvl>
    <w:lvl w:ilvl="3">
      <w:numFmt w:val="bullet"/>
      <w:lvlText w:val="•"/>
      <w:lvlJc w:val="left"/>
      <w:pPr>
        <w:ind w:left="4828" w:hanging="850"/>
      </w:pPr>
      <w:rPr>
        <w:rFonts w:hint="default"/>
      </w:rPr>
    </w:lvl>
    <w:lvl w:ilvl="4">
      <w:numFmt w:val="bullet"/>
      <w:lvlText w:val="•"/>
      <w:lvlJc w:val="left"/>
      <w:pPr>
        <w:ind w:left="6353" w:hanging="850"/>
      </w:pPr>
      <w:rPr>
        <w:rFonts w:hint="default"/>
      </w:rPr>
    </w:lvl>
    <w:lvl w:ilvl="5">
      <w:numFmt w:val="bullet"/>
      <w:lvlText w:val="•"/>
      <w:lvlJc w:val="left"/>
      <w:pPr>
        <w:ind w:left="7877" w:hanging="850"/>
      </w:pPr>
      <w:rPr>
        <w:rFonts w:hint="default"/>
      </w:rPr>
    </w:lvl>
    <w:lvl w:ilvl="6">
      <w:numFmt w:val="bullet"/>
      <w:lvlText w:val="•"/>
      <w:lvlJc w:val="left"/>
      <w:pPr>
        <w:ind w:left="9402" w:hanging="850"/>
      </w:pPr>
      <w:rPr>
        <w:rFonts w:hint="default"/>
      </w:rPr>
    </w:lvl>
    <w:lvl w:ilvl="7">
      <w:numFmt w:val="bullet"/>
      <w:lvlText w:val="•"/>
      <w:lvlJc w:val="left"/>
      <w:pPr>
        <w:ind w:left="10926" w:hanging="850"/>
      </w:pPr>
      <w:rPr>
        <w:rFonts w:hint="default"/>
      </w:rPr>
    </w:lvl>
    <w:lvl w:ilvl="8">
      <w:numFmt w:val="bullet"/>
      <w:lvlText w:val="•"/>
      <w:lvlJc w:val="left"/>
      <w:pPr>
        <w:ind w:left="12451" w:hanging="850"/>
      </w:pPr>
      <w:rPr>
        <w:rFonts w:hint="default"/>
      </w:rPr>
    </w:lvl>
  </w:abstractNum>
  <w:abstractNum w:abstractNumId="12" w15:restartNumberingAfterBreak="0">
    <w:nsid w:val="26C9330A"/>
    <w:multiLevelType w:val="multilevel"/>
    <w:tmpl w:val="4978FA56"/>
    <w:lvl w:ilvl="0">
      <w:start w:val="1"/>
      <w:numFmt w:val="decimal"/>
      <w:lvlText w:val="%1"/>
      <w:lvlJc w:val="left"/>
      <w:pPr>
        <w:ind w:left="1073"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73" w:hanging="852"/>
        <w:jc w:val="left"/>
      </w:pPr>
      <w:rPr>
        <w:rFonts w:hint="default"/>
        <w:b/>
        <w:bCs/>
        <w:w w:val="100"/>
      </w:rPr>
    </w:lvl>
    <w:lvl w:ilvl="2">
      <w:start w:val="1"/>
      <w:numFmt w:val="decimal"/>
      <w:lvlText w:val="%1.%2.%3"/>
      <w:lvlJc w:val="left"/>
      <w:pPr>
        <w:ind w:left="1073"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5406" w:hanging="852"/>
      </w:pPr>
      <w:rPr>
        <w:rFonts w:hint="default"/>
      </w:rPr>
    </w:lvl>
    <w:lvl w:ilvl="4">
      <w:numFmt w:val="bullet"/>
      <w:lvlText w:val="•"/>
      <w:lvlJc w:val="left"/>
      <w:pPr>
        <w:ind w:left="6848" w:hanging="852"/>
      </w:pPr>
      <w:rPr>
        <w:rFonts w:hint="default"/>
      </w:rPr>
    </w:lvl>
    <w:lvl w:ilvl="5">
      <w:numFmt w:val="bullet"/>
      <w:lvlText w:val="•"/>
      <w:lvlJc w:val="left"/>
      <w:pPr>
        <w:ind w:left="8290" w:hanging="852"/>
      </w:pPr>
      <w:rPr>
        <w:rFonts w:hint="default"/>
      </w:rPr>
    </w:lvl>
    <w:lvl w:ilvl="6">
      <w:numFmt w:val="bullet"/>
      <w:lvlText w:val="•"/>
      <w:lvlJc w:val="left"/>
      <w:pPr>
        <w:ind w:left="9732" w:hanging="852"/>
      </w:pPr>
      <w:rPr>
        <w:rFonts w:hint="default"/>
      </w:rPr>
    </w:lvl>
    <w:lvl w:ilvl="7">
      <w:numFmt w:val="bullet"/>
      <w:lvlText w:val="•"/>
      <w:lvlJc w:val="left"/>
      <w:pPr>
        <w:ind w:left="11174" w:hanging="852"/>
      </w:pPr>
      <w:rPr>
        <w:rFonts w:hint="default"/>
      </w:rPr>
    </w:lvl>
    <w:lvl w:ilvl="8">
      <w:numFmt w:val="bullet"/>
      <w:lvlText w:val="•"/>
      <w:lvlJc w:val="left"/>
      <w:pPr>
        <w:ind w:left="12616" w:hanging="852"/>
      </w:pPr>
      <w:rPr>
        <w:rFonts w:hint="default"/>
      </w:rPr>
    </w:lvl>
  </w:abstractNum>
  <w:abstractNum w:abstractNumId="13" w15:restartNumberingAfterBreak="0">
    <w:nsid w:val="26FF4731"/>
    <w:multiLevelType w:val="hybridMultilevel"/>
    <w:tmpl w:val="DAD4953C"/>
    <w:lvl w:ilvl="0" w:tplc="CBEEFD3C">
      <w:numFmt w:val="bullet"/>
      <w:lvlText w:val="&gt;"/>
      <w:lvlJc w:val="left"/>
      <w:pPr>
        <w:ind w:left="512" w:hanging="195"/>
      </w:pPr>
      <w:rPr>
        <w:rFonts w:ascii="Times New Roman" w:eastAsia="Times New Roman" w:hAnsi="Times New Roman" w:cs="Times New Roman" w:hint="default"/>
        <w:w w:val="100"/>
        <w:sz w:val="24"/>
        <w:szCs w:val="24"/>
      </w:rPr>
    </w:lvl>
    <w:lvl w:ilvl="1" w:tplc="A274C2C2">
      <w:numFmt w:val="bullet"/>
      <w:lvlText w:val="•"/>
      <w:lvlJc w:val="left"/>
      <w:pPr>
        <w:ind w:left="1582" w:hanging="195"/>
      </w:pPr>
      <w:rPr>
        <w:rFonts w:hint="default"/>
      </w:rPr>
    </w:lvl>
    <w:lvl w:ilvl="2" w:tplc="1BB8AB1C">
      <w:numFmt w:val="bullet"/>
      <w:lvlText w:val="•"/>
      <w:lvlJc w:val="left"/>
      <w:pPr>
        <w:ind w:left="2644" w:hanging="195"/>
      </w:pPr>
      <w:rPr>
        <w:rFonts w:hint="default"/>
      </w:rPr>
    </w:lvl>
    <w:lvl w:ilvl="3" w:tplc="D0283FE4">
      <w:numFmt w:val="bullet"/>
      <w:lvlText w:val="•"/>
      <w:lvlJc w:val="left"/>
      <w:pPr>
        <w:ind w:left="3706" w:hanging="195"/>
      </w:pPr>
      <w:rPr>
        <w:rFonts w:hint="default"/>
      </w:rPr>
    </w:lvl>
    <w:lvl w:ilvl="4" w:tplc="9C84EAA4">
      <w:numFmt w:val="bullet"/>
      <w:lvlText w:val="•"/>
      <w:lvlJc w:val="left"/>
      <w:pPr>
        <w:ind w:left="4768" w:hanging="195"/>
      </w:pPr>
      <w:rPr>
        <w:rFonts w:hint="default"/>
      </w:rPr>
    </w:lvl>
    <w:lvl w:ilvl="5" w:tplc="1668D3BE">
      <w:numFmt w:val="bullet"/>
      <w:lvlText w:val="•"/>
      <w:lvlJc w:val="left"/>
      <w:pPr>
        <w:ind w:left="5830" w:hanging="195"/>
      </w:pPr>
      <w:rPr>
        <w:rFonts w:hint="default"/>
      </w:rPr>
    </w:lvl>
    <w:lvl w:ilvl="6" w:tplc="98F803D4">
      <w:numFmt w:val="bullet"/>
      <w:lvlText w:val="•"/>
      <w:lvlJc w:val="left"/>
      <w:pPr>
        <w:ind w:left="6892" w:hanging="195"/>
      </w:pPr>
      <w:rPr>
        <w:rFonts w:hint="default"/>
      </w:rPr>
    </w:lvl>
    <w:lvl w:ilvl="7" w:tplc="47DE7506">
      <w:numFmt w:val="bullet"/>
      <w:lvlText w:val="•"/>
      <w:lvlJc w:val="left"/>
      <w:pPr>
        <w:ind w:left="7954" w:hanging="195"/>
      </w:pPr>
      <w:rPr>
        <w:rFonts w:hint="default"/>
      </w:rPr>
    </w:lvl>
    <w:lvl w:ilvl="8" w:tplc="C9823984">
      <w:numFmt w:val="bullet"/>
      <w:lvlText w:val="•"/>
      <w:lvlJc w:val="left"/>
      <w:pPr>
        <w:ind w:left="9016" w:hanging="195"/>
      </w:pPr>
      <w:rPr>
        <w:rFonts w:hint="default"/>
      </w:rPr>
    </w:lvl>
  </w:abstractNum>
  <w:abstractNum w:abstractNumId="14" w15:restartNumberingAfterBreak="0">
    <w:nsid w:val="30CF3C85"/>
    <w:multiLevelType w:val="hybridMultilevel"/>
    <w:tmpl w:val="E6807420"/>
    <w:lvl w:ilvl="0" w:tplc="78F4C57A">
      <w:numFmt w:val="bullet"/>
      <w:lvlText w:val="&gt;"/>
      <w:lvlJc w:val="left"/>
      <w:pPr>
        <w:ind w:left="2231" w:hanging="147"/>
      </w:pPr>
      <w:rPr>
        <w:rFonts w:ascii="Times New Roman" w:eastAsia="Times New Roman" w:hAnsi="Times New Roman" w:cs="Times New Roman" w:hint="default"/>
        <w:w w:val="100"/>
        <w:sz w:val="18"/>
        <w:szCs w:val="18"/>
      </w:rPr>
    </w:lvl>
    <w:lvl w:ilvl="1" w:tplc="71206AE6">
      <w:numFmt w:val="bullet"/>
      <w:lvlText w:val="•"/>
      <w:lvlJc w:val="left"/>
      <w:pPr>
        <w:ind w:left="2473" w:hanging="147"/>
      </w:pPr>
      <w:rPr>
        <w:rFonts w:hint="default"/>
      </w:rPr>
    </w:lvl>
    <w:lvl w:ilvl="2" w:tplc="7BC0F648">
      <w:numFmt w:val="bullet"/>
      <w:lvlText w:val="•"/>
      <w:lvlJc w:val="left"/>
      <w:pPr>
        <w:ind w:left="2706" w:hanging="147"/>
      </w:pPr>
      <w:rPr>
        <w:rFonts w:hint="default"/>
      </w:rPr>
    </w:lvl>
    <w:lvl w:ilvl="3" w:tplc="BBF8A706">
      <w:numFmt w:val="bullet"/>
      <w:lvlText w:val="•"/>
      <w:lvlJc w:val="left"/>
      <w:pPr>
        <w:ind w:left="2939" w:hanging="147"/>
      </w:pPr>
      <w:rPr>
        <w:rFonts w:hint="default"/>
      </w:rPr>
    </w:lvl>
    <w:lvl w:ilvl="4" w:tplc="3FFE76B4">
      <w:numFmt w:val="bullet"/>
      <w:lvlText w:val="•"/>
      <w:lvlJc w:val="left"/>
      <w:pPr>
        <w:ind w:left="3172" w:hanging="147"/>
      </w:pPr>
      <w:rPr>
        <w:rFonts w:hint="default"/>
      </w:rPr>
    </w:lvl>
    <w:lvl w:ilvl="5" w:tplc="5220FEE8">
      <w:numFmt w:val="bullet"/>
      <w:lvlText w:val="•"/>
      <w:lvlJc w:val="left"/>
      <w:pPr>
        <w:ind w:left="3406" w:hanging="147"/>
      </w:pPr>
      <w:rPr>
        <w:rFonts w:hint="default"/>
      </w:rPr>
    </w:lvl>
    <w:lvl w:ilvl="6" w:tplc="C4266134">
      <w:numFmt w:val="bullet"/>
      <w:lvlText w:val="•"/>
      <w:lvlJc w:val="left"/>
      <w:pPr>
        <w:ind w:left="3639" w:hanging="147"/>
      </w:pPr>
      <w:rPr>
        <w:rFonts w:hint="default"/>
      </w:rPr>
    </w:lvl>
    <w:lvl w:ilvl="7" w:tplc="A11AD64A">
      <w:numFmt w:val="bullet"/>
      <w:lvlText w:val="•"/>
      <w:lvlJc w:val="left"/>
      <w:pPr>
        <w:ind w:left="3872" w:hanging="147"/>
      </w:pPr>
      <w:rPr>
        <w:rFonts w:hint="default"/>
      </w:rPr>
    </w:lvl>
    <w:lvl w:ilvl="8" w:tplc="4DE80BA8">
      <w:numFmt w:val="bullet"/>
      <w:lvlText w:val="•"/>
      <w:lvlJc w:val="left"/>
      <w:pPr>
        <w:ind w:left="4105" w:hanging="147"/>
      </w:pPr>
      <w:rPr>
        <w:rFonts w:hint="default"/>
      </w:rPr>
    </w:lvl>
  </w:abstractNum>
  <w:abstractNum w:abstractNumId="15" w15:restartNumberingAfterBreak="0">
    <w:nsid w:val="32B16276"/>
    <w:multiLevelType w:val="hybridMultilevel"/>
    <w:tmpl w:val="07F2395C"/>
    <w:lvl w:ilvl="0" w:tplc="0484B6B0">
      <w:numFmt w:val="bullet"/>
      <w:lvlText w:val=""/>
      <w:lvlJc w:val="left"/>
      <w:pPr>
        <w:ind w:left="299" w:hanging="180"/>
      </w:pPr>
      <w:rPr>
        <w:rFonts w:ascii="Symbol" w:eastAsia="Symbol" w:hAnsi="Symbol" w:cs="Symbol" w:hint="default"/>
        <w:w w:val="100"/>
        <w:sz w:val="18"/>
        <w:szCs w:val="18"/>
      </w:rPr>
    </w:lvl>
    <w:lvl w:ilvl="1" w:tplc="256A9874">
      <w:numFmt w:val="bullet"/>
      <w:lvlText w:val="•"/>
      <w:lvlJc w:val="left"/>
      <w:pPr>
        <w:ind w:left="567" w:hanging="180"/>
      </w:pPr>
      <w:rPr>
        <w:rFonts w:hint="default"/>
      </w:rPr>
    </w:lvl>
    <w:lvl w:ilvl="2" w:tplc="37CA8AFE">
      <w:numFmt w:val="bullet"/>
      <w:lvlText w:val="•"/>
      <w:lvlJc w:val="left"/>
      <w:pPr>
        <w:ind w:left="834" w:hanging="180"/>
      </w:pPr>
      <w:rPr>
        <w:rFonts w:hint="default"/>
      </w:rPr>
    </w:lvl>
    <w:lvl w:ilvl="3" w:tplc="CCD49CA0">
      <w:numFmt w:val="bullet"/>
      <w:lvlText w:val="•"/>
      <w:lvlJc w:val="left"/>
      <w:pPr>
        <w:ind w:left="1101" w:hanging="180"/>
      </w:pPr>
      <w:rPr>
        <w:rFonts w:hint="default"/>
      </w:rPr>
    </w:lvl>
    <w:lvl w:ilvl="4" w:tplc="29D88982">
      <w:numFmt w:val="bullet"/>
      <w:lvlText w:val="•"/>
      <w:lvlJc w:val="left"/>
      <w:pPr>
        <w:ind w:left="1368" w:hanging="180"/>
      </w:pPr>
      <w:rPr>
        <w:rFonts w:hint="default"/>
      </w:rPr>
    </w:lvl>
    <w:lvl w:ilvl="5" w:tplc="E8B05B74">
      <w:numFmt w:val="bullet"/>
      <w:lvlText w:val="•"/>
      <w:lvlJc w:val="left"/>
      <w:pPr>
        <w:ind w:left="1635" w:hanging="180"/>
      </w:pPr>
      <w:rPr>
        <w:rFonts w:hint="default"/>
      </w:rPr>
    </w:lvl>
    <w:lvl w:ilvl="6" w:tplc="C7A0BCEE">
      <w:numFmt w:val="bullet"/>
      <w:lvlText w:val="•"/>
      <w:lvlJc w:val="left"/>
      <w:pPr>
        <w:ind w:left="1902" w:hanging="180"/>
      </w:pPr>
      <w:rPr>
        <w:rFonts w:hint="default"/>
      </w:rPr>
    </w:lvl>
    <w:lvl w:ilvl="7" w:tplc="96C0B1BC">
      <w:numFmt w:val="bullet"/>
      <w:lvlText w:val="•"/>
      <w:lvlJc w:val="left"/>
      <w:pPr>
        <w:ind w:left="2169" w:hanging="180"/>
      </w:pPr>
      <w:rPr>
        <w:rFonts w:hint="default"/>
      </w:rPr>
    </w:lvl>
    <w:lvl w:ilvl="8" w:tplc="F2B260C8">
      <w:numFmt w:val="bullet"/>
      <w:lvlText w:val="•"/>
      <w:lvlJc w:val="left"/>
      <w:pPr>
        <w:ind w:left="2436" w:hanging="180"/>
      </w:pPr>
      <w:rPr>
        <w:rFonts w:hint="default"/>
      </w:rPr>
    </w:lvl>
  </w:abstractNum>
  <w:abstractNum w:abstractNumId="16" w15:restartNumberingAfterBreak="0">
    <w:nsid w:val="331A273D"/>
    <w:multiLevelType w:val="multilevel"/>
    <w:tmpl w:val="5B4E32F2"/>
    <w:lvl w:ilvl="0">
      <w:start w:val="4"/>
      <w:numFmt w:val="decimal"/>
      <w:lvlText w:val="%1"/>
      <w:lvlJc w:val="left"/>
      <w:pPr>
        <w:ind w:left="1364" w:hanging="852"/>
        <w:jc w:val="left"/>
      </w:pPr>
      <w:rPr>
        <w:rFonts w:hint="default"/>
      </w:rPr>
    </w:lvl>
    <w:lvl w:ilvl="1">
      <w:start w:val="6"/>
      <w:numFmt w:val="decimal"/>
      <w:lvlText w:val="%1.%2"/>
      <w:lvlJc w:val="left"/>
      <w:pPr>
        <w:ind w:left="1364"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364"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364"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645"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5862" w:hanging="1133"/>
      </w:pPr>
      <w:rPr>
        <w:rFonts w:hint="default"/>
      </w:rPr>
    </w:lvl>
    <w:lvl w:ilvl="6">
      <w:numFmt w:val="bullet"/>
      <w:lvlText w:val="•"/>
      <w:lvlJc w:val="left"/>
      <w:pPr>
        <w:ind w:left="6917" w:hanging="1133"/>
      </w:pPr>
      <w:rPr>
        <w:rFonts w:hint="default"/>
      </w:rPr>
    </w:lvl>
    <w:lvl w:ilvl="7">
      <w:numFmt w:val="bullet"/>
      <w:lvlText w:val="•"/>
      <w:lvlJc w:val="left"/>
      <w:pPr>
        <w:ind w:left="7973" w:hanging="1133"/>
      </w:pPr>
      <w:rPr>
        <w:rFonts w:hint="default"/>
      </w:rPr>
    </w:lvl>
    <w:lvl w:ilvl="8">
      <w:numFmt w:val="bullet"/>
      <w:lvlText w:val="•"/>
      <w:lvlJc w:val="left"/>
      <w:pPr>
        <w:ind w:left="9028" w:hanging="1133"/>
      </w:pPr>
      <w:rPr>
        <w:rFonts w:hint="default"/>
      </w:rPr>
    </w:lvl>
  </w:abstractNum>
  <w:abstractNum w:abstractNumId="17" w15:restartNumberingAfterBreak="0">
    <w:nsid w:val="340D1257"/>
    <w:multiLevelType w:val="multilevel"/>
    <w:tmpl w:val="C9A66882"/>
    <w:lvl w:ilvl="0">
      <w:start w:val="5"/>
      <w:numFmt w:val="decimal"/>
      <w:lvlText w:val="%1"/>
      <w:lvlJc w:val="left"/>
      <w:pPr>
        <w:ind w:left="1364" w:hanging="852"/>
        <w:jc w:val="left"/>
      </w:pPr>
      <w:rPr>
        <w:rFonts w:hint="default"/>
      </w:rPr>
    </w:lvl>
    <w:lvl w:ilvl="1">
      <w:start w:val="2"/>
      <w:numFmt w:val="decimal"/>
      <w:lvlText w:val="%1.%2"/>
      <w:lvlJc w:val="left"/>
      <w:pPr>
        <w:ind w:left="1364"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364" w:hanging="852"/>
        <w:jc w:val="left"/>
      </w:pPr>
      <w:rPr>
        <w:rFonts w:ascii="Times New Roman" w:eastAsia="Times New Roman" w:hAnsi="Times New Roman" w:cs="Times New Roman" w:hint="default"/>
        <w:b/>
        <w:bCs/>
        <w:w w:val="100"/>
        <w:sz w:val="24"/>
        <w:szCs w:val="24"/>
      </w:rPr>
    </w:lvl>
    <w:lvl w:ilvl="3">
      <w:start w:val="1"/>
      <w:numFmt w:val="decimal"/>
      <w:lvlText w:val="%1.%2.%3.%4"/>
      <w:lvlJc w:val="left"/>
      <w:pPr>
        <w:ind w:left="1364"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5272" w:hanging="852"/>
      </w:pPr>
      <w:rPr>
        <w:rFonts w:hint="default"/>
      </w:rPr>
    </w:lvl>
    <w:lvl w:ilvl="5">
      <w:numFmt w:val="bullet"/>
      <w:lvlText w:val="•"/>
      <w:lvlJc w:val="left"/>
      <w:pPr>
        <w:ind w:left="6250" w:hanging="852"/>
      </w:pPr>
      <w:rPr>
        <w:rFonts w:hint="default"/>
      </w:rPr>
    </w:lvl>
    <w:lvl w:ilvl="6">
      <w:numFmt w:val="bullet"/>
      <w:lvlText w:val="•"/>
      <w:lvlJc w:val="left"/>
      <w:pPr>
        <w:ind w:left="7228" w:hanging="852"/>
      </w:pPr>
      <w:rPr>
        <w:rFonts w:hint="default"/>
      </w:rPr>
    </w:lvl>
    <w:lvl w:ilvl="7">
      <w:numFmt w:val="bullet"/>
      <w:lvlText w:val="•"/>
      <w:lvlJc w:val="left"/>
      <w:pPr>
        <w:ind w:left="8206" w:hanging="852"/>
      </w:pPr>
      <w:rPr>
        <w:rFonts w:hint="default"/>
      </w:rPr>
    </w:lvl>
    <w:lvl w:ilvl="8">
      <w:numFmt w:val="bullet"/>
      <w:lvlText w:val="•"/>
      <w:lvlJc w:val="left"/>
      <w:pPr>
        <w:ind w:left="9184" w:hanging="852"/>
      </w:pPr>
      <w:rPr>
        <w:rFonts w:hint="default"/>
      </w:rPr>
    </w:lvl>
  </w:abstractNum>
  <w:abstractNum w:abstractNumId="18" w15:restartNumberingAfterBreak="0">
    <w:nsid w:val="3C2172AF"/>
    <w:multiLevelType w:val="multilevel"/>
    <w:tmpl w:val="E37EE550"/>
    <w:lvl w:ilvl="0">
      <w:start w:val="6"/>
      <w:numFmt w:val="decimal"/>
      <w:lvlText w:val="%1"/>
      <w:lvlJc w:val="left"/>
      <w:pPr>
        <w:ind w:left="1364" w:hanging="852"/>
        <w:jc w:val="left"/>
      </w:pPr>
      <w:rPr>
        <w:rFonts w:hint="default"/>
      </w:rPr>
    </w:lvl>
    <w:lvl w:ilvl="1">
      <w:start w:val="4"/>
      <w:numFmt w:val="decimal"/>
      <w:lvlText w:val="%1.%2"/>
      <w:lvlJc w:val="left"/>
      <w:pPr>
        <w:ind w:left="1364" w:hanging="852"/>
        <w:jc w:val="left"/>
      </w:pPr>
      <w:rPr>
        <w:rFonts w:ascii="Times New Roman" w:eastAsia="Times New Roman" w:hAnsi="Times New Roman" w:cs="Times New Roman" w:hint="default"/>
        <w:b/>
        <w:bCs/>
        <w:w w:val="100"/>
        <w:sz w:val="28"/>
        <w:szCs w:val="28"/>
      </w:rPr>
    </w:lvl>
    <w:lvl w:ilvl="2">
      <w:numFmt w:val="bullet"/>
      <w:lvlText w:val="•"/>
      <w:lvlJc w:val="left"/>
      <w:pPr>
        <w:ind w:left="3316" w:hanging="852"/>
      </w:pPr>
      <w:rPr>
        <w:rFonts w:hint="default"/>
      </w:rPr>
    </w:lvl>
    <w:lvl w:ilvl="3">
      <w:numFmt w:val="bullet"/>
      <w:lvlText w:val="•"/>
      <w:lvlJc w:val="left"/>
      <w:pPr>
        <w:ind w:left="4294" w:hanging="852"/>
      </w:pPr>
      <w:rPr>
        <w:rFonts w:hint="default"/>
      </w:rPr>
    </w:lvl>
    <w:lvl w:ilvl="4">
      <w:numFmt w:val="bullet"/>
      <w:lvlText w:val="•"/>
      <w:lvlJc w:val="left"/>
      <w:pPr>
        <w:ind w:left="5272" w:hanging="852"/>
      </w:pPr>
      <w:rPr>
        <w:rFonts w:hint="default"/>
      </w:rPr>
    </w:lvl>
    <w:lvl w:ilvl="5">
      <w:numFmt w:val="bullet"/>
      <w:lvlText w:val="•"/>
      <w:lvlJc w:val="left"/>
      <w:pPr>
        <w:ind w:left="6250" w:hanging="852"/>
      </w:pPr>
      <w:rPr>
        <w:rFonts w:hint="default"/>
      </w:rPr>
    </w:lvl>
    <w:lvl w:ilvl="6">
      <w:numFmt w:val="bullet"/>
      <w:lvlText w:val="•"/>
      <w:lvlJc w:val="left"/>
      <w:pPr>
        <w:ind w:left="7228" w:hanging="852"/>
      </w:pPr>
      <w:rPr>
        <w:rFonts w:hint="default"/>
      </w:rPr>
    </w:lvl>
    <w:lvl w:ilvl="7">
      <w:numFmt w:val="bullet"/>
      <w:lvlText w:val="•"/>
      <w:lvlJc w:val="left"/>
      <w:pPr>
        <w:ind w:left="8206" w:hanging="852"/>
      </w:pPr>
      <w:rPr>
        <w:rFonts w:hint="default"/>
      </w:rPr>
    </w:lvl>
    <w:lvl w:ilvl="8">
      <w:numFmt w:val="bullet"/>
      <w:lvlText w:val="•"/>
      <w:lvlJc w:val="left"/>
      <w:pPr>
        <w:ind w:left="9184" w:hanging="852"/>
      </w:pPr>
      <w:rPr>
        <w:rFonts w:hint="default"/>
      </w:rPr>
    </w:lvl>
  </w:abstractNum>
  <w:abstractNum w:abstractNumId="19" w15:restartNumberingAfterBreak="0">
    <w:nsid w:val="3DB04427"/>
    <w:multiLevelType w:val="multilevel"/>
    <w:tmpl w:val="D6B2F706"/>
    <w:lvl w:ilvl="0">
      <w:start w:val="1"/>
      <w:numFmt w:val="decimal"/>
      <w:lvlText w:val="%1"/>
      <w:lvlJc w:val="left"/>
      <w:pPr>
        <w:ind w:left="1232" w:hanging="720"/>
        <w:jc w:val="left"/>
      </w:pPr>
      <w:rPr>
        <w:rFonts w:ascii="Times New Roman" w:eastAsia="Times New Roman" w:hAnsi="Times New Roman" w:cs="Times New Roman" w:hint="default"/>
        <w:b/>
        <w:bCs/>
        <w:w w:val="100"/>
        <w:sz w:val="22"/>
        <w:szCs w:val="22"/>
      </w:rPr>
    </w:lvl>
    <w:lvl w:ilvl="1">
      <w:start w:val="1"/>
      <w:numFmt w:val="decimal"/>
      <w:lvlText w:val="%1.%2"/>
      <w:lvlJc w:val="left"/>
      <w:pPr>
        <w:ind w:left="1664" w:hanging="864"/>
        <w:jc w:val="left"/>
      </w:pPr>
      <w:rPr>
        <w:rFonts w:ascii="Times New Roman" w:eastAsia="Times New Roman" w:hAnsi="Times New Roman" w:cs="Times New Roman" w:hint="default"/>
        <w:w w:val="100"/>
        <w:sz w:val="22"/>
        <w:szCs w:val="22"/>
      </w:rPr>
    </w:lvl>
    <w:lvl w:ilvl="2">
      <w:start w:val="1"/>
      <w:numFmt w:val="decimal"/>
      <w:lvlText w:val="%1.%2.%3"/>
      <w:lvlJc w:val="left"/>
      <w:pPr>
        <w:ind w:left="2096" w:hanging="1008"/>
        <w:jc w:val="left"/>
      </w:pPr>
      <w:rPr>
        <w:rFonts w:ascii="Times New Roman" w:eastAsia="Times New Roman" w:hAnsi="Times New Roman" w:cs="Times New Roman" w:hint="default"/>
        <w:w w:val="100"/>
        <w:sz w:val="22"/>
        <w:szCs w:val="22"/>
      </w:rPr>
    </w:lvl>
    <w:lvl w:ilvl="3">
      <w:start w:val="1"/>
      <w:numFmt w:val="decimal"/>
      <w:lvlText w:val="%1.%2.%3.%4"/>
      <w:lvlJc w:val="left"/>
      <w:pPr>
        <w:ind w:left="2528" w:hanging="1152"/>
        <w:jc w:val="left"/>
      </w:pPr>
      <w:rPr>
        <w:rFonts w:ascii="Times New Roman" w:eastAsia="Times New Roman" w:hAnsi="Times New Roman" w:cs="Times New Roman" w:hint="default"/>
        <w:w w:val="100"/>
        <w:sz w:val="22"/>
        <w:szCs w:val="22"/>
      </w:rPr>
    </w:lvl>
    <w:lvl w:ilvl="4">
      <w:numFmt w:val="bullet"/>
      <w:lvlText w:val="•"/>
      <w:lvlJc w:val="left"/>
      <w:pPr>
        <w:ind w:left="3751" w:hanging="1152"/>
      </w:pPr>
      <w:rPr>
        <w:rFonts w:hint="default"/>
      </w:rPr>
    </w:lvl>
    <w:lvl w:ilvl="5">
      <w:numFmt w:val="bullet"/>
      <w:lvlText w:val="•"/>
      <w:lvlJc w:val="left"/>
      <w:pPr>
        <w:ind w:left="4982" w:hanging="1152"/>
      </w:pPr>
      <w:rPr>
        <w:rFonts w:hint="default"/>
      </w:rPr>
    </w:lvl>
    <w:lvl w:ilvl="6">
      <w:numFmt w:val="bullet"/>
      <w:lvlText w:val="•"/>
      <w:lvlJc w:val="left"/>
      <w:pPr>
        <w:ind w:left="6214" w:hanging="1152"/>
      </w:pPr>
      <w:rPr>
        <w:rFonts w:hint="default"/>
      </w:rPr>
    </w:lvl>
    <w:lvl w:ilvl="7">
      <w:numFmt w:val="bullet"/>
      <w:lvlText w:val="•"/>
      <w:lvlJc w:val="left"/>
      <w:pPr>
        <w:ind w:left="7445" w:hanging="1152"/>
      </w:pPr>
      <w:rPr>
        <w:rFonts w:hint="default"/>
      </w:rPr>
    </w:lvl>
    <w:lvl w:ilvl="8">
      <w:numFmt w:val="bullet"/>
      <w:lvlText w:val="•"/>
      <w:lvlJc w:val="left"/>
      <w:pPr>
        <w:ind w:left="8677" w:hanging="1152"/>
      </w:pPr>
      <w:rPr>
        <w:rFonts w:hint="default"/>
      </w:rPr>
    </w:lvl>
  </w:abstractNum>
  <w:abstractNum w:abstractNumId="20" w15:restartNumberingAfterBreak="0">
    <w:nsid w:val="3FEC7634"/>
    <w:multiLevelType w:val="multilevel"/>
    <w:tmpl w:val="509840B4"/>
    <w:lvl w:ilvl="0">
      <w:start w:val="3"/>
      <w:numFmt w:val="decimal"/>
      <w:lvlText w:val="%1"/>
      <w:lvlJc w:val="left"/>
      <w:pPr>
        <w:ind w:left="1354" w:hanging="850"/>
        <w:jc w:val="left"/>
      </w:pPr>
      <w:rPr>
        <w:rFonts w:hint="default"/>
      </w:rPr>
    </w:lvl>
    <w:lvl w:ilvl="1">
      <w:start w:val="21"/>
      <w:numFmt w:val="decimal"/>
      <w:lvlText w:val="%1.%2"/>
      <w:lvlJc w:val="left"/>
      <w:pPr>
        <w:ind w:left="1354" w:hanging="850"/>
        <w:jc w:val="left"/>
      </w:pPr>
      <w:rPr>
        <w:rFonts w:ascii="Times New Roman" w:eastAsia="Times New Roman" w:hAnsi="Times New Roman" w:cs="Times New Roman" w:hint="default"/>
        <w:w w:val="100"/>
        <w:sz w:val="22"/>
        <w:szCs w:val="22"/>
      </w:rPr>
    </w:lvl>
    <w:lvl w:ilvl="2">
      <w:numFmt w:val="bullet"/>
      <w:lvlText w:val="•"/>
      <w:lvlJc w:val="left"/>
      <w:pPr>
        <w:ind w:left="4188" w:hanging="850"/>
      </w:pPr>
      <w:rPr>
        <w:rFonts w:hint="default"/>
      </w:rPr>
    </w:lvl>
    <w:lvl w:ilvl="3">
      <w:numFmt w:val="bullet"/>
      <w:lvlText w:val="•"/>
      <w:lvlJc w:val="left"/>
      <w:pPr>
        <w:ind w:left="5602" w:hanging="850"/>
      </w:pPr>
      <w:rPr>
        <w:rFonts w:hint="default"/>
      </w:rPr>
    </w:lvl>
    <w:lvl w:ilvl="4">
      <w:numFmt w:val="bullet"/>
      <w:lvlText w:val="•"/>
      <w:lvlJc w:val="left"/>
      <w:pPr>
        <w:ind w:left="7016" w:hanging="850"/>
      </w:pPr>
      <w:rPr>
        <w:rFonts w:hint="default"/>
      </w:rPr>
    </w:lvl>
    <w:lvl w:ilvl="5">
      <w:numFmt w:val="bullet"/>
      <w:lvlText w:val="•"/>
      <w:lvlJc w:val="left"/>
      <w:pPr>
        <w:ind w:left="8430" w:hanging="850"/>
      </w:pPr>
      <w:rPr>
        <w:rFonts w:hint="default"/>
      </w:rPr>
    </w:lvl>
    <w:lvl w:ilvl="6">
      <w:numFmt w:val="bullet"/>
      <w:lvlText w:val="•"/>
      <w:lvlJc w:val="left"/>
      <w:pPr>
        <w:ind w:left="9844" w:hanging="850"/>
      </w:pPr>
      <w:rPr>
        <w:rFonts w:hint="default"/>
      </w:rPr>
    </w:lvl>
    <w:lvl w:ilvl="7">
      <w:numFmt w:val="bullet"/>
      <w:lvlText w:val="•"/>
      <w:lvlJc w:val="left"/>
      <w:pPr>
        <w:ind w:left="11258" w:hanging="850"/>
      </w:pPr>
      <w:rPr>
        <w:rFonts w:hint="default"/>
      </w:rPr>
    </w:lvl>
    <w:lvl w:ilvl="8">
      <w:numFmt w:val="bullet"/>
      <w:lvlText w:val="•"/>
      <w:lvlJc w:val="left"/>
      <w:pPr>
        <w:ind w:left="12672" w:hanging="850"/>
      </w:pPr>
      <w:rPr>
        <w:rFonts w:hint="default"/>
      </w:rPr>
    </w:lvl>
  </w:abstractNum>
  <w:abstractNum w:abstractNumId="21" w15:restartNumberingAfterBreak="0">
    <w:nsid w:val="40E3161A"/>
    <w:multiLevelType w:val="multilevel"/>
    <w:tmpl w:val="CBB2FB52"/>
    <w:lvl w:ilvl="0">
      <w:start w:val="4"/>
      <w:numFmt w:val="decimal"/>
      <w:lvlText w:val="%1"/>
      <w:lvlJc w:val="left"/>
      <w:pPr>
        <w:ind w:left="1364" w:hanging="852"/>
        <w:jc w:val="left"/>
      </w:pPr>
      <w:rPr>
        <w:rFonts w:hint="default"/>
      </w:rPr>
    </w:lvl>
    <w:lvl w:ilvl="1">
      <w:start w:val="6"/>
      <w:numFmt w:val="decimal"/>
      <w:lvlText w:val="%1.%2"/>
      <w:lvlJc w:val="left"/>
      <w:pPr>
        <w:ind w:left="1364" w:hanging="852"/>
        <w:jc w:val="left"/>
      </w:pPr>
      <w:rPr>
        <w:rFonts w:hint="default"/>
      </w:rPr>
    </w:lvl>
    <w:lvl w:ilvl="2">
      <w:start w:val="6"/>
      <w:numFmt w:val="decimal"/>
      <w:lvlText w:val="%1.%2.%3"/>
      <w:lvlJc w:val="left"/>
      <w:pPr>
        <w:ind w:left="1364"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364"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5272" w:hanging="852"/>
      </w:pPr>
      <w:rPr>
        <w:rFonts w:hint="default"/>
      </w:rPr>
    </w:lvl>
    <w:lvl w:ilvl="5">
      <w:numFmt w:val="bullet"/>
      <w:lvlText w:val="•"/>
      <w:lvlJc w:val="left"/>
      <w:pPr>
        <w:ind w:left="6250" w:hanging="852"/>
      </w:pPr>
      <w:rPr>
        <w:rFonts w:hint="default"/>
      </w:rPr>
    </w:lvl>
    <w:lvl w:ilvl="6">
      <w:numFmt w:val="bullet"/>
      <w:lvlText w:val="•"/>
      <w:lvlJc w:val="left"/>
      <w:pPr>
        <w:ind w:left="7228" w:hanging="852"/>
      </w:pPr>
      <w:rPr>
        <w:rFonts w:hint="default"/>
      </w:rPr>
    </w:lvl>
    <w:lvl w:ilvl="7">
      <w:numFmt w:val="bullet"/>
      <w:lvlText w:val="•"/>
      <w:lvlJc w:val="left"/>
      <w:pPr>
        <w:ind w:left="8206" w:hanging="852"/>
      </w:pPr>
      <w:rPr>
        <w:rFonts w:hint="default"/>
      </w:rPr>
    </w:lvl>
    <w:lvl w:ilvl="8">
      <w:numFmt w:val="bullet"/>
      <w:lvlText w:val="•"/>
      <w:lvlJc w:val="left"/>
      <w:pPr>
        <w:ind w:left="9184" w:hanging="852"/>
      </w:pPr>
      <w:rPr>
        <w:rFonts w:hint="default"/>
      </w:rPr>
    </w:lvl>
  </w:abstractNum>
  <w:abstractNum w:abstractNumId="22" w15:restartNumberingAfterBreak="0">
    <w:nsid w:val="436B1AFA"/>
    <w:multiLevelType w:val="hybridMultilevel"/>
    <w:tmpl w:val="218092C2"/>
    <w:lvl w:ilvl="0" w:tplc="AAD43342">
      <w:numFmt w:val="bullet"/>
      <w:lvlText w:val=""/>
      <w:lvlJc w:val="left"/>
      <w:pPr>
        <w:ind w:left="299" w:hanging="180"/>
      </w:pPr>
      <w:rPr>
        <w:rFonts w:ascii="Symbol" w:eastAsia="Symbol" w:hAnsi="Symbol" w:cs="Symbol" w:hint="default"/>
        <w:w w:val="100"/>
        <w:sz w:val="18"/>
        <w:szCs w:val="18"/>
      </w:rPr>
    </w:lvl>
    <w:lvl w:ilvl="1" w:tplc="F662CF24">
      <w:numFmt w:val="bullet"/>
      <w:lvlText w:val="•"/>
      <w:lvlJc w:val="left"/>
      <w:pPr>
        <w:ind w:left="557" w:hanging="180"/>
      </w:pPr>
      <w:rPr>
        <w:rFonts w:hint="default"/>
      </w:rPr>
    </w:lvl>
    <w:lvl w:ilvl="2" w:tplc="214827C2">
      <w:numFmt w:val="bullet"/>
      <w:lvlText w:val="•"/>
      <w:lvlJc w:val="left"/>
      <w:pPr>
        <w:ind w:left="815" w:hanging="180"/>
      </w:pPr>
      <w:rPr>
        <w:rFonts w:hint="default"/>
      </w:rPr>
    </w:lvl>
    <w:lvl w:ilvl="3" w:tplc="ACB2AE6C">
      <w:numFmt w:val="bullet"/>
      <w:lvlText w:val="•"/>
      <w:lvlJc w:val="left"/>
      <w:pPr>
        <w:ind w:left="1072" w:hanging="180"/>
      </w:pPr>
      <w:rPr>
        <w:rFonts w:hint="default"/>
      </w:rPr>
    </w:lvl>
    <w:lvl w:ilvl="4" w:tplc="0088E164">
      <w:numFmt w:val="bullet"/>
      <w:lvlText w:val="•"/>
      <w:lvlJc w:val="left"/>
      <w:pPr>
        <w:ind w:left="1330" w:hanging="180"/>
      </w:pPr>
      <w:rPr>
        <w:rFonts w:hint="default"/>
      </w:rPr>
    </w:lvl>
    <w:lvl w:ilvl="5" w:tplc="46627D70">
      <w:numFmt w:val="bullet"/>
      <w:lvlText w:val="•"/>
      <w:lvlJc w:val="left"/>
      <w:pPr>
        <w:ind w:left="1587" w:hanging="180"/>
      </w:pPr>
      <w:rPr>
        <w:rFonts w:hint="default"/>
      </w:rPr>
    </w:lvl>
    <w:lvl w:ilvl="6" w:tplc="C0343C44">
      <w:numFmt w:val="bullet"/>
      <w:lvlText w:val="•"/>
      <w:lvlJc w:val="left"/>
      <w:pPr>
        <w:ind w:left="1845" w:hanging="180"/>
      </w:pPr>
      <w:rPr>
        <w:rFonts w:hint="default"/>
      </w:rPr>
    </w:lvl>
    <w:lvl w:ilvl="7" w:tplc="62CEFFB4">
      <w:numFmt w:val="bullet"/>
      <w:lvlText w:val="•"/>
      <w:lvlJc w:val="left"/>
      <w:pPr>
        <w:ind w:left="2102" w:hanging="180"/>
      </w:pPr>
      <w:rPr>
        <w:rFonts w:hint="default"/>
      </w:rPr>
    </w:lvl>
    <w:lvl w:ilvl="8" w:tplc="64B02264">
      <w:numFmt w:val="bullet"/>
      <w:lvlText w:val="•"/>
      <w:lvlJc w:val="left"/>
      <w:pPr>
        <w:ind w:left="2360" w:hanging="180"/>
      </w:pPr>
      <w:rPr>
        <w:rFonts w:hint="default"/>
      </w:rPr>
    </w:lvl>
  </w:abstractNum>
  <w:abstractNum w:abstractNumId="23" w15:restartNumberingAfterBreak="0">
    <w:nsid w:val="46C546F6"/>
    <w:multiLevelType w:val="hybridMultilevel"/>
    <w:tmpl w:val="F8C89C82"/>
    <w:lvl w:ilvl="0" w:tplc="9D66B9CE">
      <w:numFmt w:val="bullet"/>
      <w:lvlText w:val="&gt;"/>
      <w:lvlJc w:val="left"/>
      <w:pPr>
        <w:ind w:left="2166" w:hanging="147"/>
      </w:pPr>
      <w:rPr>
        <w:rFonts w:ascii="Times New Roman" w:eastAsia="Times New Roman" w:hAnsi="Times New Roman" w:cs="Times New Roman" w:hint="default"/>
        <w:w w:val="100"/>
        <w:sz w:val="18"/>
        <w:szCs w:val="18"/>
      </w:rPr>
    </w:lvl>
    <w:lvl w:ilvl="1" w:tplc="9EF6CFC4">
      <w:numFmt w:val="bullet"/>
      <w:lvlText w:val="•"/>
      <w:lvlJc w:val="left"/>
      <w:pPr>
        <w:ind w:left="2388" w:hanging="147"/>
      </w:pPr>
      <w:rPr>
        <w:rFonts w:hint="default"/>
      </w:rPr>
    </w:lvl>
    <w:lvl w:ilvl="2" w:tplc="0E762658">
      <w:numFmt w:val="bullet"/>
      <w:lvlText w:val="•"/>
      <w:lvlJc w:val="left"/>
      <w:pPr>
        <w:ind w:left="2617" w:hanging="147"/>
      </w:pPr>
      <w:rPr>
        <w:rFonts w:hint="default"/>
      </w:rPr>
    </w:lvl>
    <w:lvl w:ilvl="3" w:tplc="435816B0">
      <w:numFmt w:val="bullet"/>
      <w:lvlText w:val="•"/>
      <w:lvlJc w:val="left"/>
      <w:pPr>
        <w:ind w:left="2846" w:hanging="147"/>
      </w:pPr>
      <w:rPr>
        <w:rFonts w:hint="default"/>
      </w:rPr>
    </w:lvl>
    <w:lvl w:ilvl="4" w:tplc="E2BE2EC6">
      <w:numFmt w:val="bullet"/>
      <w:lvlText w:val="•"/>
      <w:lvlJc w:val="left"/>
      <w:pPr>
        <w:ind w:left="3074" w:hanging="147"/>
      </w:pPr>
      <w:rPr>
        <w:rFonts w:hint="default"/>
      </w:rPr>
    </w:lvl>
    <w:lvl w:ilvl="5" w:tplc="F03270A8">
      <w:numFmt w:val="bullet"/>
      <w:lvlText w:val="•"/>
      <w:lvlJc w:val="left"/>
      <w:pPr>
        <w:ind w:left="3303" w:hanging="147"/>
      </w:pPr>
      <w:rPr>
        <w:rFonts w:hint="default"/>
      </w:rPr>
    </w:lvl>
    <w:lvl w:ilvl="6" w:tplc="40F8F262">
      <w:numFmt w:val="bullet"/>
      <w:lvlText w:val="•"/>
      <w:lvlJc w:val="left"/>
      <w:pPr>
        <w:ind w:left="3532" w:hanging="147"/>
      </w:pPr>
      <w:rPr>
        <w:rFonts w:hint="default"/>
      </w:rPr>
    </w:lvl>
    <w:lvl w:ilvl="7" w:tplc="5D947F60">
      <w:numFmt w:val="bullet"/>
      <w:lvlText w:val="•"/>
      <w:lvlJc w:val="left"/>
      <w:pPr>
        <w:ind w:left="3760" w:hanging="147"/>
      </w:pPr>
      <w:rPr>
        <w:rFonts w:hint="default"/>
      </w:rPr>
    </w:lvl>
    <w:lvl w:ilvl="8" w:tplc="037C09DE">
      <w:numFmt w:val="bullet"/>
      <w:lvlText w:val="•"/>
      <w:lvlJc w:val="left"/>
      <w:pPr>
        <w:ind w:left="3989" w:hanging="147"/>
      </w:pPr>
      <w:rPr>
        <w:rFonts w:hint="default"/>
      </w:rPr>
    </w:lvl>
  </w:abstractNum>
  <w:abstractNum w:abstractNumId="24" w15:restartNumberingAfterBreak="0">
    <w:nsid w:val="476F378F"/>
    <w:multiLevelType w:val="hybridMultilevel"/>
    <w:tmpl w:val="3C4CA9E6"/>
    <w:lvl w:ilvl="0" w:tplc="90905746">
      <w:numFmt w:val="bullet"/>
      <w:lvlText w:val=""/>
      <w:lvlJc w:val="left"/>
      <w:pPr>
        <w:ind w:left="299" w:hanging="180"/>
      </w:pPr>
      <w:rPr>
        <w:rFonts w:ascii="Symbol" w:eastAsia="Symbol" w:hAnsi="Symbol" w:cs="Symbol" w:hint="default"/>
        <w:w w:val="100"/>
        <w:sz w:val="18"/>
        <w:szCs w:val="18"/>
      </w:rPr>
    </w:lvl>
    <w:lvl w:ilvl="1" w:tplc="ACC0D6F6">
      <w:numFmt w:val="bullet"/>
      <w:lvlText w:val="•"/>
      <w:lvlJc w:val="left"/>
      <w:pPr>
        <w:ind w:left="557" w:hanging="180"/>
      </w:pPr>
      <w:rPr>
        <w:rFonts w:hint="default"/>
      </w:rPr>
    </w:lvl>
    <w:lvl w:ilvl="2" w:tplc="124681A8">
      <w:numFmt w:val="bullet"/>
      <w:lvlText w:val="•"/>
      <w:lvlJc w:val="left"/>
      <w:pPr>
        <w:ind w:left="815" w:hanging="180"/>
      </w:pPr>
      <w:rPr>
        <w:rFonts w:hint="default"/>
      </w:rPr>
    </w:lvl>
    <w:lvl w:ilvl="3" w:tplc="6C3A4510">
      <w:numFmt w:val="bullet"/>
      <w:lvlText w:val="•"/>
      <w:lvlJc w:val="left"/>
      <w:pPr>
        <w:ind w:left="1072" w:hanging="180"/>
      </w:pPr>
      <w:rPr>
        <w:rFonts w:hint="default"/>
      </w:rPr>
    </w:lvl>
    <w:lvl w:ilvl="4" w:tplc="D0087BD0">
      <w:numFmt w:val="bullet"/>
      <w:lvlText w:val="•"/>
      <w:lvlJc w:val="left"/>
      <w:pPr>
        <w:ind w:left="1330" w:hanging="180"/>
      </w:pPr>
      <w:rPr>
        <w:rFonts w:hint="default"/>
      </w:rPr>
    </w:lvl>
    <w:lvl w:ilvl="5" w:tplc="6C709784">
      <w:numFmt w:val="bullet"/>
      <w:lvlText w:val="•"/>
      <w:lvlJc w:val="left"/>
      <w:pPr>
        <w:ind w:left="1587" w:hanging="180"/>
      </w:pPr>
      <w:rPr>
        <w:rFonts w:hint="default"/>
      </w:rPr>
    </w:lvl>
    <w:lvl w:ilvl="6" w:tplc="1CF0A5CC">
      <w:numFmt w:val="bullet"/>
      <w:lvlText w:val="•"/>
      <w:lvlJc w:val="left"/>
      <w:pPr>
        <w:ind w:left="1845" w:hanging="180"/>
      </w:pPr>
      <w:rPr>
        <w:rFonts w:hint="default"/>
      </w:rPr>
    </w:lvl>
    <w:lvl w:ilvl="7" w:tplc="0D18B24C">
      <w:numFmt w:val="bullet"/>
      <w:lvlText w:val="•"/>
      <w:lvlJc w:val="left"/>
      <w:pPr>
        <w:ind w:left="2102" w:hanging="180"/>
      </w:pPr>
      <w:rPr>
        <w:rFonts w:hint="default"/>
      </w:rPr>
    </w:lvl>
    <w:lvl w:ilvl="8" w:tplc="7ED2D7DA">
      <w:numFmt w:val="bullet"/>
      <w:lvlText w:val="•"/>
      <w:lvlJc w:val="left"/>
      <w:pPr>
        <w:ind w:left="2360" w:hanging="180"/>
      </w:pPr>
      <w:rPr>
        <w:rFonts w:hint="default"/>
      </w:rPr>
    </w:lvl>
  </w:abstractNum>
  <w:abstractNum w:abstractNumId="25" w15:restartNumberingAfterBreak="0">
    <w:nsid w:val="4887247B"/>
    <w:multiLevelType w:val="hybridMultilevel"/>
    <w:tmpl w:val="6E4E2840"/>
    <w:lvl w:ilvl="0" w:tplc="970293B4">
      <w:numFmt w:val="bullet"/>
      <w:lvlText w:val=""/>
      <w:lvlJc w:val="left"/>
      <w:pPr>
        <w:ind w:left="558" w:hanging="272"/>
      </w:pPr>
      <w:rPr>
        <w:rFonts w:ascii="Symbol" w:eastAsia="Symbol" w:hAnsi="Symbol" w:cs="Symbol" w:hint="default"/>
        <w:w w:val="100"/>
        <w:sz w:val="18"/>
        <w:szCs w:val="18"/>
      </w:rPr>
    </w:lvl>
    <w:lvl w:ilvl="1" w:tplc="DA7AFCBA">
      <w:numFmt w:val="bullet"/>
      <w:lvlText w:val="•"/>
      <w:lvlJc w:val="left"/>
      <w:pPr>
        <w:ind w:left="840" w:hanging="272"/>
      </w:pPr>
      <w:rPr>
        <w:rFonts w:hint="default"/>
      </w:rPr>
    </w:lvl>
    <w:lvl w:ilvl="2" w:tplc="2A9C1AE0">
      <w:numFmt w:val="bullet"/>
      <w:lvlText w:val="•"/>
      <w:lvlJc w:val="left"/>
      <w:pPr>
        <w:ind w:left="1120" w:hanging="272"/>
      </w:pPr>
      <w:rPr>
        <w:rFonts w:hint="default"/>
      </w:rPr>
    </w:lvl>
    <w:lvl w:ilvl="3" w:tplc="7D00E7C8">
      <w:numFmt w:val="bullet"/>
      <w:lvlText w:val="•"/>
      <w:lvlJc w:val="left"/>
      <w:pPr>
        <w:ind w:left="1400" w:hanging="272"/>
      </w:pPr>
      <w:rPr>
        <w:rFonts w:hint="default"/>
      </w:rPr>
    </w:lvl>
    <w:lvl w:ilvl="4" w:tplc="7F6E0642">
      <w:numFmt w:val="bullet"/>
      <w:lvlText w:val="•"/>
      <w:lvlJc w:val="left"/>
      <w:pPr>
        <w:ind w:left="1680" w:hanging="272"/>
      </w:pPr>
      <w:rPr>
        <w:rFonts w:hint="default"/>
      </w:rPr>
    </w:lvl>
    <w:lvl w:ilvl="5" w:tplc="5D6A0B10">
      <w:numFmt w:val="bullet"/>
      <w:lvlText w:val="•"/>
      <w:lvlJc w:val="left"/>
      <w:pPr>
        <w:ind w:left="1960" w:hanging="272"/>
      </w:pPr>
      <w:rPr>
        <w:rFonts w:hint="default"/>
      </w:rPr>
    </w:lvl>
    <w:lvl w:ilvl="6" w:tplc="C9DEE0D0">
      <w:numFmt w:val="bullet"/>
      <w:lvlText w:val="•"/>
      <w:lvlJc w:val="left"/>
      <w:pPr>
        <w:ind w:left="2240" w:hanging="272"/>
      </w:pPr>
      <w:rPr>
        <w:rFonts w:hint="default"/>
      </w:rPr>
    </w:lvl>
    <w:lvl w:ilvl="7" w:tplc="1D883F9C">
      <w:numFmt w:val="bullet"/>
      <w:lvlText w:val="•"/>
      <w:lvlJc w:val="left"/>
      <w:pPr>
        <w:ind w:left="2520" w:hanging="272"/>
      </w:pPr>
      <w:rPr>
        <w:rFonts w:hint="default"/>
      </w:rPr>
    </w:lvl>
    <w:lvl w:ilvl="8" w:tplc="AE48A8E2">
      <w:numFmt w:val="bullet"/>
      <w:lvlText w:val="•"/>
      <w:lvlJc w:val="left"/>
      <w:pPr>
        <w:ind w:left="2800" w:hanging="272"/>
      </w:pPr>
      <w:rPr>
        <w:rFonts w:hint="default"/>
      </w:rPr>
    </w:lvl>
  </w:abstractNum>
  <w:abstractNum w:abstractNumId="26" w15:restartNumberingAfterBreak="0">
    <w:nsid w:val="4CBA453F"/>
    <w:multiLevelType w:val="hybridMultilevel"/>
    <w:tmpl w:val="A5BA500E"/>
    <w:lvl w:ilvl="0" w:tplc="8360583C">
      <w:numFmt w:val="bullet"/>
      <w:lvlText w:val=""/>
      <w:lvlJc w:val="left"/>
      <w:pPr>
        <w:ind w:left="299" w:hanging="180"/>
      </w:pPr>
      <w:rPr>
        <w:rFonts w:ascii="Symbol" w:eastAsia="Symbol" w:hAnsi="Symbol" w:cs="Symbol" w:hint="default"/>
        <w:w w:val="100"/>
        <w:sz w:val="18"/>
        <w:szCs w:val="18"/>
      </w:rPr>
    </w:lvl>
    <w:lvl w:ilvl="1" w:tplc="53F0739C">
      <w:numFmt w:val="bullet"/>
      <w:lvlText w:val="•"/>
      <w:lvlJc w:val="left"/>
      <w:pPr>
        <w:ind w:left="567" w:hanging="180"/>
      </w:pPr>
      <w:rPr>
        <w:rFonts w:hint="default"/>
      </w:rPr>
    </w:lvl>
    <w:lvl w:ilvl="2" w:tplc="8886E390">
      <w:numFmt w:val="bullet"/>
      <w:lvlText w:val="•"/>
      <w:lvlJc w:val="left"/>
      <w:pPr>
        <w:ind w:left="834" w:hanging="180"/>
      </w:pPr>
      <w:rPr>
        <w:rFonts w:hint="default"/>
      </w:rPr>
    </w:lvl>
    <w:lvl w:ilvl="3" w:tplc="8DAC84CC">
      <w:numFmt w:val="bullet"/>
      <w:lvlText w:val="•"/>
      <w:lvlJc w:val="left"/>
      <w:pPr>
        <w:ind w:left="1101" w:hanging="180"/>
      </w:pPr>
      <w:rPr>
        <w:rFonts w:hint="default"/>
      </w:rPr>
    </w:lvl>
    <w:lvl w:ilvl="4" w:tplc="1D4E9A8E">
      <w:numFmt w:val="bullet"/>
      <w:lvlText w:val="•"/>
      <w:lvlJc w:val="left"/>
      <w:pPr>
        <w:ind w:left="1368" w:hanging="180"/>
      </w:pPr>
      <w:rPr>
        <w:rFonts w:hint="default"/>
      </w:rPr>
    </w:lvl>
    <w:lvl w:ilvl="5" w:tplc="EA464274">
      <w:numFmt w:val="bullet"/>
      <w:lvlText w:val="•"/>
      <w:lvlJc w:val="left"/>
      <w:pPr>
        <w:ind w:left="1635" w:hanging="180"/>
      </w:pPr>
      <w:rPr>
        <w:rFonts w:hint="default"/>
      </w:rPr>
    </w:lvl>
    <w:lvl w:ilvl="6" w:tplc="F03A89E2">
      <w:numFmt w:val="bullet"/>
      <w:lvlText w:val="•"/>
      <w:lvlJc w:val="left"/>
      <w:pPr>
        <w:ind w:left="1902" w:hanging="180"/>
      </w:pPr>
      <w:rPr>
        <w:rFonts w:hint="default"/>
      </w:rPr>
    </w:lvl>
    <w:lvl w:ilvl="7" w:tplc="3D9881AC">
      <w:numFmt w:val="bullet"/>
      <w:lvlText w:val="•"/>
      <w:lvlJc w:val="left"/>
      <w:pPr>
        <w:ind w:left="2169" w:hanging="180"/>
      </w:pPr>
      <w:rPr>
        <w:rFonts w:hint="default"/>
      </w:rPr>
    </w:lvl>
    <w:lvl w:ilvl="8" w:tplc="27AEBAB8">
      <w:numFmt w:val="bullet"/>
      <w:lvlText w:val="•"/>
      <w:lvlJc w:val="left"/>
      <w:pPr>
        <w:ind w:left="2436" w:hanging="180"/>
      </w:pPr>
      <w:rPr>
        <w:rFonts w:hint="default"/>
      </w:rPr>
    </w:lvl>
  </w:abstractNum>
  <w:abstractNum w:abstractNumId="27" w15:restartNumberingAfterBreak="0">
    <w:nsid w:val="4F2A3BE8"/>
    <w:multiLevelType w:val="hybridMultilevel"/>
    <w:tmpl w:val="ED208710"/>
    <w:lvl w:ilvl="0" w:tplc="1BE6D160">
      <w:numFmt w:val="bullet"/>
      <w:lvlText w:val=""/>
      <w:lvlJc w:val="left"/>
      <w:pPr>
        <w:ind w:left="309" w:hanging="188"/>
      </w:pPr>
      <w:rPr>
        <w:rFonts w:ascii="Symbol" w:eastAsia="Symbol" w:hAnsi="Symbol" w:cs="Symbol" w:hint="default"/>
        <w:w w:val="100"/>
        <w:sz w:val="18"/>
        <w:szCs w:val="18"/>
      </w:rPr>
    </w:lvl>
    <w:lvl w:ilvl="1" w:tplc="04CC7146">
      <w:numFmt w:val="bullet"/>
      <w:lvlText w:val="•"/>
      <w:lvlJc w:val="left"/>
      <w:pPr>
        <w:ind w:left="557" w:hanging="188"/>
      </w:pPr>
      <w:rPr>
        <w:rFonts w:hint="default"/>
      </w:rPr>
    </w:lvl>
    <w:lvl w:ilvl="2" w:tplc="13F01FE8">
      <w:numFmt w:val="bullet"/>
      <w:lvlText w:val="•"/>
      <w:lvlJc w:val="left"/>
      <w:pPr>
        <w:ind w:left="815" w:hanging="188"/>
      </w:pPr>
      <w:rPr>
        <w:rFonts w:hint="default"/>
      </w:rPr>
    </w:lvl>
    <w:lvl w:ilvl="3" w:tplc="4DE814D6">
      <w:numFmt w:val="bullet"/>
      <w:lvlText w:val="•"/>
      <w:lvlJc w:val="left"/>
      <w:pPr>
        <w:ind w:left="1072" w:hanging="188"/>
      </w:pPr>
      <w:rPr>
        <w:rFonts w:hint="default"/>
      </w:rPr>
    </w:lvl>
    <w:lvl w:ilvl="4" w:tplc="C5C6C73C">
      <w:numFmt w:val="bullet"/>
      <w:lvlText w:val="•"/>
      <w:lvlJc w:val="left"/>
      <w:pPr>
        <w:ind w:left="1330" w:hanging="188"/>
      </w:pPr>
      <w:rPr>
        <w:rFonts w:hint="default"/>
      </w:rPr>
    </w:lvl>
    <w:lvl w:ilvl="5" w:tplc="F8BE2E42">
      <w:numFmt w:val="bullet"/>
      <w:lvlText w:val="•"/>
      <w:lvlJc w:val="left"/>
      <w:pPr>
        <w:ind w:left="1587" w:hanging="188"/>
      </w:pPr>
      <w:rPr>
        <w:rFonts w:hint="default"/>
      </w:rPr>
    </w:lvl>
    <w:lvl w:ilvl="6" w:tplc="F9DE7A84">
      <w:numFmt w:val="bullet"/>
      <w:lvlText w:val="•"/>
      <w:lvlJc w:val="left"/>
      <w:pPr>
        <w:ind w:left="1845" w:hanging="188"/>
      </w:pPr>
      <w:rPr>
        <w:rFonts w:hint="default"/>
      </w:rPr>
    </w:lvl>
    <w:lvl w:ilvl="7" w:tplc="8152D010">
      <w:numFmt w:val="bullet"/>
      <w:lvlText w:val="•"/>
      <w:lvlJc w:val="left"/>
      <w:pPr>
        <w:ind w:left="2102" w:hanging="188"/>
      </w:pPr>
      <w:rPr>
        <w:rFonts w:hint="default"/>
      </w:rPr>
    </w:lvl>
    <w:lvl w:ilvl="8" w:tplc="709C98D2">
      <w:numFmt w:val="bullet"/>
      <w:lvlText w:val="•"/>
      <w:lvlJc w:val="left"/>
      <w:pPr>
        <w:ind w:left="2360" w:hanging="188"/>
      </w:pPr>
      <w:rPr>
        <w:rFonts w:hint="default"/>
      </w:rPr>
    </w:lvl>
  </w:abstractNum>
  <w:abstractNum w:abstractNumId="28" w15:restartNumberingAfterBreak="0">
    <w:nsid w:val="506047B2"/>
    <w:multiLevelType w:val="multilevel"/>
    <w:tmpl w:val="24005528"/>
    <w:lvl w:ilvl="0">
      <w:start w:val="2"/>
      <w:numFmt w:val="decimal"/>
      <w:lvlText w:val="%1"/>
      <w:lvlJc w:val="left"/>
      <w:pPr>
        <w:ind w:left="1364"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364"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364"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364"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5272" w:hanging="852"/>
      </w:pPr>
      <w:rPr>
        <w:rFonts w:hint="default"/>
      </w:rPr>
    </w:lvl>
    <w:lvl w:ilvl="5">
      <w:numFmt w:val="bullet"/>
      <w:lvlText w:val="•"/>
      <w:lvlJc w:val="left"/>
      <w:pPr>
        <w:ind w:left="6250" w:hanging="852"/>
      </w:pPr>
      <w:rPr>
        <w:rFonts w:hint="default"/>
      </w:rPr>
    </w:lvl>
    <w:lvl w:ilvl="6">
      <w:numFmt w:val="bullet"/>
      <w:lvlText w:val="•"/>
      <w:lvlJc w:val="left"/>
      <w:pPr>
        <w:ind w:left="7228" w:hanging="852"/>
      </w:pPr>
      <w:rPr>
        <w:rFonts w:hint="default"/>
      </w:rPr>
    </w:lvl>
    <w:lvl w:ilvl="7">
      <w:numFmt w:val="bullet"/>
      <w:lvlText w:val="•"/>
      <w:lvlJc w:val="left"/>
      <w:pPr>
        <w:ind w:left="8206" w:hanging="852"/>
      </w:pPr>
      <w:rPr>
        <w:rFonts w:hint="default"/>
      </w:rPr>
    </w:lvl>
    <w:lvl w:ilvl="8">
      <w:numFmt w:val="bullet"/>
      <w:lvlText w:val="•"/>
      <w:lvlJc w:val="left"/>
      <w:pPr>
        <w:ind w:left="9184" w:hanging="852"/>
      </w:pPr>
      <w:rPr>
        <w:rFonts w:hint="default"/>
      </w:rPr>
    </w:lvl>
  </w:abstractNum>
  <w:abstractNum w:abstractNumId="29" w15:restartNumberingAfterBreak="0">
    <w:nsid w:val="5A5779FC"/>
    <w:multiLevelType w:val="multilevel"/>
    <w:tmpl w:val="4150EAC4"/>
    <w:lvl w:ilvl="0">
      <w:start w:val="4"/>
      <w:numFmt w:val="decimal"/>
      <w:lvlText w:val="%1"/>
      <w:lvlJc w:val="left"/>
      <w:pPr>
        <w:ind w:left="1364" w:hanging="852"/>
        <w:jc w:val="left"/>
      </w:pPr>
      <w:rPr>
        <w:rFonts w:hint="default"/>
      </w:rPr>
    </w:lvl>
    <w:lvl w:ilvl="1">
      <w:start w:val="6"/>
      <w:numFmt w:val="decimal"/>
      <w:lvlText w:val="%1.%2"/>
      <w:lvlJc w:val="left"/>
      <w:pPr>
        <w:ind w:left="1364" w:hanging="852"/>
        <w:jc w:val="left"/>
      </w:pPr>
      <w:rPr>
        <w:rFonts w:hint="default"/>
      </w:rPr>
    </w:lvl>
    <w:lvl w:ilvl="2">
      <w:start w:val="3"/>
      <w:numFmt w:val="decimal"/>
      <w:lvlText w:val="%1.%2.%3"/>
      <w:lvlJc w:val="left"/>
      <w:pPr>
        <w:ind w:left="1364"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364"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645"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5862" w:hanging="1133"/>
      </w:pPr>
      <w:rPr>
        <w:rFonts w:hint="default"/>
      </w:rPr>
    </w:lvl>
    <w:lvl w:ilvl="6">
      <w:numFmt w:val="bullet"/>
      <w:lvlText w:val="•"/>
      <w:lvlJc w:val="left"/>
      <w:pPr>
        <w:ind w:left="6917" w:hanging="1133"/>
      </w:pPr>
      <w:rPr>
        <w:rFonts w:hint="default"/>
      </w:rPr>
    </w:lvl>
    <w:lvl w:ilvl="7">
      <w:numFmt w:val="bullet"/>
      <w:lvlText w:val="•"/>
      <w:lvlJc w:val="left"/>
      <w:pPr>
        <w:ind w:left="7973" w:hanging="1133"/>
      </w:pPr>
      <w:rPr>
        <w:rFonts w:hint="default"/>
      </w:rPr>
    </w:lvl>
    <w:lvl w:ilvl="8">
      <w:numFmt w:val="bullet"/>
      <w:lvlText w:val="•"/>
      <w:lvlJc w:val="left"/>
      <w:pPr>
        <w:ind w:left="9028" w:hanging="1133"/>
      </w:pPr>
      <w:rPr>
        <w:rFonts w:hint="default"/>
      </w:rPr>
    </w:lvl>
  </w:abstractNum>
  <w:abstractNum w:abstractNumId="30" w15:restartNumberingAfterBreak="0">
    <w:nsid w:val="5BF64188"/>
    <w:multiLevelType w:val="hybridMultilevel"/>
    <w:tmpl w:val="7E8C4F7E"/>
    <w:lvl w:ilvl="0" w:tplc="2B9455FC">
      <w:numFmt w:val="bullet"/>
      <w:lvlText w:val=""/>
      <w:lvlJc w:val="left"/>
      <w:pPr>
        <w:ind w:left="467" w:hanging="180"/>
      </w:pPr>
      <w:rPr>
        <w:rFonts w:ascii="Symbol" w:eastAsia="Symbol" w:hAnsi="Symbol" w:cs="Symbol" w:hint="default"/>
        <w:w w:val="100"/>
        <w:sz w:val="18"/>
        <w:szCs w:val="18"/>
      </w:rPr>
    </w:lvl>
    <w:lvl w:ilvl="1" w:tplc="30CC932A">
      <w:numFmt w:val="bullet"/>
      <w:lvlText w:val="•"/>
      <w:lvlJc w:val="left"/>
      <w:pPr>
        <w:ind w:left="780" w:hanging="180"/>
      </w:pPr>
      <w:rPr>
        <w:rFonts w:hint="default"/>
      </w:rPr>
    </w:lvl>
    <w:lvl w:ilvl="2" w:tplc="5CB05528">
      <w:numFmt w:val="bullet"/>
      <w:lvlText w:val="•"/>
      <w:lvlJc w:val="left"/>
      <w:pPr>
        <w:ind w:left="1066" w:hanging="180"/>
      </w:pPr>
      <w:rPr>
        <w:rFonts w:hint="default"/>
      </w:rPr>
    </w:lvl>
    <w:lvl w:ilvl="3" w:tplc="5C6C2072">
      <w:numFmt w:val="bullet"/>
      <w:lvlText w:val="•"/>
      <w:lvlJc w:val="left"/>
      <w:pPr>
        <w:ind w:left="1353" w:hanging="180"/>
      </w:pPr>
      <w:rPr>
        <w:rFonts w:hint="default"/>
      </w:rPr>
    </w:lvl>
    <w:lvl w:ilvl="4" w:tplc="18C0F094">
      <w:numFmt w:val="bullet"/>
      <w:lvlText w:val="•"/>
      <w:lvlJc w:val="left"/>
      <w:pPr>
        <w:ind w:left="1640" w:hanging="180"/>
      </w:pPr>
      <w:rPr>
        <w:rFonts w:hint="default"/>
      </w:rPr>
    </w:lvl>
    <w:lvl w:ilvl="5" w:tplc="05B414DC">
      <w:numFmt w:val="bullet"/>
      <w:lvlText w:val="•"/>
      <w:lvlJc w:val="left"/>
      <w:pPr>
        <w:ind w:left="1926" w:hanging="180"/>
      </w:pPr>
      <w:rPr>
        <w:rFonts w:hint="default"/>
      </w:rPr>
    </w:lvl>
    <w:lvl w:ilvl="6" w:tplc="7F9E3762">
      <w:numFmt w:val="bullet"/>
      <w:lvlText w:val="•"/>
      <w:lvlJc w:val="left"/>
      <w:pPr>
        <w:ind w:left="2213" w:hanging="180"/>
      </w:pPr>
      <w:rPr>
        <w:rFonts w:hint="default"/>
      </w:rPr>
    </w:lvl>
    <w:lvl w:ilvl="7" w:tplc="2D207612">
      <w:numFmt w:val="bullet"/>
      <w:lvlText w:val="•"/>
      <w:lvlJc w:val="left"/>
      <w:pPr>
        <w:ind w:left="2500" w:hanging="180"/>
      </w:pPr>
      <w:rPr>
        <w:rFonts w:hint="default"/>
      </w:rPr>
    </w:lvl>
    <w:lvl w:ilvl="8" w:tplc="2B40B85E">
      <w:numFmt w:val="bullet"/>
      <w:lvlText w:val="•"/>
      <w:lvlJc w:val="left"/>
      <w:pPr>
        <w:ind w:left="2786" w:hanging="180"/>
      </w:pPr>
      <w:rPr>
        <w:rFonts w:hint="default"/>
      </w:rPr>
    </w:lvl>
  </w:abstractNum>
  <w:abstractNum w:abstractNumId="31" w15:restartNumberingAfterBreak="0">
    <w:nsid w:val="5CA45BAD"/>
    <w:multiLevelType w:val="hybridMultilevel"/>
    <w:tmpl w:val="90FA3522"/>
    <w:lvl w:ilvl="0" w:tplc="BC8A9E7E">
      <w:numFmt w:val="bullet"/>
      <w:lvlText w:val=""/>
      <w:lvlJc w:val="left"/>
      <w:pPr>
        <w:ind w:left="467" w:hanging="180"/>
      </w:pPr>
      <w:rPr>
        <w:rFonts w:ascii="Symbol" w:eastAsia="Symbol" w:hAnsi="Symbol" w:cs="Symbol" w:hint="default"/>
        <w:w w:val="100"/>
        <w:sz w:val="18"/>
        <w:szCs w:val="18"/>
      </w:rPr>
    </w:lvl>
    <w:lvl w:ilvl="1" w:tplc="C3F4F8FC">
      <w:numFmt w:val="bullet"/>
      <w:lvlText w:val="•"/>
      <w:lvlJc w:val="left"/>
      <w:pPr>
        <w:ind w:left="750" w:hanging="180"/>
      </w:pPr>
      <w:rPr>
        <w:rFonts w:hint="default"/>
      </w:rPr>
    </w:lvl>
    <w:lvl w:ilvl="2" w:tplc="8EDE4BF2">
      <w:numFmt w:val="bullet"/>
      <w:lvlText w:val="•"/>
      <w:lvlJc w:val="left"/>
      <w:pPr>
        <w:ind w:left="1040" w:hanging="180"/>
      </w:pPr>
      <w:rPr>
        <w:rFonts w:hint="default"/>
      </w:rPr>
    </w:lvl>
    <w:lvl w:ilvl="3" w:tplc="07EC42FE">
      <w:numFmt w:val="bullet"/>
      <w:lvlText w:val="•"/>
      <w:lvlJc w:val="left"/>
      <w:pPr>
        <w:ind w:left="1330" w:hanging="180"/>
      </w:pPr>
      <w:rPr>
        <w:rFonts w:hint="default"/>
      </w:rPr>
    </w:lvl>
    <w:lvl w:ilvl="4" w:tplc="5CE431D0">
      <w:numFmt w:val="bullet"/>
      <w:lvlText w:val="•"/>
      <w:lvlJc w:val="left"/>
      <w:pPr>
        <w:ind w:left="1620" w:hanging="180"/>
      </w:pPr>
      <w:rPr>
        <w:rFonts w:hint="default"/>
      </w:rPr>
    </w:lvl>
    <w:lvl w:ilvl="5" w:tplc="4866078A">
      <w:numFmt w:val="bullet"/>
      <w:lvlText w:val="•"/>
      <w:lvlJc w:val="left"/>
      <w:pPr>
        <w:ind w:left="1910" w:hanging="180"/>
      </w:pPr>
      <w:rPr>
        <w:rFonts w:hint="default"/>
      </w:rPr>
    </w:lvl>
    <w:lvl w:ilvl="6" w:tplc="A06A6AA6">
      <w:numFmt w:val="bullet"/>
      <w:lvlText w:val="•"/>
      <w:lvlJc w:val="left"/>
      <w:pPr>
        <w:ind w:left="2200" w:hanging="180"/>
      </w:pPr>
      <w:rPr>
        <w:rFonts w:hint="default"/>
      </w:rPr>
    </w:lvl>
    <w:lvl w:ilvl="7" w:tplc="CFC40ADA">
      <w:numFmt w:val="bullet"/>
      <w:lvlText w:val="•"/>
      <w:lvlJc w:val="left"/>
      <w:pPr>
        <w:ind w:left="2490" w:hanging="180"/>
      </w:pPr>
      <w:rPr>
        <w:rFonts w:hint="default"/>
      </w:rPr>
    </w:lvl>
    <w:lvl w:ilvl="8" w:tplc="C394A564">
      <w:numFmt w:val="bullet"/>
      <w:lvlText w:val="•"/>
      <w:lvlJc w:val="left"/>
      <w:pPr>
        <w:ind w:left="2780" w:hanging="180"/>
      </w:pPr>
      <w:rPr>
        <w:rFonts w:hint="default"/>
      </w:rPr>
    </w:lvl>
  </w:abstractNum>
  <w:abstractNum w:abstractNumId="32" w15:restartNumberingAfterBreak="0">
    <w:nsid w:val="5D926451"/>
    <w:multiLevelType w:val="hybridMultilevel"/>
    <w:tmpl w:val="98184D1A"/>
    <w:lvl w:ilvl="0" w:tplc="36223D44">
      <w:numFmt w:val="bullet"/>
      <w:lvlText w:val=""/>
      <w:lvlJc w:val="left"/>
      <w:pPr>
        <w:ind w:left="299" w:hanging="180"/>
      </w:pPr>
      <w:rPr>
        <w:rFonts w:ascii="Symbol" w:eastAsia="Symbol" w:hAnsi="Symbol" w:cs="Symbol" w:hint="default"/>
        <w:w w:val="100"/>
        <w:sz w:val="18"/>
        <w:szCs w:val="18"/>
      </w:rPr>
    </w:lvl>
    <w:lvl w:ilvl="1" w:tplc="BF104070">
      <w:numFmt w:val="bullet"/>
      <w:lvlText w:val="•"/>
      <w:lvlJc w:val="left"/>
      <w:pPr>
        <w:ind w:left="567" w:hanging="180"/>
      </w:pPr>
      <w:rPr>
        <w:rFonts w:hint="default"/>
      </w:rPr>
    </w:lvl>
    <w:lvl w:ilvl="2" w:tplc="9C3C468A">
      <w:numFmt w:val="bullet"/>
      <w:lvlText w:val="•"/>
      <w:lvlJc w:val="left"/>
      <w:pPr>
        <w:ind w:left="834" w:hanging="180"/>
      </w:pPr>
      <w:rPr>
        <w:rFonts w:hint="default"/>
      </w:rPr>
    </w:lvl>
    <w:lvl w:ilvl="3" w:tplc="A2B21702">
      <w:numFmt w:val="bullet"/>
      <w:lvlText w:val="•"/>
      <w:lvlJc w:val="left"/>
      <w:pPr>
        <w:ind w:left="1101" w:hanging="180"/>
      </w:pPr>
      <w:rPr>
        <w:rFonts w:hint="default"/>
      </w:rPr>
    </w:lvl>
    <w:lvl w:ilvl="4" w:tplc="1226A8AC">
      <w:numFmt w:val="bullet"/>
      <w:lvlText w:val="•"/>
      <w:lvlJc w:val="left"/>
      <w:pPr>
        <w:ind w:left="1368" w:hanging="180"/>
      </w:pPr>
      <w:rPr>
        <w:rFonts w:hint="default"/>
      </w:rPr>
    </w:lvl>
    <w:lvl w:ilvl="5" w:tplc="65A4D6EA">
      <w:numFmt w:val="bullet"/>
      <w:lvlText w:val="•"/>
      <w:lvlJc w:val="left"/>
      <w:pPr>
        <w:ind w:left="1635" w:hanging="180"/>
      </w:pPr>
      <w:rPr>
        <w:rFonts w:hint="default"/>
      </w:rPr>
    </w:lvl>
    <w:lvl w:ilvl="6" w:tplc="5B44DB5E">
      <w:numFmt w:val="bullet"/>
      <w:lvlText w:val="•"/>
      <w:lvlJc w:val="left"/>
      <w:pPr>
        <w:ind w:left="1902" w:hanging="180"/>
      </w:pPr>
      <w:rPr>
        <w:rFonts w:hint="default"/>
      </w:rPr>
    </w:lvl>
    <w:lvl w:ilvl="7" w:tplc="48B48E12">
      <w:numFmt w:val="bullet"/>
      <w:lvlText w:val="•"/>
      <w:lvlJc w:val="left"/>
      <w:pPr>
        <w:ind w:left="2169" w:hanging="180"/>
      </w:pPr>
      <w:rPr>
        <w:rFonts w:hint="default"/>
      </w:rPr>
    </w:lvl>
    <w:lvl w:ilvl="8" w:tplc="E39C83C6">
      <w:numFmt w:val="bullet"/>
      <w:lvlText w:val="•"/>
      <w:lvlJc w:val="left"/>
      <w:pPr>
        <w:ind w:left="2436" w:hanging="180"/>
      </w:pPr>
      <w:rPr>
        <w:rFonts w:hint="default"/>
      </w:rPr>
    </w:lvl>
  </w:abstractNum>
  <w:abstractNum w:abstractNumId="33" w15:restartNumberingAfterBreak="0">
    <w:nsid w:val="5D9847D7"/>
    <w:multiLevelType w:val="hybridMultilevel"/>
    <w:tmpl w:val="A41E93A2"/>
    <w:lvl w:ilvl="0" w:tplc="4E22FDE6">
      <w:numFmt w:val="bullet"/>
      <w:lvlText w:val="&gt;"/>
      <w:lvlJc w:val="left"/>
      <w:pPr>
        <w:ind w:left="2166" w:hanging="147"/>
      </w:pPr>
      <w:rPr>
        <w:rFonts w:ascii="Times New Roman" w:eastAsia="Times New Roman" w:hAnsi="Times New Roman" w:cs="Times New Roman" w:hint="default"/>
        <w:w w:val="100"/>
        <w:sz w:val="18"/>
        <w:szCs w:val="18"/>
      </w:rPr>
    </w:lvl>
    <w:lvl w:ilvl="1" w:tplc="EAEA8FD6">
      <w:numFmt w:val="bullet"/>
      <w:lvlText w:val="•"/>
      <w:lvlJc w:val="left"/>
      <w:pPr>
        <w:ind w:left="2388" w:hanging="147"/>
      </w:pPr>
      <w:rPr>
        <w:rFonts w:hint="default"/>
      </w:rPr>
    </w:lvl>
    <w:lvl w:ilvl="2" w:tplc="A7341E4A">
      <w:numFmt w:val="bullet"/>
      <w:lvlText w:val="•"/>
      <w:lvlJc w:val="left"/>
      <w:pPr>
        <w:ind w:left="2617" w:hanging="147"/>
      </w:pPr>
      <w:rPr>
        <w:rFonts w:hint="default"/>
      </w:rPr>
    </w:lvl>
    <w:lvl w:ilvl="3" w:tplc="6B7E3C50">
      <w:numFmt w:val="bullet"/>
      <w:lvlText w:val="•"/>
      <w:lvlJc w:val="left"/>
      <w:pPr>
        <w:ind w:left="2846" w:hanging="147"/>
      </w:pPr>
      <w:rPr>
        <w:rFonts w:hint="default"/>
      </w:rPr>
    </w:lvl>
    <w:lvl w:ilvl="4" w:tplc="4640877A">
      <w:numFmt w:val="bullet"/>
      <w:lvlText w:val="•"/>
      <w:lvlJc w:val="left"/>
      <w:pPr>
        <w:ind w:left="3074" w:hanging="147"/>
      </w:pPr>
      <w:rPr>
        <w:rFonts w:hint="default"/>
      </w:rPr>
    </w:lvl>
    <w:lvl w:ilvl="5" w:tplc="C83E99E0">
      <w:numFmt w:val="bullet"/>
      <w:lvlText w:val="•"/>
      <w:lvlJc w:val="left"/>
      <w:pPr>
        <w:ind w:left="3303" w:hanging="147"/>
      </w:pPr>
      <w:rPr>
        <w:rFonts w:hint="default"/>
      </w:rPr>
    </w:lvl>
    <w:lvl w:ilvl="6" w:tplc="9CAC09AE">
      <w:numFmt w:val="bullet"/>
      <w:lvlText w:val="•"/>
      <w:lvlJc w:val="left"/>
      <w:pPr>
        <w:ind w:left="3532" w:hanging="147"/>
      </w:pPr>
      <w:rPr>
        <w:rFonts w:hint="default"/>
      </w:rPr>
    </w:lvl>
    <w:lvl w:ilvl="7" w:tplc="9BBE726A">
      <w:numFmt w:val="bullet"/>
      <w:lvlText w:val="•"/>
      <w:lvlJc w:val="left"/>
      <w:pPr>
        <w:ind w:left="3760" w:hanging="147"/>
      </w:pPr>
      <w:rPr>
        <w:rFonts w:hint="default"/>
      </w:rPr>
    </w:lvl>
    <w:lvl w:ilvl="8" w:tplc="D028156C">
      <w:numFmt w:val="bullet"/>
      <w:lvlText w:val="•"/>
      <w:lvlJc w:val="left"/>
      <w:pPr>
        <w:ind w:left="3989" w:hanging="147"/>
      </w:pPr>
      <w:rPr>
        <w:rFonts w:hint="default"/>
      </w:rPr>
    </w:lvl>
  </w:abstractNum>
  <w:abstractNum w:abstractNumId="34" w15:restartNumberingAfterBreak="0">
    <w:nsid w:val="5F104162"/>
    <w:multiLevelType w:val="multilevel"/>
    <w:tmpl w:val="120486B0"/>
    <w:lvl w:ilvl="0">
      <w:start w:val="5"/>
      <w:numFmt w:val="decimal"/>
      <w:lvlText w:val="%1"/>
      <w:lvlJc w:val="left"/>
      <w:pPr>
        <w:ind w:left="1364"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364"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364"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3751" w:hanging="852"/>
      </w:pPr>
      <w:rPr>
        <w:rFonts w:hint="default"/>
      </w:rPr>
    </w:lvl>
    <w:lvl w:ilvl="4">
      <w:numFmt w:val="bullet"/>
      <w:lvlText w:val="•"/>
      <w:lvlJc w:val="left"/>
      <w:pPr>
        <w:ind w:left="4806" w:hanging="852"/>
      </w:pPr>
      <w:rPr>
        <w:rFonts w:hint="default"/>
      </w:rPr>
    </w:lvl>
    <w:lvl w:ilvl="5">
      <w:numFmt w:val="bullet"/>
      <w:lvlText w:val="•"/>
      <w:lvlJc w:val="left"/>
      <w:pPr>
        <w:ind w:left="5862" w:hanging="852"/>
      </w:pPr>
      <w:rPr>
        <w:rFonts w:hint="default"/>
      </w:rPr>
    </w:lvl>
    <w:lvl w:ilvl="6">
      <w:numFmt w:val="bullet"/>
      <w:lvlText w:val="•"/>
      <w:lvlJc w:val="left"/>
      <w:pPr>
        <w:ind w:left="6917" w:hanging="852"/>
      </w:pPr>
      <w:rPr>
        <w:rFonts w:hint="default"/>
      </w:rPr>
    </w:lvl>
    <w:lvl w:ilvl="7">
      <w:numFmt w:val="bullet"/>
      <w:lvlText w:val="•"/>
      <w:lvlJc w:val="left"/>
      <w:pPr>
        <w:ind w:left="7973" w:hanging="852"/>
      </w:pPr>
      <w:rPr>
        <w:rFonts w:hint="default"/>
      </w:rPr>
    </w:lvl>
    <w:lvl w:ilvl="8">
      <w:numFmt w:val="bullet"/>
      <w:lvlText w:val="•"/>
      <w:lvlJc w:val="left"/>
      <w:pPr>
        <w:ind w:left="9028" w:hanging="852"/>
      </w:pPr>
      <w:rPr>
        <w:rFonts w:hint="default"/>
      </w:rPr>
    </w:lvl>
  </w:abstractNum>
  <w:abstractNum w:abstractNumId="35" w15:restartNumberingAfterBreak="0">
    <w:nsid w:val="5F8B2A09"/>
    <w:multiLevelType w:val="hybridMultilevel"/>
    <w:tmpl w:val="C27488AE"/>
    <w:lvl w:ilvl="0" w:tplc="1A1AB716">
      <w:numFmt w:val="bullet"/>
      <w:lvlText w:val="&gt;"/>
      <w:lvlJc w:val="left"/>
      <w:pPr>
        <w:ind w:left="2166" w:hanging="147"/>
      </w:pPr>
      <w:rPr>
        <w:rFonts w:ascii="Times New Roman" w:eastAsia="Times New Roman" w:hAnsi="Times New Roman" w:cs="Times New Roman" w:hint="default"/>
        <w:w w:val="100"/>
        <w:sz w:val="18"/>
        <w:szCs w:val="18"/>
      </w:rPr>
    </w:lvl>
    <w:lvl w:ilvl="1" w:tplc="68BC8666">
      <w:numFmt w:val="bullet"/>
      <w:lvlText w:val="•"/>
      <w:lvlJc w:val="left"/>
      <w:pPr>
        <w:ind w:left="2388" w:hanging="147"/>
      </w:pPr>
      <w:rPr>
        <w:rFonts w:hint="default"/>
      </w:rPr>
    </w:lvl>
    <w:lvl w:ilvl="2" w:tplc="7C265E8A">
      <w:numFmt w:val="bullet"/>
      <w:lvlText w:val="•"/>
      <w:lvlJc w:val="left"/>
      <w:pPr>
        <w:ind w:left="2617" w:hanging="147"/>
      </w:pPr>
      <w:rPr>
        <w:rFonts w:hint="default"/>
      </w:rPr>
    </w:lvl>
    <w:lvl w:ilvl="3" w:tplc="3E0CD246">
      <w:numFmt w:val="bullet"/>
      <w:lvlText w:val="•"/>
      <w:lvlJc w:val="left"/>
      <w:pPr>
        <w:ind w:left="2846" w:hanging="147"/>
      </w:pPr>
      <w:rPr>
        <w:rFonts w:hint="default"/>
      </w:rPr>
    </w:lvl>
    <w:lvl w:ilvl="4" w:tplc="42AEA18E">
      <w:numFmt w:val="bullet"/>
      <w:lvlText w:val="•"/>
      <w:lvlJc w:val="left"/>
      <w:pPr>
        <w:ind w:left="3074" w:hanging="147"/>
      </w:pPr>
      <w:rPr>
        <w:rFonts w:hint="default"/>
      </w:rPr>
    </w:lvl>
    <w:lvl w:ilvl="5" w:tplc="57607E7C">
      <w:numFmt w:val="bullet"/>
      <w:lvlText w:val="•"/>
      <w:lvlJc w:val="left"/>
      <w:pPr>
        <w:ind w:left="3303" w:hanging="147"/>
      </w:pPr>
      <w:rPr>
        <w:rFonts w:hint="default"/>
      </w:rPr>
    </w:lvl>
    <w:lvl w:ilvl="6" w:tplc="DC32EB9E">
      <w:numFmt w:val="bullet"/>
      <w:lvlText w:val="•"/>
      <w:lvlJc w:val="left"/>
      <w:pPr>
        <w:ind w:left="3532" w:hanging="147"/>
      </w:pPr>
      <w:rPr>
        <w:rFonts w:hint="default"/>
      </w:rPr>
    </w:lvl>
    <w:lvl w:ilvl="7" w:tplc="8FBA6A96">
      <w:numFmt w:val="bullet"/>
      <w:lvlText w:val="•"/>
      <w:lvlJc w:val="left"/>
      <w:pPr>
        <w:ind w:left="3760" w:hanging="147"/>
      </w:pPr>
      <w:rPr>
        <w:rFonts w:hint="default"/>
      </w:rPr>
    </w:lvl>
    <w:lvl w:ilvl="8" w:tplc="54DE470E">
      <w:numFmt w:val="bullet"/>
      <w:lvlText w:val="•"/>
      <w:lvlJc w:val="left"/>
      <w:pPr>
        <w:ind w:left="3989" w:hanging="147"/>
      </w:pPr>
      <w:rPr>
        <w:rFonts w:hint="default"/>
      </w:rPr>
    </w:lvl>
  </w:abstractNum>
  <w:abstractNum w:abstractNumId="36" w15:restartNumberingAfterBreak="0">
    <w:nsid w:val="622568C9"/>
    <w:multiLevelType w:val="hybridMultilevel"/>
    <w:tmpl w:val="6116DD74"/>
    <w:lvl w:ilvl="0" w:tplc="422E2ED8">
      <w:numFmt w:val="bullet"/>
      <w:lvlText w:val="&gt;"/>
      <w:lvlJc w:val="left"/>
      <w:pPr>
        <w:ind w:left="2231" w:hanging="147"/>
      </w:pPr>
      <w:rPr>
        <w:rFonts w:ascii="Times New Roman" w:eastAsia="Times New Roman" w:hAnsi="Times New Roman" w:cs="Times New Roman" w:hint="default"/>
        <w:w w:val="100"/>
        <w:sz w:val="18"/>
        <w:szCs w:val="18"/>
      </w:rPr>
    </w:lvl>
    <w:lvl w:ilvl="1" w:tplc="A112D114">
      <w:numFmt w:val="bullet"/>
      <w:lvlText w:val="•"/>
      <w:lvlJc w:val="left"/>
      <w:pPr>
        <w:ind w:left="2473" w:hanging="147"/>
      </w:pPr>
      <w:rPr>
        <w:rFonts w:hint="default"/>
      </w:rPr>
    </w:lvl>
    <w:lvl w:ilvl="2" w:tplc="89FE4FF8">
      <w:numFmt w:val="bullet"/>
      <w:lvlText w:val="•"/>
      <w:lvlJc w:val="left"/>
      <w:pPr>
        <w:ind w:left="2706" w:hanging="147"/>
      </w:pPr>
      <w:rPr>
        <w:rFonts w:hint="default"/>
      </w:rPr>
    </w:lvl>
    <w:lvl w:ilvl="3" w:tplc="40AEB764">
      <w:numFmt w:val="bullet"/>
      <w:lvlText w:val="•"/>
      <w:lvlJc w:val="left"/>
      <w:pPr>
        <w:ind w:left="2939" w:hanging="147"/>
      </w:pPr>
      <w:rPr>
        <w:rFonts w:hint="default"/>
      </w:rPr>
    </w:lvl>
    <w:lvl w:ilvl="4" w:tplc="30580F6A">
      <w:numFmt w:val="bullet"/>
      <w:lvlText w:val="•"/>
      <w:lvlJc w:val="left"/>
      <w:pPr>
        <w:ind w:left="3172" w:hanging="147"/>
      </w:pPr>
      <w:rPr>
        <w:rFonts w:hint="default"/>
      </w:rPr>
    </w:lvl>
    <w:lvl w:ilvl="5" w:tplc="ADB2F866">
      <w:numFmt w:val="bullet"/>
      <w:lvlText w:val="•"/>
      <w:lvlJc w:val="left"/>
      <w:pPr>
        <w:ind w:left="3406" w:hanging="147"/>
      </w:pPr>
      <w:rPr>
        <w:rFonts w:hint="default"/>
      </w:rPr>
    </w:lvl>
    <w:lvl w:ilvl="6" w:tplc="EC041220">
      <w:numFmt w:val="bullet"/>
      <w:lvlText w:val="•"/>
      <w:lvlJc w:val="left"/>
      <w:pPr>
        <w:ind w:left="3639" w:hanging="147"/>
      </w:pPr>
      <w:rPr>
        <w:rFonts w:hint="default"/>
      </w:rPr>
    </w:lvl>
    <w:lvl w:ilvl="7" w:tplc="D49AD0CC">
      <w:numFmt w:val="bullet"/>
      <w:lvlText w:val="•"/>
      <w:lvlJc w:val="left"/>
      <w:pPr>
        <w:ind w:left="3872" w:hanging="147"/>
      </w:pPr>
      <w:rPr>
        <w:rFonts w:hint="default"/>
      </w:rPr>
    </w:lvl>
    <w:lvl w:ilvl="8" w:tplc="AB9C30D4">
      <w:numFmt w:val="bullet"/>
      <w:lvlText w:val="•"/>
      <w:lvlJc w:val="left"/>
      <w:pPr>
        <w:ind w:left="4105" w:hanging="147"/>
      </w:pPr>
      <w:rPr>
        <w:rFonts w:hint="default"/>
      </w:rPr>
    </w:lvl>
  </w:abstractNum>
  <w:abstractNum w:abstractNumId="37" w15:restartNumberingAfterBreak="0">
    <w:nsid w:val="633A7A8B"/>
    <w:multiLevelType w:val="hybridMultilevel"/>
    <w:tmpl w:val="E7DEDC9A"/>
    <w:lvl w:ilvl="0" w:tplc="88943A52">
      <w:numFmt w:val="bullet"/>
      <w:lvlText w:val=""/>
      <w:lvlJc w:val="left"/>
      <w:pPr>
        <w:ind w:left="299" w:hanging="180"/>
      </w:pPr>
      <w:rPr>
        <w:rFonts w:ascii="Symbol" w:eastAsia="Symbol" w:hAnsi="Symbol" w:cs="Symbol" w:hint="default"/>
        <w:w w:val="100"/>
        <w:sz w:val="18"/>
        <w:szCs w:val="18"/>
      </w:rPr>
    </w:lvl>
    <w:lvl w:ilvl="1" w:tplc="B57A8792">
      <w:numFmt w:val="bullet"/>
      <w:lvlText w:val="•"/>
      <w:lvlJc w:val="left"/>
      <w:pPr>
        <w:ind w:left="557" w:hanging="180"/>
      </w:pPr>
      <w:rPr>
        <w:rFonts w:hint="default"/>
      </w:rPr>
    </w:lvl>
    <w:lvl w:ilvl="2" w:tplc="6B7C1542">
      <w:numFmt w:val="bullet"/>
      <w:lvlText w:val="•"/>
      <w:lvlJc w:val="left"/>
      <w:pPr>
        <w:ind w:left="815" w:hanging="180"/>
      </w:pPr>
      <w:rPr>
        <w:rFonts w:hint="default"/>
      </w:rPr>
    </w:lvl>
    <w:lvl w:ilvl="3" w:tplc="C936D138">
      <w:numFmt w:val="bullet"/>
      <w:lvlText w:val="•"/>
      <w:lvlJc w:val="left"/>
      <w:pPr>
        <w:ind w:left="1072" w:hanging="180"/>
      </w:pPr>
      <w:rPr>
        <w:rFonts w:hint="default"/>
      </w:rPr>
    </w:lvl>
    <w:lvl w:ilvl="4" w:tplc="12CED1B2">
      <w:numFmt w:val="bullet"/>
      <w:lvlText w:val="•"/>
      <w:lvlJc w:val="left"/>
      <w:pPr>
        <w:ind w:left="1330" w:hanging="180"/>
      </w:pPr>
      <w:rPr>
        <w:rFonts w:hint="default"/>
      </w:rPr>
    </w:lvl>
    <w:lvl w:ilvl="5" w:tplc="32D8FF30">
      <w:numFmt w:val="bullet"/>
      <w:lvlText w:val="•"/>
      <w:lvlJc w:val="left"/>
      <w:pPr>
        <w:ind w:left="1587" w:hanging="180"/>
      </w:pPr>
      <w:rPr>
        <w:rFonts w:hint="default"/>
      </w:rPr>
    </w:lvl>
    <w:lvl w:ilvl="6" w:tplc="A104C132">
      <w:numFmt w:val="bullet"/>
      <w:lvlText w:val="•"/>
      <w:lvlJc w:val="left"/>
      <w:pPr>
        <w:ind w:left="1845" w:hanging="180"/>
      </w:pPr>
      <w:rPr>
        <w:rFonts w:hint="default"/>
      </w:rPr>
    </w:lvl>
    <w:lvl w:ilvl="7" w:tplc="2EC24396">
      <w:numFmt w:val="bullet"/>
      <w:lvlText w:val="•"/>
      <w:lvlJc w:val="left"/>
      <w:pPr>
        <w:ind w:left="2102" w:hanging="180"/>
      </w:pPr>
      <w:rPr>
        <w:rFonts w:hint="default"/>
      </w:rPr>
    </w:lvl>
    <w:lvl w:ilvl="8" w:tplc="639CE054">
      <w:numFmt w:val="bullet"/>
      <w:lvlText w:val="•"/>
      <w:lvlJc w:val="left"/>
      <w:pPr>
        <w:ind w:left="2360" w:hanging="180"/>
      </w:pPr>
      <w:rPr>
        <w:rFonts w:hint="default"/>
      </w:rPr>
    </w:lvl>
  </w:abstractNum>
  <w:abstractNum w:abstractNumId="38" w15:restartNumberingAfterBreak="0">
    <w:nsid w:val="64A44611"/>
    <w:multiLevelType w:val="hybridMultilevel"/>
    <w:tmpl w:val="9850A92C"/>
    <w:lvl w:ilvl="0" w:tplc="8B0E3A48">
      <w:numFmt w:val="bullet"/>
      <w:lvlText w:val=""/>
      <w:lvlJc w:val="left"/>
      <w:pPr>
        <w:ind w:left="299" w:hanging="180"/>
      </w:pPr>
      <w:rPr>
        <w:rFonts w:ascii="Symbol" w:eastAsia="Symbol" w:hAnsi="Symbol" w:cs="Symbol" w:hint="default"/>
        <w:w w:val="100"/>
        <w:sz w:val="18"/>
        <w:szCs w:val="18"/>
      </w:rPr>
    </w:lvl>
    <w:lvl w:ilvl="1" w:tplc="66900612">
      <w:numFmt w:val="bullet"/>
      <w:lvlText w:val="•"/>
      <w:lvlJc w:val="left"/>
      <w:pPr>
        <w:ind w:left="567" w:hanging="180"/>
      </w:pPr>
      <w:rPr>
        <w:rFonts w:hint="default"/>
      </w:rPr>
    </w:lvl>
    <w:lvl w:ilvl="2" w:tplc="4FD069D2">
      <w:numFmt w:val="bullet"/>
      <w:lvlText w:val="•"/>
      <w:lvlJc w:val="left"/>
      <w:pPr>
        <w:ind w:left="834" w:hanging="180"/>
      </w:pPr>
      <w:rPr>
        <w:rFonts w:hint="default"/>
      </w:rPr>
    </w:lvl>
    <w:lvl w:ilvl="3" w:tplc="1F382254">
      <w:numFmt w:val="bullet"/>
      <w:lvlText w:val="•"/>
      <w:lvlJc w:val="left"/>
      <w:pPr>
        <w:ind w:left="1101" w:hanging="180"/>
      </w:pPr>
      <w:rPr>
        <w:rFonts w:hint="default"/>
      </w:rPr>
    </w:lvl>
    <w:lvl w:ilvl="4" w:tplc="776012EA">
      <w:numFmt w:val="bullet"/>
      <w:lvlText w:val="•"/>
      <w:lvlJc w:val="left"/>
      <w:pPr>
        <w:ind w:left="1368" w:hanging="180"/>
      </w:pPr>
      <w:rPr>
        <w:rFonts w:hint="default"/>
      </w:rPr>
    </w:lvl>
    <w:lvl w:ilvl="5" w:tplc="110C508C">
      <w:numFmt w:val="bullet"/>
      <w:lvlText w:val="•"/>
      <w:lvlJc w:val="left"/>
      <w:pPr>
        <w:ind w:left="1635" w:hanging="180"/>
      </w:pPr>
      <w:rPr>
        <w:rFonts w:hint="default"/>
      </w:rPr>
    </w:lvl>
    <w:lvl w:ilvl="6" w:tplc="59BABE54">
      <w:numFmt w:val="bullet"/>
      <w:lvlText w:val="•"/>
      <w:lvlJc w:val="left"/>
      <w:pPr>
        <w:ind w:left="1902" w:hanging="180"/>
      </w:pPr>
      <w:rPr>
        <w:rFonts w:hint="default"/>
      </w:rPr>
    </w:lvl>
    <w:lvl w:ilvl="7" w:tplc="25266634">
      <w:numFmt w:val="bullet"/>
      <w:lvlText w:val="•"/>
      <w:lvlJc w:val="left"/>
      <w:pPr>
        <w:ind w:left="2169" w:hanging="180"/>
      </w:pPr>
      <w:rPr>
        <w:rFonts w:hint="default"/>
      </w:rPr>
    </w:lvl>
    <w:lvl w:ilvl="8" w:tplc="7A5452B8">
      <w:numFmt w:val="bullet"/>
      <w:lvlText w:val="•"/>
      <w:lvlJc w:val="left"/>
      <w:pPr>
        <w:ind w:left="2436" w:hanging="180"/>
      </w:pPr>
      <w:rPr>
        <w:rFonts w:hint="default"/>
      </w:rPr>
    </w:lvl>
  </w:abstractNum>
  <w:abstractNum w:abstractNumId="39" w15:restartNumberingAfterBreak="0">
    <w:nsid w:val="6F254074"/>
    <w:multiLevelType w:val="hybridMultilevel"/>
    <w:tmpl w:val="A40CFF92"/>
    <w:lvl w:ilvl="0" w:tplc="2E62EEB2">
      <w:numFmt w:val="bullet"/>
      <w:lvlText w:val="●"/>
      <w:lvlJc w:val="left"/>
      <w:pPr>
        <w:ind w:left="937" w:hanging="425"/>
      </w:pPr>
      <w:rPr>
        <w:rFonts w:ascii="Times New Roman" w:eastAsia="Times New Roman" w:hAnsi="Times New Roman" w:cs="Times New Roman" w:hint="default"/>
        <w:spacing w:val="-6"/>
        <w:w w:val="100"/>
        <w:sz w:val="24"/>
        <w:szCs w:val="24"/>
      </w:rPr>
    </w:lvl>
    <w:lvl w:ilvl="1" w:tplc="C512D406">
      <w:numFmt w:val="bullet"/>
      <w:lvlText w:val="•"/>
      <w:lvlJc w:val="left"/>
      <w:pPr>
        <w:ind w:left="1960" w:hanging="425"/>
      </w:pPr>
      <w:rPr>
        <w:rFonts w:hint="default"/>
      </w:rPr>
    </w:lvl>
    <w:lvl w:ilvl="2" w:tplc="6B948650">
      <w:numFmt w:val="bullet"/>
      <w:lvlText w:val="•"/>
      <w:lvlJc w:val="left"/>
      <w:pPr>
        <w:ind w:left="2980" w:hanging="425"/>
      </w:pPr>
      <w:rPr>
        <w:rFonts w:hint="default"/>
      </w:rPr>
    </w:lvl>
    <w:lvl w:ilvl="3" w:tplc="0D7CC538">
      <w:numFmt w:val="bullet"/>
      <w:lvlText w:val="•"/>
      <w:lvlJc w:val="left"/>
      <w:pPr>
        <w:ind w:left="4000" w:hanging="425"/>
      </w:pPr>
      <w:rPr>
        <w:rFonts w:hint="default"/>
      </w:rPr>
    </w:lvl>
    <w:lvl w:ilvl="4" w:tplc="7486A0F2">
      <w:numFmt w:val="bullet"/>
      <w:lvlText w:val="•"/>
      <w:lvlJc w:val="left"/>
      <w:pPr>
        <w:ind w:left="5020" w:hanging="425"/>
      </w:pPr>
      <w:rPr>
        <w:rFonts w:hint="default"/>
      </w:rPr>
    </w:lvl>
    <w:lvl w:ilvl="5" w:tplc="CBD07718">
      <w:numFmt w:val="bullet"/>
      <w:lvlText w:val="•"/>
      <w:lvlJc w:val="left"/>
      <w:pPr>
        <w:ind w:left="6040" w:hanging="425"/>
      </w:pPr>
      <w:rPr>
        <w:rFonts w:hint="default"/>
      </w:rPr>
    </w:lvl>
    <w:lvl w:ilvl="6" w:tplc="5A52877C">
      <w:numFmt w:val="bullet"/>
      <w:lvlText w:val="•"/>
      <w:lvlJc w:val="left"/>
      <w:pPr>
        <w:ind w:left="7060" w:hanging="425"/>
      </w:pPr>
      <w:rPr>
        <w:rFonts w:hint="default"/>
      </w:rPr>
    </w:lvl>
    <w:lvl w:ilvl="7" w:tplc="0886440A">
      <w:numFmt w:val="bullet"/>
      <w:lvlText w:val="•"/>
      <w:lvlJc w:val="left"/>
      <w:pPr>
        <w:ind w:left="8080" w:hanging="425"/>
      </w:pPr>
      <w:rPr>
        <w:rFonts w:hint="default"/>
      </w:rPr>
    </w:lvl>
    <w:lvl w:ilvl="8" w:tplc="87065F4E">
      <w:numFmt w:val="bullet"/>
      <w:lvlText w:val="•"/>
      <w:lvlJc w:val="left"/>
      <w:pPr>
        <w:ind w:left="9100" w:hanging="425"/>
      </w:pPr>
      <w:rPr>
        <w:rFonts w:hint="default"/>
      </w:rPr>
    </w:lvl>
  </w:abstractNum>
  <w:abstractNum w:abstractNumId="40" w15:restartNumberingAfterBreak="0">
    <w:nsid w:val="70F704F2"/>
    <w:multiLevelType w:val="hybridMultilevel"/>
    <w:tmpl w:val="B1AC9BDE"/>
    <w:lvl w:ilvl="0" w:tplc="1D70BB62">
      <w:numFmt w:val="bullet"/>
      <w:lvlText w:val="&gt;"/>
      <w:lvlJc w:val="left"/>
      <w:pPr>
        <w:ind w:left="2166" w:hanging="147"/>
      </w:pPr>
      <w:rPr>
        <w:rFonts w:ascii="Times New Roman" w:eastAsia="Times New Roman" w:hAnsi="Times New Roman" w:cs="Times New Roman" w:hint="default"/>
        <w:w w:val="100"/>
        <w:sz w:val="18"/>
        <w:szCs w:val="18"/>
      </w:rPr>
    </w:lvl>
    <w:lvl w:ilvl="1" w:tplc="152C9A64">
      <w:numFmt w:val="bullet"/>
      <w:lvlText w:val="•"/>
      <w:lvlJc w:val="left"/>
      <w:pPr>
        <w:ind w:left="2388" w:hanging="147"/>
      </w:pPr>
      <w:rPr>
        <w:rFonts w:hint="default"/>
      </w:rPr>
    </w:lvl>
    <w:lvl w:ilvl="2" w:tplc="5C12918E">
      <w:numFmt w:val="bullet"/>
      <w:lvlText w:val="•"/>
      <w:lvlJc w:val="left"/>
      <w:pPr>
        <w:ind w:left="2617" w:hanging="147"/>
      </w:pPr>
      <w:rPr>
        <w:rFonts w:hint="default"/>
      </w:rPr>
    </w:lvl>
    <w:lvl w:ilvl="3" w:tplc="9A38D0FA">
      <w:numFmt w:val="bullet"/>
      <w:lvlText w:val="•"/>
      <w:lvlJc w:val="left"/>
      <w:pPr>
        <w:ind w:left="2846" w:hanging="147"/>
      </w:pPr>
      <w:rPr>
        <w:rFonts w:hint="default"/>
      </w:rPr>
    </w:lvl>
    <w:lvl w:ilvl="4" w:tplc="9DBCC202">
      <w:numFmt w:val="bullet"/>
      <w:lvlText w:val="•"/>
      <w:lvlJc w:val="left"/>
      <w:pPr>
        <w:ind w:left="3074" w:hanging="147"/>
      </w:pPr>
      <w:rPr>
        <w:rFonts w:hint="default"/>
      </w:rPr>
    </w:lvl>
    <w:lvl w:ilvl="5" w:tplc="66BCA7BC">
      <w:numFmt w:val="bullet"/>
      <w:lvlText w:val="•"/>
      <w:lvlJc w:val="left"/>
      <w:pPr>
        <w:ind w:left="3303" w:hanging="147"/>
      </w:pPr>
      <w:rPr>
        <w:rFonts w:hint="default"/>
      </w:rPr>
    </w:lvl>
    <w:lvl w:ilvl="6" w:tplc="48E4BCB0">
      <w:numFmt w:val="bullet"/>
      <w:lvlText w:val="•"/>
      <w:lvlJc w:val="left"/>
      <w:pPr>
        <w:ind w:left="3532" w:hanging="147"/>
      </w:pPr>
      <w:rPr>
        <w:rFonts w:hint="default"/>
      </w:rPr>
    </w:lvl>
    <w:lvl w:ilvl="7" w:tplc="1B201C44">
      <w:numFmt w:val="bullet"/>
      <w:lvlText w:val="•"/>
      <w:lvlJc w:val="left"/>
      <w:pPr>
        <w:ind w:left="3760" w:hanging="147"/>
      </w:pPr>
      <w:rPr>
        <w:rFonts w:hint="default"/>
      </w:rPr>
    </w:lvl>
    <w:lvl w:ilvl="8" w:tplc="BE345C5C">
      <w:numFmt w:val="bullet"/>
      <w:lvlText w:val="•"/>
      <w:lvlJc w:val="left"/>
      <w:pPr>
        <w:ind w:left="3989" w:hanging="147"/>
      </w:pPr>
      <w:rPr>
        <w:rFonts w:hint="default"/>
      </w:rPr>
    </w:lvl>
  </w:abstractNum>
  <w:abstractNum w:abstractNumId="41" w15:restartNumberingAfterBreak="0">
    <w:nsid w:val="784958F8"/>
    <w:multiLevelType w:val="multilevel"/>
    <w:tmpl w:val="7EA8604E"/>
    <w:lvl w:ilvl="0">
      <w:start w:val="5"/>
      <w:numFmt w:val="decimal"/>
      <w:lvlText w:val="%1"/>
      <w:lvlJc w:val="left"/>
      <w:pPr>
        <w:ind w:left="1364" w:hanging="852"/>
        <w:jc w:val="left"/>
      </w:pPr>
      <w:rPr>
        <w:rFonts w:hint="default"/>
      </w:rPr>
    </w:lvl>
    <w:lvl w:ilvl="1">
      <w:start w:val="2"/>
      <w:numFmt w:val="decimal"/>
      <w:lvlText w:val="%1.%2"/>
      <w:lvlJc w:val="left"/>
      <w:pPr>
        <w:ind w:left="1364" w:hanging="852"/>
        <w:jc w:val="left"/>
      </w:pPr>
      <w:rPr>
        <w:rFonts w:hint="default"/>
      </w:rPr>
    </w:lvl>
    <w:lvl w:ilvl="2">
      <w:start w:val="2"/>
      <w:numFmt w:val="decimal"/>
      <w:lvlText w:val="%1.%2.%3"/>
      <w:lvlJc w:val="left"/>
      <w:pPr>
        <w:ind w:left="1364" w:hanging="852"/>
        <w:jc w:val="left"/>
      </w:pPr>
      <w:rPr>
        <w:rFonts w:hint="default"/>
      </w:rPr>
    </w:lvl>
    <w:lvl w:ilvl="3">
      <w:start w:val="3"/>
      <w:numFmt w:val="decimal"/>
      <w:lvlText w:val="%1.%2.%3.%4"/>
      <w:lvlJc w:val="left"/>
      <w:pPr>
        <w:ind w:left="1364"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645" w:hanging="1133"/>
        <w:jc w:val="left"/>
      </w:pPr>
      <w:rPr>
        <w:rFonts w:ascii="Times New Roman" w:eastAsia="Times New Roman" w:hAnsi="Times New Roman" w:cs="Times New Roman" w:hint="default"/>
        <w:b/>
        <w:bCs/>
        <w:w w:val="100"/>
        <w:sz w:val="24"/>
        <w:szCs w:val="24"/>
      </w:rPr>
    </w:lvl>
    <w:lvl w:ilvl="5">
      <w:start w:val="1"/>
      <w:numFmt w:val="decimal"/>
      <w:lvlText w:val="%1.%2.%3.%4.%5.%6"/>
      <w:lvlJc w:val="left"/>
      <w:pPr>
        <w:ind w:left="1789" w:hanging="1277"/>
        <w:jc w:val="left"/>
      </w:pPr>
      <w:rPr>
        <w:rFonts w:ascii="Times New Roman" w:eastAsia="Times New Roman" w:hAnsi="Times New Roman" w:cs="Times New Roman" w:hint="default"/>
        <w:b/>
        <w:bCs/>
        <w:w w:val="100"/>
        <w:sz w:val="22"/>
        <w:szCs w:val="22"/>
      </w:rPr>
    </w:lvl>
    <w:lvl w:ilvl="6">
      <w:numFmt w:val="bullet"/>
      <w:lvlText w:val="•"/>
      <w:lvlJc w:val="left"/>
      <w:pPr>
        <w:ind w:left="6460" w:hanging="1277"/>
      </w:pPr>
      <w:rPr>
        <w:rFonts w:hint="default"/>
      </w:rPr>
    </w:lvl>
    <w:lvl w:ilvl="7">
      <w:numFmt w:val="bullet"/>
      <w:lvlText w:val="•"/>
      <w:lvlJc w:val="left"/>
      <w:pPr>
        <w:ind w:left="7630" w:hanging="1277"/>
      </w:pPr>
      <w:rPr>
        <w:rFonts w:hint="default"/>
      </w:rPr>
    </w:lvl>
    <w:lvl w:ilvl="8">
      <w:numFmt w:val="bullet"/>
      <w:lvlText w:val="•"/>
      <w:lvlJc w:val="left"/>
      <w:pPr>
        <w:ind w:left="8800" w:hanging="1277"/>
      </w:pPr>
      <w:rPr>
        <w:rFonts w:hint="default"/>
      </w:rPr>
    </w:lvl>
  </w:abstractNum>
  <w:abstractNum w:abstractNumId="42" w15:restartNumberingAfterBreak="0">
    <w:nsid w:val="785C2C11"/>
    <w:multiLevelType w:val="multilevel"/>
    <w:tmpl w:val="2E4C79B6"/>
    <w:lvl w:ilvl="0">
      <w:start w:val="6"/>
      <w:numFmt w:val="decimal"/>
      <w:lvlText w:val="%1"/>
      <w:lvlJc w:val="left"/>
      <w:pPr>
        <w:ind w:left="1364"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364"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364"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4294" w:hanging="852"/>
      </w:pPr>
      <w:rPr>
        <w:rFonts w:hint="default"/>
      </w:rPr>
    </w:lvl>
    <w:lvl w:ilvl="4">
      <w:numFmt w:val="bullet"/>
      <w:lvlText w:val="•"/>
      <w:lvlJc w:val="left"/>
      <w:pPr>
        <w:ind w:left="5272" w:hanging="852"/>
      </w:pPr>
      <w:rPr>
        <w:rFonts w:hint="default"/>
      </w:rPr>
    </w:lvl>
    <w:lvl w:ilvl="5">
      <w:numFmt w:val="bullet"/>
      <w:lvlText w:val="•"/>
      <w:lvlJc w:val="left"/>
      <w:pPr>
        <w:ind w:left="6250" w:hanging="852"/>
      </w:pPr>
      <w:rPr>
        <w:rFonts w:hint="default"/>
      </w:rPr>
    </w:lvl>
    <w:lvl w:ilvl="6">
      <w:numFmt w:val="bullet"/>
      <w:lvlText w:val="•"/>
      <w:lvlJc w:val="left"/>
      <w:pPr>
        <w:ind w:left="7228" w:hanging="852"/>
      </w:pPr>
      <w:rPr>
        <w:rFonts w:hint="default"/>
      </w:rPr>
    </w:lvl>
    <w:lvl w:ilvl="7">
      <w:numFmt w:val="bullet"/>
      <w:lvlText w:val="•"/>
      <w:lvlJc w:val="left"/>
      <w:pPr>
        <w:ind w:left="8206" w:hanging="852"/>
      </w:pPr>
      <w:rPr>
        <w:rFonts w:hint="default"/>
      </w:rPr>
    </w:lvl>
    <w:lvl w:ilvl="8">
      <w:numFmt w:val="bullet"/>
      <w:lvlText w:val="•"/>
      <w:lvlJc w:val="left"/>
      <w:pPr>
        <w:ind w:left="9184" w:hanging="852"/>
      </w:pPr>
      <w:rPr>
        <w:rFonts w:hint="default"/>
      </w:rPr>
    </w:lvl>
  </w:abstractNum>
  <w:abstractNum w:abstractNumId="43" w15:restartNumberingAfterBreak="0">
    <w:nsid w:val="79132986"/>
    <w:multiLevelType w:val="hybridMultilevel"/>
    <w:tmpl w:val="615EEB4C"/>
    <w:lvl w:ilvl="0" w:tplc="79F4E8F0">
      <w:numFmt w:val="bullet"/>
      <w:lvlText w:val=""/>
      <w:lvlJc w:val="left"/>
      <w:pPr>
        <w:ind w:left="558" w:hanging="272"/>
      </w:pPr>
      <w:rPr>
        <w:rFonts w:ascii="Symbol" w:eastAsia="Symbol" w:hAnsi="Symbol" w:cs="Symbol" w:hint="default"/>
        <w:w w:val="100"/>
        <w:sz w:val="18"/>
        <w:szCs w:val="18"/>
      </w:rPr>
    </w:lvl>
    <w:lvl w:ilvl="1" w:tplc="F82675C0">
      <w:numFmt w:val="bullet"/>
      <w:lvlText w:val="•"/>
      <w:lvlJc w:val="left"/>
      <w:pPr>
        <w:ind w:left="840" w:hanging="272"/>
      </w:pPr>
      <w:rPr>
        <w:rFonts w:hint="default"/>
      </w:rPr>
    </w:lvl>
    <w:lvl w:ilvl="2" w:tplc="C310EF36">
      <w:numFmt w:val="bullet"/>
      <w:lvlText w:val="•"/>
      <w:lvlJc w:val="left"/>
      <w:pPr>
        <w:ind w:left="1120" w:hanging="272"/>
      </w:pPr>
      <w:rPr>
        <w:rFonts w:hint="default"/>
      </w:rPr>
    </w:lvl>
    <w:lvl w:ilvl="3" w:tplc="843214C8">
      <w:numFmt w:val="bullet"/>
      <w:lvlText w:val="•"/>
      <w:lvlJc w:val="left"/>
      <w:pPr>
        <w:ind w:left="1400" w:hanging="272"/>
      </w:pPr>
      <w:rPr>
        <w:rFonts w:hint="default"/>
      </w:rPr>
    </w:lvl>
    <w:lvl w:ilvl="4" w:tplc="B1F0E320">
      <w:numFmt w:val="bullet"/>
      <w:lvlText w:val="•"/>
      <w:lvlJc w:val="left"/>
      <w:pPr>
        <w:ind w:left="1680" w:hanging="272"/>
      </w:pPr>
      <w:rPr>
        <w:rFonts w:hint="default"/>
      </w:rPr>
    </w:lvl>
    <w:lvl w:ilvl="5" w:tplc="C5D8AB94">
      <w:numFmt w:val="bullet"/>
      <w:lvlText w:val="•"/>
      <w:lvlJc w:val="left"/>
      <w:pPr>
        <w:ind w:left="1960" w:hanging="272"/>
      </w:pPr>
      <w:rPr>
        <w:rFonts w:hint="default"/>
      </w:rPr>
    </w:lvl>
    <w:lvl w:ilvl="6" w:tplc="C9C07580">
      <w:numFmt w:val="bullet"/>
      <w:lvlText w:val="•"/>
      <w:lvlJc w:val="left"/>
      <w:pPr>
        <w:ind w:left="2240" w:hanging="272"/>
      </w:pPr>
      <w:rPr>
        <w:rFonts w:hint="default"/>
      </w:rPr>
    </w:lvl>
    <w:lvl w:ilvl="7" w:tplc="3E746D1A">
      <w:numFmt w:val="bullet"/>
      <w:lvlText w:val="•"/>
      <w:lvlJc w:val="left"/>
      <w:pPr>
        <w:ind w:left="2520" w:hanging="272"/>
      </w:pPr>
      <w:rPr>
        <w:rFonts w:hint="default"/>
      </w:rPr>
    </w:lvl>
    <w:lvl w:ilvl="8" w:tplc="FEE2DFFA">
      <w:numFmt w:val="bullet"/>
      <w:lvlText w:val="•"/>
      <w:lvlJc w:val="left"/>
      <w:pPr>
        <w:ind w:left="2800" w:hanging="272"/>
      </w:pPr>
      <w:rPr>
        <w:rFonts w:hint="default"/>
      </w:rPr>
    </w:lvl>
  </w:abstractNum>
  <w:abstractNum w:abstractNumId="44" w15:restartNumberingAfterBreak="0">
    <w:nsid w:val="7DC37AF0"/>
    <w:multiLevelType w:val="hybridMultilevel"/>
    <w:tmpl w:val="39CE0B76"/>
    <w:lvl w:ilvl="0" w:tplc="2542C26A">
      <w:numFmt w:val="bullet"/>
      <w:lvlText w:val=""/>
      <w:lvlJc w:val="left"/>
      <w:pPr>
        <w:ind w:left="299" w:hanging="180"/>
      </w:pPr>
      <w:rPr>
        <w:rFonts w:ascii="Symbol" w:eastAsia="Symbol" w:hAnsi="Symbol" w:cs="Symbol" w:hint="default"/>
        <w:w w:val="100"/>
        <w:sz w:val="18"/>
        <w:szCs w:val="18"/>
      </w:rPr>
    </w:lvl>
    <w:lvl w:ilvl="1" w:tplc="FA2E512A">
      <w:numFmt w:val="bullet"/>
      <w:lvlText w:val="•"/>
      <w:lvlJc w:val="left"/>
      <w:pPr>
        <w:ind w:left="567" w:hanging="180"/>
      </w:pPr>
      <w:rPr>
        <w:rFonts w:hint="default"/>
      </w:rPr>
    </w:lvl>
    <w:lvl w:ilvl="2" w:tplc="24DC8CFE">
      <w:numFmt w:val="bullet"/>
      <w:lvlText w:val="•"/>
      <w:lvlJc w:val="left"/>
      <w:pPr>
        <w:ind w:left="834" w:hanging="180"/>
      </w:pPr>
      <w:rPr>
        <w:rFonts w:hint="default"/>
      </w:rPr>
    </w:lvl>
    <w:lvl w:ilvl="3" w:tplc="661EEE2C">
      <w:numFmt w:val="bullet"/>
      <w:lvlText w:val="•"/>
      <w:lvlJc w:val="left"/>
      <w:pPr>
        <w:ind w:left="1101" w:hanging="180"/>
      </w:pPr>
      <w:rPr>
        <w:rFonts w:hint="default"/>
      </w:rPr>
    </w:lvl>
    <w:lvl w:ilvl="4" w:tplc="CD1C5896">
      <w:numFmt w:val="bullet"/>
      <w:lvlText w:val="•"/>
      <w:lvlJc w:val="left"/>
      <w:pPr>
        <w:ind w:left="1368" w:hanging="180"/>
      </w:pPr>
      <w:rPr>
        <w:rFonts w:hint="default"/>
      </w:rPr>
    </w:lvl>
    <w:lvl w:ilvl="5" w:tplc="DE144F24">
      <w:numFmt w:val="bullet"/>
      <w:lvlText w:val="•"/>
      <w:lvlJc w:val="left"/>
      <w:pPr>
        <w:ind w:left="1635" w:hanging="180"/>
      </w:pPr>
      <w:rPr>
        <w:rFonts w:hint="default"/>
      </w:rPr>
    </w:lvl>
    <w:lvl w:ilvl="6" w:tplc="988EE8BA">
      <w:numFmt w:val="bullet"/>
      <w:lvlText w:val="•"/>
      <w:lvlJc w:val="left"/>
      <w:pPr>
        <w:ind w:left="1902" w:hanging="180"/>
      </w:pPr>
      <w:rPr>
        <w:rFonts w:hint="default"/>
      </w:rPr>
    </w:lvl>
    <w:lvl w:ilvl="7" w:tplc="E3189710">
      <w:numFmt w:val="bullet"/>
      <w:lvlText w:val="•"/>
      <w:lvlJc w:val="left"/>
      <w:pPr>
        <w:ind w:left="2169" w:hanging="180"/>
      </w:pPr>
      <w:rPr>
        <w:rFonts w:hint="default"/>
      </w:rPr>
    </w:lvl>
    <w:lvl w:ilvl="8" w:tplc="AF7EE1BA">
      <w:numFmt w:val="bullet"/>
      <w:lvlText w:val="•"/>
      <w:lvlJc w:val="left"/>
      <w:pPr>
        <w:ind w:left="2436" w:hanging="180"/>
      </w:pPr>
      <w:rPr>
        <w:rFonts w:hint="default"/>
      </w:rPr>
    </w:lvl>
  </w:abstractNum>
  <w:num w:numId="1">
    <w:abstractNumId w:val="5"/>
  </w:num>
  <w:num w:numId="2">
    <w:abstractNumId w:val="40"/>
  </w:num>
  <w:num w:numId="3">
    <w:abstractNumId w:val="33"/>
  </w:num>
  <w:num w:numId="4">
    <w:abstractNumId w:val="3"/>
  </w:num>
  <w:num w:numId="5">
    <w:abstractNumId w:val="14"/>
  </w:num>
  <w:num w:numId="6">
    <w:abstractNumId w:val="23"/>
  </w:num>
  <w:num w:numId="7">
    <w:abstractNumId w:val="36"/>
  </w:num>
  <w:num w:numId="8">
    <w:abstractNumId w:val="35"/>
  </w:num>
  <w:num w:numId="9">
    <w:abstractNumId w:val="12"/>
  </w:num>
  <w:num w:numId="10">
    <w:abstractNumId w:val="20"/>
  </w:num>
  <w:num w:numId="11">
    <w:abstractNumId w:val="11"/>
  </w:num>
  <w:num w:numId="12">
    <w:abstractNumId w:val="37"/>
  </w:num>
  <w:num w:numId="13">
    <w:abstractNumId w:val="32"/>
  </w:num>
  <w:num w:numId="14">
    <w:abstractNumId w:val="30"/>
  </w:num>
  <w:num w:numId="15">
    <w:abstractNumId w:val="22"/>
  </w:num>
  <w:num w:numId="16">
    <w:abstractNumId w:val="26"/>
  </w:num>
  <w:num w:numId="17">
    <w:abstractNumId w:val="31"/>
  </w:num>
  <w:num w:numId="18">
    <w:abstractNumId w:val="27"/>
  </w:num>
  <w:num w:numId="19">
    <w:abstractNumId w:val="6"/>
  </w:num>
  <w:num w:numId="20">
    <w:abstractNumId w:val="25"/>
  </w:num>
  <w:num w:numId="21">
    <w:abstractNumId w:val="24"/>
  </w:num>
  <w:num w:numId="22">
    <w:abstractNumId w:val="15"/>
  </w:num>
  <w:num w:numId="23">
    <w:abstractNumId w:val="9"/>
  </w:num>
  <w:num w:numId="24">
    <w:abstractNumId w:val="7"/>
  </w:num>
  <w:num w:numId="25">
    <w:abstractNumId w:val="38"/>
  </w:num>
  <w:num w:numId="26">
    <w:abstractNumId w:val="43"/>
  </w:num>
  <w:num w:numId="27">
    <w:abstractNumId w:val="2"/>
  </w:num>
  <w:num w:numId="28">
    <w:abstractNumId w:val="44"/>
  </w:num>
  <w:num w:numId="29">
    <w:abstractNumId w:val="8"/>
  </w:num>
  <w:num w:numId="30">
    <w:abstractNumId w:val="18"/>
  </w:num>
  <w:num w:numId="31">
    <w:abstractNumId w:val="42"/>
  </w:num>
  <w:num w:numId="32">
    <w:abstractNumId w:val="41"/>
  </w:num>
  <w:num w:numId="33">
    <w:abstractNumId w:val="17"/>
  </w:num>
  <w:num w:numId="34">
    <w:abstractNumId w:val="34"/>
  </w:num>
  <w:num w:numId="35">
    <w:abstractNumId w:val="21"/>
  </w:num>
  <w:num w:numId="36">
    <w:abstractNumId w:val="29"/>
  </w:num>
  <w:num w:numId="37">
    <w:abstractNumId w:val="4"/>
  </w:num>
  <w:num w:numId="38">
    <w:abstractNumId w:val="16"/>
  </w:num>
  <w:num w:numId="39">
    <w:abstractNumId w:val="10"/>
  </w:num>
  <w:num w:numId="40">
    <w:abstractNumId w:val="39"/>
  </w:num>
  <w:num w:numId="41">
    <w:abstractNumId w:val="28"/>
  </w:num>
  <w:num w:numId="42">
    <w:abstractNumId w:val="13"/>
  </w:num>
  <w:num w:numId="43">
    <w:abstractNumId w:val="0"/>
  </w:num>
  <w:num w:numId="44">
    <w:abstractNumId w:val="1"/>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1D1E2C"/>
    <w:rsid w:val="00171F57"/>
    <w:rsid w:val="001D1E2C"/>
    <w:rsid w:val="00263D75"/>
    <w:rsid w:val="006C0602"/>
    <w:rsid w:val="00F650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F3968A9"/>
  <w15:docId w15:val="{F5893307-4122-4817-B88E-30CD2AB1D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86"/>
      <w:ind w:left="3388"/>
      <w:outlineLvl w:val="0"/>
    </w:pPr>
    <w:rPr>
      <w:b/>
      <w:bCs/>
      <w:sz w:val="32"/>
      <w:szCs w:val="32"/>
    </w:rPr>
  </w:style>
  <w:style w:type="paragraph" w:styleId="2">
    <w:name w:val="heading 2"/>
    <w:basedOn w:val="a"/>
    <w:uiPriority w:val="9"/>
    <w:unhideWhenUsed/>
    <w:qFormat/>
    <w:pPr>
      <w:spacing w:before="89"/>
      <w:ind w:left="1364" w:hanging="852"/>
      <w:outlineLvl w:val="1"/>
    </w:pPr>
    <w:rPr>
      <w:b/>
      <w:bCs/>
      <w:sz w:val="28"/>
      <w:szCs w:val="28"/>
    </w:rPr>
  </w:style>
  <w:style w:type="paragraph" w:styleId="3">
    <w:name w:val="heading 3"/>
    <w:basedOn w:val="a"/>
    <w:uiPriority w:val="9"/>
    <w:unhideWhenUsed/>
    <w:qFormat/>
    <w:pPr>
      <w:spacing w:before="144"/>
      <w:ind w:left="1364"/>
      <w:outlineLvl w:val="2"/>
    </w:pPr>
    <w:rPr>
      <w:b/>
      <w:bCs/>
      <w:sz w:val="24"/>
      <w:szCs w:val="24"/>
    </w:rPr>
  </w:style>
  <w:style w:type="paragraph" w:styleId="4">
    <w:name w:val="heading 4"/>
    <w:basedOn w:val="a"/>
    <w:uiPriority w:val="9"/>
    <w:unhideWhenUsed/>
    <w:qFormat/>
    <w:pPr>
      <w:ind w:left="512"/>
      <w:outlineLvl w:val="3"/>
    </w:pPr>
    <w:rPr>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67"/>
      <w:ind w:left="1232" w:hanging="720"/>
    </w:pPr>
    <w:rPr>
      <w:b/>
      <w:bCs/>
    </w:rPr>
  </w:style>
  <w:style w:type="paragraph" w:styleId="20">
    <w:name w:val="toc 2"/>
    <w:basedOn w:val="a"/>
    <w:uiPriority w:val="1"/>
    <w:qFormat/>
    <w:pPr>
      <w:ind w:left="512" w:hanging="8333"/>
    </w:pPr>
    <w:rPr>
      <w:sz w:val="20"/>
      <w:szCs w:val="20"/>
    </w:rPr>
  </w:style>
  <w:style w:type="paragraph" w:styleId="30">
    <w:name w:val="toc 3"/>
    <w:basedOn w:val="a"/>
    <w:uiPriority w:val="1"/>
    <w:qFormat/>
    <w:pPr>
      <w:spacing w:before="107"/>
      <w:ind w:left="1664" w:hanging="864"/>
    </w:pPr>
  </w:style>
  <w:style w:type="paragraph" w:styleId="40">
    <w:name w:val="toc 4"/>
    <w:basedOn w:val="a"/>
    <w:uiPriority w:val="1"/>
    <w:qFormat/>
    <w:pPr>
      <w:spacing w:before="107"/>
      <w:ind w:left="2096" w:hanging="1008"/>
    </w:pPr>
  </w:style>
  <w:style w:type="paragraph" w:styleId="5">
    <w:name w:val="toc 5"/>
    <w:basedOn w:val="a"/>
    <w:uiPriority w:val="1"/>
    <w:qFormat/>
    <w:pPr>
      <w:spacing w:before="107"/>
      <w:ind w:left="2528" w:hanging="1152"/>
    </w:pPr>
  </w:style>
  <w:style w:type="paragraph" w:styleId="6">
    <w:name w:val="toc 6"/>
    <w:basedOn w:val="a"/>
    <w:uiPriority w:val="1"/>
    <w:qFormat/>
    <w:pPr>
      <w:spacing w:before="107"/>
      <w:ind w:left="2816" w:right="320" w:hanging="1296"/>
    </w:pPr>
  </w:style>
  <w:style w:type="paragraph" w:styleId="7">
    <w:name w:val="toc 7"/>
    <w:basedOn w:val="a"/>
    <w:uiPriority w:val="1"/>
    <w:qFormat/>
    <w:pPr>
      <w:spacing w:before="47"/>
      <w:ind w:left="2528"/>
    </w:pPr>
  </w:style>
  <w:style w:type="paragraph" w:styleId="a3">
    <w:name w:val="Body Text"/>
    <w:basedOn w:val="a"/>
    <w:uiPriority w:val="1"/>
    <w:qFormat/>
    <w:rPr>
      <w:sz w:val="24"/>
      <w:szCs w:val="24"/>
    </w:rPr>
  </w:style>
  <w:style w:type="paragraph" w:styleId="a4">
    <w:name w:val="List Paragraph"/>
    <w:basedOn w:val="a"/>
    <w:uiPriority w:val="1"/>
    <w:qFormat/>
    <w:pPr>
      <w:spacing w:before="107"/>
      <w:ind w:left="1364" w:hanging="852"/>
    </w:pPr>
  </w:style>
  <w:style w:type="paragraph" w:customStyle="1" w:styleId="TableParagraph">
    <w:name w:val="Table Paragraph"/>
    <w:basedOn w:val="a"/>
    <w:uiPriority w:val="1"/>
    <w:qFormat/>
    <w:pPr>
      <w:spacing w:line="186" w:lineRule="exact"/>
      <w:jc w:val="center"/>
    </w:pPr>
  </w:style>
  <w:style w:type="paragraph" w:styleId="a5">
    <w:name w:val="header"/>
    <w:basedOn w:val="a"/>
    <w:link w:val="a6"/>
    <w:uiPriority w:val="99"/>
    <w:unhideWhenUsed/>
    <w:rsid w:val="00263D75"/>
    <w:pPr>
      <w:tabs>
        <w:tab w:val="center" w:pos="4252"/>
        <w:tab w:val="right" w:pos="8504"/>
      </w:tabs>
      <w:snapToGrid w:val="0"/>
    </w:pPr>
  </w:style>
  <w:style w:type="character" w:customStyle="1" w:styleId="a6">
    <w:name w:val="ヘッダー (文字)"/>
    <w:basedOn w:val="a0"/>
    <w:link w:val="a5"/>
    <w:uiPriority w:val="99"/>
    <w:rsid w:val="00263D75"/>
    <w:rPr>
      <w:rFonts w:ascii="Times New Roman" w:eastAsia="Times New Roman" w:hAnsi="Times New Roman" w:cs="Times New Roman"/>
    </w:rPr>
  </w:style>
  <w:style w:type="paragraph" w:styleId="a7">
    <w:name w:val="footer"/>
    <w:basedOn w:val="a"/>
    <w:link w:val="a8"/>
    <w:uiPriority w:val="99"/>
    <w:unhideWhenUsed/>
    <w:rsid w:val="00263D75"/>
    <w:pPr>
      <w:tabs>
        <w:tab w:val="center" w:pos="4252"/>
        <w:tab w:val="right" w:pos="8504"/>
      </w:tabs>
      <w:snapToGrid w:val="0"/>
    </w:pPr>
  </w:style>
  <w:style w:type="character" w:customStyle="1" w:styleId="a8">
    <w:name w:val="フッター (文字)"/>
    <w:basedOn w:val="a0"/>
    <w:link w:val="a7"/>
    <w:uiPriority w:val="99"/>
    <w:rsid w:val="00263D7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51D553-AE80-4FEA-84E2-A9B057A0A342}"/>
</file>

<file path=customXml/itemProps2.xml><?xml version="1.0" encoding="utf-8"?>
<ds:datastoreItem xmlns:ds="http://schemas.openxmlformats.org/officeDocument/2006/customXml" ds:itemID="{03A59140-C2EA-430E-B05D-508D68592C2C}"/>
</file>

<file path=customXml/itemProps3.xml><?xml version="1.0" encoding="utf-8"?>
<ds:datastoreItem xmlns:ds="http://schemas.openxmlformats.org/officeDocument/2006/customXml" ds:itemID="{CE55BBB4-45EA-4B4B-A101-87C8057BED03}"/>
</file>

<file path=docProps/app.xml><?xml version="1.0" encoding="utf-8"?>
<Properties xmlns="http://schemas.openxmlformats.org/officeDocument/2006/extended-properties" xmlns:vt="http://schemas.openxmlformats.org/officeDocument/2006/docPropsVTypes">
  <Template>Normal</Template>
  <TotalTime>4</TotalTime>
  <Pages>1</Pages>
  <Words>6617</Words>
  <Characters>37719</Characters>
  <Application>Microsoft Office Word</Application>
  <DocSecurity>0</DocSecurity>
  <Lines>314</Lines>
  <Paragraphs>88</Paragraphs>
  <ScaleCrop>false</ScaleCrop>
  <Company/>
  <LinksUpToDate>false</LinksUpToDate>
  <CharactersWithSpaces>44248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4</cp:revision>
  <dcterms:created xsi:type="dcterms:W3CDTF">2021-06-22T01:51:00Z</dcterms:created>
  <dcterms:modified xsi:type="dcterms:W3CDTF">2021-06-30T15:38:00Z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2014-04-04T00:00:00Z</vt:filetime>
  </property>
  <property fmtid="{D5CDD505-2E9C-101B-9397-08002B2CF9AE}" pid="3" name="LastSaved">
    <vt:filetime>2021-06-22T00:00:00Z</vt:filetime>
  </property>
  <property fmtid="{D5CDD505-2E9C-101B-9397-08002B2CF9AE}" pid="4" name="ContentTypeId">
    <vt:lpwstr>0x0101007EA8C9399C6F4249AB6A1823D3F13C35</vt:lpwstr>
  </property>
</Properties>
</file>