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21D" w:rsidRDefault="002D7B26" w:rsidP="0071344D">
      <w:pPr>
        <w:autoSpaceDE w:val="0"/>
        <w:autoSpaceDN w:val="0"/>
        <w:adjustRightInd w:val="0"/>
        <w:jc w:val="left"/>
        <w:rPr>
          <w:b/>
          <w:bCs/>
          <w:kern w:val="0"/>
          <w:sz w:val="32"/>
          <w:szCs w:val="32"/>
        </w:rPr>
      </w:pPr>
      <w:r w:rsidRPr="002D7B26">
        <w:rPr>
          <w:b/>
          <w:bCs/>
          <w:kern w:val="0"/>
          <w:sz w:val="32"/>
          <w:szCs w:val="32"/>
        </w:rPr>
        <w:t xml:space="preserve">A 4-Week Repeated Oral Dose Toxicity Study of </w:t>
      </w:r>
      <w:bookmarkStart w:id="0" w:name="_GoBack"/>
      <w:r w:rsidR="001A63FF">
        <w:rPr>
          <w:b/>
          <w:bCs/>
          <w:kern w:val="0"/>
          <w:sz w:val="32"/>
          <w:szCs w:val="32"/>
        </w:rPr>
        <w:t>Project X</w:t>
      </w:r>
      <w:bookmarkEnd w:id="0"/>
      <w:r w:rsidRPr="002D7B26">
        <w:rPr>
          <w:b/>
          <w:bCs/>
          <w:kern w:val="0"/>
          <w:sz w:val="32"/>
          <w:szCs w:val="32"/>
        </w:rPr>
        <w:t xml:space="preserve"> in Cynomolgus Monkeys Followed by a 4-Week Reversibility Study</w:t>
      </w:r>
    </w:p>
    <w:p w:rsidR="002D7B26" w:rsidRPr="00AA621D" w:rsidRDefault="002D7B26" w:rsidP="0071344D">
      <w:pPr>
        <w:autoSpaceDE w:val="0"/>
        <w:autoSpaceDN w:val="0"/>
        <w:adjustRightInd w:val="0"/>
        <w:jc w:val="left"/>
        <w:rPr>
          <w:rFonts w:ascii="TimesNewRoman,Bold" w:eastAsia="TimesNewRoman,Bold" w:cs="TimesNewRoman,Bold"/>
          <w:b/>
          <w:bCs/>
          <w:kern w:val="0"/>
          <w:sz w:val="32"/>
          <w:szCs w:val="32"/>
        </w:rPr>
      </w:pPr>
    </w:p>
    <w:p w:rsidR="00D0213C" w:rsidRDefault="00D0213C" w:rsidP="00D0213C">
      <w:pPr>
        <w:autoSpaceDE w:val="0"/>
        <w:autoSpaceDN w:val="0"/>
        <w:adjustRightInd w:val="0"/>
        <w:jc w:val="left"/>
        <w:rPr>
          <w:b/>
          <w:bCs/>
          <w:kern w:val="0"/>
          <w:sz w:val="28"/>
          <w:szCs w:val="28"/>
        </w:rPr>
      </w:pPr>
      <w:r>
        <w:rPr>
          <w:b/>
          <w:bCs/>
          <w:kern w:val="0"/>
          <w:sz w:val="28"/>
          <w:szCs w:val="28"/>
        </w:rPr>
        <w:t xml:space="preserve">11 </w:t>
      </w:r>
      <w:proofErr w:type="gramStart"/>
      <w:r>
        <w:rPr>
          <w:b/>
          <w:bCs/>
          <w:kern w:val="0"/>
          <w:sz w:val="28"/>
          <w:szCs w:val="28"/>
        </w:rPr>
        <w:t>SUMMARY</w:t>
      </w:r>
      <w:proofErr w:type="gramEnd"/>
    </w:p>
    <w:p w:rsidR="002D7B26" w:rsidRPr="002D7B26" w:rsidRDefault="001A63FF" w:rsidP="002D7B26">
      <w:pPr>
        <w:autoSpaceDE w:val="0"/>
        <w:autoSpaceDN w:val="0"/>
        <w:adjustRightInd w:val="0"/>
        <w:jc w:val="left"/>
        <w:rPr>
          <w:szCs w:val="24"/>
        </w:rPr>
      </w:pPr>
      <w:r>
        <w:rPr>
          <w:szCs w:val="24"/>
        </w:rPr>
        <w:t>Project X</w:t>
      </w:r>
      <w:r w:rsidR="002D7B26" w:rsidRPr="002D7B26">
        <w:rPr>
          <w:szCs w:val="24"/>
        </w:rPr>
        <w:t xml:space="preserve"> was administered orally once daily for 4 weeks at dose levels of 0 (vehicle), 0.01, 0.1, 1, and 10 mg/kg (as </w:t>
      </w:r>
      <w:r>
        <w:rPr>
          <w:szCs w:val="24"/>
        </w:rPr>
        <w:t>PROJECT X</w:t>
      </w:r>
      <w:r w:rsidR="002D7B26" w:rsidRPr="002D7B26">
        <w:rPr>
          <w:szCs w:val="24"/>
        </w:rPr>
        <w:t>) to 3 male and 3 female cynomolgus monkeys per group in order to investigate its toxicity. Three males and three females were added to the 10 mg/kg group in order to assess the reversibility of toxicity during a</w:t>
      </w:r>
      <w:r w:rsidR="002D7B26">
        <w:rPr>
          <w:szCs w:val="24"/>
        </w:rPr>
        <w:t xml:space="preserve"> </w:t>
      </w:r>
      <w:r w:rsidR="002D7B26" w:rsidRPr="002D7B26">
        <w:rPr>
          <w:szCs w:val="24"/>
        </w:rPr>
        <w:t xml:space="preserve">subsequent 4-week recovery period. The animals in the control group received 0.5 w/v% methylcellulose solution. Systemic exposure to </w:t>
      </w:r>
      <w:r>
        <w:rPr>
          <w:szCs w:val="24"/>
        </w:rPr>
        <w:t>PROJECT X</w:t>
      </w:r>
      <w:r w:rsidR="002D7B26" w:rsidRPr="002D7B26">
        <w:rPr>
          <w:szCs w:val="24"/>
        </w:rPr>
        <w:t xml:space="preserve"> was also evaluated.</w:t>
      </w:r>
    </w:p>
    <w:p w:rsidR="002D7B26" w:rsidRPr="002D7B26" w:rsidRDefault="002D7B26" w:rsidP="002D7B26">
      <w:pPr>
        <w:autoSpaceDE w:val="0"/>
        <w:autoSpaceDN w:val="0"/>
        <w:adjustRightInd w:val="0"/>
        <w:jc w:val="left"/>
        <w:rPr>
          <w:szCs w:val="24"/>
        </w:rPr>
      </w:pPr>
      <w:r w:rsidRPr="002D7B26">
        <w:rPr>
          <w:szCs w:val="24"/>
        </w:rPr>
        <w:t>The following observations and examinations were performed in this study: clinical signs, body weight, food consumption, ophthalmology (including fluorescein fundus angiography), electrocardiography, urinalysis, hematology, immunophenotyping, blood chemistry, gross pathology, organ weights, histopathology, and toxicokinetics.</w:t>
      </w:r>
    </w:p>
    <w:p w:rsidR="002D7B26" w:rsidRPr="002D7B26" w:rsidRDefault="002D7B26" w:rsidP="002D7B26">
      <w:pPr>
        <w:autoSpaceDE w:val="0"/>
        <w:autoSpaceDN w:val="0"/>
        <w:adjustRightInd w:val="0"/>
        <w:jc w:val="left"/>
        <w:rPr>
          <w:szCs w:val="24"/>
        </w:rPr>
      </w:pPr>
      <w:r w:rsidRPr="002D7B26">
        <w:rPr>
          <w:szCs w:val="24"/>
        </w:rPr>
        <w:t>No animal died in any group during the dosing or recovery period.</w:t>
      </w:r>
    </w:p>
    <w:p w:rsidR="002D7B26" w:rsidRPr="002D7B26" w:rsidRDefault="002D7B26" w:rsidP="002D7B26">
      <w:pPr>
        <w:autoSpaceDE w:val="0"/>
        <w:autoSpaceDN w:val="0"/>
        <w:adjustRightInd w:val="0"/>
        <w:jc w:val="left"/>
        <w:rPr>
          <w:szCs w:val="24"/>
        </w:rPr>
      </w:pPr>
      <w:r w:rsidRPr="002D7B26">
        <w:rPr>
          <w:szCs w:val="24"/>
        </w:rPr>
        <w:t>At 0.01 and 0.1 mg/kg, no toxic changes were noted in any examination. At 1 mg/kg, increased lung weight was noted in 1 male.</w:t>
      </w:r>
    </w:p>
    <w:p w:rsidR="002D7B26" w:rsidRPr="002D7B26" w:rsidRDefault="002D7B26" w:rsidP="002D7B26">
      <w:pPr>
        <w:autoSpaceDE w:val="0"/>
        <w:autoSpaceDN w:val="0"/>
        <w:adjustRightInd w:val="0"/>
        <w:jc w:val="left"/>
        <w:rPr>
          <w:szCs w:val="24"/>
        </w:rPr>
      </w:pPr>
      <w:r w:rsidRPr="002D7B26">
        <w:rPr>
          <w:szCs w:val="24"/>
        </w:rPr>
        <w:t>At 10 mg/kg, total protein, albumin, and globulin decreased in 1 male and 2 females. Increased lung weight was noted in all males and 1 female.</w:t>
      </w:r>
    </w:p>
    <w:p w:rsidR="002D7B26" w:rsidRPr="002D7B26" w:rsidRDefault="002D7B26" w:rsidP="002D7B26">
      <w:pPr>
        <w:autoSpaceDE w:val="0"/>
        <w:autoSpaceDN w:val="0"/>
        <w:adjustRightInd w:val="0"/>
        <w:jc w:val="left"/>
        <w:rPr>
          <w:szCs w:val="24"/>
        </w:rPr>
      </w:pPr>
      <w:r w:rsidRPr="002D7B26">
        <w:rPr>
          <w:szCs w:val="24"/>
        </w:rPr>
        <w:t>As the pharmacological action of the test article, the following changes were noted in dose- dependent manner: decreases in lymphocyte count, and atrophy of the germinal center, atrophy of the periarterial lymphoid sheath, and/or widening of marginal zone in the spleen in males and females at 0.1 mg/kg and greater. Immunophenotyping analysis gave the following results: CD3</w:t>
      </w:r>
      <w:r w:rsidRPr="002D7B26">
        <w:rPr>
          <w:szCs w:val="24"/>
          <w:vertAlign w:val="superscript"/>
        </w:rPr>
        <w:t>+</w:t>
      </w:r>
      <w:r w:rsidRPr="002D7B26">
        <w:rPr>
          <w:szCs w:val="24"/>
        </w:rPr>
        <w:t>CD4</w:t>
      </w:r>
      <w:r w:rsidRPr="002D7B26">
        <w:rPr>
          <w:szCs w:val="24"/>
          <w:vertAlign w:val="superscript"/>
        </w:rPr>
        <w:t>+</w:t>
      </w:r>
      <w:r w:rsidRPr="002D7B26">
        <w:rPr>
          <w:szCs w:val="24"/>
        </w:rPr>
        <w:t xml:space="preserve"> (helper T) cell and CD3</w:t>
      </w:r>
      <w:r w:rsidRPr="002D7B26">
        <w:rPr>
          <w:szCs w:val="24"/>
          <w:vertAlign w:val="superscript"/>
        </w:rPr>
        <w:t>+</w:t>
      </w:r>
      <w:r w:rsidRPr="002D7B26">
        <w:rPr>
          <w:szCs w:val="24"/>
        </w:rPr>
        <w:t>CD8</w:t>
      </w:r>
      <w:r w:rsidRPr="002D7B26">
        <w:rPr>
          <w:szCs w:val="24"/>
          <w:vertAlign w:val="superscript"/>
        </w:rPr>
        <w:t>+</w:t>
      </w:r>
      <w:r w:rsidRPr="002D7B26">
        <w:rPr>
          <w:szCs w:val="24"/>
        </w:rPr>
        <w:t xml:space="preserve"> (suppressor/ killer T) cell counts [due to CD28</w:t>
      </w:r>
      <w:r w:rsidRPr="002D7B26">
        <w:rPr>
          <w:szCs w:val="24"/>
          <w:vertAlign w:val="superscript"/>
        </w:rPr>
        <w:t>+</w:t>
      </w:r>
      <w:r w:rsidRPr="002D7B26">
        <w:rPr>
          <w:szCs w:val="24"/>
        </w:rPr>
        <w:t>CD95</w:t>
      </w:r>
      <w:r w:rsidRPr="002D7B26">
        <w:rPr>
          <w:szCs w:val="24"/>
          <w:vertAlign w:val="superscript"/>
        </w:rPr>
        <w:t>-</w:t>
      </w:r>
      <w:r w:rsidRPr="002D7B26">
        <w:rPr>
          <w:szCs w:val="24"/>
        </w:rPr>
        <w:t xml:space="preserve"> (naïve) cell and CD28</w:t>
      </w:r>
      <w:r w:rsidRPr="002D7B26">
        <w:rPr>
          <w:szCs w:val="24"/>
          <w:vertAlign w:val="superscript"/>
        </w:rPr>
        <w:t>+</w:t>
      </w:r>
      <w:r w:rsidRPr="002D7B26">
        <w:rPr>
          <w:szCs w:val="24"/>
        </w:rPr>
        <w:t>CD95</w:t>
      </w:r>
      <w:r w:rsidRPr="002D7B26">
        <w:rPr>
          <w:szCs w:val="24"/>
          <w:vertAlign w:val="superscript"/>
        </w:rPr>
        <w:t>+</w:t>
      </w:r>
      <w:r w:rsidRPr="002D7B26">
        <w:rPr>
          <w:szCs w:val="24"/>
        </w:rPr>
        <w:t xml:space="preserve"> (central memory) cell counts], and CD3</w:t>
      </w:r>
      <w:r w:rsidRPr="002D7B26">
        <w:rPr>
          <w:szCs w:val="24"/>
          <w:vertAlign w:val="superscript"/>
        </w:rPr>
        <w:t>-</w:t>
      </w:r>
      <w:r w:rsidRPr="002D7B26">
        <w:rPr>
          <w:szCs w:val="24"/>
        </w:rPr>
        <w:t>CD20</w:t>
      </w:r>
      <w:r w:rsidRPr="002D7B26">
        <w:rPr>
          <w:szCs w:val="24"/>
          <w:vertAlign w:val="superscript"/>
        </w:rPr>
        <w:t>+</w:t>
      </w:r>
    </w:p>
    <w:p w:rsidR="002D7B26" w:rsidRPr="002D7B26" w:rsidRDefault="002D7B26" w:rsidP="002D7B26">
      <w:pPr>
        <w:autoSpaceDE w:val="0"/>
        <w:autoSpaceDN w:val="0"/>
        <w:adjustRightInd w:val="0"/>
        <w:jc w:val="left"/>
        <w:rPr>
          <w:szCs w:val="24"/>
        </w:rPr>
      </w:pPr>
      <w:r w:rsidRPr="002D7B26">
        <w:rPr>
          <w:szCs w:val="24"/>
        </w:rPr>
        <w:t>(B) cell count in males and females at 0.1 mg/kg and greater; decreases in CD28</w:t>
      </w:r>
      <w:r w:rsidRPr="002D7B26">
        <w:rPr>
          <w:szCs w:val="24"/>
          <w:vertAlign w:val="superscript"/>
        </w:rPr>
        <w:t>-</w:t>
      </w:r>
      <w:r w:rsidRPr="002D7B26">
        <w:rPr>
          <w:szCs w:val="24"/>
        </w:rPr>
        <w:t>CD95</w:t>
      </w:r>
      <w:r w:rsidRPr="002D7B26">
        <w:rPr>
          <w:szCs w:val="24"/>
          <w:vertAlign w:val="superscript"/>
        </w:rPr>
        <w:t>+</w:t>
      </w:r>
      <w:r w:rsidRPr="002D7B26">
        <w:rPr>
          <w:szCs w:val="24"/>
        </w:rPr>
        <w:t xml:space="preserve"> (effecter memory) cell counts in both CD3</w:t>
      </w:r>
      <w:r w:rsidRPr="002D7B26">
        <w:rPr>
          <w:szCs w:val="24"/>
          <w:vertAlign w:val="superscript"/>
        </w:rPr>
        <w:t>+</w:t>
      </w:r>
      <w:r w:rsidRPr="002D7B26">
        <w:rPr>
          <w:szCs w:val="24"/>
        </w:rPr>
        <w:t>CD4</w:t>
      </w:r>
      <w:r w:rsidRPr="002D7B26">
        <w:rPr>
          <w:szCs w:val="24"/>
          <w:vertAlign w:val="superscript"/>
        </w:rPr>
        <w:t>+</w:t>
      </w:r>
      <w:r w:rsidRPr="002D7B26">
        <w:rPr>
          <w:szCs w:val="24"/>
        </w:rPr>
        <w:t xml:space="preserve"> and CD3</w:t>
      </w:r>
      <w:r w:rsidRPr="002D7B26">
        <w:rPr>
          <w:szCs w:val="24"/>
          <w:vertAlign w:val="superscript"/>
        </w:rPr>
        <w:t>+</w:t>
      </w:r>
      <w:r w:rsidRPr="002D7B26">
        <w:rPr>
          <w:szCs w:val="24"/>
        </w:rPr>
        <w:t>CD8</w:t>
      </w:r>
      <w:r w:rsidRPr="002D7B26">
        <w:rPr>
          <w:szCs w:val="24"/>
          <w:vertAlign w:val="superscript"/>
        </w:rPr>
        <w:t>+</w:t>
      </w:r>
      <w:r w:rsidRPr="002D7B26">
        <w:rPr>
          <w:szCs w:val="24"/>
        </w:rPr>
        <w:t xml:space="preserve"> lymphocytes in males and females at 1 mg/kg and greater.</w:t>
      </w:r>
    </w:p>
    <w:p w:rsidR="002D7B26" w:rsidRPr="002D7B26" w:rsidRDefault="002D7B26" w:rsidP="002D7B26">
      <w:pPr>
        <w:autoSpaceDE w:val="0"/>
        <w:autoSpaceDN w:val="0"/>
        <w:adjustRightInd w:val="0"/>
        <w:jc w:val="left"/>
        <w:rPr>
          <w:szCs w:val="24"/>
        </w:rPr>
      </w:pPr>
      <w:r w:rsidRPr="002D7B26">
        <w:rPr>
          <w:szCs w:val="24"/>
        </w:rPr>
        <w:t xml:space="preserve">In toxicokinetics, on Day 1, </w:t>
      </w:r>
      <w:proofErr w:type="spellStart"/>
      <w:r w:rsidRPr="002D7B26">
        <w:rPr>
          <w:szCs w:val="24"/>
        </w:rPr>
        <w:t>T</w:t>
      </w:r>
      <w:r w:rsidRPr="002D7B26">
        <w:rPr>
          <w:szCs w:val="24"/>
          <w:vertAlign w:val="subscript"/>
        </w:rPr>
        <w:t>max</w:t>
      </w:r>
      <w:proofErr w:type="spellEnd"/>
      <w:r w:rsidRPr="002D7B26">
        <w:rPr>
          <w:szCs w:val="24"/>
        </w:rPr>
        <w:t xml:space="preserve"> did not differ between dose levels. </w:t>
      </w:r>
      <w:proofErr w:type="spellStart"/>
      <w:r w:rsidRPr="002D7B26">
        <w:rPr>
          <w:szCs w:val="24"/>
        </w:rPr>
        <w:t>C</w:t>
      </w:r>
      <w:r w:rsidRPr="002D7B26">
        <w:rPr>
          <w:szCs w:val="24"/>
          <w:vertAlign w:val="subscript"/>
        </w:rPr>
        <w:t>max</w:t>
      </w:r>
      <w:proofErr w:type="spellEnd"/>
      <w:r w:rsidRPr="002D7B26">
        <w:rPr>
          <w:szCs w:val="24"/>
        </w:rPr>
        <w:t xml:space="preserve"> and AUC</w:t>
      </w:r>
      <w:r w:rsidRPr="002D7B26">
        <w:rPr>
          <w:szCs w:val="24"/>
          <w:vertAlign w:val="subscript"/>
        </w:rPr>
        <w:t>0-24h</w:t>
      </w:r>
      <w:r w:rsidRPr="002D7B26">
        <w:rPr>
          <w:szCs w:val="24"/>
        </w:rPr>
        <w:t xml:space="preserve"> increased almost proportionally, except for 10 mg/kg males that showed a lesser increase. No clear sex difference was noted in any TK parameter. On Days 14 and 28, no clear changes were noted in any TK parameter compared with that on Day 1.</w:t>
      </w:r>
    </w:p>
    <w:p w:rsidR="002D7B26" w:rsidRPr="002D7B26" w:rsidRDefault="002D7B26" w:rsidP="002D7B26">
      <w:pPr>
        <w:autoSpaceDE w:val="0"/>
        <w:autoSpaceDN w:val="0"/>
        <w:adjustRightInd w:val="0"/>
        <w:jc w:val="left"/>
        <w:rPr>
          <w:szCs w:val="24"/>
        </w:rPr>
      </w:pPr>
      <w:r w:rsidRPr="002D7B26">
        <w:rPr>
          <w:szCs w:val="24"/>
        </w:rPr>
        <w:t>After the 4-week recovery period, the changes noted in the 10 mg/kg group during the dosing period recovered or tended to recover.</w:t>
      </w:r>
    </w:p>
    <w:p w:rsidR="002D7B26" w:rsidRPr="002D7B26" w:rsidRDefault="002D7B26" w:rsidP="002D7B26">
      <w:pPr>
        <w:autoSpaceDE w:val="0"/>
        <w:autoSpaceDN w:val="0"/>
        <w:adjustRightInd w:val="0"/>
        <w:jc w:val="left"/>
        <w:rPr>
          <w:szCs w:val="24"/>
        </w:rPr>
      </w:pPr>
      <w:r w:rsidRPr="002D7B26">
        <w:rPr>
          <w:szCs w:val="24"/>
        </w:rPr>
        <w:t xml:space="preserve">It was concluded that, under the conditions of this study, the no-observed-adverse-effect level was 0.1 mg/kg/day as </w:t>
      </w:r>
      <w:r w:rsidR="001A63FF">
        <w:rPr>
          <w:szCs w:val="24"/>
        </w:rPr>
        <w:t>PROJECT X</w:t>
      </w:r>
      <w:r w:rsidRPr="002D7B26">
        <w:rPr>
          <w:szCs w:val="24"/>
        </w:rPr>
        <w:t xml:space="preserve"> for males and 1 mg/kg/day for females, because high lung weight was noted in males at 1 mg/kg and greater and in females at 10 mg/kg. Reversibility of test article </w:t>
      </w:r>
      <w:r w:rsidRPr="002D7B26">
        <w:rPr>
          <w:szCs w:val="24"/>
        </w:rPr>
        <w:lastRenderedPageBreak/>
        <w:t>effects was confirmed after the 4-week recovery period.</w:t>
      </w:r>
    </w:p>
    <w:p w:rsidR="00321748" w:rsidRPr="002D7B26" w:rsidRDefault="00321748" w:rsidP="0009083A">
      <w:pPr>
        <w:autoSpaceDE w:val="0"/>
        <w:autoSpaceDN w:val="0"/>
        <w:adjustRightInd w:val="0"/>
        <w:jc w:val="left"/>
        <w:rPr>
          <w:szCs w:val="24"/>
        </w:rPr>
      </w:pPr>
    </w:p>
    <w:sectPr w:rsidR="00321748" w:rsidRPr="002D7B26" w:rsidSect="00E62016">
      <w:pgSz w:w="11906" w:h="16838" w:code="9"/>
      <w:pgMar w:top="1418" w:right="851" w:bottom="1418" w:left="851" w:header="851" w:footer="851" w:gutter="567"/>
      <w:cols w:space="425"/>
      <w:docGrid w:type="linesAndChars" w:linePitch="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17F" w:rsidRDefault="0039617F" w:rsidP="00321748">
      <w:r>
        <w:separator/>
      </w:r>
    </w:p>
  </w:endnote>
  <w:endnote w:type="continuationSeparator" w:id="0">
    <w:p w:rsidR="0039617F" w:rsidRDefault="0039617F" w:rsidP="0032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17F" w:rsidRDefault="0039617F" w:rsidP="00321748">
      <w:r>
        <w:separator/>
      </w:r>
    </w:p>
  </w:footnote>
  <w:footnote w:type="continuationSeparator" w:id="0">
    <w:p w:rsidR="0039617F" w:rsidRDefault="0039617F" w:rsidP="0032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118"/>
    <w:multiLevelType w:val="multilevel"/>
    <w:tmpl w:val="0DB2A062"/>
    <w:lvl w:ilvl="0">
      <w:start w:val="3"/>
      <w:numFmt w:val="decimal"/>
      <w:lvlText w:val="%1."/>
      <w:lvlJc w:val="left"/>
      <w:pPr>
        <w:ind w:left="637" w:hanging="396"/>
        <w:jc w:val="right"/>
      </w:pPr>
      <w:rPr>
        <w:rFonts w:ascii="Calibri" w:eastAsia="Calibri" w:hAnsi="Calibri" w:cs="Calibri" w:hint="default"/>
        <w:b/>
        <w:bCs/>
        <w:spacing w:val="-1"/>
        <w:w w:val="99"/>
        <w:sz w:val="32"/>
        <w:szCs w:val="32"/>
      </w:rPr>
    </w:lvl>
    <w:lvl w:ilvl="1">
      <w:start w:val="1"/>
      <w:numFmt w:val="decimal"/>
      <w:lvlText w:val="%1.%2."/>
      <w:lvlJc w:val="left"/>
      <w:pPr>
        <w:ind w:left="865" w:hanging="624"/>
        <w:jc w:val="left"/>
      </w:pPr>
      <w:rPr>
        <w:rFonts w:ascii="Calibri" w:eastAsia="Calibri" w:hAnsi="Calibri" w:cs="Calibri" w:hint="default"/>
        <w:b/>
        <w:bCs/>
        <w:spacing w:val="-1"/>
        <w:w w:val="100"/>
        <w:sz w:val="28"/>
        <w:szCs w:val="28"/>
      </w:rPr>
    </w:lvl>
    <w:lvl w:ilvl="2">
      <w:start w:val="1"/>
      <w:numFmt w:val="lowerRoman"/>
      <w:lvlText w:val="(%3)"/>
      <w:lvlJc w:val="left"/>
      <w:pPr>
        <w:ind w:left="1320" w:hanging="721"/>
        <w:jc w:val="left"/>
      </w:pPr>
      <w:rPr>
        <w:rFonts w:ascii="Calibri" w:eastAsia="Calibri" w:hAnsi="Calibri" w:cs="Calibri" w:hint="default"/>
        <w:spacing w:val="-1"/>
        <w:w w:val="100"/>
        <w:sz w:val="22"/>
        <w:szCs w:val="22"/>
      </w:rPr>
    </w:lvl>
    <w:lvl w:ilvl="3">
      <w:numFmt w:val="bullet"/>
      <w:lvlText w:val="•"/>
      <w:lvlJc w:val="left"/>
      <w:pPr>
        <w:ind w:left="1320" w:hanging="721"/>
      </w:pPr>
      <w:rPr>
        <w:rFonts w:hint="default"/>
      </w:rPr>
    </w:lvl>
    <w:lvl w:ilvl="4">
      <w:numFmt w:val="bullet"/>
      <w:lvlText w:val="•"/>
      <w:lvlJc w:val="left"/>
      <w:pPr>
        <w:ind w:left="3940" w:hanging="721"/>
      </w:pPr>
      <w:rPr>
        <w:rFonts w:hint="default"/>
      </w:rPr>
    </w:lvl>
    <w:lvl w:ilvl="5">
      <w:numFmt w:val="bullet"/>
      <w:lvlText w:val="•"/>
      <w:lvlJc w:val="left"/>
      <w:pPr>
        <w:ind w:left="3759" w:hanging="721"/>
      </w:pPr>
      <w:rPr>
        <w:rFonts w:hint="default"/>
      </w:rPr>
    </w:lvl>
    <w:lvl w:ilvl="6">
      <w:numFmt w:val="bullet"/>
      <w:lvlText w:val="•"/>
      <w:lvlJc w:val="left"/>
      <w:pPr>
        <w:ind w:left="3578" w:hanging="721"/>
      </w:pPr>
      <w:rPr>
        <w:rFonts w:hint="default"/>
      </w:rPr>
    </w:lvl>
    <w:lvl w:ilvl="7">
      <w:numFmt w:val="bullet"/>
      <w:lvlText w:val="•"/>
      <w:lvlJc w:val="left"/>
      <w:pPr>
        <w:ind w:left="3397" w:hanging="721"/>
      </w:pPr>
      <w:rPr>
        <w:rFonts w:hint="default"/>
      </w:rPr>
    </w:lvl>
    <w:lvl w:ilvl="8">
      <w:numFmt w:val="bullet"/>
      <w:lvlText w:val="•"/>
      <w:lvlJc w:val="left"/>
      <w:pPr>
        <w:ind w:left="3216"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09083A"/>
    <w:rsid w:val="001A63FF"/>
    <w:rsid w:val="002206D5"/>
    <w:rsid w:val="00280895"/>
    <w:rsid w:val="002C7EB3"/>
    <w:rsid w:val="002D7B26"/>
    <w:rsid w:val="00305291"/>
    <w:rsid w:val="00321748"/>
    <w:rsid w:val="00361285"/>
    <w:rsid w:val="0039617F"/>
    <w:rsid w:val="003A0A7C"/>
    <w:rsid w:val="003F667A"/>
    <w:rsid w:val="005835E5"/>
    <w:rsid w:val="006C2900"/>
    <w:rsid w:val="0071344D"/>
    <w:rsid w:val="00714904"/>
    <w:rsid w:val="0078042E"/>
    <w:rsid w:val="008E19B0"/>
    <w:rsid w:val="009376DC"/>
    <w:rsid w:val="00953BD7"/>
    <w:rsid w:val="00AA621D"/>
    <w:rsid w:val="00BC0EC2"/>
    <w:rsid w:val="00C75423"/>
    <w:rsid w:val="00D0213C"/>
    <w:rsid w:val="00D87BA5"/>
    <w:rsid w:val="00DA3A6D"/>
    <w:rsid w:val="00E62016"/>
    <w:rsid w:val="00E924DB"/>
    <w:rsid w:val="00ED21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748"/>
    <w:pPr>
      <w:tabs>
        <w:tab w:val="center" w:pos="4252"/>
        <w:tab w:val="right" w:pos="8504"/>
      </w:tabs>
      <w:snapToGrid w:val="0"/>
    </w:pPr>
  </w:style>
  <w:style w:type="character" w:customStyle="1" w:styleId="a4">
    <w:name w:val="ヘッダー (文字)"/>
    <w:basedOn w:val="a0"/>
    <w:link w:val="a3"/>
    <w:uiPriority w:val="99"/>
    <w:rsid w:val="00321748"/>
    <w:rPr>
      <w:sz w:val="24"/>
    </w:rPr>
  </w:style>
  <w:style w:type="paragraph" w:styleId="a5">
    <w:name w:val="footer"/>
    <w:basedOn w:val="a"/>
    <w:link w:val="a6"/>
    <w:uiPriority w:val="99"/>
    <w:unhideWhenUsed/>
    <w:rsid w:val="00321748"/>
    <w:pPr>
      <w:tabs>
        <w:tab w:val="center" w:pos="4252"/>
        <w:tab w:val="right" w:pos="8504"/>
      </w:tabs>
      <w:snapToGrid w:val="0"/>
    </w:pPr>
  </w:style>
  <w:style w:type="character" w:customStyle="1" w:styleId="a6">
    <w:name w:val="フッター (文字)"/>
    <w:basedOn w:val="a0"/>
    <w:link w:val="a5"/>
    <w:uiPriority w:val="99"/>
    <w:rsid w:val="00321748"/>
    <w:rPr>
      <w:sz w:val="24"/>
    </w:rPr>
  </w:style>
  <w:style w:type="paragraph" w:styleId="a7">
    <w:name w:val="Body Text"/>
    <w:basedOn w:val="a"/>
    <w:link w:val="a8"/>
    <w:uiPriority w:val="1"/>
    <w:qFormat/>
    <w:rsid w:val="00321748"/>
    <w:pPr>
      <w:autoSpaceDE w:val="0"/>
      <w:autoSpaceDN w:val="0"/>
      <w:jc w:val="left"/>
    </w:pPr>
    <w:rPr>
      <w:rFonts w:eastAsia="Times New Roman"/>
      <w:kern w:val="0"/>
      <w:szCs w:val="24"/>
      <w:lang w:eastAsia="en-US"/>
    </w:rPr>
  </w:style>
  <w:style w:type="character" w:customStyle="1" w:styleId="a8">
    <w:name w:val="本文 (文字)"/>
    <w:basedOn w:val="a0"/>
    <w:link w:val="a7"/>
    <w:uiPriority w:val="1"/>
    <w:rsid w:val="00321748"/>
    <w:rPr>
      <w:rFonts w:eastAsia="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E0D6BD-6BA8-4A2C-B619-E0B5CA454B55}"/>
</file>

<file path=customXml/itemProps2.xml><?xml version="1.0" encoding="utf-8"?>
<ds:datastoreItem xmlns:ds="http://schemas.openxmlformats.org/officeDocument/2006/customXml" ds:itemID="{2945CA71-DB6A-48AD-85A9-7CA731B8A526}"/>
</file>

<file path=customXml/itemProps3.xml><?xml version="1.0" encoding="utf-8"?>
<ds:datastoreItem xmlns:ds="http://schemas.openxmlformats.org/officeDocument/2006/customXml" ds:itemID="{385E4D49-3A3F-4861-8CAA-749EBB58C60E}"/>
</file>

<file path=docProps/app.xml><?xml version="1.0" encoding="utf-8"?>
<Properties xmlns="http://schemas.openxmlformats.org/officeDocument/2006/extended-properties" xmlns:vt="http://schemas.openxmlformats.org/officeDocument/2006/docPropsVTypes">
  <Template>Normal</Template>
  <TotalTime>22</TotalTime>
  <Pages>1</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12</cp:revision>
  <dcterms:created xsi:type="dcterms:W3CDTF">2021-06-23T13:15:00Z</dcterms:created>
  <dcterms:modified xsi:type="dcterms:W3CDTF">2021-06-30T16:06:00Z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