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1" w:name="descriptives"/>
      <w:bookmarkEnd w:id="21"/>
      <w:r>
        <w:t xml:space="preserve">Descriptives</w:t>
      </w:r>
    </w:p>
    <w:tbl>
      <w:tblPr>
        <w:tblStyle w:val="TableNormal"/>
        <w:tblW w:type="pct" w:w="5000.0"/>
        <w:tblLook w:firstRow="1"/>
      </w:tblPr>
      <w:tblGrid>
        <w:gridCol w:w="1024"/>
        <w:gridCol w:w="751"/>
        <w:gridCol w:w="751"/>
        <w:gridCol w:w="614"/>
        <w:gridCol w:w="614"/>
        <w:gridCol w:w="819"/>
        <w:gridCol w:w="614"/>
        <w:gridCol w:w="614"/>
        <w:gridCol w:w="546"/>
        <w:gridCol w:w="614"/>
        <w:gridCol w:w="614"/>
        <w:gridCol w:w="34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br w:type="textWrapping"/>
            </w:r>
            <w:r>
              <w:t xml:space="preserve">Congruence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br w:type="textWrapping"/>
            </w:r>
            <w:r>
              <w:t xml:space="preserve">Accuracy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Errors</w:t>
            </w:r>
            <w:r>
              <w:br w:type="textWrapping"/>
            </w:r>
            <w:r>
              <w:t xml:space="preserve">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br w:type="textWrapping"/>
            </w:r>
            <w:r>
              <w:t xml:space="preserve">RM ESR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br w:type="textWrapping"/>
            </w:r>
            <w:r>
              <w:t xml:space="preserve">CM ESR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Correct</w:t>
            </w:r>
            <w:r>
              <w:br w:type="textWrapping"/>
            </w:r>
            <w:r>
              <w:t xml:space="preserve">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br w:type="textWrapping"/>
            </w:r>
            <w:r>
              <w:t xml:space="preserve">RM ESR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br w:type="textWrapping"/>
            </w:r>
            <w:r>
              <w:t xml:space="preserve">CM ESR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All</w:t>
            </w:r>
            <w:r>
              <w:br w:type="textWrapping"/>
            </w:r>
            <w:r>
              <w:t xml:space="preserve">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br w:type="textWrapping"/>
            </w:r>
            <w:r>
              <w:t xml:space="preserve">RM ESR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br w:type="textWrapping"/>
            </w:r>
            <w:r>
              <w:t xml:space="preserve">CM ESR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br w:type="textWrapping"/>
            </w:r>
            <w:r>
              <w:t xml:space="preserve">All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i/>
              </w:rPr>
              <w:t xml:space="preserve">Neutral</w:t>
            </w:r>
          </w:p>
        </w:tc>
        <w:tc>
          <w:p>
            <w:pPr>
              <w:pStyle w:val="Compact"/>
              <w:jc w:val="center"/>
            </w:pPr>
            <w:r>
              <w:t xml:space="preserve">0.91</w:t>
            </w:r>
          </w:p>
        </w:tc>
        <w:tc>
          <w:p>
            <w:pPr>
              <w:pStyle w:val="Compact"/>
              <w:jc w:val="center"/>
            </w:pPr>
            <w:r>
              <w:t xml:space="preserve">383.1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p>
            <w:pPr>
              <w:pStyle w:val="Compact"/>
              <w:jc w:val="center"/>
            </w:pPr>
            <w:r>
              <w:t xml:space="preserve">0.89</w:t>
            </w:r>
          </w:p>
        </w:tc>
        <w:tc>
          <w:p>
            <w:pPr>
              <w:pStyle w:val="Compact"/>
              <w:jc w:val="center"/>
            </w:pPr>
            <w:r>
              <w:t xml:space="preserve">458.3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451.4</w:t>
            </w:r>
          </w:p>
        </w:tc>
        <w:tc>
          <w:p>
            <w:pPr>
              <w:pStyle w:val="Compact"/>
              <w:jc w:val="center"/>
            </w:pPr>
            <w:r>
              <w:t xml:space="preserve">0.08</w:t>
            </w:r>
          </w:p>
        </w:tc>
        <w:tc>
          <w:p>
            <w:pPr>
              <w:pStyle w:val="Compact"/>
              <w:jc w:val="center"/>
            </w:pPr>
            <w:r>
              <w:t xml:space="preserve">0.09</w:t>
            </w:r>
          </w:p>
        </w:tc>
        <w:tc>
          <w:p>
            <w:pPr>
              <w:pStyle w:val="Compact"/>
              <w:jc w:val="center"/>
            </w:pPr>
            <w:r>
              <w:t xml:space="preserve">6000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i/>
              </w:rPr>
              <w:t xml:space="preserve">Incompatible</w:t>
            </w:r>
          </w:p>
        </w:tc>
        <w:tc>
          <w:p>
            <w:pPr>
              <w:pStyle w:val="Compact"/>
              <w:jc w:val="center"/>
            </w:pPr>
            <w:r>
              <w:t xml:space="preserve">0.78</w:t>
            </w:r>
          </w:p>
        </w:tc>
        <w:tc>
          <w:p>
            <w:pPr>
              <w:pStyle w:val="Compact"/>
              <w:jc w:val="center"/>
            </w:pPr>
            <w:r>
              <w:t xml:space="preserve">415.6</w:t>
            </w:r>
          </w:p>
        </w:tc>
        <w:tc>
          <w:p>
            <w:pPr>
              <w:pStyle w:val="Compact"/>
              <w:jc w:val="center"/>
            </w:pPr>
            <w:r>
              <w:t xml:space="preserve">0.62</w:t>
            </w:r>
          </w:p>
        </w:tc>
        <w:tc>
          <w:p>
            <w:pPr>
              <w:pStyle w:val="Compact"/>
              <w:jc w:val="center"/>
            </w:pPr>
            <w:r>
              <w:t xml:space="preserve">0.81</w:t>
            </w:r>
          </w:p>
        </w:tc>
        <w:tc>
          <w:p>
            <w:pPr>
              <w:pStyle w:val="Compact"/>
              <w:jc w:val="center"/>
            </w:pPr>
            <w:r>
              <w:t xml:space="preserve">460.3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p>
            <w:pPr>
              <w:pStyle w:val="Compact"/>
              <w:jc w:val="center"/>
            </w:pPr>
            <w:r>
              <w:t xml:space="preserve">450.5</w:t>
            </w:r>
          </w:p>
        </w:tc>
        <w:tc>
          <w:p>
            <w:pPr>
              <w:pStyle w:val="Compact"/>
              <w:jc w:val="center"/>
            </w:pPr>
            <w:r>
              <w:t xml:space="preserve">0.14</w:t>
            </w:r>
          </w:p>
        </w:tc>
        <w:tc>
          <w:p>
            <w:pPr>
              <w:pStyle w:val="Compact"/>
              <w:jc w:val="center"/>
            </w:pPr>
            <w:r>
              <w:t xml:space="preserve">0.19</w:t>
            </w:r>
          </w:p>
        </w:tc>
        <w:tc>
          <w:p>
            <w:pPr>
              <w:pStyle w:val="Compact"/>
              <w:jc w:val="center"/>
            </w:pPr>
            <w:r>
              <w:t xml:space="preserve">6000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i/>
              </w:rPr>
              <w:t xml:space="preserve">All</w:t>
            </w:r>
          </w:p>
        </w:tc>
        <w:tc>
          <w:p>
            <w:pPr>
              <w:pStyle w:val="Compact"/>
              <w:jc w:val="center"/>
            </w:pPr>
            <w:r>
              <w:t xml:space="preserve">0.84</w:t>
            </w:r>
          </w:p>
        </w:tc>
        <w:tc>
          <w:p>
            <w:pPr>
              <w:pStyle w:val="Compact"/>
              <w:jc w:val="center"/>
            </w:pPr>
            <w:r>
              <w:t xml:space="preserve">406.1</w:t>
            </w:r>
          </w:p>
        </w:tc>
        <w:tc>
          <w:p>
            <w:pPr>
              <w:pStyle w:val="Compact"/>
              <w:jc w:val="center"/>
            </w:pPr>
            <w:r>
              <w:t xml:space="preserve">0.68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p>
            <w:pPr>
              <w:pStyle w:val="Compact"/>
              <w:jc w:val="center"/>
            </w:pPr>
            <w:r>
              <w:t xml:space="preserve">459.2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450.9</w:t>
            </w:r>
          </w:p>
        </w:tc>
        <w:tc>
          <w:p>
            <w:pPr>
              <w:pStyle w:val="Compact"/>
              <w:jc w:val="center"/>
            </w:pPr>
            <w:r>
              <w:t xml:space="preserve">0.11</w:t>
            </w:r>
          </w:p>
        </w:tc>
        <w:tc>
          <w:p>
            <w:pPr>
              <w:pStyle w:val="Compact"/>
              <w:jc w:val="center"/>
            </w:pPr>
            <w:r>
              <w:t xml:space="preserve">0.14</w:t>
            </w:r>
          </w:p>
        </w:tc>
        <w:tc>
          <w:p>
            <w:pPr>
              <w:pStyle w:val="Compact"/>
              <w:jc w:val="center"/>
            </w:pPr>
            <w:r>
              <w:t xml:space="preserve">12000</w:t>
            </w:r>
          </w:p>
        </w:tc>
      </w:tr>
    </w:tbl>
    <w:p>
      <w:pPr>
        <w:pStyle w:val="Heading3"/>
      </w:pPr>
      <w:bookmarkStart w:id="22" w:name="energies"/>
      <w:bookmarkEnd w:id="22"/>
      <w:r>
        <w:t xml:space="preserve">Energies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outputs/figures/3resp_flanker_6000_trials_per_condition_no_congruent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586332" cy="366906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outputs/figures/3resp_flanker_6000_trials_per_condition_no_congruent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6332" cy="36690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586332" cy="366906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outputs/figures/3resp_flanker_6000_trials_per_condition_no_congruent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6332" cy="36690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586332" cy="366906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outputs/figures/3resp_flanker_6000_trials_per_condition_no_congruentunnamed-chunk-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6332" cy="36690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771c76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